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6" w:type="dxa"/>
        <w:tblInd w:w="8" w:type="dxa"/>
        <w:tblLayout w:type="fixed"/>
        <w:tblCellMar>
          <w:left w:w="0" w:type="dxa"/>
          <w:right w:w="0" w:type="dxa"/>
        </w:tblCellMar>
        <w:tblLook w:val="0000" w:firstRow="0" w:lastRow="0" w:firstColumn="0" w:lastColumn="0" w:noHBand="0" w:noVBand="0"/>
      </w:tblPr>
      <w:tblGrid>
        <w:gridCol w:w="1210"/>
        <w:gridCol w:w="200"/>
        <w:gridCol w:w="3467"/>
        <w:gridCol w:w="5329"/>
      </w:tblGrid>
      <w:tr w:rsidR="007B6316" w14:paraId="0F8E45C1" w14:textId="77777777" w:rsidTr="007B6316">
        <w:trPr>
          <w:cantSplit/>
          <w:trHeight w:val="340"/>
        </w:trPr>
        <w:tc>
          <w:tcPr>
            <w:tcW w:w="1410" w:type="dxa"/>
            <w:gridSpan w:val="2"/>
          </w:tcPr>
          <w:p w14:paraId="21E178E6"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77B38B2D" wp14:editId="3DEF41E5">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61E7E592"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185EFFF6"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61719B3B" w14:textId="77777777" w:rsidTr="00D747B2">
        <w:trPr>
          <w:cantSplit/>
          <w:trHeight w:val="340"/>
        </w:trPr>
        <w:tc>
          <w:tcPr>
            <w:tcW w:w="1210" w:type="dxa"/>
          </w:tcPr>
          <w:p w14:paraId="6016B83B" w14:textId="77777777" w:rsidR="007B6316" w:rsidRPr="00D747B2" w:rsidRDefault="007B6316" w:rsidP="00D747B2">
            <w:pPr>
              <w:tabs>
                <w:tab w:val="clear" w:pos="794"/>
                <w:tab w:val="clear" w:pos="1191"/>
                <w:tab w:val="clear" w:pos="1588"/>
                <w:tab w:val="clear" w:pos="1985"/>
                <w:tab w:val="left" w:pos="284"/>
              </w:tabs>
              <w:spacing w:after="120"/>
              <w:ind w:left="284" w:hanging="227"/>
              <w:rPr>
                <w:szCs w:val="24"/>
              </w:rPr>
            </w:pPr>
          </w:p>
        </w:tc>
        <w:tc>
          <w:tcPr>
            <w:tcW w:w="3667" w:type="dxa"/>
            <w:gridSpan w:val="2"/>
          </w:tcPr>
          <w:p w14:paraId="62A69556" w14:textId="77777777" w:rsidR="007B6316" w:rsidRPr="00D747B2" w:rsidRDefault="007B6316" w:rsidP="00D747B2">
            <w:pPr>
              <w:tabs>
                <w:tab w:val="clear" w:pos="794"/>
                <w:tab w:val="clear" w:pos="1191"/>
                <w:tab w:val="clear" w:pos="1588"/>
                <w:tab w:val="clear" w:pos="1985"/>
                <w:tab w:val="left" w:pos="284"/>
              </w:tabs>
              <w:spacing w:after="120"/>
              <w:ind w:left="284" w:hanging="227"/>
              <w:rPr>
                <w:szCs w:val="24"/>
              </w:rPr>
            </w:pPr>
          </w:p>
        </w:tc>
        <w:tc>
          <w:tcPr>
            <w:tcW w:w="5329" w:type="dxa"/>
          </w:tcPr>
          <w:p w14:paraId="2BBBDF48" w14:textId="7C2E895B" w:rsidR="007B6316" w:rsidRPr="00AB7BED" w:rsidRDefault="003D3626" w:rsidP="007B6316">
            <w:pPr>
              <w:tabs>
                <w:tab w:val="clear" w:pos="794"/>
                <w:tab w:val="clear" w:pos="1191"/>
                <w:tab w:val="clear" w:pos="1588"/>
                <w:tab w:val="clear" w:pos="1985"/>
                <w:tab w:val="left" w:pos="284"/>
              </w:tabs>
              <w:spacing w:after="120"/>
              <w:ind w:left="284" w:hanging="227"/>
              <w:rPr>
                <w:sz w:val="22"/>
                <w:szCs w:val="22"/>
              </w:rPr>
            </w:pPr>
            <w:r w:rsidRPr="00AB7BED">
              <w:rPr>
                <w:sz w:val="22"/>
                <w:szCs w:val="22"/>
              </w:rPr>
              <w:t>Ginebra, 19 de marzo de 2021</w:t>
            </w:r>
          </w:p>
        </w:tc>
      </w:tr>
      <w:tr w:rsidR="007B6316" w:rsidRPr="00AB7BED" w14:paraId="38AE8466" w14:textId="77777777" w:rsidTr="00D747B2">
        <w:trPr>
          <w:cantSplit/>
          <w:trHeight w:val="340"/>
        </w:trPr>
        <w:tc>
          <w:tcPr>
            <w:tcW w:w="1210" w:type="dxa"/>
          </w:tcPr>
          <w:p w14:paraId="326CFD41" w14:textId="005EFBE8" w:rsidR="007B6316" w:rsidRPr="00AB7BED" w:rsidRDefault="007B6316" w:rsidP="00D747B2">
            <w:pPr>
              <w:tabs>
                <w:tab w:val="left" w:pos="4111"/>
              </w:tabs>
              <w:spacing w:before="40" w:after="40"/>
              <w:ind w:left="57"/>
              <w:rPr>
                <w:sz w:val="22"/>
                <w:szCs w:val="22"/>
              </w:rPr>
            </w:pPr>
            <w:r w:rsidRPr="00AB7BED">
              <w:rPr>
                <w:sz w:val="22"/>
                <w:szCs w:val="22"/>
              </w:rPr>
              <w:t>Ref.:</w:t>
            </w:r>
          </w:p>
        </w:tc>
        <w:tc>
          <w:tcPr>
            <w:tcW w:w="3667" w:type="dxa"/>
            <w:gridSpan w:val="2"/>
          </w:tcPr>
          <w:p w14:paraId="1A3C86C0" w14:textId="3BB97F20" w:rsidR="007B6316" w:rsidRPr="00AB7BED" w:rsidRDefault="007C6B85" w:rsidP="00D747B2">
            <w:pPr>
              <w:tabs>
                <w:tab w:val="left" w:pos="4111"/>
              </w:tabs>
              <w:spacing w:before="40" w:after="40"/>
              <w:ind w:left="57"/>
              <w:rPr>
                <w:b/>
                <w:bCs/>
                <w:sz w:val="22"/>
                <w:szCs w:val="22"/>
              </w:rPr>
            </w:pPr>
            <w:r w:rsidRPr="00AB7BED">
              <w:rPr>
                <w:b/>
                <w:bCs/>
                <w:sz w:val="22"/>
                <w:szCs w:val="22"/>
              </w:rPr>
              <w:t xml:space="preserve">Circular TSB </w:t>
            </w:r>
            <w:r w:rsidR="003D3626" w:rsidRPr="00AB7BED">
              <w:rPr>
                <w:b/>
                <w:bCs/>
                <w:sz w:val="22"/>
                <w:szCs w:val="22"/>
              </w:rPr>
              <w:t>303</w:t>
            </w:r>
          </w:p>
          <w:p w14:paraId="63D1CAC4" w14:textId="579D43DB" w:rsidR="007B6316" w:rsidRPr="00AB7BED" w:rsidRDefault="003D3626" w:rsidP="00D747B2">
            <w:pPr>
              <w:tabs>
                <w:tab w:val="left" w:pos="4111"/>
              </w:tabs>
              <w:spacing w:before="40" w:after="40"/>
              <w:ind w:left="57"/>
              <w:rPr>
                <w:sz w:val="22"/>
                <w:szCs w:val="22"/>
              </w:rPr>
            </w:pPr>
            <w:r w:rsidRPr="00AB7BED">
              <w:rPr>
                <w:sz w:val="22"/>
                <w:szCs w:val="22"/>
              </w:rPr>
              <w:t>TSB Events/XA</w:t>
            </w:r>
          </w:p>
        </w:tc>
        <w:tc>
          <w:tcPr>
            <w:tcW w:w="5329" w:type="dxa"/>
            <w:vMerge w:val="restart"/>
          </w:tcPr>
          <w:p w14:paraId="6D5BBED7" w14:textId="77777777" w:rsidR="007C6B85" w:rsidRPr="00AB7BED" w:rsidRDefault="007C6B85" w:rsidP="00D747B2">
            <w:pPr>
              <w:tabs>
                <w:tab w:val="left" w:pos="4111"/>
              </w:tabs>
              <w:spacing w:before="40" w:after="40"/>
              <w:ind w:left="57"/>
              <w:rPr>
                <w:b/>
                <w:bCs/>
                <w:sz w:val="22"/>
                <w:szCs w:val="22"/>
              </w:rPr>
            </w:pPr>
            <w:bookmarkStart w:id="0" w:name="Addressee_S"/>
            <w:bookmarkEnd w:id="0"/>
            <w:r w:rsidRPr="00AB7BED">
              <w:rPr>
                <w:b/>
                <w:bCs/>
                <w:sz w:val="22"/>
                <w:szCs w:val="22"/>
              </w:rPr>
              <w:t>A:</w:t>
            </w:r>
          </w:p>
          <w:p w14:paraId="73B53696" w14:textId="51515ED9" w:rsidR="007C6B85" w:rsidRPr="00AB7BED" w:rsidRDefault="007C6B85" w:rsidP="00D747B2">
            <w:pPr>
              <w:tabs>
                <w:tab w:val="clear" w:pos="794"/>
                <w:tab w:val="left" w:pos="361"/>
                <w:tab w:val="left" w:pos="4111"/>
              </w:tabs>
              <w:spacing w:before="40" w:after="40"/>
              <w:ind w:left="361" w:hanging="304"/>
              <w:rPr>
                <w:sz w:val="22"/>
                <w:szCs w:val="22"/>
              </w:rPr>
            </w:pPr>
            <w:r w:rsidRPr="00AB7BED">
              <w:rPr>
                <w:sz w:val="22"/>
                <w:szCs w:val="22"/>
              </w:rPr>
              <w:t>–</w:t>
            </w:r>
            <w:r w:rsidRPr="00AB7BED">
              <w:rPr>
                <w:sz w:val="22"/>
                <w:szCs w:val="22"/>
              </w:rPr>
              <w:tab/>
              <w:t>las Administraciones de los Estados Miembros</w:t>
            </w:r>
            <w:r w:rsidR="00AE0C77" w:rsidRPr="00AB7BED">
              <w:rPr>
                <w:sz w:val="22"/>
                <w:szCs w:val="22"/>
              </w:rPr>
              <w:t xml:space="preserve"> </w:t>
            </w:r>
            <w:r w:rsidRPr="00AB7BED">
              <w:rPr>
                <w:sz w:val="22"/>
                <w:szCs w:val="22"/>
              </w:rPr>
              <w:br/>
              <w:t>de la Unión;</w:t>
            </w:r>
          </w:p>
          <w:p w14:paraId="09FC1BB2" w14:textId="3874EDB5" w:rsidR="007C6B85" w:rsidRPr="00AB7BED" w:rsidRDefault="007C6B85" w:rsidP="00D747B2">
            <w:pPr>
              <w:tabs>
                <w:tab w:val="clear" w:pos="794"/>
                <w:tab w:val="left" w:pos="361"/>
                <w:tab w:val="left" w:pos="4111"/>
              </w:tabs>
              <w:spacing w:before="40" w:after="40"/>
              <w:ind w:left="361" w:hanging="304"/>
              <w:rPr>
                <w:sz w:val="22"/>
                <w:szCs w:val="22"/>
              </w:rPr>
            </w:pPr>
            <w:r w:rsidRPr="00AB7BED">
              <w:rPr>
                <w:sz w:val="22"/>
                <w:szCs w:val="22"/>
              </w:rPr>
              <w:t>–</w:t>
            </w:r>
            <w:r w:rsidRPr="00AB7BED">
              <w:rPr>
                <w:sz w:val="22"/>
                <w:szCs w:val="22"/>
              </w:rPr>
              <w:tab/>
              <w:t>los Miembros de Sector del UIT</w:t>
            </w:r>
            <w:r w:rsidRPr="00AB7BED">
              <w:rPr>
                <w:sz w:val="22"/>
                <w:szCs w:val="22"/>
              </w:rPr>
              <w:noBreakHyphen/>
              <w:t>T;</w:t>
            </w:r>
          </w:p>
          <w:p w14:paraId="27BF313D" w14:textId="78D0033B" w:rsidR="007C6B85" w:rsidRPr="00AB7BED" w:rsidRDefault="007C6B85" w:rsidP="00D747B2">
            <w:pPr>
              <w:tabs>
                <w:tab w:val="clear" w:pos="794"/>
                <w:tab w:val="left" w:pos="361"/>
                <w:tab w:val="left" w:pos="4111"/>
              </w:tabs>
              <w:spacing w:before="40" w:after="40"/>
              <w:ind w:left="361" w:hanging="304"/>
              <w:rPr>
                <w:sz w:val="22"/>
                <w:szCs w:val="22"/>
              </w:rPr>
            </w:pPr>
            <w:r w:rsidRPr="00AB7BED">
              <w:rPr>
                <w:sz w:val="22"/>
                <w:szCs w:val="22"/>
              </w:rPr>
              <w:t>–</w:t>
            </w:r>
            <w:r w:rsidRPr="00AB7BED">
              <w:rPr>
                <w:sz w:val="22"/>
                <w:szCs w:val="22"/>
              </w:rPr>
              <w:tab/>
              <w:t>los Asociados del UIT</w:t>
            </w:r>
            <w:r w:rsidRPr="00AB7BED">
              <w:rPr>
                <w:sz w:val="22"/>
                <w:szCs w:val="22"/>
              </w:rPr>
              <w:noBreakHyphen/>
              <w:t>T;</w:t>
            </w:r>
          </w:p>
          <w:p w14:paraId="025CAEE7" w14:textId="57F292B5" w:rsidR="007B6316" w:rsidRPr="00AB7BED" w:rsidRDefault="007C6B85" w:rsidP="00D747B2">
            <w:pPr>
              <w:tabs>
                <w:tab w:val="clear" w:pos="794"/>
                <w:tab w:val="left" w:pos="361"/>
                <w:tab w:val="left" w:pos="4111"/>
              </w:tabs>
              <w:spacing w:before="40" w:after="40"/>
              <w:ind w:left="361" w:hanging="304"/>
              <w:rPr>
                <w:sz w:val="22"/>
                <w:szCs w:val="22"/>
              </w:rPr>
            </w:pPr>
            <w:r w:rsidRPr="00AB7BED">
              <w:rPr>
                <w:sz w:val="22"/>
                <w:szCs w:val="22"/>
              </w:rPr>
              <w:t>–</w:t>
            </w:r>
            <w:r w:rsidRPr="00AB7BED">
              <w:rPr>
                <w:sz w:val="22"/>
                <w:szCs w:val="22"/>
              </w:rPr>
              <w:tab/>
              <w:t>las Instituciones Académicas de la UIT</w:t>
            </w:r>
          </w:p>
        </w:tc>
      </w:tr>
      <w:tr w:rsidR="007C6B85" w:rsidRPr="00AB7BED" w14:paraId="32B988BA" w14:textId="77777777" w:rsidTr="00D747B2">
        <w:trPr>
          <w:cantSplit/>
        </w:trPr>
        <w:tc>
          <w:tcPr>
            <w:tcW w:w="1210" w:type="dxa"/>
          </w:tcPr>
          <w:p w14:paraId="75E0A5CB" w14:textId="0C18FA86" w:rsidR="007C6B85" w:rsidRPr="00AB7BED" w:rsidRDefault="007C6B85" w:rsidP="00D747B2">
            <w:pPr>
              <w:tabs>
                <w:tab w:val="left" w:pos="4111"/>
              </w:tabs>
              <w:spacing w:before="40" w:after="40"/>
              <w:ind w:left="57"/>
              <w:rPr>
                <w:sz w:val="22"/>
                <w:szCs w:val="22"/>
              </w:rPr>
            </w:pPr>
            <w:r w:rsidRPr="00AB7BED">
              <w:rPr>
                <w:sz w:val="22"/>
                <w:szCs w:val="22"/>
              </w:rPr>
              <w:t>Contacto:</w:t>
            </w:r>
          </w:p>
        </w:tc>
        <w:tc>
          <w:tcPr>
            <w:tcW w:w="3667" w:type="dxa"/>
            <w:gridSpan w:val="2"/>
          </w:tcPr>
          <w:p w14:paraId="46455B73" w14:textId="64C3A60C" w:rsidR="007C6B85" w:rsidRPr="00AB7BED" w:rsidRDefault="003D3626" w:rsidP="00D747B2">
            <w:pPr>
              <w:tabs>
                <w:tab w:val="left" w:pos="4111"/>
              </w:tabs>
              <w:spacing w:before="40" w:after="40"/>
              <w:ind w:left="57"/>
              <w:rPr>
                <w:b/>
                <w:bCs/>
                <w:sz w:val="22"/>
                <w:szCs w:val="22"/>
              </w:rPr>
            </w:pPr>
            <w:r w:rsidRPr="00AB7BED">
              <w:rPr>
                <w:b/>
                <w:bCs/>
                <w:sz w:val="22"/>
                <w:szCs w:val="22"/>
              </w:rPr>
              <w:t>Xiaoya YANG</w:t>
            </w:r>
          </w:p>
        </w:tc>
        <w:tc>
          <w:tcPr>
            <w:tcW w:w="5329" w:type="dxa"/>
            <w:vMerge/>
          </w:tcPr>
          <w:p w14:paraId="6DD22A9C" w14:textId="77777777" w:rsidR="007C6B85" w:rsidRPr="00AB7BED" w:rsidRDefault="007C6B85" w:rsidP="00D747B2">
            <w:pPr>
              <w:tabs>
                <w:tab w:val="left" w:pos="4111"/>
              </w:tabs>
              <w:spacing w:before="40" w:after="40"/>
              <w:ind w:left="57"/>
              <w:rPr>
                <w:sz w:val="22"/>
                <w:szCs w:val="22"/>
              </w:rPr>
            </w:pPr>
          </w:p>
        </w:tc>
      </w:tr>
      <w:tr w:rsidR="007B6316" w:rsidRPr="00AB7BED" w14:paraId="6BB9D0E7" w14:textId="77777777" w:rsidTr="00D747B2">
        <w:trPr>
          <w:cantSplit/>
        </w:trPr>
        <w:tc>
          <w:tcPr>
            <w:tcW w:w="1210" w:type="dxa"/>
          </w:tcPr>
          <w:p w14:paraId="1A1A048B" w14:textId="77777777" w:rsidR="007B6316" w:rsidRPr="00AB7BED" w:rsidRDefault="007B6316" w:rsidP="00D747B2">
            <w:pPr>
              <w:tabs>
                <w:tab w:val="left" w:pos="4111"/>
              </w:tabs>
              <w:spacing w:before="40" w:after="40"/>
              <w:ind w:left="57"/>
              <w:rPr>
                <w:sz w:val="22"/>
                <w:szCs w:val="22"/>
              </w:rPr>
            </w:pPr>
            <w:r w:rsidRPr="00AB7BED">
              <w:rPr>
                <w:sz w:val="22"/>
                <w:szCs w:val="22"/>
              </w:rPr>
              <w:t>Tel.:</w:t>
            </w:r>
          </w:p>
        </w:tc>
        <w:tc>
          <w:tcPr>
            <w:tcW w:w="3667" w:type="dxa"/>
            <w:gridSpan w:val="2"/>
          </w:tcPr>
          <w:p w14:paraId="732CF78C" w14:textId="1026DAFB" w:rsidR="007B6316" w:rsidRPr="00AB7BED" w:rsidRDefault="00DF17C6" w:rsidP="00D747B2">
            <w:pPr>
              <w:tabs>
                <w:tab w:val="left" w:pos="4111"/>
              </w:tabs>
              <w:spacing w:before="40" w:after="40"/>
              <w:ind w:left="57"/>
              <w:rPr>
                <w:sz w:val="22"/>
                <w:szCs w:val="22"/>
              </w:rPr>
            </w:pPr>
            <w:r w:rsidRPr="00AB7BED">
              <w:rPr>
                <w:sz w:val="22"/>
                <w:szCs w:val="22"/>
              </w:rPr>
              <w:t>+41 22 730 6206</w:t>
            </w:r>
          </w:p>
        </w:tc>
        <w:tc>
          <w:tcPr>
            <w:tcW w:w="5329" w:type="dxa"/>
            <w:vMerge/>
          </w:tcPr>
          <w:p w14:paraId="1F21B8C3" w14:textId="77777777" w:rsidR="007B6316" w:rsidRPr="00AB7BED" w:rsidRDefault="007B6316" w:rsidP="00D747B2">
            <w:pPr>
              <w:tabs>
                <w:tab w:val="left" w:pos="4111"/>
              </w:tabs>
              <w:spacing w:before="40" w:after="40"/>
              <w:ind w:left="57"/>
              <w:rPr>
                <w:sz w:val="22"/>
                <w:szCs w:val="22"/>
              </w:rPr>
            </w:pPr>
          </w:p>
        </w:tc>
      </w:tr>
      <w:tr w:rsidR="007B6316" w:rsidRPr="00AB7BED" w14:paraId="51B455C0" w14:textId="77777777" w:rsidTr="00D747B2">
        <w:trPr>
          <w:cantSplit/>
        </w:trPr>
        <w:tc>
          <w:tcPr>
            <w:tcW w:w="1210" w:type="dxa"/>
          </w:tcPr>
          <w:p w14:paraId="5290135F" w14:textId="77777777" w:rsidR="007B6316" w:rsidRPr="00AB7BED" w:rsidRDefault="007B6316" w:rsidP="00D747B2">
            <w:pPr>
              <w:tabs>
                <w:tab w:val="left" w:pos="4111"/>
              </w:tabs>
              <w:spacing w:before="40" w:after="40"/>
              <w:ind w:left="57"/>
              <w:rPr>
                <w:sz w:val="22"/>
                <w:szCs w:val="22"/>
              </w:rPr>
            </w:pPr>
            <w:r w:rsidRPr="00AB7BED">
              <w:rPr>
                <w:sz w:val="22"/>
                <w:szCs w:val="22"/>
              </w:rPr>
              <w:t>Fax:</w:t>
            </w:r>
          </w:p>
        </w:tc>
        <w:tc>
          <w:tcPr>
            <w:tcW w:w="3667" w:type="dxa"/>
            <w:gridSpan w:val="2"/>
          </w:tcPr>
          <w:p w14:paraId="7C43FB40" w14:textId="09A3AAAB" w:rsidR="007B6316" w:rsidRPr="00AB7BED" w:rsidRDefault="003D3626" w:rsidP="00D747B2">
            <w:pPr>
              <w:tabs>
                <w:tab w:val="left" w:pos="4111"/>
              </w:tabs>
              <w:spacing w:before="40" w:after="40"/>
              <w:ind w:left="57"/>
              <w:rPr>
                <w:sz w:val="22"/>
                <w:szCs w:val="22"/>
              </w:rPr>
            </w:pPr>
            <w:r w:rsidRPr="00AB7BED">
              <w:rPr>
                <w:sz w:val="22"/>
                <w:szCs w:val="22"/>
              </w:rPr>
              <w:t>+41 22 730 5853</w:t>
            </w:r>
          </w:p>
        </w:tc>
        <w:tc>
          <w:tcPr>
            <w:tcW w:w="5329" w:type="dxa"/>
            <w:vMerge/>
          </w:tcPr>
          <w:p w14:paraId="570ABAFD" w14:textId="77777777" w:rsidR="007B6316" w:rsidRPr="00AB7BED" w:rsidRDefault="007B6316" w:rsidP="00D747B2">
            <w:pPr>
              <w:tabs>
                <w:tab w:val="left" w:pos="4111"/>
              </w:tabs>
              <w:spacing w:before="40" w:after="40"/>
              <w:ind w:left="57"/>
              <w:rPr>
                <w:sz w:val="22"/>
                <w:szCs w:val="22"/>
              </w:rPr>
            </w:pPr>
          </w:p>
        </w:tc>
      </w:tr>
      <w:tr w:rsidR="00C34772" w:rsidRPr="00AB7BED" w14:paraId="09532125" w14:textId="77777777" w:rsidTr="00D747B2">
        <w:trPr>
          <w:cantSplit/>
        </w:trPr>
        <w:tc>
          <w:tcPr>
            <w:tcW w:w="1210" w:type="dxa"/>
          </w:tcPr>
          <w:p w14:paraId="0E4A786D" w14:textId="77777777" w:rsidR="00C34772" w:rsidRPr="00AB7BED" w:rsidRDefault="00C34772" w:rsidP="00D747B2">
            <w:pPr>
              <w:tabs>
                <w:tab w:val="left" w:pos="4111"/>
              </w:tabs>
              <w:spacing w:before="40" w:after="40"/>
              <w:ind w:left="57"/>
              <w:rPr>
                <w:sz w:val="22"/>
                <w:szCs w:val="22"/>
              </w:rPr>
            </w:pPr>
            <w:r w:rsidRPr="00AB7BED">
              <w:rPr>
                <w:sz w:val="22"/>
                <w:szCs w:val="22"/>
              </w:rPr>
              <w:t>Correo-e:</w:t>
            </w:r>
          </w:p>
        </w:tc>
        <w:tc>
          <w:tcPr>
            <w:tcW w:w="3667" w:type="dxa"/>
            <w:gridSpan w:val="2"/>
          </w:tcPr>
          <w:p w14:paraId="59FAA09F" w14:textId="75E8F446" w:rsidR="00C34772" w:rsidRPr="00AB7BED" w:rsidRDefault="001120A9" w:rsidP="00D747B2">
            <w:pPr>
              <w:tabs>
                <w:tab w:val="left" w:pos="4111"/>
              </w:tabs>
              <w:spacing w:before="40" w:after="40"/>
              <w:ind w:left="57"/>
              <w:rPr>
                <w:sz w:val="22"/>
                <w:szCs w:val="22"/>
              </w:rPr>
            </w:pPr>
            <w:hyperlink r:id="rId9" w:history="1">
              <w:r w:rsidR="003D3626" w:rsidRPr="00AB7BED">
                <w:rPr>
                  <w:rStyle w:val="Hyperlink"/>
                  <w:sz w:val="22"/>
                  <w:szCs w:val="22"/>
                  <w:lang w:val="es-ES"/>
                </w:rPr>
                <w:t>tsbevents@itu.int</w:t>
              </w:r>
            </w:hyperlink>
          </w:p>
        </w:tc>
        <w:tc>
          <w:tcPr>
            <w:tcW w:w="5329" w:type="dxa"/>
          </w:tcPr>
          <w:p w14:paraId="5F00B912" w14:textId="77777777" w:rsidR="007C6B85" w:rsidRPr="00AB7BED" w:rsidRDefault="007C6B85" w:rsidP="00D747B2">
            <w:pPr>
              <w:tabs>
                <w:tab w:val="left" w:pos="4111"/>
              </w:tabs>
              <w:spacing w:before="40" w:after="40"/>
              <w:ind w:left="57"/>
              <w:rPr>
                <w:b/>
                <w:bCs/>
                <w:sz w:val="22"/>
                <w:szCs w:val="22"/>
              </w:rPr>
            </w:pPr>
            <w:r w:rsidRPr="00AB7BED">
              <w:rPr>
                <w:b/>
                <w:bCs/>
                <w:sz w:val="22"/>
                <w:szCs w:val="22"/>
              </w:rPr>
              <w:t>Copia:</w:t>
            </w:r>
          </w:p>
          <w:p w14:paraId="39C8D93E" w14:textId="473B50F2" w:rsidR="007C6B85" w:rsidRPr="00AB7BED" w:rsidRDefault="007C6B85" w:rsidP="00D747B2">
            <w:pPr>
              <w:tabs>
                <w:tab w:val="clear" w:pos="794"/>
                <w:tab w:val="left" w:pos="361"/>
                <w:tab w:val="left" w:pos="4111"/>
              </w:tabs>
              <w:spacing w:before="40" w:after="40"/>
              <w:ind w:left="361" w:hanging="304"/>
              <w:rPr>
                <w:sz w:val="22"/>
                <w:szCs w:val="22"/>
              </w:rPr>
            </w:pPr>
            <w:r w:rsidRPr="00AB7BED">
              <w:rPr>
                <w:sz w:val="22"/>
                <w:szCs w:val="22"/>
              </w:rPr>
              <w:t>–</w:t>
            </w:r>
            <w:r w:rsidRPr="00AB7BED">
              <w:rPr>
                <w:sz w:val="22"/>
                <w:szCs w:val="22"/>
              </w:rPr>
              <w:tab/>
            </w:r>
            <w:r w:rsidR="00D747B2" w:rsidRPr="00AB7BED">
              <w:rPr>
                <w:sz w:val="22"/>
                <w:szCs w:val="22"/>
              </w:rPr>
              <w:t>a</w:t>
            </w:r>
            <w:r w:rsidRPr="00AB7BED">
              <w:rPr>
                <w:sz w:val="22"/>
                <w:szCs w:val="22"/>
              </w:rPr>
              <w:t xml:space="preserve"> los </w:t>
            </w:r>
            <w:proofErr w:type="gramStart"/>
            <w:r w:rsidRPr="00AB7BED">
              <w:rPr>
                <w:sz w:val="22"/>
                <w:szCs w:val="22"/>
              </w:rPr>
              <w:t>Presidentes</w:t>
            </w:r>
            <w:proofErr w:type="gramEnd"/>
            <w:r w:rsidRPr="00AB7BED">
              <w:rPr>
                <w:sz w:val="22"/>
                <w:szCs w:val="22"/>
              </w:rPr>
              <w:t xml:space="preserve"> y a los Vicepresidentes de las Comisiones de Estudio del UIT-T;</w:t>
            </w:r>
          </w:p>
          <w:p w14:paraId="6942FEAE" w14:textId="74BB4D31" w:rsidR="007C6B85" w:rsidRPr="00AB7BED" w:rsidRDefault="007C6B85" w:rsidP="00D747B2">
            <w:pPr>
              <w:tabs>
                <w:tab w:val="clear" w:pos="794"/>
                <w:tab w:val="left" w:pos="361"/>
                <w:tab w:val="left" w:pos="4111"/>
              </w:tabs>
              <w:spacing w:before="40" w:after="40"/>
              <w:ind w:left="361" w:hanging="304"/>
              <w:rPr>
                <w:sz w:val="22"/>
                <w:szCs w:val="22"/>
              </w:rPr>
            </w:pPr>
            <w:r w:rsidRPr="00AB7BED">
              <w:rPr>
                <w:sz w:val="22"/>
                <w:szCs w:val="22"/>
              </w:rPr>
              <w:t>–</w:t>
            </w:r>
            <w:r w:rsidRPr="00AB7BED">
              <w:rPr>
                <w:sz w:val="22"/>
                <w:szCs w:val="22"/>
              </w:rPr>
              <w:tab/>
            </w:r>
            <w:r w:rsidR="00D747B2" w:rsidRPr="00AB7BED">
              <w:rPr>
                <w:sz w:val="22"/>
                <w:szCs w:val="22"/>
              </w:rPr>
              <w:t xml:space="preserve">a </w:t>
            </w:r>
            <w:r w:rsidRPr="00AB7BED">
              <w:rPr>
                <w:sz w:val="22"/>
                <w:szCs w:val="22"/>
              </w:rPr>
              <w:t>l</w:t>
            </w:r>
            <w:r w:rsidR="00D747B2" w:rsidRPr="00AB7BED">
              <w:rPr>
                <w:sz w:val="22"/>
                <w:szCs w:val="22"/>
              </w:rPr>
              <w:t>a</w:t>
            </w:r>
            <w:r w:rsidRPr="00AB7BED">
              <w:rPr>
                <w:sz w:val="22"/>
                <w:szCs w:val="22"/>
              </w:rPr>
              <w:t xml:space="preserve"> </w:t>
            </w:r>
            <w:proofErr w:type="gramStart"/>
            <w:r w:rsidRPr="00AB7BED">
              <w:rPr>
                <w:sz w:val="22"/>
                <w:szCs w:val="22"/>
              </w:rPr>
              <w:t>Director</w:t>
            </w:r>
            <w:r w:rsidR="00A2123D" w:rsidRPr="00AB7BED">
              <w:rPr>
                <w:sz w:val="22"/>
                <w:szCs w:val="22"/>
              </w:rPr>
              <w:t>a</w:t>
            </w:r>
            <w:proofErr w:type="gramEnd"/>
            <w:r w:rsidRPr="00AB7BED">
              <w:rPr>
                <w:sz w:val="22"/>
                <w:szCs w:val="22"/>
              </w:rPr>
              <w:t xml:space="preserve"> de la Oficina de Desarrollo de las Telecomunicaciones;</w:t>
            </w:r>
          </w:p>
          <w:p w14:paraId="5D89C4E3" w14:textId="3C640290" w:rsidR="00C34772" w:rsidRPr="00AB7BED" w:rsidRDefault="007C6B85" w:rsidP="00D747B2">
            <w:pPr>
              <w:tabs>
                <w:tab w:val="clear" w:pos="794"/>
                <w:tab w:val="left" w:pos="361"/>
                <w:tab w:val="left" w:pos="4111"/>
              </w:tabs>
              <w:spacing w:before="40" w:after="40"/>
              <w:ind w:left="361" w:hanging="304"/>
              <w:rPr>
                <w:sz w:val="22"/>
                <w:szCs w:val="22"/>
              </w:rPr>
            </w:pPr>
            <w:r w:rsidRPr="00AB7BED">
              <w:rPr>
                <w:sz w:val="22"/>
                <w:szCs w:val="22"/>
              </w:rPr>
              <w:t>–</w:t>
            </w:r>
            <w:r w:rsidRPr="00AB7BED">
              <w:rPr>
                <w:sz w:val="22"/>
                <w:szCs w:val="22"/>
              </w:rPr>
              <w:tab/>
            </w:r>
            <w:r w:rsidR="00D747B2" w:rsidRPr="00AB7BED">
              <w:rPr>
                <w:sz w:val="22"/>
                <w:szCs w:val="22"/>
              </w:rPr>
              <w:t>a</w:t>
            </w:r>
            <w:r w:rsidRPr="00AB7BED">
              <w:rPr>
                <w:sz w:val="22"/>
                <w:szCs w:val="22"/>
              </w:rPr>
              <w:t xml:space="preserve">l </w:t>
            </w:r>
            <w:proofErr w:type="gramStart"/>
            <w:r w:rsidRPr="00AB7BED">
              <w:rPr>
                <w:sz w:val="22"/>
                <w:szCs w:val="22"/>
              </w:rPr>
              <w:t>Director</w:t>
            </w:r>
            <w:proofErr w:type="gramEnd"/>
            <w:r w:rsidRPr="00AB7BED">
              <w:rPr>
                <w:sz w:val="22"/>
                <w:szCs w:val="22"/>
              </w:rPr>
              <w:t xml:space="preserve"> de la Oficina de Radiocomunicaciones</w:t>
            </w:r>
          </w:p>
        </w:tc>
      </w:tr>
      <w:tr w:rsidR="007B6316" w:rsidRPr="00AB7BED" w14:paraId="36698F46" w14:textId="77777777" w:rsidTr="00D747B2">
        <w:trPr>
          <w:cantSplit/>
        </w:trPr>
        <w:tc>
          <w:tcPr>
            <w:tcW w:w="1210" w:type="dxa"/>
          </w:tcPr>
          <w:p w14:paraId="552B3266" w14:textId="77777777" w:rsidR="007B6316" w:rsidRPr="00AB7BED" w:rsidRDefault="007B6316" w:rsidP="00A2123D">
            <w:pPr>
              <w:tabs>
                <w:tab w:val="left" w:pos="4111"/>
              </w:tabs>
              <w:spacing w:after="40"/>
              <w:ind w:left="57"/>
              <w:rPr>
                <w:b/>
                <w:bCs/>
                <w:sz w:val="22"/>
                <w:szCs w:val="22"/>
              </w:rPr>
            </w:pPr>
            <w:r w:rsidRPr="00AB7BED">
              <w:rPr>
                <w:b/>
                <w:bCs/>
                <w:sz w:val="22"/>
                <w:szCs w:val="22"/>
              </w:rPr>
              <w:t>Asunto:</w:t>
            </w:r>
          </w:p>
        </w:tc>
        <w:tc>
          <w:tcPr>
            <w:tcW w:w="8996" w:type="dxa"/>
            <w:gridSpan w:val="3"/>
          </w:tcPr>
          <w:p w14:paraId="75396877" w14:textId="3D84E107" w:rsidR="007B6316" w:rsidRPr="00AB7BED" w:rsidRDefault="003D3626" w:rsidP="00A2123D">
            <w:pPr>
              <w:tabs>
                <w:tab w:val="left" w:pos="4111"/>
              </w:tabs>
              <w:ind w:left="57"/>
              <w:rPr>
                <w:b/>
                <w:bCs/>
                <w:sz w:val="22"/>
                <w:szCs w:val="22"/>
              </w:rPr>
            </w:pPr>
            <w:r w:rsidRPr="00AB7BED">
              <w:rPr>
                <w:b/>
                <w:bCs/>
                <w:sz w:val="22"/>
                <w:szCs w:val="22"/>
              </w:rPr>
              <w:t>Serie de seminarios web sobre la tecnología de la información cuántica</w:t>
            </w:r>
            <w:r w:rsidRPr="00AB7BED">
              <w:rPr>
                <w:b/>
                <w:bCs/>
                <w:sz w:val="22"/>
                <w:szCs w:val="22"/>
              </w:rPr>
              <w:br/>
              <w:t>(reuniones por medios electrónicos: 8 y 28 de abril</w:t>
            </w:r>
            <w:r w:rsidR="00DF17C6" w:rsidRPr="00AB7BED">
              <w:rPr>
                <w:b/>
                <w:bCs/>
                <w:sz w:val="22"/>
                <w:szCs w:val="22"/>
              </w:rPr>
              <w:t xml:space="preserve"> y</w:t>
            </w:r>
            <w:r w:rsidRPr="00AB7BED">
              <w:rPr>
                <w:b/>
                <w:bCs/>
                <w:sz w:val="22"/>
                <w:szCs w:val="22"/>
              </w:rPr>
              <w:t xml:space="preserve"> 26 de mayo de 2021)</w:t>
            </w:r>
          </w:p>
        </w:tc>
      </w:tr>
    </w:tbl>
    <w:p w14:paraId="0AAA3598" w14:textId="77777777" w:rsidR="00C34772" w:rsidRPr="00AB7BED" w:rsidRDefault="00C34772" w:rsidP="00A2123D">
      <w:pPr>
        <w:pStyle w:val="Normalaftertitle0"/>
        <w:rPr>
          <w:sz w:val="22"/>
          <w:szCs w:val="22"/>
        </w:rPr>
      </w:pPr>
      <w:bookmarkStart w:id="1" w:name="StartTyping_S"/>
      <w:bookmarkStart w:id="2" w:name="suitetext"/>
      <w:bookmarkStart w:id="3" w:name="text"/>
      <w:bookmarkEnd w:id="1"/>
      <w:bookmarkEnd w:id="2"/>
      <w:bookmarkEnd w:id="3"/>
      <w:r w:rsidRPr="00AB7BED">
        <w:rPr>
          <w:sz w:val="22"/>
          <w:szCs w:val="22"/>
        </w:rPr>
        <w:t>Muy Señora mía/Muy Señor mío:</w:t>
      </w:r>
    </w:p>
    <w:p w14:paraId="7999A051" w14:textId="6BD11C3A" w:rsidR="003D3626" w:rsidRPr="00AB7BED" w:rsidRDefault="003D3626" w:rsidP="003D3626">
      <w:pPr>
        <w:rPr>
          <w:bCs/>
          <w:sz w:val="22"/>
          <w:szCs w:val="22"/>
          <w:lang w:val="es-ES"/>
        </w:rPr>
      </w:pPr>
      <w:r w:rsidRPr="00AB7BED">
        <w:rPr>
          <w:bCs/>
          <w:sz w:val="22"/>
          <w:szCs w:val="22"/>
          <w:lang w:val="es-ES"/>
        </w:rPr>
        <w:t>1</w:t>
      </w:r>
      <w:r w:rsidRPr="00AB7BED">
        <w:rPr>
          <w:bCs/>
          <w:sz w:val="22"/>
          <w:szCs w:val="22"/>
          <w:lang w:val="es-ES"/>
        </w:rPr>
        <w:tab/>
      </w:r>
      <w:proofErr w:type="gramStart"/>
      <w:r w:rsidRPr="00AB7BED">
        <w:rPr>
          <w:bCs/>
          <w:sz w:val="22"/>
          <w:szCs w:val="22"/>
          <w:lang w:val="es-ES"/>
        </w:rPr>
        <w:t>La</w:t>
      </w:r>
      <w:proofErr w:type="gramEnd"/>
      <w:r w:rsidRPr="00AB7BED">
        <w:rPr>
          <w:bCs/>
          <w:sz w:val="22"/>
          <w:szCs w:val="22"/>
          <w:lang w:val="es-ES"/>
        </w:rPr>
        <w:t xml:space="preserve"> Unión Internacional de Telecomunicaciones (UIT) ha previsto organizar una serie de seminarios web sobre la </w:t>
      </w:r>
      <w:hyperlink r:id="rId10" w:history="1">
        <w:r w:rsidR="005F4E85" w:rsidRPr="00AB7BED">
          <w:rPr>
            <w:rStyle w:val="Hyperlink"/>
            <w:b/>
            <w:bCs/>
            <w:sz w:val="22"/>
            <w:szCs w:val="22"/>
            <w:lang w:val="es-ES"/>
          </w:rPr>
          <w:t>tecnología de la información cuántica (QIT)</w:t>
        </w:r>
      </w:hyperlink>
      <w:r w:rsidRPr="00AB7BED">
        <w:rPr>
          <w:bCs/>
          <w:sz w:val="22"/>
          <w:szCs w:val="22"/>
          <w:lang w:val="es-ES"/>
        </w:rPr>
        <w:t>, con objeto de proporcionar a las partes interesadas en las TIC susceptibles de verse afectadas por la rápida evolución de dicha tecnología información sobre la QIT y analizar los avances más recientes relativos a la misma.</w:t>
      </w:r>
    </w:p>
    <w:p w14:paraId="37F9F0FF" w14:textId="15A8371E" w:rsidR="007C6B85" w:rsidRPr="00AB7BED" w:rsidRDefault="003D3626" w:rsidP="003D3626">
      <w:pPr>
        <w:rPr>
          <w:sz w:val="22"/>
          <w:szCs w:val="22"/>
          <w:lang w:val="es-ES"/>
        </w:rPr>
      </w:pPr>
      <w:r w:rsidRPr="00AB7BED">
        <w:rPr>
          <w:bCs/>
          <w:sz w:val="22"/>
          <w:szCs w:val="22"/>
          <w:lang w:val="es-ES"/>
        </w:rPr>
        <w:t>En la citada serie de seminarios web se analizarán aplicaciones de QIT innovadoras, su repercusión en materia de seguridad y su incidencia en la computación tradicional y en las redes de TIC; se presentarán las conclusiones extraídas sobre implantación de QIT y se debatirán las correspondientes hojas de ruta con miras al establecimiento de redes cuánticas. Los tres primeros episodios de la serie de seminarios web versarán sobre los temas siguientes:</w:t>
      </w:r>
    </w:p>
    <w:p w14:paraId="61B97C3B" w14:textId="3439E577" w:rsidR="003D3626" w:rsidRPr="00AB7BED" w:rsidRDefault="003D3626" w:rsidP="003D3626">
      <w:pPr>
        <w:pStyle w:val="enumlev1"/>
        <w:rPr>
          <w:sz w:val="22"/>
          <w:szCs w:val="22"/>
          <w:lang w:val="es-ES"/>
        </w:rPr>
      </w:pPr>
      <w:r w:rsidRPr="00AB7BED">
        <w:rPr>
          <w:sz w:val="22"/>
          <w:szCs w:val="22"/>
          <w:lang w:val="es-ES"/>
        </w:rPr>
        <w:t>i)</w:t>
      </w:r>
      <w:r w:rsidRPr="00AB7BED">
        <w:rPr>
          <w:sz w:val="22"/>
          <w:szCs w:val="22"/>
          <w:lang w:val="es-ES"/>
        </w:rPr>
        <w:tab/>
      </w:r>
      <w:r w:rsidRPr="00AB7BED">
        <w:rPr>
          <w:b/>
          <w:sz w:val="22"/>
          <w:szCs w:val="22"/>
          <w:lang w:val="es-ES"/>
        </w:rPr>
        <w:t>Ciberseguridad en la era cuántica</w:t>
      </w:r>
      <w:r w:rsidRPr="00AB7BED">
        <w:rPr>
          <w:sz w:val="22"/>
          <w:szCs w:val="22"/>
          <w:lang w:val="es-ES"/>
        </w:rPr>
        <w:t>, 8 de abril de 2021, de 15.00 a 17.30 horas CEST</w:t>
      </w:r>
    </w:p>
    <w:p w14:paraId="23DFCCC9" w14:textId="54FABB7C" w:rsidR="003D3626" w:rsidRPr="00AB7BED" w:rsidRDefault="003D3626" w:rsidP="003D3626">
      <w:pPr>
        <w:pStyle w:val="enumlev1"/>
        <w:rPr>
          <w:sz w:val="22"/>
          <w:szCs w:val="22"/>
          <w:lang w:val="es-ES"/>
        </w:rPr>
      </w:pPr>
      <w:r w:rsidRPr="00AB7BED">
        <w:rPr>
          <w:sz w:val="22"/>
          <w:szCs w:val="22"/>
          <w:lang w:val="es-ES"/>
        </w:rPr>
        <w:t>ii)</w:t>
      </w:r>
      <w:r w:rsidRPr="00AB7BED">
        <w:rPr>
          <w:sz w:val="22"/>
          <w:szCs w:val="22"/>
          <w:lang w:val="es-ES"/>
        </w:rPr>
        <w:tab/>
      </w:r>
      <w:r w:rsidRPr="00AB7BED">
        <w:rPr>
          <w:b/>
          <w:sz w:val="22"/>
          <w:szCs w:val="22"/>
          <w:lang w:val="es-ES"/>
        </w:rPr>
        <w:t>Simposio conjunto sobre tecnología de transporte cuántico</w:t>
      </w:r>
      <w:r w:rsidRPr="00AB7BED">
        <w:rPr>
          <w:bCs/>
          <w:sz w:val="22"/>
          <w:szCs w:val="22"/>
          <w:lang w:val="es-ES"/>
        </w:rPr>
        <w:t xml:space="preserve">, </w:t>
      </w:r>
      <w:r w:rsidRPr="00AB7BED">
        <w:rPr>
          <w:sz w:val="22"/>
          <w:szCs w:val="22"/>
          <w:lang w:val="es-ES"/>
        </w:rPr>
        <w:t>28 de abril de 2021, de 15.00</w:t>
      </w:r>
      <w:r w:rsidR="005F4E85" w:rsidRPr="00AB7BED">
        <w:rPr>
          <w:sz w:val="22"/>
          <w:szCs w:val="22"/>
          <w:lang w:val="es-ES"/>
        </w:rPr>
        <w:t> </w:t>
      </w:r>
      <w:r w:rsidRPr="00AB7BED">
        <w:rPr>
          <w:sz w:val="22"/>
          <w:szCs w:val="22"/>
          <w:lang w:val="es-ES"/>
        </w:rPr>
        <w:t>a 17.30 horas CEST</w:t>
      </w:r>
    </w:p>
    <w:p w14:paraId="2696BE08" w14:textId="101FF663" w:rsidR="007C6B85" w:rsidRPr="00AB7BED" w:rsidRDefault="003D3626" w:rsidP="003D3626">
      <w:pPr>
        <w:pStyle w:val="enumlev1"/>
        <w:rPr>
          <w:sz w:val="22"/>
          <w:szCs w:val="22"/>
          <w:lang w:val="es-ES"/>
        </w:rPr>
      </w:pPr>
      <w:r w:rsidRPr="00AB7BED">
        <w:rPr>
          <w:sz w:val="22"/>
          <w:szCs w:val="22"/>
          <w:lang w:val="es-ES"/>
        </w:rPr>
        <w:t>iii)</w:t>
      </w:r>
      <w:r w:rsidRPr="00AB7BED">
        <w:rPr>
          <w:sz w:val="22"/>
          <w:szCs w:val="22"/>
          <w:lang w:val="es-ES"/>
        </w:rPr>
        <w:tab/>
      </w:r>
      <w:r w:rsidRPr="00AB7BED">
        <w:rPr>
          <w:b/>
          <w:sz w:val="22"/>
          <w:szCs w:val="22"/>
          <w:lang w:val="es-ES"/>
        </w:rPr>
        <w:t>Tecnología de la información cuántica (QIT) para redes</w:t>
      </w:r>
      <w:r w:rsidRPr="00AB7BED">
        <w:rPr>
          <w:sz w:val="22"/>
          <w:szCs w:val="22"/>
          <w:lang w:val="es-ES"/>
        </w:rPr>
        <w:t xml:space="preserve"> </w:t>
      </w:r>
      <w:r w:rsidRPr="00AB7BED">
        <w:rPr>
          <w:b/>
          <w:bCs/>
          <w:sz w:val="22"/>
          <w:szCs w:val="22"/>
          <w:lang w:val="es-ES"/>
        </w:rPr>
        <w:t>–</w:t>
      </w:r>
      <w:r w:rsidRPr="00AB7BED">
        <w:rPr>
          <w:sz w:val="22"/>
          <w:szCs w:val="22"/>
          <w:lang w:val="es-ES"/>
        </w:rPr>
        <w:t xml:space="preserve"> </w:t>
      </w:r>
      <w:r w:rsidRPr="00AB7BED">
        <w:rPr>
          <w:b/>
          <w:sz w:val="22"/>
          <w:szCs w:val="22"/>
          <w:lang w:val="es-ES"/>
        </w:rPr>
        <w:t>Aplicaciones y casos de utilización</w:t>
      </w:r>
      <w:r w:rsidRPr="00AB7BED">
        <w:rPr>
          <w:sz w:val="22"/>
          <w:szCs w:val="22"/>
          <w:lang w:val="es-ES"/>
        </w:rPr>
        <w:t>, 26 de mayo de 2021, de 15.00 a 17.30 horas CEST</w:t>
      </w:r>
    </w:p>
    <w:p w14:paraId="1A33400D" w14:textId="7D85A062" w:rsidR="003D3626" w:rsidRPr="00AB7BED" w:rsidRDefault="003D3626" w:rsidP="003D3626">
      <w:pPr>
        <w:rPr>
          <w:sz w:val="22"/>
          <w:szCs w:val="22"/>
          <w:lang w:val="es-ES"/>
        </w:rPr>
      </w:pPr>
      <w:r w:rsidRPr="00AB7BED">
        <w:rPr>
          <w:sz w:val="22"/>
          <w:szCs w:val="22"/>
          <w:lang w:val="es-ES"/>
        </w:rPr>
        <w:t>2</w:t>
      </w:r>
      <w:r w:rsidRPr="00AB7BED">
        <w:rPr>
          <w:sz w:val="22"/>
          <w:szCs w:val="22"/>
          <w:lang w:val="es-ES"/>
        </w:rPr>
        <w:tab/>
      </w:r>
      <w:proofErr w:type="gramStart"/>
      <w:r w:rsidRPr="00AB7BED">
        <w:rPr>
          <w:sz w:val="22"/>
          <w:szCs w:val="22"/>
          <w:lang w:val="es-ES"/>
        </w:rPr>
        <w:t>El</w:t>
      </w:r>
      <w:proofErr w:type="gramEnd"/>
      <w:r w:rsidRPr="00AB7BED">
        <w:rPr>
          <w:sz w:val="22"/>
          <w:szCs w:val="22"/>
          <w:lang w:val="es-ES"/>
        </w:rPr>
        <w:t xml:space="preserve"> primer episodio sobre "</w:t>
      </w:r>
      <w:r w:rsidRPr="00AB7BED">
        <w:rPr>
          <w:b/>
          <w:sz w:val="22"/>
          <w:szCs w:val="22"/>
          <w:lang w:val="es-ES"/>
        </w:rPr>
        <w:t>Ciberseguridad en la era cuántica</w:t>
      </w:r>
      <w:r w:rsidRPr="00AB7BED">
        <w:rPr>
          <w:sz w:val="22"/>
          <w:szCs w:val="22"/>
          <w:lang w:val="es-ES"/>
        </w:rPr>
        <w:t xml:space="preserve">" está organizado conjuntamente por la UIT y el Instituto Europeo de Normas de Telecomunicaciones (ETSI), y se celebrará en la sesión de apertura sobre ciberseguridad del Foro de la CMSI 2021. En dicho episodio se debatirán las ventajas y la percepción de la Distribución de claves cuánticas (QKD) y la Criptografía postcuántica (PQC), con respecto a lo que podría constituir una solución "suficientemente adecuada" en materia de información fidedigna sobre seguridad de datos, y aceptación de </w:t>
      </w:r>
      <w:proofErr w:type="gramStart"/>
      <w:r w:rsidRPr="00AB7BED">
        <w:rPr>
          <w:sz w:val="22"/>
          <w:szCs w:val="22"/>
          <w:lang w:val="es-ES"/>
        </w:rPr>
        <w:t>la misma</w:t>
      </w:r>
      <w:proofErr w:type="gramEnd"/>
      <w:r w:rsidRPr="00AB7BED">
        <w:rPr>
          <w:sz w:val="22"/>
          <w:szCs w:val="22"/>
          <w:lang w:val="es-ES"/>
        </w:rPr>
        <w:t>, y aspectos de modularidad, habida cuenta de las limitaciones e integración de la capa física, y costos de despliegue. También se analizarán las hojas de ruta para garantizar la ciberseguridad y afrontar los retos al respecto de la computación cuántica, así como la función que pueden desempeñar la QKD y la PQC en un entorno común.</w:t>
      </w:r>
    </w:p>
    <w:p w14:paraId="3B2CEF31" w14:textId="39F3FE00" w:rsidR="003D3626" w:rsidRPr="00AB7BED" w:rsidRDefault="003D3626" w:rsidP="003D3626">
      <w:pPr>
        <w:rPr>
          <w:sz w:val="22"/>
          <w:szCs w:val="22"/>
          <w:lang w:val="es-ES"/>
        </w:rPr>
      </w:pPr>
      <w:r w:rsidRPr="00AB7BED">
        <w:rPr>
          <w:sz w:val="22"/>
          <w:szCs w:val="22"/>
          <w:lang w:val="es-ES"/>
        </w:rPr>
        <w:t>3</w:t>
      </w:r>
      <w:r w:rsidRPr="00AB7BED">
        <w:rPr>
          <w:sz w:val="22"/>
          <w:szCs w:val="22"/>
          <w:lang w:val="es-ES"/>
        </w:rPr>
        <w:tab/>
      </w:r>
      <w:proofErr w:type="gramStart"/>
      <w:r w:rsidRPr="00AB7BED">
        <w:rPr>
          <w:sz w:val="22"/>
          <w:szCs w:val="22"/>
          <w:lang w:val="es-ES"/>
        </w:rPr>
        <w:t>El</w:t>
      </w:r>
      <w:proofErr w:type="gramEnd"/>
      <w:r w:rsidRPr="00AB7BED">
        <w:rPr>
          <w:sz w:val="22"/>
          <w:szCs w:val="22"/>
          <w:lang w:val="es-ES"/>
        </w:rPr>
        <w:t xml:space="preserve"> segundo episodio, "</w:t>
      </w:r>
      <w:r w:rsidRPr="00AB7BED">
        <w:rPr>
          <w:b/>
          <w:sz w:val="22"/>
          <w:szCs w:val="22"/>
          <w:lang w:val="es-ES"/>
        </w:rPr>
        <w:t>Simposio conjunto sobre tecnología de transporte cuántico</w:t>
      </w:r>
      <w:r w:rsidRPr="00AB7BED">
        <w:rPr>
          <w:sz w:val="22"/>
          <w:szCs w:val="22"/>
          <w:lang w:val="es-ES"/>
        </w:rPr>
        <w:t xml:space="preserve">", está organizado conjuntamente por la UIT y la Comisión Electrotécnica Internacional (CEI). En este episodio se presentarán los avances más recientes en materia de transporte cuántico y participarán varios científicos e </w:t>
      </w:r>
      <w:r w:rsidRPr="00AB7BED">
        <w:rPr>
          <w:sz w:val="22"/>
          <w:szCs w:val="22"/>
          <w:lang w:val="es-ES"/>
        </w:rPr>
        <w:lastRenderedPageBreak/>
        <w:t>ingenieros de la comunidad de investigación cuántica internacional y de los principales sectores industriales conexos, a fin de debatir la viabilidad de las aplicaciones comerciales del transporte cuántico y el alcance de los retos existentes. En particular, se abordará la manera de integrar la capacidad de transporte cuántico en las infraestructuras existentes y la correspondiente hoja de ruta para implantar redes de transporte cuántico.</w:t>
      </w:r>
    </w:p>
    <w:p w14:paraId="45E0F4AE" w14:textId="36595DA5" w:rsidR="003D3626" w:rsidRPr="00AB7BED" w:rsidRDefault="003D3626" w:rsidP="003D3626">
      <w:pPr>
        <w:rPr>
          <w:sz w:val="22"/>
          <w:szCs w:val="22"/>
          <w:lang w:val="es-ES"/>
        </w:rPr>
      </w:pPr>
      <w:r w:rsidRPr="00AB7BED">
        <w:rPr>
          <w:sz w:val="22"/>
          <w:szCs w:val="22"/>
          <w:lang w:val="es-ES"/>
        </w:rPr>
        <w:t>4</w:t>
      </w:r>
      <w:r w:rsidRPr="00AB7BED">
        <w:rPr>
          <w:sz w:val="22"/>
          <w:szCs w:val="22"/>
          <w:lang w:val="es-ES"/>
        </w:rPr>
        <w:tab/>
      </w:r>
      <w:proofErr w:type="gramStart"/>
      <w:r w:rsidRPr="00AB7BED">
        <w:rPr>
          <w:sz w:val="22"/>
          <w:szCs w:val="22"/>
          <w:lang w:val="es-ES"/>
        </w:rPr>
        <w:t>En</w:t>
      </w:r>
      <w:proofErr w:type="gramEnd"/>
      <w:r w:rsidRPr="00AB7BED">
        <w:rPr>
          <w:sz w:val="22"/>
          <w:szCs w:val="22"/>
          <w:lang w:val="es-ES"/>
        </w:rPr>
        <w:t xml:space="preserve"> el tercer episodio, "</w:t>
      </w:r>
      <w:r w:rsidRPr="00AB7BED">
        <w:rPr>
          <w:b/>
          <w:sz w:val="22"/>
          <w:szCs w:val="22"/>
          <w:lang w:val="es-ES"/>
        </w:rPr>
        <w:t>Tecnología de la información cuántica (QIT) para redes – Aplicaciones y casos de utilización</w:t>
      </w:r>
      <w:r w:rsidRPr="00AB7BED">
        <w:rPr>
          <w:sz w:val="22"/>
          <w:szCs w:val="22"/>
          <w:lang w:val="es-ES"/>
        </w:rPr>
        <w:t>", se analizarán varios casos de utilización y aplicaciones de la</w:t>
      </w:r>
      <w:r w:rsidR="00DF17C6" w:rsidRPr="00AB7BED">
        <w:rPr>
          <w:sz w:val="22"/>
          <w:szCs w:val="22"/>
          <w:lang w:val="es-ES"/>
        </w:rPr>
        <w:t> </w:t>
      </w:r>
      <w:r w:rsidRPr="00AB7BED">
        <w:rPr>
          <w:sz w:val="22"/>
          <w:szCs w:val="22"/>
          <w:lang w:val="es-ES"/>
        </w:rPr>
        <w:t>QIT, en particular en relación con la computación, los sistemas de detección y la ciberseguridad, así como sus posibles repercusiones para las futuras redes de telecomunicaciones. Por otro lado, se debatirán las tecnologías habilitadoras que guardan una relación directa con casos de utilización de las comunicaciones cuánticas.</w:t>
      </w:r>
    </w:p>
    <w:p w14:paraId="621794CB" w14:textId="77777777" w:rsidR="003D3626" w:rsidRPr="00AB7BED" w:rsidRDefault="003D3626" w:rsidP="003D3626">
      <w:pPr>
        <w:rPr>
          <w:sz w:val="22"/>
          <w:szCs w:val="22"/>
        </w:rPr>
      </w:pPr>
      <w:r w:rsidRPr="00AB7BED">
        <w:rPr>
          <w:sz w:val="22"/>
          <w:szCs w:val="22"/>
        </w:rPr>
        <w:t>5</w:t>
      </w:r>
      <w:r w:rsidRPr="00AB7BED">
        <w:rPr>
          <w:sz w:val="22"/>
          <w:szCs w:val="22"/>
        </w:rPr>
        <w:tab/>
      </w:r>
      <w:proofErr w:type="gramStart"/>
      <w:r w:rsidRPr="00AB7BED">
        <w:rPr>
          <w:sz w:val="22"/>
          <w:szCs w:val="22"/>
        </w:rPr>
        <w:t>La</w:t>
      </w:r>
      <w:proofErr w:type="gramEnd"/>
      <w:r w:rsidRPr="00AB7BED">
        <w:rPr>
          <w:sz w:val="22"/>
          <w:szCs w:val="22"/>
        </w:rPr>
        <w:t xml:space="preserve"> participación en los seminarios web está abierta a los Estados Miembros, Miembros de Sector, Asociados e Instituciones Académicas de la UIT, y a cualquier persona de un país que sea miembro de la UIT y desee contribuir a los trabajos. Ello incluye a las personas que también sean miembros de organizaciones nacionales, regionales e internacionales.</w:t>
      </w:r>
    </w:p>
    <w:p w14:paraId="3DB42AEE" w14:textId="60641D5D" w:rsidR="003D3626" w:rsidRPr="00AB7BED" w:rsidRDefault="003D3626" w:rsidP="003D3626">
      <w:pPr>
        <w:rPr>
          <w:sz w:val="22"/>
          <w:szCs w:val="22"/>
        </w:rPr>
      </w:pPr>
      <w:r w:rsidRPr="00AB7BED">
        <w:rPr>
          <w:sz w:val="22"/>
          <w:szCs w:val="22"/>
        </w:rPr>
        <w:t>6</w:t>
      </w:r>
      <w:r w:rsidRPr="00AB7BED">
        <w:rPr>
          <w:sz w:val="22"/>
          <w:szCs w:val="22"/>
        </w:rPr>
        <w:tab/>
      </w:r>
      <w:proofErr w:type="gramStart"/>
      <w:r w:rsidRPr="00AB7BED">
        <w:rPr>
          <w:sz w:val="22"/>
          <w:szCs w:val="22"/>
        </w:rPr>
        <w:t>Toda</w:t>
      </w:r>
      <w:proofErr w:type="gramEnd"/>
      <w:r w:rsidRPr="00AB7BED">
        <w:rPr>
          <w:sz w:val="22"/>
          <w:szCs w:val="22"/>
        </w:rPr>
        <w:t xml:space="preserve"> la información pertinente relativa a los seminarios web (oradores, enlaces de inscripción y datos sobre la conexión a distancia) estará disponible en la </w:t>
      </w:r>
      <w:hyperlink r:id="rId11" w:history="1">
        <w:r w:rsidRPr="00AB7BED">
          <w:rPr>
            <w:rStyle w:val="Hyperlink"/>
            <w:sz w:val="22"/>
            <w:szCs w:val="22"/>
          </w:rPr>
          <w:t>página principal de acceso</w:t>
        </w:r>
      </w:hyperlink>
      <w:r w:rsidRPr="00AB7BED">
        <w:rPr>
          <w:sz w:val="22"/>
          <w:szCs w:val="22"/>
        </w:rPr>
        <w:t xml:space="preserve"> y en los respectivos sitios web de los eventos que figuran a continuación. Estos sitios web se pondrán periódicamente al día a medida que se disponga de información nueva o modificada. Se ruega a los participantes que comprueben periódicamente nuevas actualizaciones.</w:t>
      </w:r>
    </w:p>
    <w:p w14:paraId="43DFB79D" w14:textId="44F7EF64" w:rsidR="003D3626" w:rsidRPr="00AB7BED" w:rsidRDefault="003D3626" w:rsidP="003D3626">
      <w:pPr>
        <w:rPr>
          <w:sz w:val="22"/>
          <w:szCs w:val="22"/>
        </w:rPr>
      </w:pPr>
      <w:r w:rsidRPr="00AB7BED">
        <w:rPr>
          <w:sz w:val="22"/>
          <w:szCs w:val="22"/>
        </w:rPr>
        <w:t xml:space="preserve">Episodio 1: </w:t>
      </w:r>
      <w:hyperlink r:id="rId12" w:history="1">
        <w:r w:rsidR="005F4E85" w:rsidRPr="00AB7BED">
          <w:rPr>
            <w:rStyle w:val="Hyperlink"/>
            <w:sz w:val="22"/>
            <w:szCs w:val="22"/>
          </w:rPr>
          <w:t>https://www.itu.int/net4/wsis/forum/2021/Agenda/Session/266</w:t>
        </w:r>
      </w:hyperlink>
    </w:p>
    <w:p w14:paraId="7893E2FD" w14:textId="03543124" w:rsidR="003D3626" w:rsidRPr="00AB7BED" w:rsidRDefault="003D3626" w:rsidP="003D3626">
      <w:pPr>
        <w:rPr>
          <w:sz w:val="22"/>
          <w:szCs w:val="22"/>
        </w:rPr>
      </w:pPr>
      <w:r w:rsidRPr="00AB7BED">
        <w:rPr>
          <w:sz w:val="22"/>
          <w:szCs w:val="22"/>
        </w:rPr>
        <w:t xml:space="preserve">Episodio 2: </w:t>
      </w:r>
      <w:hyperlink r:id="rId13" w:history="1">
        <w:r w:rsidR="005F4E85" w:rsidRPr="00AB7BED">
          <w:rPr>
            <w:rStyle w:val="Hyperlink"/>
            <w:sz w:val="22"/>
            <w:szCs w:val="22"/>
          </w:rPr>
          <w:t>https://www.itu.int/en/ITU-T/webinars/20210428/Pages/default.aspx</w:t>
        </w:r>
      </w:hyperlink>
    </w:p>
    <w:p w14:paraId="5C7805C2" w14:textId="4D39E4A4" w:rsidR="003D3626" w:rsidRPr="00AB7BED" w:rsidRDefault="003D3626" w:rsidP="003D3626">
      <w:pPr>
        <w:rPr>
          <w:sz w:val="22"/>
          <w:szCs w:val="22"/>
        </w:rPr>
      </w:pPr>
      <w:r w:rsidRPr="00AB7BED">
        <w:rPr>
          <w:sz w:val="22"/>
          <w:szCs w:val="22"/>
        </w:rPr>
        <w:t xml:space="preserve">Episodio 3: </w:t>
      </w:r>
      <w:hyperlink r:id="rId14" w:history="1">
        <w:r w:rsidR="00DF17C6" w:rsidRPr="00AB7BED">
          <w:rPr>
            <w:rStyle w:val="Hyperlink"/>
            <w:sz w:val="22"/>
            <w:szCs w:val="22"/>
            <w:lang w:val="en-US"/>
          </w:rPr>
          <w:t>https://www.itu.int/en/ITU-T/webinars/20210526/Pages/default.aspx</w:t>
        </w:r>
      </w:hyperlink>
    </w:p>
    <w:p w14:paraId="7A1F1EFB" w14:textId="77777777" w:rsidR="007B6316" w:rsidRPr="00AB7BED" w:rsidRDefault="007B6316" w:rsidP="007B6316">
      <w:pPr>
        <w:rPr>
          <w:sz w:val="22"/>
          <w:szCs w:val="22"/>
        </w:rPr>
      </w:pPr>
      <w:r w:rsidRPr="00AB7BED">
        <w:rPr>
          <w:sz w:val="22"/>
          <w:szCs w:val="22"/>
        </w:rPr>
        <w:t>Atentamente,</w:t>
      </w:r>
    </w:p>
    <w:p w14:paraId="16F48231" w14:textId="77777777" w:rsidR="007B6316" w:rsidRPr="00AB7BED" w:rsidRDefault="007B6316" w:rsidP="00A2123D">
      <w:pPr>
        <w:spacing w:before="480" w:after="480" w:line="480" w:lineRule="auto"/>
        <w:rPr>
          <w:sz w:val="22"/>
          <w:szCs w:val="22"/>
        </w:rPr>
      </w:pPr>
      <w:r w:rsidRPr="00AB7BED">
        <w:rPr>
          <w:i/>
          <w:iCs/>
          <w:sz w:val="22"/>
          <w:szCs w:val="22"/>
        </w:rPr>
        <w:t>(firmado)</w:t>
      </w:r>
    </w:p>
    <w:p w14:paraId="72490E39" w14:textId="5E1AB59F" w:rsidR="00401C20" w:rsidRPr="00AB7BED" w:rsidRDefault="007B6316" w:rsidP="00A2123D">
      <w:pPr>
        <w:rPr>
          <w:sz w:val="22"/>
          <w:szCs w:val="22"/>
        </w:rPr>
      </w:pPr>
      <w:r w:rsidRPr="00AB7BED">
        <w:rPr>
          <w:sz w:val="22"/>
          <w:szCs w:val="22"/>
        </w:rPr>
        <w:t>Chaesub Lee</w:t>
      </w:r>
      <w:r w:rsidRPr="00AB7BED">
        <w:rPr>
          <w:sz w:val="22"/>
          <w:szCs w:val="22"/>
        </w:rPr>
        <w:br/>
      </w:r>
      <w:proofErr w:type="gramStart"/>
      <w:r w:rsidRPr="00AB7BED">
        <w:rPr>
          <w:sz w:val="22"/>
          <w:szCs w:val="22"/>
        </w:rPr>
        <w:t>Director</w:t>
      </w:r>
      <w:proofErr w:type="gramEnd"/>
      <w:r w:rsidRPr="00AB7BED">
        <w:rPr>
          <w:sz w:val="22"/>
          <w:szCs w:val="22"/>
        </w:rPr>
        <w:t xml:space="preserve"> de la Oficina de </w:t>
      </w:r>
      <w:r w:rsidRPr="00AB7BED">
        <w:rPr>
          <w:sz w:val="22"/>
          <w:szCs w:val="22"/>
        </w:rPr>
        <w:br/>
        <w:t>Normalización de las Telecomunicaciones</w:t>
      </w:r>
    </w:p>
    <w:sectPr w:rsidR="00401C20" w:rsidRPr="00AB7BED" w:rsidSect="00B87E9E">
      <w:headerReference w:type="default" r:id="rId15"/>
      <w:footerReference w:type="first" r:id="rId16"/>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D7FBF" w14:textId="77777777" w:rsidR="001120A9" w:rsidRDefault="001120A9">
      <w:r>
        <w:separator/>
      </w:r>
    </w:p>
  </w:endnote>
  <w:endnote w:type="continuationSeparator" w:id="0">
    <w:p w14:paraId="3574AB4F" w14:textId="77777777" w:rsidR="001120A9" w:rsidRDefault="0011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14210" w14:textId="765EBF39" w:rsidR="0014464D" w:rsidRPr="0055719E" w:rsidRDefault="0014464D" w:rsidP="00FC416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Tel</w:t>
    </w:r>
    <w:r w:rsidR="00D747B2">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A28FD" w14:textId="77777777" w:rsidR="001120A9" w:rsidRDefault="001120A9">
      <w:r>
        <w:t>____________________</w:t>
      </w:r>
    </w:p>
  </w:footnote>
  <w:footnote w:type="continuationSeparator" w:id="0">
    <w:p w14:paraId="29DB7915" w14:textId="77777777" w:rsidR="001120A9" w:rsidRDefault="00112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B8F3D" w14:textId="6C3A6F1B"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6F7573">
      <w:rPr>
        <w:rStyle w:val="PageNumber"/>
        <w:sz w:val="18"/>
        <w:szCs w:val="18"/>
      </w:rPr>
      <w:br/>
    </w:r>
    <w:r w:rsidR="006F7573" w:rsidRPr="006F7573">
      <w:rPr>
        <w:sz w:val="18"/>
        <w:szCs w:val="18"/>
      </w:rPr>
      <w:t xml:space="preserve">Circular TSB </w:t>
    </w:r>
    <w:r w:rsidR="003D3626">
      <w:rPr>
        <w:sz w:val="18"/>
        <w:szCs w:val="18"/>
      </w:rPr>
      <w:t>303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353DE"/>
    <w:multiLevelType w:val="hybridMultilevel"/>
    <w:tmpl w:val="815E63E8"/>
    <w:lvl w:ilvl="0" w:tplc="BEDA2150">
      <w:start w:val="23"/>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B85"/>
    <w:rsid w:val="00002529"/>
    <w:rsid w:val="00085662"/>
    <w:rsid w:val="000C382F"/>
    <w:rsid w:val="001120A9"/>
    <w:rsid w:val="001173CC"/>
    <w:rsid w:val="0014464D"/>
    <w:rsid w:val="001A54CC"/>
    <w:rsid w:val="00257FB4"/>
    <w:rsid w:val="002E0B19"/>
    <w:rsid w:val="002E496E"/>
    <w:rsid w:val="00303D62"/>
    <w:rsid w:val="00335367"/>
    <w:rsid w:val="00370C2D"/>
    <w:rsid w:val="003D1E8D"/>
    <w:rsid w:val="003D3626"/>
    <w:rsid w:val="003D673B"/>
    <w:rsid w:val="003F2855"/>
    <w:rsid w:val="00401C20"/>
    <w:rsid w:val="004A7957"/>
    <w:rsid w:val="004C4144"/>
    <w:rsid w:val="00540236"/>
    <w:rsid w:val="0055719E"/>
    <w:rsid w:val="005F4E85"/>
    <w:rsid w:val="006969B4"/>
    <w:rsid w:val="006E4F7B"/>
    <w:rsid w:val="006F7573"/>
    <w:rsid w:val="00781E2A"/>
    <w:rsid w:val="007933A2"/>
    <w:rsid w:val="007B6316"/>
    <w:rsid w:val="007C6B85"/>
    <w:rsid w:val="00814503"/>
    <w:rsid w:val="008258C2"/>
    <w:rsid w:val="008505BD"/>
    <w:rsid w:val="00850C78"/>
    <w:rsid w:val="00876165"/>
    <w:rsid w:val="00884D12"/>
    <w:rsid w:val="008C17AD"/>
    <w:rsid w:val="008D02CD"/>
    <w:rsid w:val="0091370C"/>
    <w:rsid w:val="0095172A"/>
    <w:rsid w:val="009A0BA0"/>
    <w:rsid w:val="00A2123D"/>
    <w:rsid w:val="00A46D85"/>
    <w:rsid w:val="00A54E47"/>
    <w:rsid w:val="00AB6E3A"/>
    <w:rsid w:val="00AB7BED"/>
    <w:rsid w:val="00AE0C77"/>
    <w:rsid w:val="00AE7093"/>
    <w:rsid w:val="00AF5AC4"/>
    <w:rsid w:val="00B422BC"/>
    <w:rsid w:val="00B43F77"/>
    <w:rsid w:val="00B55A3E"/>
    <w:rsid w:val="00B87E9E"/>
    <w:rsid w:val="00B95F0A"/>
    <w:rsid w:val="00B96180"/>
    <w:rsid w:val="00BB5946"/>
    <w:rsid w:val="00C116FE"/>
    <w:rsid w:val="00C17AC0"/>
    <w:rsid w:val="00C34772"/>
    <w:rsid w:val="00C5465A"/>
    <w:rsid w:val="00D54642"/>
    <w:rsid w:val="00D747B2"/>
    <w:rsid w:val="00DD77C9"/>
    <w:rsid w:val="00DF17C6"/>
    <w:rsid w:val="00DF3538"/>
    <w:rsid w:val="00E839B0"/>
    <w:rsid w:val="00E92C09"/>
    <w:rsid w:val="00F14380"/>
    <w:rsid w:val="00F6461F"/>
    <w:rsid w:val="00FA00E2"/>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054217"/>
  <w15:docId w15:val="{CFF490B9-1355-4886-8A6E-093564AF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7C6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ebinars/20210428/Pag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wsis/forum/2021/Agenda/Session/26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ebinars/Pages/qi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webinars/Pages/qi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en/ITU-T/webinars/20210526/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77</TotalTime>
  <Pages>2</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5714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Amoah, Gifty Adjo</cp:lastModifiedBy>
  <cp:revision>7</cp:revision>
  <cp:lastPrinted>2011-04-15T08:24:00Z</cp:lastPrinted>
  <dcterms:created xsi:type="dcterms:W3CDTF">2021-03-26T09:08:00Z</dcterms:created>
  <dcterms:modified xsi:type="dcterms:W3CDTF">2021-04-07T11:32:00Z</dcterms:modified>
</cp:coreProperties>
</file>