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835"/>
        <w:gridCol w:w="2977"/>
        <w:gridCol w:w="2126"/>
        <w:gridCol w:w="8"/>
      </w:tblGrid>
      <w:tr w:rsidR="00036F4F" w:rsidRPr="00C43545" w14:paraId="7639A0B6" w14:textId="77777777" w:rsidTr="00036F4F">
        <w:trPr>
          <w:gridAfter w:val="1"/>
          <w:wAfter w:w="8" w:type="dxa"/>
          <w:cantSplit/>
        </w:trPr>
        <w:tc>
          <w:tcPr>
            <w:tcW w:w="1418" w:type="dxa"/>
            <w:gridSpan w:val="3"/>
            <w:vAlign w:val="center"/>
          </w:tcPr>
          <w:p w14:paraId="7D9FA4FF" w14:textId="77777777" w:rsidR="00036F4F" w:rsidRPr="00C43545" w:rsidRDefault="00036F4F" w:rsidP="001E2A4F">
            <w:pPr>
              <w:tabs>
                <w:tab w:val="right" w:pos="8732"/>
              </w:tabs>
              <w:spacing w:before="0"/>
              <w:rPr>
                <w:b/>
                <w:bCs/>
                <w:iCs/>
                <w:color w:val="FFFFFF"/>
                <w:sz w:val="30"/>
                <w:szCs w:val="30"/>
              </w:rPr>
            </w:pPr>
            <w:r w:rsidRPr="00C43545">
              <w:rPr>
                <w:noProof/>
                <w:lang w:val="en-US" w:eastAsia="zh-CN"/>
              </w:rPr>
              <w:drawing>
                <wp:inline distT="0" distB="0" distL="0" distR="0" wp14:anchorId="34AC789A" wp14:editId="579B831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089BA47" w14:textId="77777777" w:rsidR="00036F4F" w:rsidRPr="00C43545" w:rsidRDefault="00036F4F" w:rsidP="001E2A4F">
            <w:pPr>
              <w:spacing w:before="0"/>
              <w:rPr>
                <w:rFonts w:cs="Times New Roman Bold"/>
                <w:b/>
                <w:bCs/>
                <w:iCs/>
                <w:smallCaps/>
                <w:sz w:val="34"/>
                <w:szCs w:val="34"/>
              </w:rPr>
            </w:pPr>
            <w:r w:rsidRPr="00C43545">
              <w:rPr>
                <w:rFonts w:cs="Times New Roman Bold"/>
                <w:b/>
                <w:bCs/>
                <w:iCs/>
                <w:smallCaps/>
                <w:sz w:val="34"/>
                <w:szCs w:val="34"/>
              </w:rPr>
              <w:t>Union internationale des télécommunications</w:t>
            </w:r>
          </w:p>
          <w:p w14:paraId="6EBC2881" w14:textId="77777777" w:rsidR="00036F4F" w:rsidRPr="00C43545" w:rsidRDefault="00036F4F" w:rsidP="001E2A4F">
            <w:pPr>
              <w:tabs>
                <w:tab w:val="right" w:pos="8732"/>
              </w:tabs>
              <w:spacing w:before="0"/>
              <w:rPr>
                <w:b/>
                <w:bCs/>
                <w:iCs/>
                <w:color w:val="FFFFFF"/>
                <w:sz w:val="30"/>
                <w:szCs w:val="30"/>
              </w:rPr>
            </w:pPr>
            <w:r w:rsidRPr="00C43545">
              <w:rPr>
                <w:rFonts w:cs="Times New Roman Bold"/>
                <w:b/>
                <w:bCs/>
                <w:iCs/>
                <w:smallCaps/>
                <w:sz w:val="28"/>
                <w:szCs w:val="28"/>
              </w:rPr>
              <w:t>B</w:t>
            </w:r>
            <w:r w:rsidRPr="00C43545">
              <w:rPr>
                <w:b/>
                <w:bCs/>
                <w:iCs/>
                <w:smallCaps/>
                <w:sz w:val="28"/>
                <w:szCs w:val="28"/>
              </w:rPr>
              <w:t>ureau de la Normalisation des Télécommunications</w:t>
            </w:r>
          </w:p>
        </w:tc>
        <w:tc>
          <w:tcPr>
            <w:tcW w:w="2126" w:type="dxa"/>
            <w:vAlign w:val="center"/>
          </w:tcPr>
          <w:p w14:paraId="436AE0AA" w14:textId="77777777" w:rsidR="00036F4F" w:rsidRPr="00C43545" w:rsidRDefault="00036F4F" w:rsidP="001E2A4F">
            <w:pPr>
              <w:spacing w:before="0"/>
              <w:jc w:val="right"/>
              <w:rPr>
                <w:color w:val="FFFFFF"/>
                <w:sz w:val="26"/>
                <w:szCs w:val="26"/>
              </w:rPr>
            </w:pPr>
          </w:p>
        </w:tc>
      </w:tr>
      <w:tr w:rsidR="00036F4F" w:rsidRPr="0068104A" w14:paraId="4A8B5067" w14:textId="77777777" w:rsidTr="00441CA9">
        <w:trPr>
          <w:gridBefore w:val="1"/>
          <w:wBefore w:w="8" w:type="dxa"/>
          <w:cantSplit/>
        </w:trPr>
        <w:tc>
          <w:tcPr>
            <w:tcW w:w="1977" w:type="dxa"/>
            <w:gridSpan w:val="3"/>
          </w:tcPr>
          <w:p w14:paraId="1BD766D9" w14:textId="77777777" w:rsidR="00036F4F" w:rsidRPr="0068104A" w:rsidRDefault="00036F4F" w:rsidP="001E2A4F">
            <w:pPr>
              <w:tabs>
                <w:tab w:val="left" w:pos="4111"/>
              </w:tabs>
              <w:spacing w:before="10"/>
              <w:ind w:left="57"/>
              <w:rPr>
                <w:sz w:val="22"/>
                <w:szCs w:val="22"/>
              </w:rPr>
            </w:pPr>
          </w:p>
        </w:tc>
        <w:tc>
          <w:tcPr>
            <w:tcW w:w="2835" w:type="dxa"/>
          </w:tcPr>
          <w:p w14:paraId="319148B5" w14:textId="77777777" w:rsidR="00036F4F" w:rsidRPr="0068104A" w:rsidRDefault="00036F4F" w:rsidP="001E2A4F">
            <w:pPr>
              <w:tabs>
                <w:tab w:val="left" w:pos="4111"/>
              </w:tabs>
              <w:spacing w:before="10"/>
              <w:ind w:left="57"/>
              <w:rPr>
                <w:b/>
                <w:sz w:val="22"/>
                <w:szCs w:val="22"/>
              </w:rPr>
            </w:pPr>
          </w:p>
        </w:tc>
        <w:tc>
          <w:tcPr>
            <w:tcW w:w="5111" w:type="dxa"/>
            <w:gridSpan w:val="3"/>
          </w:tcPr>
          <w:p w14:paraId="2D9F123C" w14:textId="67C254AD" w:rsidR="00036F4F" w:rsidRPr="0068104A" w:rsidRDefault="00036F4F" w:rsidP="00441CA9">
            <w:pPr>
              <w:tabs>
                <w:tab w:val="clear" w:pos="794"/>
                <w:tab w:val="clear" w:pos="1191"/>
                <w:tab w:val="clear" w:pos="1588"/>
                <w:tab w:val="clear" w:pos="1985"/>
                <w:tab w:val="left" w:pos="284"/>
              </w:tabs>
              <w:spacing w:before="240" w:after="240"/>
              <w:ind w:left="284" w:hanging="227"/>
              <w:rPr>
                <w:sz w:val="22"/>
                <w:szCs w:val="22"/>
              </w:rPr>
            </w:pPr>
            <w:r w:rsidRPr="0068104A">
              <w:rPr>
                <w:sz w:val="22"/>
                <w:szCs w:val="22"/>
              </w:rPr>
              <w:t>Genève, le</w:t>
            </w:r>
            <w:r w:rsidR="00997AB4" w:rsidRPr="0068104A">
              <w:rPr>
                <w:sz w:val="22"/>
                <w:szCs w:val="22"/>
              </w:rPr>
              <w:t xml:space="preserve"> 22 avril 2021</w:t>
            </w:r>
          </w:p>
        </w:tc>
      </w:tr>
      <w:tr w:rsidR="00036F4F" w:rsidRPr="0068104A" w14:paraId="76EB2089" w14:textId="77777777" w:rsidTr="00441CA9">
        <w:trPr>
          <w:gridBefore w:val="1"/>
          <w:wBefore w:w="8" w:type="dxa"/>
          <w:cantSplit/>
          <w:trHeight w:val="340"/>
        </w:trPr>
        <w:tc>
          <w:tcPr>
            <w:tcW w:w="1126" w:type="dxa"/>
          </w:tcPr>
          <w:p w14:paraId="5D9859A1" w14:textId="77777777" w:rsidR="00036F4F" w:rsidRPr="0068104A" w:rsidRDefault="00036F4F" w:rsidP="001E2A4F">
            <w:pPr>
              <w:tabs>
                <w:tab w:val="left" w:pos="4111"/>
              </w:tabs>
              <w:spacing w:before="10"/>
              <w:ind w:left="57"/>
              <w:rPr>
                <w:b/>
                <w:bCs/>
                <w:sz w:val="22"/>
                <w:szCs w:val="22"/>
              </w:rPr>
            </w:pPr>
            <w:r w:rsidRPr="0068104A">
              <w:rPr>
                <w:b/>
                <w:bCs/>
                <w:sz w:val="22"/>
                <w:szCs w:val="22"/>
              </w:rPr>
              <w:t>Réf.:</w:t>
            </w:r>
          </w:p>
          <w:p w14:paraId="38B36A01" w14:textId="77777777" w:rsidR="00036F4F" w:rsidRPr="0068104A" w:rsidRDefault="00036F4F" w:rsidP="001E2A4F">
            <w:pPr>
              <w:tabs>
                <w:tab w:val="left" w:pos="4111"/>
              </w:tabs>
              <w:spacing w:before="10"/>
              <w:ind w:left="57"/>
              <w:rPr>
                <w:b/>
                <w:bCs/>
                <w:sz w:val="22"/>
                <w:szCs w:val="22"/>
              </w:rPr>
            </w:pPr>
          </w:p>
        </w:tc>
        <w:tc>
          <w:tcPr>
            <w:tcW w:w="3686" w:type="dxa"/>
            <w:gridSpan w:val="3"/>
          </w:tcPr>
          <w:p w14:paraId="55F66D25" w14:textId="3BBFD31A" w:rsidR="00036F4F" w:rsidRPr="0068104A" w:rsidRDefault="00036F4F" w:rsidP="001E2A4F">
            <w:pPr>
              <w:tabs>
                <w:tab w:val="left" w:pos="4111"/>
              </w:tabs>
              <w:spacing w:before="10"/>
              <w:ind w:left="57"/>
              <w:rPr>
                <w:b/>
                <w:sz w:val="22"/>
                <w:szCs w:val="22"/>
              </w:rPr>
            </w:pPr>
            <w:r w:rsidRPr="0068104A">
              <w:rPr>
                <w:b/>
                <w:sz w:val="22"/>
                <w:szCs w:val="22"/>
              </w:rPr>
              <w:t xml:space="preserve">Circulaire TSB </w:t>
            </w:r>
            <w:r w:rsidR="00997AB4" w:rsidRPr="0068104A">
              <w:rPr>
                <w:b/>
                <w:sz w:val="22"/>
                <w:szCs w:val="22"/>
              </w:rPr>
              <w:t>309</w:t>
            </w:r>
          </w:p>
          <w:p w14:paraId="69C61AE7" w14:textId="2891C52B" w:rsidR="00036F4F" w:rsidRPr="0068104A" w:rsidRDefault="00997AB4" w:rsidP="001E2A4F">
            <w:pPr>
              <w:tabs>
                <w:tab w:val="left" w:pos="4111"/>
              </w:tabs>
              <w:spacing w:before="10"/>
              <w:ind w:left="57"/>
              <w:rPr>
                <w:b/>
                <w:sz w:val="22"/>
                <w:szCs w:val="22"/>
              </w:rPr>
            </w:pPr>
            <w:r w:rsidRPr="0068104A">
              <w:rPr>
                <w:sz w:val="22"/>
                <w:szCs w:val="22"/>
              </w:rPr>
              <w:t>Manifestations du TSB/DA</w:t>
            </w:r>
          </w:p>
        </w:tc>
        <w:tc>
          <w:tcPr>
            <w:tcW w:w="5111" w:type="dxa"/>
            <w:gridSpan w:val="3"/>
            <w:vMerge w:val="restart"/>
          </w:tcPr>
          <w:p w14:paraId="7002F06C" w14:textId="1F24F792" w:rsidR="00036F4F" w:rsidRPr="0068104A" w:rsidRDefault="00036F4F" w:rsidP="001E2A4F">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68104A">
              <w:rPr>
                <w:sz w:val="22"/>
                <w:szCs w:val="22"/>
              </w:rPr>
              <w:t>-</w:t>
            </w:r>
            <w:r w:rsidRPr="0068104A">
              <w:rPr>
                <w:sz w:val="22"/>
                <w:szCs w:val="22"/>
              </w:rPr>
              <w:tab/>
              <w:t xml:space="preserve">Aux </w:t>
            </w:r>
            <w:r w:rsidR="00441CA9" w:rsidRPr="0068104A">
              <w:rPr>
                <w:sz w:val="22"/>
                <w:szCs w:val="22"/>
              </w:rPr>
              <w:t>A</w:t>
            </w:r>
            <w:r w:rsidRPr="0068104A">
              <w:rPr>
                <w:sz w:val="22"/>
                <w:szCs w:val="22"/>
              </w:rPr>
              <w:t xml:space="preserve">dministrations des </w:t>
            </w:r>
            <w:r w:rsidR="00997AB4" w:rsidRPr="0068104A">
              <w:rPr>
                <w:sz w:val="22"/>
                <w:szCs w:val="22"/>
              </w:rPr>
              <w:t>États</w:t>
            </w:r>
            <w:r w:rsidRPr="0068104A">
              <w:rPr>
                <w:sz w:val="22"/>
                <w:szCs w:val="22"/>
              </w:rPr>
              <w:t xml:space="preserve"> Membres de l</w:t>
            </w:r>
            <w:r w:rsidR="00997AB4" w:rsidRPr="0068104A">
              <w:rPr>
                <w:sz w:val="22"/>
                <w:szCs w:val="22"/>
              </w:rPr>
              <w:t>'</w:t>
            </w:r>
            <w:r w:rsidRPr="0068104A">
              <w:rPr>
                <w:sz w:val="22"/>
                <w:szCs w:val="22"/>
              </w:rPr>
              <w:t>Union</w:t>
            </w:r>
          </w:p>
          <w:p w14:paraId="2BCB48EF" w14:textId="6E5423D7" w:rsidR="00997AB4" w:rsidRPr="0068104A" w:rsidRDefault="00997AB4" w:rsidP="001E2A4F">
            <w:pPr>
              <w:tabs>
                <w:tab w:val="clear" w:pos="794"/>
                <w:tab w:val="clear" w:pos="1191"/>
                <w:tab w:val="clear" w:pos="1588"/>
                <w:tab w:val="clear" w:pos="1985"/>
                <w:tab w:val="left" w:pos="284"/>
              </w:tabs>
              <w:spacing w:before="0"/>
              <w:ind w:left="284" w:hanging="227"/>
              <w:rPr>
                <w:sz w:val="22"/>
                <w:szCs w:val="22"/>
              </w:rPr>
            </w:pPr>
            <w:r w:rsidRPr="0068104A">
              <w:rPr>
                <w:sz w:val="22"/>
                <w:szCs w:val="22"/>
              </w:rPr>
              <w:t>-</w:t>
            </w:r>
            <w:r w:rsidRPr="0068104A">
              <w:rPr>
                <w:sz w:val="22"/>
                <w:szCs w:val="22"/>
              </w:rPr>
              <w:tab/>
              <w:t>Aux Membres du Secteur de l'UIT-T;</w:t>
            </w:r>
          </w:p>
          <w:p w14:paraId="30B9C40E" w14:textId="0A6F0A74" w:rsidR="00997AB4" w:rsidRPr="0068104A" w:rsidRDefault="00997AB4" w:rsidP="001E2A4F">
            <w:pPr>
              <w:tabs>
                <w:tab w:val="clear" w:pos="794"/>
                <w:tab w:val="clear" w:pos="1191"/>
                <w:tab w:val="clear" w:pos="1588"/>
                <w:tab w:val="clear" w:pos="1985"/>
                <w:tab w:val="left" w:pos="284"/>
              </w:tabs>
              <w:spacing w:before="0"/>
              <w:ind w:left="284" w:hanging="227"/>
              <w:rPr>
                <w:sz w:val="22"/>
                <w:szCs w:val="22"/>
              </w:rPr>
            </w:pPr>
            <w:r w:rsidRPr="0068104A">
              <w:rPr>
                <w:sz w:val="22"/>
                <w:szCs w:val="22"/>
              </w:rPr>
              <w:t>-</w:t>
            </w:r>
            <w:r w:rsidRPr="0068104A">
              <w:rPr>
                <w:sz w:val="22"/>
                <w:szCs w:val="22"/>
              </w:rPr>
              <w:tab/>
              <w:t>Aux Associés de l'UIT-T;</w:t>
            </w:r>
          </w:p>
          <w:p w14:paraId="082919B1" w14:textId="0BA1B284" w:rsidR="00997AB4" w:rsidRPr="0068104A" w:rsidRDefault="00997AB4" w:rsidP="001E2A4F">
            <w:pPr>
              <w:tabs>
                <w:tab w:val="clear" w:pos="794"/>
                <w:tab w:val="clear" w:pos="1191"/>
                <w:tab w:val="clear" w:pos="1588"/>
                <w:tab w:val="clear" w:pos="1985"/>
                <w:tab w:val="left" w:pos="284"/>
              </w:tabs>
              <w:spacing w:before="0"/>
              <w:ind w:left="284" w:hanging="227"/>
              <w:rPr>
                <w:sz w:val="22"/>
                <w:szCs w:val="22"/>
              </w:rPr>
            </w:pPr>
            <w:r w:rsidRPr="0068104A">
              <w:rPr>
                <w:sz w:val="22"/>
                <w:szCs w:val="22"/>
              </w:rPr>
              <w:t>-</w:t>
            </w:r>
            <w:r w:rsidRPr="0068104A">
              <w:rPr>
                <w:sz w:val="22"/>
                <w:szCs w:val="22"/>
              </w:rPr>
              <w:tab/>
              <w:t>Aux établissements universitaires participant aux travaux de l'UIT</w:t>
            </w:r>
          </w:p>
          <w:p w14:paraId="3BCE5DA4" w14:textId="77777777" w:rsidR="00036F4F" w:rsidRPr="0068104A" w:rsidRDefault="00036F4F" w:rsidP="001E2A4F">
            <w:pPr>
              <w:tabs>
                <w:tab w:val="clear" w:pos="794"/>
                <w:tab w:val="clear" w:pos="1191"/>
                <w:tab w:val="clear" w:pos="1588"/>
                <w:tab w:val="clear" w:pos="1985"/>
                <w:tab w:val="left" w:pos="284"/>
              </w:tabs>
              <w:spacing w:before="0"/>
              <w:ind w:left="284" w:hanging="227"/>
              <w:rPr>
                <w:sz w:val="22"/>
                <w:szCs w:val="22"/>
              </w:rPr>
            </w:pPr>
          </w:p>
        </w:tc>
      </w:tr>
      <w:tr w:rsidR="00997AB4" w:rsidRPr="0068104A" w14:paraId="4EF14D13" w14:textId="77777777" w:rsidTr="00441CA9">
        <w:trPr>
          <w:gridBefore w:val="1"/>
          <w:wBefore w:w="8" w:type="dxa"/>
          <w:cantSplit/>
          <w:trHeight w:val="340"/>
        </w:trPr>
        <w:tc>
          <w:tcPr>
            <w:tcW w:w="1126" w:type="dxa"/>
          </w:tcPr>
          <w:p w14:paraId="0234A900" w14:textId="2844DEF5" w:rsidR="00997AB4" w:rsidRPr="0068104A" w:rsidRDefault="00997AB4" w:rsidP="001E2A4F">
            <w:pPr>
              <w:tabs>
                <w:tab w:val="left" w:pos="4111"/>
              </w:tabs>
              <w:spacing w:before="10"/>
              <w:ind w:left="57"/>
              <w:rPr>
                <w:b/>
                <w:bCs/>
                <w:sz w:val="22"/>
                <w:szCs w:val="22"/>
              </w:rPr>
            </w:pPr>
            <w:r w:rsidRPr="0068104A">
              <w:rPr>
                <w:b/>
                <w:bCs/>
                <w:sz w:val="22"/>
                <w:szCs w:val="22"/>
              </w:rPr>
              <w:t>Contact:</w:t>
            </w:r>
          </w:p>
        </w:tc>
        <w:tc>
          <w:tcPr>
            <w:tcW w:w="3686" w:type="dxa"/>
            <w:gridSpan w:val="3"/>
          </w:tcPr>
          <w:p w14:paraId="39441BA0" w14:textId="752A34F8" w:rsidR="00997AB4" w:rsidRPr="0068104A" w:rsidRDefault="00997AB4" w:rsidP="001E2A4F">
            <w:pPr>
              <w:tabs>
                <w:tab w:val="left" w:pos="4111"/>
              </w:tabs>
              <w:spacing w:before="10"/>
              <w:ind w:left="57"/>
              <w:rPr>
                <w:b/>
                <w:bCs/>
                <w:sz w:val="22"/>
                <w:szCs w:val="22"/>
              </w:rPr>
            </w:pPr>
            <w:r w:rsidRPr="0068104A">
              <w:rPr>
                <w:b/>
                <w:bCs/>
                <w:sz w:val="22"/>
                <w:szCs w:val="22"/>
              </w:rPr>
              <w:t>Denis ANDREEV</w:t>
            </w:r>
          </w:p>
        </w:tc>
        <w:tc>
          <w:tcPr>
            <w:tcW w:w="5111" w:type="dxa"/>
            <w:gridSpan w:val="3"/>
            <w:vMerge/>
          </w:tcPr>
          <w:p w14:paraId="04E48C91" w14:textId="77777777" w:rsidR="00997AB4" w:rsidRPr="0068104A" w:rsidRDefault="00997AB4" w:rsidP="001E2A4F">
            <w:pPr>
              <w:tabs>
                <w:tab w:val="clear" w:pos="794"/>
                <w:tab w:val="clear" w:pos="1191"/>
                <w:tab w:val="clear" w:pos="1588"/>
                <w:tab w:val="clear" w:pos="1985"/>
                <w:tab w:val="left" w:pos="284"/>
              </w:tabs>
              <w:spacing w:before="0"/>
              <w:ind w:left="284" w:hanging="227"/>
              <w:rPr>
                <w:sz w:val="22"/>
                <w:szCs w:val="22"/>
              </w:rPr>
            </w:pPr>
          </w:p>
        </w:tc>
      </w:tr>
      <w:tr w:rsidR="00036F4F" w:rsidRPr="0068104A" w14:paraId="3137F517" w14:textId="77777777" w:rsidTr="00441CA9">
        <w:trPr>
          <w:gridBefore w:val="1"/>
          <w:wBefore w:w="8" w:type="dxa"/>
          <w:cantSplit/>
        </w:trPr>
        <w:tc>
          <w:tcPr>
            <w:tcW w:w="1126" w:type="dxa"/>
          </w:tcPr>
          <w:p w14:paraId="354C1E4F" w14:textId="77777777" w:rsidR="00036F4F" w:rsidRPr="0068104A" w:rsidRDefault="00036F4F" w:rsidP="001E2A4F">
            <w:pPr>
              <w:tabs>
                <w:tab w:val="left" w:pos="4111"/>
              </w:tabs>
              <w:spacing w:before="10"/>
              <w:ind w:left="57"/>
              <w:rPr>
                <w:b/>
                <w:bCs/>
                <w:sz w:val="22"/>
                <w:szCs w:val="22"/>
              </w:rPr>
            </w:pPr>
            <w:r w:rsidRPr="0068104A">
              <w:rPr>
                <w:b/>
                <w:bCs/>
                <w:sz w:val="22"/>
                <w:szCs w:val="22"/>
              </w:rPr>
              <w:t>Tél.:</w:t>
            </w:r>
          </w:p>
        </w:tc>
        <w:tc>
          <w:tcPr>
            <w:tcW w:w="3686" w:type="dxa"/>
            <w:gridSpan w:val="3"/>
          </w:tcPr>
          <w:p w14:paraId="44337DF6" w14:textId="1A9FD4E2" w:rsidR="00036F4F" w:rsidRPr="0068104A" w:rsidRDefault="00997AB4" w:rsidP="001E2A4F">
            <w:pPr>
              <w:tabs>
                <w:tab w:val="left" w:pos="4111"/>
              </w:tabs>
              <w:spacing w:before="0"/>
              <w:ind w:left="57"/>
              <w:rPr>
                <w:sz w:val="22"/>
                <w:szCs w:val="22"/>
              </w:rPr>
            </w:pPr>
            <w:r w:rsidRPr="0068104A">
              <w:rPr>
                <w:sz w:val="22"/>
                <w:szCs w:val="22"/>
              </w:rPr>
              <w:t>+41 22 730 5780</w:t>
            </w:r>
          </w:p>
        </w:tc>
        <w:tc>
          <w:tcPr>
            <w:tcW w:w="5111" w:type="dxa"/>
            <w:gridSpan w:val="3"/>
            <w:vMerge/>
          </w:tcPr>
          <w:p w14:paraId="0674283A" w14:textId="77777777" w:rsidR="00036F4F" w:rsidRPr="0068104A" w:rsidRDefault="00036F4F" w:rsidP="001E2A4F">
            <w:pPr>
              <w:tabs>
                <w:tab w:val="left" w:pos="4111"/>
              </w:tabs>
              <w:spacing w:before="0"/>
              <w:rPr>
                <w:b/>
                <w:sz w:val="22"/>
                <w:szCs w:val="22"/>
              </w:rPr>
            </w:pPr>
          </w:p>
        </w:tc>
      </w:tr>
      <w:tr w:rsidR="00036F4F" w:rsidRPr="0068104A" w14:paraId="3A48A910" w14:textId="77777777" w:rsidTr="00441CA9">
        <w:trPr>
          <w:gridBefore w:val="1"/>
          <w:wBefore w:w="8" w:type="dxa"/>
          <w:cantSplit/>
        </w:trPr>
        <w:tc>
          <w:tcPr>
            <w:tcW w:w="1126" w:type="dxa"/>
          </w:tcPr>
          <w:p w14:paraId="4AC239CA" w14:textId="4DFD7B74" w:rsidR="00036F4F" w:rsidRPr="0068104A" w:rsidRDefault="00997AB4" w:rsidP="001E2A4F">
            <w:pPr>
              <w:tabs>
                <w:tab w:val="left" w:pos="4111"/>
              </w:tabs>
              <w:spacing w:before="10"/>
              <w:ind w:left="57"/>
              <w:rPr>
                <w:b/>
                <w:bCs/>
                <w:sz w:val="22"/>
                <w:szCs w:val="22"/>
              </w:rPr>
            </w:pPr>
            <w:r w:rsidRPr="0068104A">
              <w:rPr>
                <w:b/>
                <w:bCs/>
                <w:sz w:val="22"/>
                <w:szCs w:val="22"/>
              </w:rPr>
              <w:t>Télécopie</w:t>
            </w:r>
            <w:r w:rsidR="00036F4F" w:rsidRPr="0068104A">
              <w:rPr>
                <w:b/>
                <w:bCs/>
                <w:sz w:val="22"/>
                <w:szCs w:val="22"/>
              </w:rPr>
              <w:t>:</w:t>
            </w:r>
          </w:p>
        </w:tc>
        <w:tc>
          <w:tcPr>
            <w:tcW w:w="3686" w:type="dxa"/>
            <w:gridSpan w:val="3"/>
          </w:tcPr>
          <w:p w14:paraId="182FCA56" w14:textId="15F8E685" w:rsidR="00036F4F" w:rsidRPr="0068104A" w:rsidRDefault="00997AB4" w:rsidP="001E2A4F">
            <w:pPr>
              <w:tabs>
                <w:tab w:val="left" w:pos="4111"/>
              </w:tabs>
              <w:spacing w:before="0"/>
              <w:ind w:left="57"/>
              <w:rPr>
                <w:sz w:val="22"/>
                <w:szCs w:val="22"/>
              </w:rPr>
            </w:pPr>
            <w:r w:rsidRPr="0068104A">
              <w:rPr>
                <w:sz w:val="22"/>
                <w:szCs w:val="22"/>
              </w:rPr>
              <w:t>+41 22 730 5853</w:t>
            </w:r>
          </w:p>
        </w:tc>
        <w:tc>
          <w:tcPr>
            <w:tcW w:w="5111" w:type="dxa"/>
            <w:gridSpan w:val="3"/>
            <w:vMerge/>
          </w:tcPr>
          <w:p w14:paraId="7C71F172" w14:textId="77777777" w:rsidR="00036F4F" w:rsidRPr="0068104A" w:rsidRDefault="00036F4F" w:rsidP="001E2A4F">
            <w:pPr>
              <w:tabs>
                <w:tab w:val="left" w:pos="4111"/>
              </w:tabs>
              <w:spacing w:before="0"/>
              <w:rPr>
                <w:b/>
                <w:sz w:val="22"/>
                <w:szCs w:val="22"/>
              </w:rPr>
            </w:pPr>
          </w:p>
        </w:tc>
      </w:tr>
      <w:tr w:rsidR="00517A03" w:rsidRPr="0068104A" w14:paraId="05B5AAA6" w14:textId="77777777" w:rsidTr="00441CA9">
        <w:trPr>
          <w:gridBefore w:val="1"/>
          <w:wBefore w:w="8" w:type="dxa"/>
          <w:cantSplit/>
        </w:trPr>
        <w:tc>
          <w:tcPr>
            <w:tcW w:w="1126" w:type="dxa"/>
          </w:tcPr>
          <w:p w14:paraId="108A8E07" w14:textId="77777777" w:rsidR="00517A03" w:rsidRPr="0068104A" w:rsidRDefault="00036F4F" w:rsidP="001E2A4F">
            <w:pPr>
              <w:tabs>
                <w:tab w:val="left" w:pos="4111"/>
              </w:tabs>
              <w:spacing w:before="10"/>
              <w:ind w:left="57"/>
              <w:rPr>
                <w:b/>
                <w:bCs/>
                <w:sz w:val="22"/>
                <w:szCs w:val="22"/>
              </w:rPr>
            </w:pPr>
            <w:r w:rsidRPr="0068104A">
              <w:rPr>
                <w:b/>
                <w:bCs/>
                <w:sz w:val="22"/>
                <w:szCs w:val="22"/>
              </w:rPr>
              <w:t>E-mail:</w:t>
            </w:r>
          </w:p>
        </w:tc>
        <w:tc>
          <w:tcPr>
            <w:tcW w:w="3686" w:type="dxa"/>
            <w:gridSpan w:val="3"/>
          </w:tcPr>
          <w:p w14:paraId="2E775366" w14:textId="2F125791" w:rsidR="00517A03" w:rsidRPr="0068104A" w:rsidRDefault="00E95351" w:rsidP="001E2A4F">
            <w:pPr>
              <w:tabs>
                <w:tab w:val="left" w:pos="4111"/>
              </w:tabs>
              <w:spacing w:before="0"/>
              <w:ind w:left="57"/>
              <w:rPr>
                <w:sz w:val="22"/>
                <w:szCs w:val="22"/>
              </w:rPr>
            </w:pPr>
            <w:hyperlink r:id="rId9" w:history="1">
              <w:r w:rsidR="00997AB4" w:rsidRPr="0068104A">
                <w:rPr>
                  <w:rStyle w:val="Hyperlink"/>
                  <w:sz w:val="22"/>
                  <w:szCs w:val="22"/>
                </w:rPr>
                <w:t>tsbevents@itu.int</w:t>
              </w:r>
            </w:hyperlink>
          </w:p>
        </w:tc>
        <w:tc>
          <w:tcPr>
            <w:tcW w:w="5111" w:type="dxa"/>
            <w:gridSpan w:val="3"/>
          </w:tcPr>
          <w:p w14:paraId="32C73404" w14:textId="77777777" w:rsidR="00517A03" w:rsidRPr="0068104A" w:rsidRDefault="00517A03" w:rsidP="001E2A4F">
            <w:pPr>
              <w:tabs>
                <w:tab w:val="left" w:pos="4111"/>
              </w:tabs>
              <w:spacing w:before="0"/>
              <w:rPr>
                <w:sz w:val="22"/>
                <w:szCs w:val="22"/>
              </w:rPr>
            </w:pPr>
            <w:r w:rsidRPr="0068104A">
              <w:rPr>
                <w:b/>
                <w:sz w:val="22"/>
                <w:szCs w:val="22"/>
              </w:rPr>
              <w:t>Copie</w:t>
            </w:r>
            <w:r w:rsidRPr="0068104A">
              <w:rPr>
                <w:sz w:val="22"/>
                <w:szCs w:val="22"/>
              </w:rPr>
              <w:t>:</w:t>
            </w:r>
          </w:p>
          <w:p w14:paraId="6F433C4A" w14:textId="5AF294F6" w:rsidR="00997AB4" w:rsidRPr="0068104A" w:rsidRDefault="00997AB4" w:rsidP="001E2A4F">
            <w:pPr>
              <w:tabs>
                <w:tab w:val="clear" w:pos="794"/>
                <w:tab w:val="left" w:pos="226"/>
                <w:tab w:val="left" w:pos="4111"/>
              </w:tabs>
              <w:spacing w:before="0"/>
              <w:rPr>
                <w:sz w:val="22"/>
                <w:szCs w:val="22"/>
              </w:rPr>
            </w:pPr>
            <w:r w:rsidRPr="0068104A">
              <w:rPr>
                <w:sz w:val="22"/>
                <w:szCs w:val="22"/>
              </w:rPr>
              <w:t>-</w:t>
            </w:r>
            <w:r w:rsidRPr="0068104A">
              <w:rPr>
                <w:sz w:val="22"/>
                <w:szCs w:val="22"/>
              </w:rPr>
              <w:tab/>
              <w:t>Aux Présidents et Vice-Présidents des Commissions d'études de l'UIT-T;</w:t>
            </w:r>
          </w:p>
          <w:p w14:paraId="016CE76F" w14:textId="122B66E7" w:rsidR="00997AB4" w:rsidRPr="0068104A" w:rsidRDefault="00997AB4" w:rsidP="00441CA9">
            <w:pPr>
              <w:tabs>
                <w:tab w:val="clear" w:pos="794"/>
                <w:tab w:val="left" w:pos="226"/>
                <w:tab w:val="left" w:pos="4111"/>
              </w:tabs>
              <w:spacing w:before="0"/>
              <w:ind w:left="226" w:hanging="226"/>
              <w:rPr>
                <w:sz w:val="22"/>
                <w:szCs w:val="22"/>
              </w:rPr>
            </w:pPr>
            <w:r w:rsidRPr="0068104A">
              <w:rPr>
                <w:sz w:val="22"/>
                <w:szCs w:val="22"/>
              </w:rPr>
              <w:t>-</w:t>
            </w:r>
            <w:r w:rsidRPr="0068104A">
              <w:rPr>
                <w:sz w:val="22"/>
                <w:szCs w:val="22"/>
              </w:rPr>
              <w:tab/>
              <w:t>À la Directrice</w:t>
            </w:r>
            <w:r w:rsidR="00441CA9" w:rsidRPr="0068104A">
              <w:rPr>
                <w:sz w:val="22"/>
                <w:szCs w:val="22"/>
              </w:rPr>
              <w:t xml:space="preserve"> du Bureau de développement des </w:t>
            </w:r>
            <w:r w:rsidRPr="0068104A">
              <w:rPr>
                <w:sz w:val="22"/>
                <w:szCs w:val="22"/>
              </w:rPr>
              <w:t>télécommunications;</w:t>
            </w:r>
          </w:p>
          <w:p w14:paraId="2ACA96EA" w14:textId="77777777" w:rsidR="00517A03" w:rsidRPr="0068104A" w:rsidRDefault="00997AB4" w:rsidP="001E2A4F">
            <w:pPr>
              <w:tabs>
                <w:tab w:val="clear" w:pos="794"/>
                <w:tab w:val="left" w:pos="226"/>
                <w:tab w:val="left" w:pos="4111"/>
              </w:tabs>
              <w:spacing w:before="0"/>
              <w:rPr>
                <w:sz w:val="22"/>
                <w:szCs w:val="22"/>
              </w:rPr>
            </w:pPr>
            <w:r w:rsidRPr="0068104A">
              <w:rPr>
                <w:sz w:val="22"/>
                <w:szCs w:val="22"/>
              </w:rPr>
              <w:t>-</w:t>
            </w:r>
            <w:r w:rsidRPr="0068104A">
              <w:rPr>
                <w:sz w:val="22"/>
                <w:szCs w:val="22"/>
              </w:rPr>
              <w:tab/>
              <w:t>Au Directeur du Bureau des radiocommunications</w:t>
            </w:r>
          </w:p>
          <w:p w14:paraId="09A12283" w14:textId="6EE6E420" w:rsidR="00997AB4" w:rsidRPr="0068104A" w:rsidRDefault="00997AB4" w:rsidP="001E2A4F">
            <w:pPr>
              <w:tabs>
                <w:tab w:val="clear" w:pos="794"/>
                <w:tab w:val="clear" w:pos="1191"/>
                <w:tab w:val="clear" w:pos="1588"/>
                <w:tab w:val="clear" w:pos="1985"/>
                <w:tab w:val="left" w:pos="284"/>
              </w:tabs>
              <w:spacing w:before="0"/>
              <w:ind w:left="284" w:hanging="227"/>
              <w:jc w:val="right"/>
              <w:rPr>
                <w:sz w:val="22"/>
                <w:szCs w:val="22"/>
              </w:rPr>
            </w:pPr>
          </w:p>
        </w:tc>
      </w:tr>
      <w:tr w:rsidR="00517A03" w:rsidRPr="0068104A" w14:paraId="37EB72F8" w14:textId="77777777" w:rsidTr="00997AB4">
        <w:trPr>
          <w:gridBefore w:val="1"/>
          <w:gridAfter w:val="1"/>
          <w:wBefore w:w="8" w:type="dxa"/>
          <w:wAfter w:w="8" w:type="dxa"/>
          <w:cantSplit/>
          <w:trHeight w:val="680"/>
        </w:trPr>
        <w:tc>
          <w:tcPr>
            <w:tcW w:w="1126" w:type="dxa"/>
          </w:tcPr>
          <w:p w14:paraId="2560587B" w14:textId="77777777" w:rsidR="00517A03" w:rsidRPr="0068104A" w:rsidRDefault="00517A03" w:rsidP="001E2A4F">
            <w:pPr>
              <w:tabs>
                <w:tab w:val="left" w:pos="4111"/>
              </w:tabs>
              <w:spacing w:before="10"/>
              <w:ind w:left="57"/>
              <w:rPr>
                <w:b/>
                <w:bCs/>
                <w:sz w:val="22"/>
                <w:szCs w:val="22"/>
              </w:rPr>
            </w:pPr>
            <w:r w:rsidRPr="0068104A">
              <w:rPr>
                <w:b/>
                <w:bCs/>
                <w:sz w:val="22"/>
                <w:szCs w:val="22"/>
              </w:rPr>
              <w:t>Objet:</w:t>
            </w:r>
          </w:p>
        </w:tc>
        <w:tc>
          <w:tcPr>
            <w:tcW w:w="8789" w:type="dxa"/>
            <w:gridSpan w:val="5"/>
          </w:tcPr>
          <w:p w14:paraId="7C2F26AB" w14:textId="3774A5A8" w:rsidR="00517A03" w:rsidRPr="0068104A" w:rsidRDefault="00997AB4" w:rsidP="001E2A4F">
            <w:pPr>
              <w:tabs>
                <w:tab w:val="left" w:pos="4111"/>
              </w:tabs>
              <w:spacing w:before="0"/>
              <w:ind w:left="57"/>
              <w:rPr>
                <w:b/>
                <w:bCs/>
                <w:sz w:val="22"/>
                <w:szCs w:val="22"/>
              </w:rPr>
            </w:pPr>
            <w:r w:rsidRPr="0068104A">
              <w:rPr>
                <w:b/>
                <w:bCs/>
                <w:sz w:val="22"/>
                <w:szCs w:val="22"/>
              </w:rPr>
              <w:t xml:space="preserve">Webinaire conjoint UIT-MWF sur le thème </w:t>
            </w:r>
            <w:r w:rsidR="00C43545" w:rsidRPr="0068104A">
              <w:rPr>
                <w:b/>
                <w:bCs/>
                <w:sz w:val="22"/>
                <w:szCs w:val="22"/>
              </w:rPr>
              <w:t>"</w:t>
            </w:r>
            <w:r w:rsidRPr="0068104A">
              <w:rPr>
                <w:b/>
                <w:bCs/>
                <w:sz w:val="22"/>
                <w:szCs w:val="22"/>
              </w:rPr>
              <w:t>Comment remédier aux problèmes que posent les dispositifs mobiles de contrefaçon et illicites</w:t>
            </w:r>
            <w:r w:rsidR="00C43545" w:rsidRPr="0068104A">
              <w:rPr>
                <w:b/>
                <w:bCs/>
                <w:sz w:val="22"/>
                <w:szCs w:val="22"/>
              </w:rPr>
              <w:t>"</w:t>
            </w:r>
            <w:r w:rsidRPr="0068104A">
              <w:rPr>
                <w:b/>
                <w:bCs/>
                <w:sz w:val="22"/>
                <w:szCs w:val="22"/>
              </w:rPr>
              <w:t xml:space="preserve"> (manifestation entièrement virtuelle, 31 mai 2021)</w:t>
            </w:r>
          </w:p>
        </w:tc>
      </w:tr>
    </w:tbl>
    <w:p w14:paraId="5EA66FE1" w14:textId="77777777" w:rsidR="00517A03" w:rsidRPr="0068104A" w:rsidRDefault="00517A03" w:rsidP="00441CA9">
      <w:pPr>
        <w:spacing w:before="360"/>
        <w:rPr>
          <w:sz w:val="22"/>
          <w:szCs w:val="22"/>
        </w:rPr>
      </w:pPr>
      <w:bookmarkStart w:id="1" w:name="StartTyping_F"/>
      <w:bookmarkEnd w:id="1"/>
      <w:r w:rsidRPr="0068104A">
        <w:rPr>
          <w:sz w:val="22"/>
          <w:szCs w:val="22"/>
        </w:rPr>
        <w:t>Madame, Monsieur,</w:t>
      </w:r>
    </w:p>
    <w:p w14:paraId="0AF59D45" w14:textId="38783692" w:rsidR="00997AB4" w:rsidRPr="0068104A" w:rsidRDefault="00997AB4" w:rsidP="00441CA9">
      <w:pPr>
        <w:rPr>
          <w:bCs/>
          <w:sz w:val="22"/>
          <w:szCs w:val="22"/>
        </w:rPr>
      </w:pPr>
      <w:r w:rsidRPr="0068104A">
        <w:rPr>
          <w:bCs/>
          <w:sz w:val="22"/>
          <w:szCs w:val="22"/>
        </w:rPr>
        <w:t>1</w:t>
      </w:r>
      <w:r w:rsidRPr="0068104A">
        <w:rPr>
          <w:bCs/>
          <w:sz w:val="22"/>
          <w:szCs w:val="22"/>
        </w:rPr>
        <w:tab/>
        <w:t xml:space="preserve">J'ai l'honneur de vous inviter à participer au </w:t>
      </w:r>
      <w:r w:rsidRPr="0068104A">
        <w:rPr>
          <w:b/>
          <w:bCs/>
          <w:sz w:val="22"/>
          <w:szCs w:val="22"/>
        </w:rPr>
        <w:t>webinaire organisé conjointement par l'</w:t>
      </w:r>
      <w:r w:rsidR="00441CA9" w:rsidRPr="0068104A">
        <w:rPr>
          <w:b/>
          <w:bCs/>
          <w:sz w:val="22"/>
          <w:szCs w:val="22"/>
        </w:rPr>
        <w:t>UIT et </w:t>
      </w:r>
      <w:r w:rsidRPr="0068104A">
        <w:rPr>
          <w:b/>
          <w:bCs/>
          <w:sz w:val="22"/>
          <w:szCs w:val="22"/>
        </w:rPr>
        <w:t xml:space="preserve">le Mobile &amp; Wireless Forum (MWF), sur le thème </w:t>
      </w:r>
      <w:r w:rsidR="00C43545" w:rsidRPr="0068104A">
        <w:rPr>
          <w:b/>
          <w:bCs/>
          <w:sz w:val="22"/>
          <w:szCs w:val="22"/>
        </w:rPr>
        <w:t>"</w:t>
      </w:r>
      <w:r w:rsidRPr="0068104A">
        <w:rPr>
          <w:b/>
          <w:bCs/>
          <w:sz w:val="22"/>
          <w:szCs w:val="22"/>
        </w:rPr>
        <w:t xml:space="preserve">Comment remédier aux problèmes que posent les </w:t>
      </w:r>
      <w:proofErr w:type="gramStart"/>
      <w:r w:rsidRPr="0068104A">
        <w:rPr>
          <w:b/>
          <w:bCs/>
          <w:sz w:val="22"/>
          <w:szCs w:val="22"/>
        </w:rPr>
        <w:t>dispositifs</w:t>
      </w:r>
      <w:proofErr w:type="gramEnd"/>
      <w:r w:rsidRPr="0068104A">
        <w:rPr>
          <w:b/>
          <w:bCs/>
          <w:sz w:val="22"/>
          <w:szCs w:val="22"/>
        </w:rPr>
        <w:t xml:space="preserve"> mobiles de contrefaçon et illicites</w:t>
      </w:r>
      <w:r w:rsidR="00C43545" w:rsidRPr="0068104A">
        <w:rPr>
          <w:b/>
          <w:bCs/>
          <w:sz w:val="22"/>
          <w:szCs w:val="22"/>
        </w:rPr>
        <w:t>"</w:t>
      </w:r>
      <w:r w:rsidRPr="0068104A">
        <w:rPr>
          <w:bCs/>
          <w:sz w:val="22"/>
          <w:szCs w:val="22"/>
        </w:rPr>
        <w:t xml:space="preserve">, qui aura lieu le </w:t>
      </w:r>
      <w:r w:rsidRPr="0068104A">
        <w:rPr>
          <w:b/>
          <w:bCs/>
          <w:sz w:val="22"/>
          <w:szCs w:val="22"/>
        </w:rPr>
        <w:t xml:space="preserve">31 mai 2021 </w:t>
      </w:r>
      <w:r w:rsidRPr="0068104A">
        <w:rPr>
          <w:bCs/>
          <w:sz w:val="22"/>
          <w:szCs w:val="22"/>
        </w:rPr>
        <w:t>de 15 h</w:t>
      </w:r>
      <w:r w:rsidR="00441CA9" w:rsidRPr="0068104A">
        <w:rPr>
          <w:bCs/>
          <w:sz w:val="22"/>
          <w:szCs w:val="22"/>
        </w:rPr>
        <w:t xml:space="preserve"> 00 à </w:t>
      </w:r>
      <w:r w:rsidRPr="0068104A">
        <w:rPr>
          <w:bCs/>
          <w:sz w:val="22"/>
          <w:szCs w:val="22"/>
        </w:rPr>
        <w:t>18 h 15 CEST, heure de Genève.</w:t>
      </w:r>
    </w:p>
    <w:p w14:paraId="0B9F133F" w14:textId="1C606ABA" w:rsidR="00997AB4" w:rsidRPr="0068104A" w:rsidRDefault="00997AB4" w:rsidP="001E2A4F">
      <w:pPr>
        <w:rPr>
          <w:bCs/>
          <w:sz w:val="22"/>
          <w:szCs w:val="22"/>
        </w:rPr>
      </w:pPr>
      <w:r w:rsidRPr="0068104A">
        <w:rPr>
          <w:bCs/>
          <w:sz w:val="22"/>
          <w:szCs w:val="22"/>
        </w:rPr>
        <w:t>2</w:t>
      </w:r>
      <w:r w:rsidRPr="0068104A">
        <w:rPr>
          <w:bCs/>
          <w:sz w:val="22"/>
          <w:szCs w:val="22"/>
        </w:rPr>
        <w:tab/>
        <w:t>Les dispositifs mobiles de contrefaçon et illicites privent les gouvernements de recettes importantes, entraînent des pertes et des préjudices pour les propriétaires de marques et ont pour conséquence que les consommateurs se retrouvent en possession de dispositifs de moins bonne qualité, leur offrant une expérience moins bonne que ce qu'ils pouvaient espérer.</w:t>
      </w:r>
    </w:p>
    <w:p w14:paraId="70B20DAF" w14:textId="0DD4D988" w:rsidR="00997AB4" w:rsidRPr="0068104A" w:rsidRDefault="00997AB4" w:rsidP="001E2A4F">
      <w:pPr>
        <w:rPr>
          <w:bCs/>
          <w:sz w:val="22"/>
          <w:szCs w:val="22"/>
        </w:rPr>
      </w:pPr>
      <w:r w:rsidRPr="0068104A">
        <w:rPr>
          <w:bCs/>
          <w:sz w:val="22"/>
          <w:szCs w:val="22"/>
        </w:rPr>
        <w:t>3</w:t>
      </w:r>
      <w:r w:rsidRPr="0068104A">
        <w:rPr>
          <w:bCs/>
          <w:sz w:val="22"/>
          <w:szCs w:val="22"/>
        </w:rPr>
        <w:tab/>
        <w:t>Les travaux de normalisation visant à lutter contre la contrefaçon revêtent maintenant un intérêt majeur pour de nombreux États Membres, et plusieurs mesures encourageantes ont d'ores et déjà été prises avec succès.</w:t>
      </w:r>
    </w:p>
    <w:p w14:paraId="79C3DC72" w14:textId="67FD3C4F" w:rsidR="00997AB4" w:rsidRPr="0068104A" w:rsidRDefault="00997AB4" w:rsidP="001E2A4F">
      <w:pPr>
        <w:rPr>
          <w:bCs/>
          <w:sz w:val="22"/>
          <w:szCs w:val="22"/>
        </w:rPr>
      </w:pPr>
      <w:r w:rsidRPr="0068104A">
        <w:rPr>
          <w:bCs/>
          <w:sz w:val="22"/>
          <w:szCs w:val="22"/>
        </w:rPr>
        <w:t>4</w:t>
      </w:r>
      <w:r w:rsidRPr="0068104A">
        <w:rPr>
          <w:bCs/>
          <w:sz w:val="22"/>
          <w:szCs w:val="22"/>
        </w:rPr>
        <w:tab/>
        <w:t xml:space="preserve">Ce webinaire portera sur la mise en œuvre fructueuse de ces projets. Des exposés seront présentés par des spécialistes participant activement aux différentes phases du processus de mise en œuvre des projets en question. Conformément à la Résolution 90 de l'AMNT-16, intitulée </w:t>
      </w:r>
      <w:r w:rsidR="00C43545" w:rsidRPr="0068104A">
        <w:rPr>
          <w:bCs/>
          <w:sz w:val="22"/>
          <w:szCs w:val="22"/>
        </w:rPr>
        <w:t>"</w:t>
      </w:r>
      <w:r w:rsidRPr="0068104A">
        <w:rPr>
          <w:bCs/>
          <w:sz w:val="22"/>
          <w:szCs w:val="22"/>
        </w:rPr>
        <w:t>Code source ouvert au sein du Secteur de la normalisation des télécommunications de l'UIT</w:t>
      </w:r>
      <w:r w:rsidR="00C43545" w:rsidRPr="0068104A">
        <w:rPr>
          <w:bCs/>
          <w:sz w:val="22"/>
          <w:szCs w:val="22"/>
        </w:rPr>
        <w:t>"</w:t>
      </w:r>
      <w:r w:rsidRPr="0068104A">
        <w:rPr>
          <w:bCs/>
          <w:sz w:val="22"/>
          <w:szCs w:val="22"/>
        </w:rPr>
        <w:t>, l'UIT est favorable à la collaboration dans le cadre des projets faisant intervenir des logiciels à</w:t>
      </w:r>
      <w:r w:rsidRPr="0068104A" w:rsidDel="00865816">
        <w:rPr>
          <w:bCs/>
          <w:sz w:val="22"/>
          <w:szCs w:val="22"/>
        </w:rPr>
        <w:t xml:space="preserve"> </w:t>
      </w:r>
      <w:r w:rsidRPr="0068104A">
        <w:rPr>
          <w:bCs/>
          <w:sz w:val="22"/>
          <w:szCs w:val="22"/>
        </w:rPr>
        <w:t xml:space="preserve">code source ouvert, notamment ceux visant à lutter contre la contrefaçon. </w:t>
      </w:r>
    </w:p>
    <w:p w14:paraId="69ECF494" w14:textId="1349FF15" w:rsidR="00997AB4" w:rsidRPr="0068104A" w:rsidRDefault="00997AB4" w:rsidP="001E2A4F">
      <w:pPr>
        <w:rPr>
          <w:bCs/>
          <w:sz w:val="22"/>
          <w:szCs w:val="22"/>
        </w:rPr>
      </w:pPr>
      <w:r w:rsidRPr="0068104A">
        <w:rPr>
          <w:bCs/>
          <w:sz w:val="22"/>
          <w:szCs w:val="22"/>
        </w:rPr>
        <w:t>5</w:t>
      </w:r>
      <w:r w:rsidRPr="0068104A">
        <w:rPr>
          <w:bCs/>
          <w:sz w:val="22"/>
          <w:szCs w:val="22"/>
        </w:rPr>
        <w:tab/>
        <w:t>Ce webinaire sera l'occasion de donner un aperçu des activités de la CE 11 de l'UIT-T en matière de lutte contre la contrefaçon, de présenter une vue d'ensemble des différents cas d'utilisation dans diverses zones géographiques, et de discuter des solutions à code source ouvert susceptibles de remédier aux problèmes rencontrés.</w:t>
      </w:r>
    </w:p>
    <w:p w14:paraId="426FB2A6" w14:textId="1BA4A9E4" w:rsidR="00997AB4" w:rsidRDefault="00997AB4" w:rsidP="001E2A4F">
      <w:pPr>
        <w:rPr>
          <w:bCs/>
          <w:sz w:val="22"/>
          <w:szCs w:val="22"/>
        </w:rPr>
      </w:pPr>
      <w:r w:rsidRPr="0068104A">
        <w:rPr>
          <w:bCs/>
          <w:sz w:val="22"/>
          <w:szCs w:val="22"/>
        </w:rPr>
        <w:t>6</w:t>
      </w:r>
      <w:r w:rsidRPr="0068104A">
        <w:rPr>
          <w:bCs/>
          <w:sz w:val="22"/>
          <w:szCs w:val="22"/>
        </w:rPr>
        <w:tab/>
        <w:t>La participation au webinaire est ouverte aux membres et non-membres du MWF, et à tous les États Membres, Membres de Secteur, Associés de l'UIT et établissements universitaires participant aux travaux de l'UIT, ainsi qu'à toute personne issue d'un pays membre de l'UIT qui souhaite contribuer aux travaux. La participation est gratuite.</w:t>
      </w:r>
    </w:p>
    <w:p w14:paraId="17166121" w14:textId="77777777" w:rsidR="00E95351" w:rsidRPr="0068104A" w:rsidRDefault="00E95351" w:rsidP="001E2A4F">
      <w:pPr>
        <w:rPr>
          <w:bCs/>
          <w:sz w:val="22"/>
          <w:szCs w:val="22"/>
        </w:rPr>
      </w:pPr>
    </w:p>
    <w:p w14:paraId="52255ED3" w14:textId="7EB04E47" w:rsidR="00997AB4" w:rsidRPr="0068104A" w:rsidRDefault="00997AB4" w:rsidP="001E2A4F">
      <w:pPr>
        <w:rPr>
          <w:bCs/>
          <w:sz w:val="22"/>
          <w:szCs w:val="22"/>
        </w:rPr>
      </w:pPr>
      <w:r w:rsidRPr="0068104A">
        <w:rPr>
          <w:bCs/>
          <w:sz w:val="22"/>
          <w:szCs w:val="22"/>
        </w:rPr>
        <w:t>7</w:t>
      </w:r>
      <w:r w:rsidRPr="0068104A">
        <w:rPr>
          <w:bCs/>
          <w:sz w:val="22"/>
          <w:szCs w:val="22"/>
        </w:rPr>
        <w:tab/>
        <w:t xml:space="preserve">Toutes les informations pertinentes concernant ce webinaire virtuel, notamment le projet de programme, les intervenants, le lien pour la connexion à distance et les modalités d'inscription seront communiquées sur la page web consacrée à la manifestation à l'adresse suivante: </w:t>
      </w:r>
      <w:hyperlink r:id="rId10" w:history="1">
        <w:r w:rsidRPr="0068104A">
          <w:rPr>
            <w:rStyle w:val="Hyperlink"/>
            <w:bCs/>
            <w:sz w:val="22"/>
            <w:szCs w:val="22"/>
          </w:rPr>
          <w:t>https://itu.int/go/WCC-MD</w:t>
        </w:r>
      </w:hyperlink>
      <w:r w:rsidRPr="0068104A">
        <w:rPr>
          <w:bCs/>
          <w:sz w:val="22"/>
          <w:szCs w:val="22"/>
        </w:rPr>
        <w:t>. Cette page web sera actualisée périodiquement, à mesure que parviendront des informations nouvelles ou modifiées. Les participants sont priés de consulter régulièrement la page web pour prendre connaissances des dernières informations.</w:t>
      </w:r>
    </w:p>
    <w:p w14:paraId="4B3320B0" w14:textId="437A7386" w:rsidR="00997AB4" w:rsidRPr="0068104A" w:rsidRDefault="00997AB4" w:rsidP="001E2A4F">
      <w:pPr>
        <w:rPr>
          <w:sz w:val="22"/>
          <w:szCs w:val="22"/>
        </w:rPr>
      </w:pPr>
      <w:r w:rsidRPr="0068104A">
        <w:rPr>
          <w:sz w:val="22"/>
          <w:szCs w:val="22"/>
        </w:rPr>
        <w:t>Veuillez agréer, Madame, Monsieur, l'assurance de ma considération distinguée.</w:t>
      </w:r>
    </w:p>
    <w:p w14:paraId="2625176A" w14:textId="77777777" w:rsidR="00036F4F" w:rsidRPr="0068104A" w:rsidRDefault="00036F4F" w:rsidP="001E2A4F">
      <w:pPr>
        <w:keepNext/>
        <w:keepLines/>
        <w:spacing w:before="480" w:after="480"/>
        <w:rPr>
          <w:i/>
          <w:iCs/>
          <w:sz w:val="22"/>
          <w:szCs w:val="22"/>
        </w:rPr>
      </w:pPr>
      <w:r w:rsidRPr="0068104A">
        <w:rPr>
          <w:i/>
          <w:iCs/>
          <w:sz w:val="22"/>
          <w:szCs w:val="22"/>
        </w:rPr>
        <w:t>(</w:t>
      </w:r>
      <w:proofErr w:type="gramStart"/>
      <w:r w:rsidRPr="0068104A">
        <w:rPr>
          <w:i/>
          <w:iCs/>
          <w:sz w:val="22"/>
          <w:szCs w:val="22"/>
        </w:rPr>
        <w:t>signé</w:t>
      </w:r>
      <w:proofErr w:type="gramEnd"/>
      <w:r w:rsidRPr="0068104A">
        <w:rPr>
          <w:i/>
          <w:iCs/>
          <w:sz w:val="22"/>
          <w:szCs w:val="22"/>
        </w:rPr>
        <w:t>)</w:t>
      </w:r>
    </w:p>
    <w:p w14:paraId="78000AD5" w14:textId="77777777" w:rsidR="00517A03" w:rsidRPr="0068104A" w:rsidRDefault="00036F4F" w:rsidP="001E2A4F">
      <w:pPr>
        <w:keepNext/>
        <w:keepLines/>
        <w:spacing w:before="360"/>
        <w:ind w:right="-284"/>
        <w:rPr>
          <w:sz w:val="22"/>
          <w:szCs w:val="22"/>
        </w:rPr>
      </w:pPr>
      <w:r w:rsidRPr="0068104A">
        <w:rPr>
          <w:sz w:val="22"/>
          <w:szCs w:val="22"/>
        </w:rPr>
        <w:t>Chaesub Lee</w:t>
      </w:r>
      <w:r w:rsidRPr="0068104A">
        <w:rPr>
          <w:sz w:val="22"/>
          <w:szCs w:val="22"/>
        </w:rPr>
        <w:br/>
        <w:t xml:space="preserve">Directeur du Bureau de la normalisation </w:t>
      </w:r>
      <w:r w:rsidRPr="0068104A">
        <w:rPr>
          <w:sz w:val="22"/>
          <w:szCs w:val="22"/>
        </w:rPr>
        <w:br/>
        <w:t>des télécommunications</w:t>
      </w:r>
      <w:r w:rsidRPr="0068104A">
        <w:rPr>
          <w:b/>
          <w:sz w:val="22"/>
          <w:szCs w:val="22"/>
        </w:rPr>
        <w:t xml:space="preserve"> </w:t>
      </w:r>
    </w:p>
    <w:sectPr w:rsidR="00517A03" w:rsidRPr="0068104A" w:rsidSect="00A15179">
      <w:headerReference w:type="default" r:id="rId11"/>
      <w:footerReference w:type="first" r:id="rId1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81D1" w14:textId="77777777" w:rsidR="008B4963" w:rsidRDefault="008B4963">
      <w:r>
        <w:separator/>
      </w:r>
    </w:p>
  </w:endnote>
  <w:endnote w:type="continuationSeparator" w:id="0">
    <w:p w14:paraId="5D4D6687" w14:textId="77777777" w:rsidR="008B4963" w:rsidRDefault="008B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1B9C" w14:textId="77777777" w:rsidR="005120A2" w:rsidRPr="00E83E67"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E83E67">
      <w:rPr>
        <w:sz w:val="18"/>
        <w:szCs w:val="18"/>
        <w:lang w:val="fr-CH"/>
      </w:rPr>
      <w:t>Union internationale des télécommunications • Place des Nations</w:t>
    </w:r>
    <w:r w:rsidR="00085F5A" w:rsidRPr="00E83E67">
      <w:rPr>
        <w:sz w:val="18"/>
        <w:szCs w:val="18"/>
        <w:lang w:val="fr-CH"/>
      </w:rPr>
      <w:t xml:space="preserve"> •</w:t>
    </w:r>
    <w:r w:rsidRPr="00E83E67">
      <w:rPr>
        <w:sz w:val="18"/>
        <w:szCs w:val="18"/>
        <w:lang w:val="fr-CH"/>
      </w:rPr>
      <w:t xml:space="preserve"> CH</w:t>
    </w:r>
    <w:r w:rsidRPr="00E83E67">
      <w:rPr>
        <w:sz w:val="18"/>
        <w:szCs w:val="18"/>
        <w:lang w:val="fr-CH"/>
      </w:rPr>
      <w:noBreakHyphen/>
      <w:t>1211 Genève 20</w:t>
    </w:r>
    <w:r w:rsidR="00085F5A" w:rsidRPr="00E83E67">
      <w:rPr>
        <w:sz w:val="18"/>
        <w:szCs w:val="18"/>
        <w:lang w:val="fr-CH"/>
      </w:rPr>
      <w:t xml:space="preserve"> •</w:t>
    </w:r>
    <w:r w:rsidRPr="00E83E67">
      <w:rPr>
        <w:sz w:val="18"/>
        <w:szCs w:val="18"/>
        <w:lang w:val="fr-CH"/>
      </w:rPr>
      <w:t xml:space="preserve"> Suisse </w:t>
    </w:r>
    <w:r w:rsidRPr="00E83E67">
      <w:rPr>
        <w:sz w:val="18"/>
        <w:szCs w:val="18"/>
        <w:lang w:val="fr-CH"/>
      </w:rPr>
      <w:br/>
      <w:t>Tél</w:t>
    </w:r>
    <w:r w:rsidR="00085F5A" w:rsidRPr="00E83E67">
      <w:rPr>
        <w:sz w:val="18"/>
        <w:szCs w:val="18"/>
        <w:lang w:val="fr-CH"/>
      </w:rPr>
      <w:t>.</w:t>
    </w:r>
    <w:r w:rsidRPr="00E83E67">
      <w:rPr>
        <w:sz w:val="18"/>
        <w:szCs w:val="18"/>
        <w:lang w:val="fr-CH"/>
      </w:rPr>
      <w:t xml:space="preserve">: +41 22 730 5111 • Fax: +41 22 733 7256 • </w:t>
    </w:r>
    <w:r w:rsidR="00085F5A" w:rsidRPr="00E83E67">
      <w:rPr>
        <w:sz w:val="18"/>
        <w:szCs w:val="18"/>
        <w:lang w:val="fr-CH"/>
      </w:rPr>
      <w:t>Courriel</w:t>
    </w:r>
    <w:r w:rsidRPr="00E83E67">
      <w:rPr>
        <w:sz w:val="18"/>
        <w:szCs w:val="18"/>
        <w:lang w:val="fr-CH"/>
      </w:rPr>
      <w:t xml:space="preserve">: </w:t>
    </w:r>
    <w:hyperlink r:id="rId1" w:history="1">
      <w:r w:rsidRPr="00E83E67">
        <w:rPr>
          <w:rStyle w:val="Hyperlink"/>
          <w:sz w:val="18"/>
          <w:szCs w:val="18"/>
        </w:rPr>
        <w:t>itumail@itu.int</w:t>
      </w:r>
    </w:hyperlink>
    <w:r w:rsidRPr="00E83E67">
      <w:rPr>
        <w:sz w:val="18"/>
        <w:szCs w:val="18"/>
        <w:lang w:val="fr-CH"/>
      </w:rPr>
      <w:t xml:space="preserve"> • </w:t>
    </w:r>
    <w:hyperlink r:id="rId2" w:history="1">
      <w:r w:rsidRPr="00E83E67">
        <w:rPr>
          <w:rStyle w:val="Hyperlink"/>
          <w:sz w:val="18"/>
          <w:szCs w:val="18"/>
        </w:rPr>
        <w:t>www.itu.int</w:t>
      </w:r>
    </w:hyperlink>
    <w:r w:rsidRPr="00E83E67">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301B" w14:textId="77777777" w:rsidR="008B4963" w:rsidRDefault="008B4963">
      <w:r>
        <w:t>____________________</w:t>
      </w:r>
    </w:p>
  </w:footnote>
  <w:footnote w:type="continuationSeparator" w:id="0">
    <w:p w14:paraId="14F98877" w14:textId="77777777" w:rsidR="008B4963" w:rsidRDefault="008B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3939" w14:textId="57209EAA" w:rsidR="00997AB4" w:rsidRPr="00697BC1" w:rsidRDefault="00E95351"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E83E67">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997AB4">
      <w:rPr>
        <w:noProof/>
        <w:sz w:val="18"/>
        <w:szCs w:val="16"/>
      </w:rPr>
      <w:br/>
      <w:t>Circulaire TSB 309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E7"/>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E2A4F"/>
    <w:rsid w:val="002152A3"/>
    <w:rsid w:val="002E395D"/>
    <w:rsid w:val="003131F0"/>
    <w:rsid w:val="00333A80"/>
    <w:rsid w:val="003364AD"/>
    <w:rsid w:val="00341117"/>
    <w:rsid w:val="00364E95"/>
    <w:rsid w:val="00372875"/>
    <w:rsid w:val="003B1E80"/>
    <w:rsid w:val="003B66E8"/>
    <w:rsid w:val="004033F1"/>
    <w:rsid w:val="00414B0C"/>
    <w:rsid w:val="00423C21"/>
    <w:rsid w:val="004257AC"/>
    <w:rsid w:val="00432422"/>
    <w:rsid w:val="0043711B"/>
    <w:rsid w:val="00441CA9"/>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8104A"/>
    <w:rsid w:val="00697BC1"/>
    <w:rsid w:val="006A6FFE"/>
    <w:rsid w:val="006C5A91"/>
    <w:rsid w:val="006D04E7"/>
    <w:rsid w:val="00716BBC"/>
    <w:rsid w:val="007321BC"/>
    <w:rsid w:val="00760063"/>
    <w:rsid w:val="00775E4B"/>
    <w:rsid w:val="0079553B"/>
    <w:rsid w:val="00795679"/>
    <w:rsid w:val="007A40FE"/>
    <w:rsid w:val="007D78C3"/>
    <w:rsid w:val="00810105"/>
    <w:rsid w:val="008157E0"/>
    <w:rsid w:val="00850477"/>
    <w:rsid w:val="00854E1D"/>
    <w:rsid w:val="00887FA6"/>
    <w:rsid w:val="008B4963"/>
    <w:rsid w:val="008C4397"/>
    <w:rsid w:val="008C465A"/>
    <w:rsid w:val="008F2C9B"/>
    <w:rsid w:val="00923CD6"/>
    <w:rsid w:val="00935AA8"/>
    <w:rsid w:val="00971C9A"/>
    <w:rsid w:val="00997AB4"/>
    <w:rsid w:val="009D51FA"/>
    <w:rsid w:val="009F1E23"/>
    <w:rsid w:val="00A15179"/>
    <w:rsid w:val="00A51537"/>
    <w:rsid w:val="00A5280F"/>
    <w:rsid w:val="00A5645A"/>
    <w:rsid w:val="00A60FC1"/>
    <w:rsid w:val="00A97C37"/>
    <w:rsid w:val="00AA131B"/>
    <w:rsid w:val="00AC37B5"/>
    <w:rsid w:val="00AD752F"/>
    <w:rsid w:val="00AF08A4"/>
    <w:rsid w:val="00B05F0E"/>
    <w:rsid w:val="00B27B41"/>
    <w:rsid w:val="00B42659"/>
    <w:rsid w:val="00B8573E"/>
    <w:rsid w:val="00BB24C0"/>
    <w:rsid w:val="00BD6ECF"/>
    <w:rsid w:val="00C26F2E"/>
    <w:rsid w:val="00C302E3"/>
    <w:rsid w:val="00C43545"/>
    <w:rsid w:val="00C45376"/>
    <w:rsid w:val="00C453D5"/>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83E67"/>
    <w:rsid w:val="00E9535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5C91F7"/>
  <w15:docId w15:val="{E5451E2E-A8DB-4F28-8863-E4440BC8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997AB4"/>
    <w:rPr>
      <w:color w:val="605E5C"/>
      <w:shd w:val="clear" w:color="auto" w:fill="E1DFDD"/>
    </w:rPr>
  </w:style>
  <w:style w:type="character" w:styleId="FollowedHyperlink">
    <w:name w:val="FollowedHyperlink"/>
    <w:basedOn w:val="DefaultParagraphFont"/>
    <w:semiHidden/>
    <w:unhideWhenUsed/>
    <w:rsid w:val="00C435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go/WCC-MD"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3FA2-7496-4D2A-8D1B-D8636891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28</TotalTime>
  <Pages>2</Pages>
  <Words>544</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3778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Collonge, Marion</dc:creator>
  <cp:lastModifiedBy>Maguire, Mairéad</cp:lastModifiedBy>
  <cp:revision>11</cp:revision>
  <cp:lastPrinted>2011-04-15T08:01:00Z</cp:lastPrinted>
  <dcterms:created xsi:type="dcterms:W3CDTF">2021-04-23T12:11:00Z</dcterms:created>
  <dcterms:modified xsi:type="dcterms:W3CDTF">2021-04-30T09:40:00Z</dcterms:modified>
</cp:coreProperties>
</file>