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0A804E4" w14:textId="77777777" w:rsidTr="00D517B2">
        <w:trPr>
          <w:cantSplit/>
          <w:trHeight w:val="1134"/>
        </w:trPr>
        <w:tc>
          <w:tcPr>
            <w:tcW w:w="798" w:type="pct"/>
          </w:tcPr>
          <w:p w14:paraId="6EE7F2F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FC1E148" wp14:editId="3BEC51E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36200F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1CD00E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3F01DB" w:rsidRPr="00D517B2" w14:paraId="30BC11D1" w14:textId="77777777" w:rsidTr="00074BFD">
        <w:trPr>
          <w:cantSplit/>
          <w:trHeight w:val="700"/>
          <w:jc w:val="center"/>
        </w:trPr>
        <w:tc>
          <w:tcPr>
            <w:tcW w:w="2794" w:type="pct"/>
            <w:gridSpan w:val="2"/>
          </w:tcPr>
          <w:p w14:paraId="62A0738C" w14:textId="77777777" w:rsidR="003F01DB" w:rsidRPr="001F7988" w:rsidRDefault="003F01DB" w:rsidP="001F7988">
            <w:pPr>
              <w:spacing w:before="0" w:line="26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07DAF54" w14:textId="396EF96E" w:rsidR="003F01DB" w:rsidRPr="001F7988" w:rsidRDefault="003F01DB" w:rsidP="003F01DB">
            <w:pPr>
              <w:spacing w:before="480" w:after="12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3</w:t>
            </w:r>
            <w:r>
              <w:rPr>
                <w:rFonts w:hint="cs"/>
                <w:position w:val="2"/>
                <w:rtl/>
                <w:lang w:bidi="ar-EG"/>
              </w:rPr>
              <w:t xml:space="preserve"> يونيو </w:t>
            </w:r>
            <w:r>
              <w:rPr>
                <w:position w:val="2"/>
                <w:lang w:bidi="ar-EG"/>
              </w:rPr>
              <w:t>2021</w:t>
            </w:r>
          </w:p>
        </w:tc>
      </w:tr>
      <w:tr w:rsidR="00E84438" w:rsidRPr="00D517B2" w14:paraId="3A308A4C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5D45533" w14:textId="77777777" w:rsidR="00E84438" w:rsidRPr="000620E9" w:rsidRDefault="00E8443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0620E9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8EBEBFC" w14:textId="77777777" w:rsidR="003F01DB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FB51DD">
              <w:rPr>
                <w:b/>
                <w:position w:val="2"/>
              </w:rPr>
              <w:t>324</w:t>
            </w:r>
          </w:p>
          <w:p w14:paraId="3DD529F1" w14:textId="173B4C54" w:rsidR="00E84438" w:rsidRPr="00D517B2" w:rsidRDefault="00FB51DD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C90FE9">
              <w:rPr>
                <w:bCs/>
                <w:position w:val="2"/>
                <w:lang w:bidi="ar-EG"/>
              </w:rPr>
              <w:t>TSB Events/X</w:t>
            </w:r>
            <w:r>
              <w:rPr>
                <w:bCs/>
                <w:position w:val="2"/>
                <w:lang w:bidi="ar-EG"/>
              </w:rPr>
              <w:t>A</w:t>
            </w:r>
          </w:p>
        </w:tc>
        <w:tc>
          <w:tcPr>
            <w:tcW w:w="2206" w:type="pct"/>
            <w:vMerge w:val="restart"/>
          </w:tcPr>
          <w:p w14:paraId="35B6E708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4C9E7A3" w14:textId="77777777" w:rsidR="00E84438" w:rsidRPr="00FB5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B51DD">
              <w:rPr>
                <w:rFonts w:hint="cs"/>
                <w:position w:val="2"/>
                <w:rtl/>
              </w:rPr>
              <w:t>-</w:t>
            </w:r>
            <w:r w:rsidRPr="00FB51DD">
              <w:rPr>
                <w:position w:val="2"/>
                <w:rtl/>
              </w:rPr>
              <w:tab/>
            </w:r>
            <w:r w:rsidRPr="00FB51DD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0C827DE" w14:textId="77777777" w:rsidR="00002A63" w:rsidRPr="00FB51DD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FB51DD">
              <w:rPr>
                <w:rFonts w:hint="cs"/>
                <w:position w:val="2"/>
                <w:rtl/>
              </w:rPr>
              <w:t>-</w:t>
            </w:r>
            <w:r w:rsidRPr="00FB51DD">
              <w:rPr>
                <w:position w:val="2"/>
                <w:rtl/>
              </w:rPr>
              <w:tab/>
            </w:r>
            <w:r w:rsidRPr="00FB51DD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69AE2658" w14:textId="77777777" w:rsidR="00002A63" w:rsidRPr="00FB51DD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FB51DD">
              <w:rPr>
                <w:rFonts w:hint="cs"/>
                <w:position w:val="2"/>
                <w:rtl/>
              </w:rPr>
              <w:t>-</w:t>
            </w:r>
            <w:r w:rsidRPr="00FB51DD">
              <w:rPr>
                <w:position w:val="2"/>
                <w:rtl/>
              </w:rPr>
              <w:tab/>
            </w:r>
            <w:r w:rsidRPr="00FB51DD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5901EEBC" w14:textId="331B8865" w:rsidR="00FB51DD" w:rsidRPr="00FB51DD" w:rsidRDefault="00002A63" w:rsidP="00FB51D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B51DD">
              <w:rPr>
                <w:rFonts w:hint="cs"/>
                <w:position w:val="2"/>
                <w:rtl/>
              </w:rPr>
              <w:t>-</w:t>
            </w:r>
            <w:r w:rsidRPr="00FB51DD">
              <w:rPr>
                <w:position w:val="2"/>
                <w:rtl/>
              </w:rPr>
              <w:tab/>
            </w:r>
            <w:r w:rsidRPr="00FB51DD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FB51DD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FB51DD" w:rsidRPr="00D517B2" w14:paraId="2B51088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0C9BC50" w14:textId="6757C8EB" w:rsidR="00FB51DD" w:rsidRPr="000620E9" w:rsidRDefault="00FB51DD" w:rsidP="00FB51DD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620E9">
              <w:rPr>
                <w:rFonts w:hint="cs"/>
                <w:position w:val="2"/>
                <w:rtl/>
                <w:lang w:bidi="ar-EG"/>
              </w:rPr>
              <w:t>للاتصال:</w:t>
            </w:r>
          </w:p>
        </w:tc>
        <w:tc>
          <w:tcPr>
            <w:tcW w:w="1998" w:type="pct"/>
          </w:tcPr>
          <w:p w14:paraId="5649ED8D" w14:textId="2085D0AF" w:rsidR="00FB51DD" w:rsidRPr="00D517B2" w:rsidRDefault="00FB51DD" w:rsidP="00FB51DD">
            <w:pPr>
              <w:spacing w:before="80" w:after="60" w:line="300" w:lineRule="exact"/>
              <w:jc w:val="left"/>
              <w:rPr>
                <w:position w:val="2"/>
              </w:rPr>
            </w:pPr>
            <w:bookmarkStart w:id="0" w:name="lt_pId040"/>
            <w:r w:rsidRPr="00C31139">
              <w:rPr>
                <w:b/>
                <w:position w:val="2"/>
                <w:lang w:val="en-GB"/>
              </w:rPr>
              <w:t>Xiaoya YANG</w:t>
            </w:r>
            <w:bookmarkEnd w:id="0"/>
          </w:p>
        </w:tc>
        <w:tc>
          <w:tcPr>
            <w:tcW w:w="2206" w:type="pct"/>
            <w:vMerge/>
          </w:tcPr>
          <w:p w14:paraId="6D2B25AB" w14:textId="77777777" w:rsidR="00FB51DD" w:rsidRPr="00D517B2" w:rsidRDefault="00FB51DD" w:rsidP="00FB51D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B51DD" w:rsidRPr="00D517B2" w14:paraId="66807CC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33663F1" w14:textId="77777777" w:rsidR="00FB51DD" w:rsidRPr="000620E9" w:rsidRDefault="00FB51DD" w:rsidP="00FB51DD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0620E9">
              <w:rPr>
                <w:rFonts w:hint="cs"/>
                <w:position w:val="2"/>
                <w:rtl/>
                <w:lang w:bidi="ar-EG"/>
              </w:rPr>
              <w:t>ال</w:t>
            </w:r>
            <w:r w:rsidRPr="000620E9">
              <w:rPr>
                <w:rFonts w:hint="cs"/>
                <w:position w:val="2"/>
                <w:rtl/>
                <w:lang w:bidi="ar-SY"/>
              </w:rPr>
              <w:t>هاتف</w:t>
            </w:r>
            <w:r w:rsidRPr="000620E9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8A508B1" w14:textId="1619FF8E" w:rsidR="00FB51DD" w:rsidRPr="00D517B2" w:rsidRDefault="00FB51DD" w:rsidP="00FB51DD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6206</w:t>
            </w:r>
          </w:p>
        </w:tc>
        <w:tc>
          <w:tcPr>
            <w:tcW w:w="2206" w:type="pct"/>
            <w:vMerge/>
          </w:tcPr>
          <w:p w14:paraId="3E4B36C2" w14:textId="77777777" w:rsidR="00FB51DD" w:rsidRPr="00D517B2" w:rsidRDefault="00FB51DD" w:rsidP="00FB51D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B51DD" w:rsidRPr="00D517B2" w14:paraId="61D38C09" w14:textId="77777777" w:rsidTr="000620E9">
        <w:trPr>
          <w:cantSplit/>
          <w:trHeight w:val="489"/>
          <w:jc w:val="center"/>
        </w:trPr>
        <w:tc>
          <w:tcPr>
            <w:tcW w:w="796" w:type="pct"/>
          </w:tcPr>
          <w:p w14:paraId="6A3ECE81" w14:textId="77777777" w:rsidR="00FB51DD" w:rsidRPr="000620E9" w:rsidRDefault="00FB51DD" w:rsidP="00FB51DD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620E9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6851544" w14:textId="77777777" w:rsidR="00FB51DD" w:rsidRPr="00D517B2" w:rsidRDefault="00FB51DD" w:rsidP="00FB51DD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3A8D827B" w14:textId="77777777" w:rsidR="00FB51DD" w:rsidRPr="00D517B2" w:rsidRDefault="00FB51DD" w:rsidP="00FB51D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B51DD" w:rsidRPr="00D517B2" w14:paraId="71B3B8CB" w14:textId="77777777" w:rsidTr="00D517B2">
        <w:trPr>
          <w:cantSplit/>
          <w:jc w:val="center"/>
        </w:trPr>
        <w:tc>
          <w:tcPr>
            <w:tcW w:w="796" w:type="pct"/>
          </w:tcPr>
          <w:p w14:paraId="0BB02FEE" w14:textId="77777777" w:rsidR="00FB51DD" w:rsidRPr="000620E9" w:rsidRDefault="00FB51DD" w:rsidP="00FB51D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620E9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12B7E34" w14:textId="03101C76" w:rsidR="00FB51DD" w:rsidRPr="006E1BAD" w:rsidRDefault="001C2E83" w:rsidP="00FB51DD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FB51DD" w:rsidRPr="007417EE">
                <w:rPr>
                  <w:color w:val="0000FF"/>
                  <w:u w:val="single"/>
                </w:rPr>
                <w:t>tsbevents@itu.int</w:t>
              </w:r>
            </w:hyperlink>
          </w:p>
        </w:tc>
        <w:tc>
          <w:tcPr>
            <w:tcW w:w="2206" w:type="pct"/>
          </w:tcPr>
          <w:p w14:paraId="7C9541F7" w14:textId="77777777" w:rsidR="00FB51DD" w:rsidRPr="00FB51DD" w:rsidRDefault="00FB51DD" w:rsidP="00FB51D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FB5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125E158" w14:textId="77777777" w:rsidR="00FB51DD" w:rsidRPr="00197741" w:rsidRDefault="00FB51DD" w:rsidP="00FB51DD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spacing w:val="-8"/>
                <w:position w:val="2"/>
                <w:rtl/>
              </w:rPr>
            </w:pPr>
            <w:r w:rsidRPr="00FB51DD">
              <w:rPr>
                <w:rFonts w:hint="cs"/>
                <w:position w:val="2"/>
                <w:rtl/>
              </w:rPr>
              <w:t>-</w:t>
            </w:r>
            <w:r w:rsidRPr="00FB51DD">
              <w:rPr>
                <w:position w:val="2"/>
                <w:rtl/>
              </w:rPr>
              <w:tab/>
            </w:r>
            <w:r w:rsidRPr="00197741">
              <w:rPr>
                <w:rFonts w:hint="cs"/>
                <w:spacing w:val="-8"/>
                <w:position w:val="2"/>
                <w:rtl/>
              </w:rPr>
              <w:t>رؤساء لجان الدراسات</w:t>
            </w:r>
            <w:r w:rsidRPr="00197741">
              <w:rPr>
                <w:rFonts w:hint="cs"/>
                <w:spacing w:val="-8"/>
                <w:position w:val="2"/>
                <w:rtl/>
                <w:lang w:bidi="ar-EG"/>
              </w:rPr>
              <w:t xml:space="preserve"> </w:t>
            </w:r>
            <w:r w:rsidRPr="00197741">
              <w:rPr>
                <w:rFonts w:hint="cs"/>
                <w:spacing w:val="-8"/>
                <w:position w:val="2"/>
                <w:rtl/>
              </w:rPr>
              <w:t>ل</w:t>
            </w:r>
            <w:r w:rsidRPr="00197741">
              <w:rPr>
                <w:spacing w:val="-8"/>
                <w:position w:val="2"/>
                <w:rtl/>
              </w:rPr>
              <w:t>قطاع تقييس الاتصالات</w:t>
            </w:r>
            <w:r w:rsidRPr="00197741">
              <w:rPr>
                <w:rFonts w:hint="cs"/>
                <w:spacing w:val="-8"/>
                <w:position w:val="2"/>
                <w:rtl/>
                <w:lang w:bidi="ar-EG"/>
              </w:rPr>
              <w:t xml:space="preserve"> ونوابهم</w:t>
            </w:r>
            <w:r w:rsidRPr="00197741">
              <w:rPr>
                <w:rFonts w:hint="cs"/>
                <w:spacing w:val="-8"/>
                <w:position w:val="2"/>
                <w:rtl/>
              </w:rPr>
              <w:t>؛</w:t>
            </w:r>
          </w:p>
          <w:p w14:paraId="69D56FB7" w14:textId="77777777" w:rsidR="00FB51DD" w:rsidRPr="00FB51DD" w:rsidRDefault="00FB51DD" w:rsidP="00FB51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FB51DD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FB51DD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FB51DD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FB51DD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FB51DD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C2BA708" w14:textId="77777777" w:rsidR="00FB51DD" w:rsidRPr="00FB51DD" w:rsidRDefault="00FB51DD" w:rsidP="00FB51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FB51DD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FB51DD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3F67F3" w:rsidRPr="00D517B2" w14:paraId="0D8B7344" w14:textId="77777777" w:rsidTr="00D517B2">
        <w:trPr>
          <w:cantSplit/>
          <w:jc w:val="center"/>
        </w:trPr>
        <w:tc>
          <w:tcPr>
            <w:tcW w:w="796" w:type="pct"/>
          </w:tcPr>
          <w:p w14:paraId="055EBD19" w14:textId="77777777" w:rsidR="003F67F3" w:rsidRPr="00A9156F" w:rsidRDefault="003F67F3" w:rsidP="003F67F3">
            <w:pPr>
              <w:spacing w:before="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1E891F88" w14:textId="77777777" w:rsidR="003F67F3" w:rsidRPr="00F236CA" w:rsidRDefault="003F67F3" w:rsidP="003F67F3">
            <w:pPr>
              <w:spacing w:before="0" w:line="300" w:lineRule="exact"/>
              <w:jc w:val="left"/>
              <w:rPr>
                <w:b/>
                <w:bCs/>
                <w:spacing w:val="2"/>
                <w:position w:val="2"/>
                <w:rtl/>
                <w:lang w:bidi="ar-EG"/>
              </w:rPr>
            </w:pPr>
          </w:p>
        </w:tc>
      </w:tr>
      <w:tr w:rsidR="00FB51DD" w:rsidRPr="00D517B2" w14:paraId="34BDA613" w14:textId="77777777" w:rsidTr="00D517B2">
        <w:trPr>
          <w:cantSplit/>
          <w:jc w:val="center"/>
        </w:trPr>
        <w:tc>
          <w:tcPr>
            <w:tcW w:w="796" w:type="pct"/>
          </w:tcPr>
          <w:p w14:paraId="7416FD84" w14:textId="77777777" w:rsidR="00FB51DD" w:rsidRPr="00A9156F" w:rsidRDefault="00FB51DD" w:rsidP="00FB51D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F132794" w14:textId="77777777" w:rsidR="003F01DB" w:rsidRDefault="00FB51DD" w:rsidP="00A93534">
            <w:pPr>
              <w:spacing w:before="80" w:line="300" w:lineRule="exact"/>
              <w:jc w:val="left"/>
              <w:rPr>
                <w:b/>
                <w:bCs/>
                <w:spacing w:val="2"/>
                <w:position w:val="2"/>
                <w:rtl/>
                <w:lang w:bidi="ar-EG"/>
              </w:rPr>
            </w:pPr>
            <w:r w:rsidRPr="00F236CA">
              <w:rPr>
                <w:rFonts w:hint="cs"/>
                <w:b/>
                <w:bCs/>
                <w:spacing w:val="2"/>
                <w:position w:val="2"/>
                <w:rtl/>
              </w:rPr>
              <w:t>سلسلة الحلقات الدراسية الإلكترونية بشأن تكنولوجيا المعلومات الكمومية</w:t>
            </w:r>
            <w:r w:rsidRPr="00F236CA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Pr="00F236CA">
              <w:rPr>
                <w:b/>
                <w:bCs/>
                <w:spacing w:val="2"/>
                <w:position w:val="2"/>
              </w:rPr>
              <w:t>(QIT)</w:t>
            </w:r>
            <w:r w:rsidRPr="00F236CA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</w:t>
            </w:r>
          </w:p>
          <w:p w14:paraId="3108AC10" w14:textId="21185F77" w:rsidR="00FB51DD" w:rsidRPr="00D517B2" w:rsidRDefault="00197741" w:rsidP="00A93534">
            <w:pPr>
              <w:spacing w:before="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(</w:t>
            </w:r>
            <w:r w:rsidR="00E848EE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الحلقة4:</w:t>
            </w:r>
            <w:r w:rsidR="00FB51DD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</w:t>
            </w:r>
            <w:r w:rsidR="00FB51DD" w:rsidRPr="00F236CA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اجتماع افتراضي بالكامل،</w:t>
            </w:r>
            <w:r w:rsidR="00FB51DD" w:rsidRPr="00F236CA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="00FB51DD">
              <w:rPr>
                <w:b/>
                <w:bCs/>
                <w:spacing w:val="2"/>
                <w:position w:val="2"/>
              </w:rPr>
              <w:t>23</w:t>
            </w:r>
            <w:r w:rsidR="00FB51DD" w:rsidRPr="00F236CA">
              <w:rPr>
                <w:rFonts w:hint="cs"/>
                <w:b/>
                <w:bCs/>
                <w:spacing w:val="2"/>
                <w:position w:val="2"/>
                <w:rtl/>
                <w:lang w:val="en-GB"/>
              </w:rPr>
              <w:t xml:space="preserve"> </w:t>
            </w:r>
            <w:r w:rsidR="00FB51DD">
              <w:rPr>
                <w:rFonts w:hint="cs"/>
                <w:b/>
                <w:bCs/>
                <w:spacing w:val="2"/>
                <w:position w:val="2"/>
                <w:rtl/>
                <w:lang w:val="en-GB"/>
              </w:rPr>
              <w:t xml:space="preserve">يونيو </w:t>
            </w:r>
            <w:r w:rsidR="00FB51DD">
              <w:rPr>
                <w:b/>
                <w:bCs/>
                <w:spacing w:val="2"/>
                <w:position w:val="2"/>
              </w:rPr>
              <w:t>2021</w:t>
            </w:r>
            <w:r w:rsidR="00FB51DD" w:rsidRPr="00F236CA">
              <w:rPr>
                <w:rFonts w:hint="cs"/>
                <w:b/>
                <w:bCs/>
                <w:spacing w:val="2"/>
                <w:position w:val="2"/>
                <w:rtl/>
                <w:lang w:val="en-GB"/>
              </w:rPr>
              <w:t>)</w:t>
            </w:r>
          </w:p>
        </w:tc>
      </w:tr>
    </w:tbl>
    <w:p w14:paraId="6A98EC95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7B90D7D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1472377" w14:textId="1519D684" w:rsidR="00D517B2" w:rsidRPr="007A7992" w:rsidRDefault="00FB51DD" w:rsidP="00D517B2">
      <w:pPr>
        <w:rPr>
          <w:spacing w:val="2"/>
          <w:rtl/>
        </w:rPr>
      </w:pPr>
      <w:r w:rsidRPr="007A7992">
        <w:rPr>
          <w:rFonts w:hint="cs"/>
          <w:spacing w:val="2"/>
          <w:rtl/>
          <w:lang w:bidi="ar-SY"/>
        </w:rPr>
        <w:t>1</w:t>
      </w:r>
      <w:r w:rsidRPr="007A7992">
        <w:rPr>
          <w:spacing w:val="2"/>
          <w:rtl/>
          <w:lang w:bidi="ar-SY"/>
        </w:rPr>
        <w:tab/>
      </w:r>
      <w:r w:rsidRPr="007A7992">
        <w:rPr>
          <w:rFonts w:hint="cs"/>
          <w:spacing w:val="2"/>
          <w:rtl/>
        </w:rPr>
        <w:t xml:space="preserve">الاتحاد الدولي للاتصالات </w:t>
      </w:r>
      <w:r w:rsidRPr="007A7992">
        <w:rPr>
          <w:spacing w:val="2"/>
        </w:rPr>
        <w:t>(ITU)</w:t>
      </w:r>
      <w:r w:rsidRPr="007A7992">
        <w:rPr>
          <w:rFonts w:hint="cs"/>
          <w:spacing w:val="2"/>
          <w:rtl/>
          <w:lang w:bidi="ar-EG"/>
        </w:rPr>
        <w:t xml:space="preserve"> بصدد تنظيم</w:t>
      </w:r>
      <w:r w:rsidR="001E6AB3" w:rsidRPr="007A7992">
        <w:rPr>
          <w:rFonts w:hint="cs"/>
          <w:spacing w:val="2"/>
          <w:rtl/>
          <w:lang w:bidi="ar-EG"/>
        </w:rPr>
        <w:t xml:space="preserve"> الحلقة الرابعة</w:t>
      </w:r>
      <w:r w:rsidR="00D03721" w:rsidRPr="007A7992">
        <w:rPr>
          <w:rFonts w:hint="cs"/>
          <w:spacing w:val="2"/>
          <w:rtl/>
          <w:lang w:bidi="ar-EG"/>
        </w:rPr>
        <w:t xml:space="preserve"> من سلسلة الحلقات الدراسية الإلكترونية</w:t>
      </w:r>
      <w:r w:rsidR="008D0B49" w:rsidRPr="007A7992">
        <w:rPr>
          <w:rFonts w:hint="cs"/>
          <w:spacing w:val="2"/>
          <w:rtl/>
          <w:lang w:bidi="ar-EG"/>
        </w:rPr>
        <w:t xml:space="preserve"> بشأن</w:t>
      </w:r>
      <w:r w:rsidR="001E6AB3" w:rsidRPr="007A7992">
        <w:rPr>
          <w:rFonts w:hint="cs"/>
          <w:spacing w:val="2"/>
          <w:rtl/>
          <w:lang w:bidi="ar-EG"/>
        </w:rPr>
        <w:t xml:space="preserve"> </w:t>
      </w:r>
      <w:hyperlink r:id="rId10" w:history="1">
        <w:r w:rsidRPr="007A7992">
          <w:rPr>
            <w:rStyle w:val="Hyperlink"/>
            <w:rFonts w:hint="cs"/>
            <w:b/>
            <w:bCs/>
            <w:spacing w:val="2"/>
            <w:rtl/>
            <w:lang w:bidi="ar-EG"/>
          </w:rPr>
          <w:t>تكنولوجيا المعلومات الكمومية </w:t>
        </w:r>
        <w:r w:rsidRPr="007A7992">
          <w:rPr>
            <w:rStyle w:val="Hyperlink"/>
            <w:b/>
            <w:bCs/>
            <w:spacing w:val="2"/>
            <w:lang w:bidi="ar-EG"/>
          </w:rPr>
          <w:t>(QIT)</w:t>
        </w:r>
      </w:hyperlink>
      <w:r w:rsidRPr="007A7992">
        <w:rPr>
          <w:rFonts w:hint="cs"/>
          <w:spacing w:val="2"/>
          <w:rtl/>
          <w:lang w:bidi="ar-EG"/>
        </w:rPr>
        <w:t xml:space="preserve"> </w:t>
      </w:r>
      <w:r w:rsidR="00D03721" w:rsidRPr="007A7992">
        <w:rPr>
          <w:rFonts w:hint="cs"/>
          <w:spacing w:val="2"/>
          <w:rtl/>
          <w:lang w:bidi="ar-EG"/>
        </w:rPr>
        <w:t>التي تهدف إلى عرض</w:t>
      </w:r>
      <w:r w:rsidR="00E848EE" w:rsidRPr="007A7992">
        <w:rPr>
          <w:rFonts w:hint="cs"/>
          <w:spacing w:val="2"/>
          <w:rtl/>
          <w:lang w:bidi="ar-EG"/>
        </w:rPr>
        <w:t xml:space="preserve"> </w:t>
      </w:r>
      <w:r w:rsidRPr="007A7992">
        <w:rPr>
          <w:rFonts w:hint="cs"/>
          <w:spacing w:val="2"/>
          <w:rtl/>
          <w:lang w:bidi="ar-EG"/>
        </w:rPr>
        <w:t>معلومات وآخر</w:t>
      </w:r>
      <w:r w:rsidRPr="007A7992">
        <w:rPr>
          <w:rFonts w:hint="cs"/>
          <w:spacing w:val="2"/>
          <w:rtl/>
        </w:rPr>
        <w:t xml:space="preserve"> التطورات بشأن تكنولوجيا المعلومات الكمومية على أصحاب المصلحة المعنيين بتكنولوجيا المعلومات والاتصالات الذين قد يتأثرون </w:t>
      </w:r>
      <w:r w:rsidRPr="007A7992">
        <w:rPr>
          <w:rFonts w:hint="cs"/>
          <w:spacing w:val="2"/>
          <w:rtl/>
          <w:lang w:bidi="ar-EG"/>
        </w:rPr>
        <w:t>بالتطور السريع في هذا الميدان</w:t>
      </w:r>
      <w:r w:rsidRPr="007A7992">
        <w:rPr>
          <w:rFonts w:hint="cs"/>
          <w:spacing w:val="2"/>
          <w:rtl/>
        </w:rPr>
        <w:t>.</w:t>
      </w:r>
    </w:p>
    <w:p w14:paraId="01F3969A" w14:textId="1D18C5F7" w:rsidR="00E848EE" w:rsidRDefault="00CC2CF9" w:rsidP="00D517B2">
      <w:pPr>
        <w:rPr>
          <w:rtl/>
          <w:lang w:bidi="ar-EG"/>
        </w:rPr>
      </w:pPr>
      <w:r>
        <w:rPr>
          <w:rFonts w:hint="cs"/>
          <w:rtl/>
          <w:lang w:bidi="ar-EG"/>
        </w:rPr>
        <w:t>وتنظم</w:t>
      </w:r>
      <w:r w:rsidR="00E848EE">
        <w:rPr>
          <w:rFonts w:hint="cs"/>
          <w:rtl/>
          <w:lang w:bidi="ar-EG"/>
        </w:rPr>
        <w:t xml:space="preserve"> </w:t>
      </w:r>
      <w:r w:rsidR="00E848EE">
        <w:rPr>
          <w:rFonts w:hint="cs"/>
          <w:rtl/>
          <w:lang w:bidi="ar-SY"/>
        </w:rPr>
        <w:t xml:space="preserve">هذه الحلقة </w:t>
      </w:r>
      <w:r>
        <w:rPr>
          <w:rFonts w:hint="cs"/>
          <w:rtl/>
          <w:lang w:bidi="ar-SY"/>
        </w:rPr>
        <w:t>بشأن</w:t>
      </w:r>
      <w:r w:rsidR="00E848EE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"</w:t>
      </w:r>
      <w:r w:rsidR="002E6E07">
        <w:rPr>
          <w:rFonts w:hint="cs"/>
          <w:b/>
          <w:bCs/>
          <w:rtl/>
          <w:lang w:bidi="ar-SY"/>
        </w:rPr>
        <w:t>تنسيق</w:t>
      </w:r>
      <w:r w:rsidRPr="00CC2CF9">
        <w:rPr>
          <w:rFonts w:hint="cs"/>
          <w:b/>
          <w:bCs/>
          <w:rtl/>
          <w:lang w:bidi="ar-SY"/>
        </w:rPr>
        <w:t xml:space="preserve"> المصطلحات في المعايير </w:t>
      </w:r>
      <w:r w:rsidR="002E6E07">
        <w:rPr>
          <w:rFonts w:hint="cs"/>
          <w:b/>
          <w:bCs/>
          <w:rtl/>
          <w:lang w:bidi="ar-SY"/>
        </w:rPr>
        <w:t>المتعلقة</w:t>
      </w:r>
      <w:r w:rsidRPr="00CC2CF9">
        <w:rPr>
          <w:rFonts w:hint="cs"/>
          <w:b/>
          <w:bCs/>
          <w:rtl/>
          <w:lang w:bidi="ar-SY"/>
        </w:rPr>
        <w:t xml:space="preserve"> </w:t>
      </w:r>
      <w:r w:rsidR="002E6E07">
        <w:rPr>
          <w:rFonts w:hint="cs"/>
          <w:b/>
          <w:bCs/>
          <w:rtl/>
          <w:lang w:bidi="ar-SY"/>
        </w:rPr>
        <w:t>ب</w:t>
      </w:r>
      <w:r w:rsidRPr="00CC2CF9">
        <w:rPr>
          <w:rFonts w:hint="cs"/>
          <w:b/>
          <w:bCs/>
          <w:rtl/>
          <w:lang w:bidi="ar-SY"/>
        </w:rPr>
        <w:t>التكنولوجيا الكمومية</w:t>
      </w:r>
      <w:r>
        <w:rPr>
          <w:rFonts w:hint="cs"/>
          <w:rtl/>
          <w:lang w:bidi="ar-SY"/>
        </w:rPr>
        <w:t>"</w:t>
      </w:r>
      <w:r w:rsidR="00E848EE">
        <w:rPr>
          <w:rFonts w:hint="cs"/>
          <w:rtl/>
          <w:lang w:bidi="ar-SY"/>
        </w:rPr>
        <w:t xml:space="preserve"> بالاشتراك مع </w:t>
      </w:r>
      <w:r w:rsidR="00E848EE" w:rsidRPr="00546EEA">
        <w:rPr>
          <w:rFonts w:hint="cs"/>
          <w:rtl/>
          <w:lang w:bidi="ar-EG"/>
        </w:rPr>
        <w:t xml:space="preserve">المعهد الأوروبي لمعايير الاتصالات </w:t>
      </w:r>
      <w:r w:rsidR="00E848EE" w:rsidRPr="00546EEA">
        <w:rPr>
          <w:lang w:bidi="ar-EG"/>
        </w:rPr>
        <w:t>(ETSI)</w:t>
      </w:r>
      <w:r w:rsidR="00E848EE">
        <w:rPr>
          <w:rFonts w:hint="cs"/>
          <w:rtl/>
          <w:lang w:bidi="ar-EG"/>
        </w:rPr>
        <w:t xml:space="preserve">، </w:t>
      </w:r>
      <w:r w:rsidR="00D577A2">
        <w:rPr>
          <w:rFonts w:hint="cs"/>
          <w:rtl/>
          <w:lang w:bidi="ar-EG"/>
        </w:rPr>
        <w:t>و</w:t>
      </w:r>
      <w:r w:rsidR="00E848EE" w:rsidRPr="00546EEA">
        <w:rPr>
          <w:rFonts w:hint="cs"/>
          <w:rtl/>
          <w:lang w:bidi="ar-EG"/>
        </w:rPr>
        <w:t xml:space="preserve">اللجنة الكهرتقنية الدولية </w:t>
      </w:r>
      <w:r w:rsidR="00E848EE" w:rsidRPr="00546EEA">
        <w:rPr>
          <w:lang w:bidi="ar-EG"/>
        </w:rPr>
        <w:t>(IEC)</w:t>
      </w:r>
      <w:r w:rsidR="005E127B">
        <w:rPr>
          <w:rFonts w:hint="cs"/>
          <w:rtl/>
          <w:lang w:bidi="ar-EG"/>
        </w:rPr>
        <w:t xml:space="preserve"> </w:t>
      </w:r>
      <w:r w:rsidR="00CB452D">
        <w:rPr>
          <w:color w:val="000000"/>
          <w:rtl/>
        </w:rPr>
        <w:t>وجمعية الضوئيات</w:t>
      </w:r>
      <w:r w:rsidR="00CB452D">
        <w:rPr>
          <w:color w:val="000000"/>
        </w:rPr>
        <w:t xml:space="preserve"> (UK and Ireland Photonics Chapter) </w:t>
      </w:r>
      <w:r w:rsidR="00CB452D">
        <w:rPr>
          <w:color w:val="000000"/>
          <w:rtl/>
        </w:rPr>
        <w:t>التابعة لمعهد مهندسي الكهرباء والإلكترونيات</w:t>
      </w:r>
      <w:r w:rsidR="00CB452D">
        <w:rPr>
          <w:rFonts w:hint="cs"/>
          <w:color w:val="000000"/>
          <w:rtl/>
        </w:rPr>
        <w:t xml:space="preserve"> </w:t>
      </w:r>
      <w:r w:rsidR="00CB452D">
        <w:rPr>
          <w:color w:val="000000"/>
        </w:rPr>
        <w:t>(IEEE)</w:t>
      </w:r>
      <w:r w:rsidR="00CB452D">
        <w:rPr>
          <w:color w:val="000000"/>
          <w:rtl/>
        </w:rPr>
        <w:t xml:space="preserve">، وستُعقد في </w:t>
      </w:r>
      <w:r w:rsidR="00CB452D" w:rsidRPr="00CB452D">
        <w:rPr>
          <w:b/>
          <w:bCs/>
          <w:color w:val="000000"/>
          <w:rtl/>
        </w:rPr>
        <w:t xml:space="preserve">23 </w:t>
      </w:r>
      <w:r w:rsidR="00CB452D" w:rsidRPr="00CB452D">
        <w:rPr>
          <w:rFonts w:hint="cs"/>
          <w:b/>
          <w:bCs/>
          <w:color w:val="000000"/>
          <w:rtl/>
        </w:rPr>
        <w:t>يونيو</w:t>
      </w:r>
      <w:r w:rsidR="00CB452D" w:rsidRPr="00CB452D">
        <w:rPr>
          <w:b/>
          <w:bCs/>
          <w:color w:val="000000"/>
          <w:rtl/>
        </w:rPr>
        <w:t xml:space="preserve"> 2021</w:t>
      </w:r>
      <w:r w:rsidR="00CB452D">
        <w:rPr>
          <w:color w:val="000000"/>
          <w:rtl/>
        </w:rPr>
        <w:t xml:space="preserve"> </w:t>
      </w:r>
      <w:r w:rsidR="00CB452D" w:rsidRPr="00CB452D">
        <w:rPr>
          <w:b/>
          <w:bCs/>
          <w:color w:val="000000"/>
          <w:rtl/>
        </w:rPr>
        <w:t xml:space="preserve">من الساعة </w:t>
      </w:r>
      <w:r w:rsidR="00CB452D" w:rsidRPr="00CB452D">
        <w:rPr>
          <w:b/>
          <w:bCs/>
          <w:color w:val="000000"/>
        </w:rPr>
        <w:t>15:00</w:t>
      </w:r>
      <w:r w:rsidR="00CB452D" w:rsidRPr="00CB452D">
        <w:rPr>
          <w:b/>
          <w:bCs/>
          <w:color w:val="000000"/>
          <w:rtl/>
        </w:rPr>
        <w:t xml:space="preserve"> إلى الساعة </w:t>
      </w:r>
      <w:r w:rsidR="00CB452D" w:rsidRPr="00CB452D">
        <w:rPr>
          <w:b/>
          <w:bCs/>
          <w:color w:val="000000"/>
        </w:rPr>
        <w:t>18:00</w:t>
      </w:r>
      <w:r w:rsidR="00CB452D" w:rsidRPr="00CB452D">
        <w:rPr>
          <w:rFonts w:hint="cs"/>
          <w:b/>
          <w:bCs/>
          <w:color w:val="000000"/>
          <w:rtl/>
          <w:lang w:bidi="ar-EG"/>
        </w:rPr>
        <w:t xml:space="preserve"> بتوقيت وسط أوروبا الصيفي</w:t>
      </w:r>
      <w:r w:rsidR="00CB452D">
        <w:rPr>
          <w:rFonts w:hint="cs"/>
          <w:color w:val="000000"/>
          <w:rtl/>
          <w:lang w:bidi="ar-EG"/>
        </w:rPr>
        <w:t>.</w:t>
      </w:r>
    </w:p>
    <w:p w14:paraId="36530DCD" w14:textId="4732A193" w:rsidR="005E127B" w:rsidRDefault="005E127B" w:rsidP="00D517B2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2A7D59">
        <w:rPr>
          <w:rFonts w:hint="cs"/>
          <w:rtl/>
          <w:lang w:bidi="ar-EG"/>
        </w:rPr>
        <w:t>المصطلحات المعرّفة بوضوح هي هدف أساسي للتقييس لأنها</w:t>
      </w:r>
      <w:r w:rsidR="002E6E07">
        <w:rPr>
          <w:rFonts w:hint="cs"/>
          <w:rtl/>
          <w:lang w:bidi="ar-EG"/>
        </w:rPr>
        <w:t xml:space="preserve"> </w:t>
      </w:r>
      <w:r w:rsidR="002A7D59">
        <w:rPr>
          <w:rFonts w:hint="cs"/>
          <w:rtl/>
          <w:lang w:bidi="ar-EG"/>
        </w:rPr>
        <w:t xml:space="preserve">أساس المعايير التقنية </w:t>
      </w:r>
      <w:r w:rsidR="002E6E07">
        <w:rPr>
          <w:rFonts w:hint="cs"/>
          <w:rtl/>
          <w:lang w:bidi="ar-EG"/>
        </w:rPr>
        <w:t>الجيدة</w:t>
      </w:r>
      <w:r w:rsidR="002A7D59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2E6E07">
        <w:rPr>
          <w:rFonts w:hint="cs"/>
          <w:rtl/>
          <w:lang w:bidi="ar-EG"/>
        </w:rPr>
        <w:t>بيد</w:t>
      </w:r>
      <w:r w:rsidR="00654877">
        <w:rPr>
          <w:rFonts w:hint="cs"/>
          <w:rtl/>
          <w:lang w:bidi="ar-EG"/>
        </w:rPr>
        <w:t xml:space="preserve"> </w:t>
      </w:r>
      <w:r w:rsidR="00654877" w:rsidRPr="003F01DB">
        <w:rPr>
          <w:rFonts w:hint="cs"/>
          <w:rtl/>
          <w:lang w:bidi="ar-EG"/>
        </w:rPr>
        <w:t>أنه</w:t>
      </w:r>
      <w:r w:rsidR="00654877" w:rsidRPr="00654877">
        <w:rPr>
          <w:rtl/>
          <w:lang w:bidi="ar-EG"/>
        </w:rPr>
        <w:t xml:space="preserve">، </w:t>
      </w:r>
      <w:r w:rsidR="00654877">
        <w:rPr>
          <w:rFonts w:hint="cs"/>
          <w:rtl/>
          <w:lang w:bidi="ar-EG"/>
        </w:rPr>
        <w:t xml:space="preserve">في الممارسة العملية، </w:t>
      </w:r>
      <w:r w:rsidR="00654877" w:rsidRPr="00654877">
        <w:rPr>
          <w:rtl/>
          <w:lang w:bidi="ar-EG"/>
        </w:rPr>
        <w:t xml:space="preserve">غالباً ما </w:t>
      </w:r>
      <w:r w:rsidR="00654877">
        <w:rPr>
          <w:rFonts w:hint="cs"/>
          <w:rtl/>
          <w:lang w:bidi="ar-EG"/>
        </w:rPr>
        <w:t>تنشأ</w:t>
      </w:r>
      <w:r w:rsidR="00654877" w:rsidRPr="00654877">
        <w:rPr>
          <w:rtl/>
          <w:lang w:bidi="ar-EG"/>
        </w:rPr>
        <w:t xml:space="preserve"> معايير متعددة بشكل منفص</w:t>
      </w:r>
      <w:r w:rsidR="00654877">
        <w:rPr>
          <w:rFonts w:hint="cs"/>
          <w:rtl/>
          <w:lang w:bidi="ar-EG"/>
        </w:rPr>
        <w:t>ل، توضع</w:t>
      </w:r>
      <w:r w:rsidR="00654877" w:rsidRPr="00654877">
        <w:rPr>
          <w:rtl/>
          <w:lang w:bidi="ar-EG"/>
        </w:rPr>
        <w:t xml:space="preserve"> في </w:t>
      </w:r>
      <w:r w:rsidR="00654877">
        <w:rPr>
          <w:rFonts w:hint="cs"/>
          <w:rtl/>
          <w:lang w:bidi="ar-EG"/>
        </w:rPr>
        <w:t>وقت</w:t>
      </w:r>
      <w:r w:rsidR="00654877" w:rsidRPr="00654877">
        <w:rPr>
          <w:rtl/>
          <w:lang w:bidi="ar-EG"/>
        </w:rPr>
        <w:t xml:space="preserve"> واحد وت</w:t>
      </w:r>
      <w:r w:rsidR="00654877">
        <w:rPr>
          <w:rFonts w:hint="cs"/>
          <w:rtl/>
          <w:lang w:bidi="ar-EG"/>
        </w:rPr>
        <w:t>ُ</w:t>
      </w:r>
      <w:r w:rsidR="00654877" w:rsidRPr="00654877">
        <w:rPr>
          <w:rtl/>
          <w:lang w:bidi="ar-EG"/>
        </w:rPr>
        <w:t xml:space="preserve">ستخدم في </w:t>
      </w:r>
      <w:r w:rsidR="00654877">
        <w:rPr>
          <w:rFonts w:hint="cs"/>
          <w:rtl/>
          <w:lang w:bidi="ar-EG"/>
        </w:rPr>
        <w:t>تركيبة</w:t>
      </w:r>
      <w:r w:rsidR="00654877" w:rsidRPr="00654877">
        <w:rPr>
          <w:rtl/>
          <w:lang w:bidi="ar-EG"/>
        </w:rPr>
        <w:t xml:space="preserve"> مما </w:t>
      </w:r>
      <w:r w:rsidR="00654877">
        <w:rPr>
          <w:rFonts w:hint="cs"/>
          <w:rtl/>
          <w:lang w:bidi="ar-EG"/>
        </w:rPr>
        <w:t>يضيف تعقيدات</w:t>
      </w:r>
      <w:r w:rsidR="00654877" w:rsidRPr="00654877">
        <w:rPr>
          <w:rtl/>
          <w:lang w:bidi="ar-EG"/>
        </w:rPr>
        <w:t xml:space="preserve"> </w:t>
      </w:r>
      <w:r w:rsidR="00654877">
        <w:rPr>
          <w:rFonts w:hint="cs"/>
          <w:rtl/>
          <w:lang w:bidi="ar-EG"/>
        </w:rPr>
        <w:t>ل</w:t>
      </w:r>
      <w:r w:rsidR="00654877" w:rsidRPr="00654877">
        <w:rPr>
          <w:rtl/>
          <w:lang w:bidi="ar-EG"/>
        </w:rPr>
        <w:t xml:space="preserve">لمستعملين </w:t>
      </w:r>
      <w:r w:rsidR="002E6E07">
        <w:rPr>
          <w:rFonts w:hint="cs"/>
          <w:rtl/>
          <w:lang w:bidi="ar-EG"/>
        </w:rPr>
        <w:t>في حال وجود</w:t>
      </w:r>
      <w:r w:rsidR="00654877" w:rsidRPr="00654877">
        <w:rPr>
          <w:rtl/>
          <w:lang w:bidi="ar-EG"/>
        </w:rPr>
        <w:t xml:space="preserve"> تعاريف مختلفة أو حتى متضاربة.</w:t>
      </w:r>
      <w:r w:rsidR="00654877">
        <w:rPr>
          <w:rFonts w:hint="cs"/>
          <w:rtl/>
          <w:lang w:bidi="ar-EG"/>
        </w:rPr>
        <w:t xml:space="preserve"> و</w:t>
      </w:r>
      <w:r w:rsidR="00654877" w:rsidRPr="00654877">
        <w:rPr>
          <w:rtl/>
          <w:lang w:bidi="ar-EG"/>
        </w:rPr>
        <w:t xml:space="preserve">ستناقش هذه الحلقة </w:t>
      </w:r>
      <w:r w:rsidR="00654877">
        <w:rPr>
          <w:rFonts w:hint="cs"/>
          <w:rtl/>
          <w:lang w:bidi="ar-EG"/>
        </w:rPr>
        <w:t>دوافع تنسيق</w:t>
      </w:r>
      <w:r w:rsidR="00654877" w:rsidRPr="00654877">
        <w:rPr>
          <w:rtl/>
          <w:lang w:bidi="ar-EG"/>
        </w:rPr>
        <w:t xml:space="preserve"> استخدام المصطلحات المتعلقة </w:t>
      </w:r>
      <w:r w:rsidR="00654877">
        <w:rPr>
          <w:rFonts w:hint="cs"/>
          <w:rtl/>
          <w:lang w:bidi="ar-EG"/>
        </w:rPr>
        <w:t>بتكنولوجيا المعلومات الكمومية</w:t>
      </w:r>
      <w:r w:rsidR="00654877" w:rsidRPr="00654877">
        <w:rPr>
          <w:rtl/>
          <w:lang w:bidi="ar-EG"/>
        </w:rPr>
        <w:t xml:space="preserve"> وتحديد المجالات التي من المرجح أن </w:t>
      </w:r>
      <w:r w:rsidR="00654877">
        <w:rPr>
          <w:rFonts w:hint="cs"/>
          <w:rtl/>
          <w:lang w:bidi="ar-EG"/>
        </w:rPr>
        <w:t>تشمل</w:t>
      </w:r>
      <w:r w:rsidR="00654877" w:rsidRPr="00654877">
        <w:rPr>
          <w:rtl/>
          <w:lang w:bidi="ar-EG"/>
        </w:rPr>
        <w:t xml:space="preserve"> فيها مصطلحات معينة مختلف </w:t>
      </w:r>
      <w:r w:rsidR="00654877">
        <w:rPr>
          <w:rFonts w:hint="cs"/>
          <w:rtl/>
          <w:lang w:bidi="ar-EG"/>
        </w:rPr>
        <w:t>تكنولوجيات المعلومات الكمومية وكذلك</w:t>
      </w:r>
      <w:r w:rsidR="00654877" w:rsidRPr="00654877">
        <w:rPr>
          <w:rtl/>
          <w:lang w:bidi="ar-EG"/>
        </w:rPr>
        <w:t xml:space="preserve"> المجالات التي يكون فيها الاتساق مع المعايير من المجالات الأخرى مهماً.</w:t>
      </w:r>
      <w:r w:rsidR="00654877">
        <w:rPr>
          <w:rFonts w:hint="cs"/>
          <w:rtl/>
          <w:lang w:bidi="ar-EG"/>
        </w:rPr>
        <w:t xml:space="preserve"> وستناق</w:t>
      </w:r>
      <w:r w:rsidR="00654877" w:rsidRPr="00654877">
        <w:rPr>
          <w:rtl/>
          <w:lang w:bidi="ar-EG"/>
        </w:rPr>
        <w:t>ش هذه الحلقة أيضاً</w:t>
      </w:r>
      <w:r w:rsidR="00654877">
        <w:rPr>
          <w:rFonts w:hint="cs"/>
          <w:rtl/>
          <w:lang w:bidi="ar-EG"/>
        </w:rPr>
        <w:t xml:space="preserve">، </w:t>
      </w:r>
      <w:r w:rsidR="002E6E07">
        <w:rPr>
          <w:rFonts w:hint="cs"/>
          <w:rtl/>
          <w:lang w:bidi="ar-EG"/>
        </w:rPr>
        <w:t>من خلال</w:t>
      </w:r>
      <w:r w:rsidR="00654877">
        <w:rPr>
          <w:rFonts w:hint="cs"/>
          <w:rtl/>
          <w:lang w:bidi="ar-EG"/>
        </w:rPr>
        <w:t xml:space="preserve"> أمثلة محددة، </w:t>
      </w:r>
      <w:r w:rsidR="00654877" w:rsidRPr="00654877">
        <w:rPr>
          <w:rtl/>
          <w:lang w:bidi="ar-EG"/>
        </w:rPr>
        <w:t xml:space="preserve">ما إذا </w:t>
      </w:r>
      <w:r w:rsidR="00654877">
        <w:rPr>
          <w:rFonts w:hint="cs"/>
          <w:rtl/>
          <w:lang w:bidi="ar-EG"/>
        </w:rPr>
        <w:t>كانت</w:t>
      </w:r>
      <w:r w:rsidR="00654877" w:rsidRPr="00654877">
        <w:rPr>
          <w:rtl/>
          <w:lang w:bidi="ar-EG"/>
        </w:rPr>
        <w:t xml:space="preserve"> خيارات المصطلحات </w:t>
      </w:r>
      <w:r w:rsidR="00654877">
        <w:rPr>
          <w:rFonts w:hint="cs"/>
          <w:rtl/>
          <w:lang w:bidi="ar-EG"/>
        </w:rPr>
        <w:t xml:space="preserve">قد </w:t>
      </w:r>
      <w:r w:rsidR="00654877" w:rsidRPr="00654877">
        <w:rPr>
          <w:rtl/>
          <w:lang w:bidi="ar-EG"/>
        </w:rPr>
        <w:t>تقيد تطبيق المعايير على الأجيال المقبلة من الشبكات الكمومية.</w:t>
      </w:r>
      <w:r w:rsidR="00654877">
        <w:rPr>
          <w:rFonts w:hint="cs"/>
          <w:rtl/>
          <w:lang w:bidi="ar-EG"/>
        </w:rPr>
        <w:t xml:space="preserve"> وستُناقش أيضاً الن</w:t>
      </w:r>
      <w:r w:rsidR="009158BA">
        <w:rPr>
          <w:rFonts w:hint="cs"/>
          <w:rtl/>
          <w:lang w:bidi="ar-EG"/>
        </w:rPr>
        <w:t>ُ</w:t>
      </w:r>
      <w:r w:rsidR="00654877">
        <w:rPr>
          <w:rFonts w:hint="cs"/>
          <w:rtl/>
          <w:lang w:bidi="ar-EG"/>
        </w:rPr>
        <w:t>ه</w:t>
      </w:r>
      <w:r w:rsidR="009158BA">
        <w:rPr>
          <w:rFonts w:hint="cs"/>
          <w:rtl/>
          <w:lang w:bidi="ar-EG"/>
        </w:rPr>
        <w:t>ُ</w:t>
      </w:r>
      <w:r w:rsidR="00654877">
        <w:rPr>
          <w:rFonts w:hint="cs"/>
          <w:rtl/>
          <w:lang w:bidi="ar-EG"/>
        </w:rPr>
        <w:t xml:space="preserve">ج التي تطبقها مختلف منظمات وضع المعايير من أجل وضع المصطلحات واستخدامها وصيانتها بغية تحديد الآليات المحتملة لتيسير </w:t>
      </w:r>
      <w:r w:rsidR="0056215C">
        <w:rPr>
          <w:rFonts w:hint="cs"/>
          <w:rtl/>
          <w:lang w:bidi="ar-EG"/>
        </w:rPr>
        <w:t>التنسيق</w:t>
      </w:r>
      <w:r w:rsidR="00654877">
        <w:rPr>
          <w:rFonts w:hint="cs"/>
          <w:rtl/>
          <w:lang w:bidi="ar-EG"/>
        </w:rPr>
        <w:t>.</w:t>
      </w:r>
    </w:p>
    <w:p w14:paraId="3B77AC76" w14:textId="308B3D69" w:rsidR="005E127B" w:rsidRDefault="005E127B" w:rsidP="00D517B2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Pr="00546EEA">
        <w:rPr>
          <w:rFonts w:hint="cs"/>
          <w:rtl/>
        </w:rPr>
        <w:t>وباب المشاركة في الحلق</w:t>
      </w:r>
      <w:r>
        <w:rPr>
          <w:rFonts w:hint="cs"/>
          <w:rtl/>
        </w:rPr>
        <w:t>ة</w:t>
      </w:r>
      <w:r w:rsidRPr="00546EEA">
        <w:rPr>
          <w:rFonts w:hint="cs"/>
          <w:rtl/>
        </w:rPr>
        <w:t xml:space="preserve"> الدراسية الإلكترونية مفتوح أمام الدول الأعضاء في الاتحاد وأعضاء قطاعاته والمنتسبين إليه والمؤسسات الأكاديمية المنضمة إليه وأمام أي فرد من أي بلد عضو في الاتحاد يرغب في</w:t>
      </w:r>
      <w:r w:rsidRPr="00546EEA">
        <w:rPr>
          <w:rFonts w:hint="eastAsia"/>
          <w:rtl/>
        </w:rPr>
        <w:t> </w:t>
      </w:r>
      <w:r w:rsidRPr="00546EEA">
        <w:rPr>
          <w:rFonts w:hint="cs"/>
          <w:rtl/>
        </w:rPr>
        <w:t>المساهمة في</w:t>
      </w:r>
      <w:r w:rsidRPr="00546EEA">
        <w:rPr>
          <w:rFonts w:hint="eastAsia"/>
          <w:rtl/>
        </w:rPr>
        <w:t> </w:t>
      </w:r>
      <w:r w:rsidRPr="00546EEA">
        <w:rPr>
          <w:rFonts w:hint="cs"/>
          <w:rtl/>
        </w:rPr>
        <w:t>العمل. ويشمل ذلك الأفراد الذين هم أيضاً أعضاء في المنظمات الدولية والإقليمية والوطنية</w:t>
      </w:r>
      <w:r w:rsidRPr="00546EEA">
        <w:rPr>
          <w:rFonts w:hint="cs"/>
          <w:rtl/>
          <w:lang w:bidi="ar-EG"/>
        </w:rPr>
        <w:t>.</w:t>
      </w:r>
    </w:p>
    <w:p w14:paraId="68BFBAEF" w14:textId="08C3163D" w:rsidR="005E127B" w:rsidRDefault="005E127B" w:rsidP="00586BFF">
      <w:pPr>
        <w:keepNext/>
        <w:keepLines/>
        <w:rPr>
          <w:rtl/>
        </w:rPr>
      </w:pPr>
      <w:r>
        <w:rPr>
          <w:rFonts w:hint="cs"/>
          <w:rtl/>
          <w:lang w:bidi="ar-EG"/>
        </w:rPr>
        <w:lastRenderedPageBreak/>
        <w:t>4</w:t>
      </w:r>
      <w:r>
        <w:rPr>
          <w:rtl/>
          <w:lang w:bidi="ar-EG"/>
        </w:rPr>
        <w:tab/>
      </w:r>
      <w:bookmarkStart w:id="1" w:name="_Hlk73973862"/>
      <w:r w:rsidRPr="00F3107B">
        <w:rPr>
          <w:rFonts w:hint="cs"/>
          <w:spacing w:val="-4"/>
          <w:rtl/>
          <w:lang w:bidi="ar-EG"/>
        </w:rPr>
        <w:t xml:space="preserve">وستتاح جميع المعلومات ذات الصلة المتعلقة بالحلقة الدراسية الإلكترونية (المتحدثون، روابط التسجيل، تفاصيل التوصيل عن بُعد) </w:t>
      </w:r>
      <w:r w:rsidR="002E6E07" w:rsidRPr="00F3107B">
        <w:rPr>
          <w:rFonts w:hint="cs"/>
          <w:spacing w:val="-4"/>
          <w:rtl/>
          <w:lang w:bidi="ar-EG"/>
        </w:rPr>
        <w:t>في الموقع الإلكتروني التالي:</w:t>
      </w:r>
      <w:r w:rsidRPr="00F3107B">
        <w:rPr>
          <w:rFonts w:hint="cs"/>
          <w:spacing w:val="-4"/>
          <w:rtl/>
          <w:lang w:bidi="ar-EG"/>
        </w:rPr>
        <w:t xml:space="preserve"> </w:t>
      </w:r>
      <w:hyperlink r:id="rId11" w:history="1">
        <w:r w:rsidRPr="00F3107B">
          <w:rPr>
            <w:rStyle w:val="Hyperlink"/>
            <w:spacing w:val="-4"/>
          </w:rPr>
          <w:t>https://www.itu.int/en/ITU-T/webinars/20210623/Pages/default.aspx</w:t>
        </w:r>
      </w:hyperlink>
      <w:r w:rsidR="002E6E07" w:rsidRPr="00F3107B">
        <w:rPr>
          <w:rFonts w:hint="cs"/>
          <w:rtl/>
          <w:lang w:bidi="ar-EG"/>
        </w:rPr>
        <w:t>.</w:t>
      </w:r>
      <w:r w:rsidR="002E6E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وسيخضع</w:t>
      </w:r>
      <w:r w:rsidRPr="00546E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هذا </w:t>
      </w:r>
      <w:r w:rsidRPr="00546EEA">
        <w:rPr>
          <w:rFonts w:hint="cs"/>
          <w:rtl/>
          <w:lang w:bidi="ar-EG"/>
        </w:rPr>
        <w:t xml:space="preserve">الموقع </w:t>
      </w:r>
      <w:r>
        <w:rPr>
          <w:rFonts w:hint="cs"/>
          <w:rtl/>
          <w:lang w:bidi="ar-EG"/>
        </w:rPr>
        <w:t xml:space="preserve">الإلكتروني </w:t>
      </w:r>
      <w:r w:rsidRPr="00546EEA">
        <w:rPr>
          <w:rFonts w:hint="cs"/>
          <w:rtl/>
          <w:lang w:bidi="ar-EG"/>
        </w:rPr>
        <w:t>للتحديث بانتظام كلما وردت معلومات جديدة أو</w:t>
      </w:r>
      <w:r w:rsidRPr="00546EEA">
        <w:rPr>
          <w:rFonts w:hint="eastAsia"/>
          <w:rtl/>
          <w:lang w:bidi="ar-EG"/>
        </w:rPr>
        <w:t> </w:t>
      </w:r>
      <w:r w:rsidRPr="00546EEA">
        <w:rPr>
          <w:rFonts w:hint="cs"/>
          <w:rtl/>
          <w:lang w:bidi="ar-EG"/>
        </w:rPr>
        <w:t xml:space="preserve">معدّلة. </w:t>
      </w:r>
      <w:r w:rsidRPr="00546EEA">
        <w:rPr>
          <w:rtl/>
        </w:rPr>
        <w:t>وير</w:t>
      </w:r>
      <w:r w:rsidRPr="00546EEA">
        <w:rPr>
          <w:rFonts w:hint="cs"/>
          <w:rtl/>
        </w:rPr>
        <w:t>ُ</w:t>
      </w:r>
      <w:r w:rsidRPr="00546EEA">
        <w:rPr>
          <w:rtl/>
        </w:rPr>
        <w:t>جى من المشاركين</w:t>
      </w:r>
      <w:r w:rsidRPr="00546EEA">
        <w:rPr>
          <w:rFonts w:hint="cs"/>
          <w:rtl/>
        </w:rPr>
        <w:t xml:space="preserve"> المواظبة على</w:t>
      </w:r>
      <w:r w:rsidRPr="00546EEA">
        <w:rPr>
          <w:rtl/>
        </w:rPr>
        <w:t xml:space="preserve"> </w:t>
      </w:r>
      <w:r w:rsidR="007A7AC9">
        <w:rPr>
          <w:rFonts w:hint="cs"/>
          <w:rtl/>
        </w:rPr>
        <w:t>زيارته</w:t>
      </w:r>
      <w:r w:rsidRPr="00546EEA">
        <w:rPr>
          <w:rtl/>
        </w:rPr>
        <w:t xml:space="preserve"> للاطلاع على أحدث</w:t>
      </w:r>
      <w:r w:rsidRPr="00546EEA">
        <w:rPr>
          <w:rFonts w:hint="eastAsia"/>
          <w:rtl/>
        </w:rPr>
        <w:t> </w:t>
      </w:r>
      <w:r w:rsidRPr="00546EEA">
        <w:rPr>
          <w:rtl/>
        </w:rPr>
        <w:t>المعلومات</w:t>
      </w:r>
      <w:r w:rsidRPr="00546EEA">
        <w:rPr>
          <w:rFonts w:hint="cs"/>
          <w:rtl/>
        </w:rPr>
        <w:t>.</w:t>
      </w:r>
      <w:bookmarkEnd w:id="1"/>
    </w:p>
    <w:p w14:paraId="18E53777" w14:textId="24A663A0" w:rsidR="005E127B" w:rsidRPr="005E127B" w:rsidRDefault="005E127B" w:rsidP="00D517B2">
      <w:pPr>
        <w:rPr>
          <w:rtl/>
          <w:lang w:bidi="ar-EG"/>
        </w:rPr>
      </w:pPr>
      <w:r>
        <w:rPr>
          <w:rFonts w:hint="cs"/>
          <w:rtl/>
        </w:rPr>
        <w:t>5</w:t>
      </w:r>
      <w:r>
        <w:rPr>
          <w:rtl/>
        </w:rPr>
        <w:tab/>
      </w:r>
      <w:r w:rsidR="008157B6">
        <w:rPr>
          <w:rFonts w:hint="cs"/>
          <w:rtl/>
        </w:rPr>
        <w:t xml:space="preserve">وبالنسبة </w:t>
      </w:r>
      <w:r w:rsidR="0002736E">
        <w:rPr>
          <w:rFonts w:hint="cs"/>
          <w:rtl/>
        </w:rPr>
        <w:t>إلى الحلقات</w:t>
      </w:r>
      <w:r w:rsidR="008157B6">
        <w:rPr>
          <w:rFonts w:hint="cs"/>
          <w:rtl/>
        </w:rPr>
        <w:t xml:space="preserve"> السابقة من هذه السلسلة من الحلقات الدراسية الإلكترونية بشأن</w:t>
      </w:r>
      <w:r>
        <w:rPr>
          <w:rFonts w:hint="cs"/>
          <w:rtl/>
        </w:rPr>
        <w:t xml:space="preserve"> </w:t>
      </w:r>
      <w:hyperlink r:id="rId12" w:history="1">
        <w:r w:rsidR="008157B6" w:rsidRPr="00495017">
          <w:rPr>
            <w:rStyle w:val="Hyperlink"/>
            <w:rFonts w:hint="cs"/>
            <w:b/>
            <w:bCs/>
            <w:rtl/>
            <w:lang w:bidi="ar-EG"/>
          </w:rPr>
          <w:t>تكنولوجيا المعلومات الكمومية </w:t>
        </w:r>
        <w:r w:rsidR="008157B6" w:rsidRPr="00495017">
          <w:rPr>
            <w:rStyle w:val="Hyperlink"/>
            <w:b/>
            <w:bCs/>
            <w:lang w:bidi="ar-EG"/>
          </w:rPr>
          <w:t>(QIT)</w:t>
        </w:r>
        <w:r w:rsidR="008157B6" w:rsidRPr="00F1154E">
          <w:rPr>
            <w:rStyle w:val="Hyperlink"/>
            <w:rFonts w:hint="cs"/>
            <w:color w:val="auto"/>
            <w:u w:val="none"/>
            <w:rtl/>
            <w:lang w:bidi="ar-EG"/>
          </w:rPr>
          <w:t>،</w:t>
        </w:r>
      </w:hyperlink>
      <w:r w:rsidR="008157B6">
        <w:rPr>
          <w:rFonts w:hint="cs"/>
          <w:rtl/>
          <w:lang w:bidi="ar-EG"/>
        </w:rPr>
        <w:t xml:space="preserve"> يرجى مشاهدة التسجيلات </w:t>
      </w:r>
      <w:r w:rsidR="002E6E07">
        <w:rPr>
          <w:rFonts w:hint="cs"/>
          <w:rtl/>
          <w:lang w:bidi="ar-EG"/>
        </w:rPr>
        <w:t>باتباع</w:t>
      </w:r>
      <w:r w:rsidR="008157B6">
        <w:rPr>
          <w:rFonts w:hint="cs"/>
          <w:rtl/>
          <w:lang w:bidi="ar-EG"/>
        </w:rPr>
        <w:t xml:space="preserve"> الروابط الخاصة المتاحة على صفحة الاستقبال الرئيسية</w:t>
      </w:r>
      <w:r w:rsidR="002E6E07">
        <w:rPr>
          <w:rFonts w:hint="cs"/>
          <w:rtl/>
          <w:lang w:bidi="ar-EG"/>
        </w:rPr>
        <w:t xml:space="preserve"> الموجودة</w:t>
      </w:r>
      <w:r w:rsidR="008157B6">
        <w:rPr>
          <w:rFonts w:hint="cs"/>
          <w:rtl/>
          <w:lang w:bidi="ar-EG"/>
        </w:rPr>
        <w:t xml:space="preserve"> </w:t>
      </w:r>
      <w:hyperlink r:id="rId13" w:history="1">
        <w:r w:rsidR="008157B6" w:rsidRPr="008157B6">
          <w:rPr>
            <w:rStyle w:val="Hyperlink"/>
            <w:rFonts w:hint="cs"/>
            <w:rtl/>
            <w:lang w:bidi="ar-EG"/>
          </w:rPr>
          <w:t>هنا</w:t>
        </w:r>
      </w:hyperlink>
      <w:r w:rsidR="008157B6">
        <w:rPr>
          <w:rFonts w:hint="cs"/>
          <w:rtl/>
          <w:lang w:bidi="ar-EG"/>
        </w:rPr>
        <w:t>.</w:t>
      </w:r>
    </w:p>
    <w:p w14:paraId="012868C5" w14:textId="5109924C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53CDF13" w14:textId="773E4A98" w:rsidR="00E84438" w:rsidRPr="00D517B2" w:rsidRDefault="001C2E83" w:rsidP="004A019F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403F561F" wp14:editId="5A79FAF8">
            <wp:simplePos x="0" y="0"/>
            <wp:positionH relativeFrom="column">
              <wp:posOffset>5445760</wp:posOffset>
            </wp:positionH>
            <wp:positionV relativeFrom="paragraph">
              <wp:posOffset>66675</wp:posOffset>
            </wp:positionV>
            <wp:extent cx="701675" cy="485775"/>
            <wp:effectExtent l="0" t="0" r="3175" b="9525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26" cy="48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D928" w14:textId="77777777" w:rsidR="007226AA" w:rsidRDefault="007226AA" w:rsidP="006C3242">
      <w:pPr>
        <w:spacing w:before="0" w:line="240" w:lineRule="auto"/>
      </w:pPr>
      <w:r>
        <w:separator/>
      </w:r>
    </w:p>
  </w:endnote>
  <w:endnote w:type="continuationSeparator" w:id="0">
    <w:p w14:paraId="66A37D5E" w14:textId="77777777" w:rsidR="007226AA" w:rsidRDefault="007226A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DA06" w14:textId="3438CDD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8254" w14:textId="77777777" w:rsidR="00926F44" w:rsidRPr="00BD0FA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="Times New Roman"/>
        <w:caps/>
        <w:noProof/>
        <w:sz w:val="18"/>
        <w:szCs w:val="18"/>
        <w:lang w:val="en-GB" w:eastAsia="en-US"/>
      </w:rPr>
    </w:pPr>
    <w:r w:rsidRPr="00BD0FA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BD0FA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>•</w:t>
    </w:r>
    <w:r w:rsidRPr="00BD0FA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 CH</w:t>
    </w:r>
    <w:r w:rsidRPr="00BD0FA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BD0FA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>•</w:t>
    </w:r>
    <w:r w:rsidRPr="00BD0FA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BD0FA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br/>
    </w:r>
    <w:r w:rsidRPr="00BD0FA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>Tel:</w:t>
    </w:r>
    <w:r w:rsidRPr="00BD0FA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BD0FA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>Fax</w:t>
    </w:r>
    <w:r w:rsidRPr="00BD0FA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BD0FA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>mail</w:t>
    </w:r>
    <w:r w:rsidRPr="00BD0FA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BD0FA4">
        <w:rPr>
          <w:rFonts w:asciiTheme="minorHAnsi" w:eastAsia="Times New Roman" w:hAnsiTheme="minorHAns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BD0FA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BD0FA4">
        <w:rPr>
          <w:rFonts w:asciiTheme="minorHAnsi" w:eastAsia="Times New Roman" w:hAnsiTheme="minorHAns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0149" w14:textId="77777777" w:rsidR="007226AA" w:rsidRDefault="007226AA" w:rsidP="006C3242">
      <w:pPr>
        <w:spacing w:before="0" w:line="240" w:lineRule="auto"/>
      </w:pPr>
      <w:r>
        <w:separator/>
      </w:r>
    </w:p>
  </w:footnote>
  <w:footnote w:type="continuationSeparator" w:id="0">
    <w:p w14:paraId="374D8C1A" w14:textId="77777777" w:rsidR="007226AA" w:rsidRDefault="007226A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C96A" w14:textId="1B20962F" w:rsidR="00447F32" w:rsidRPr="00BE7EAA" w:rsidRDefault="00596808" w:rsidP="00B916A7">
    <w:pPr>
      <w:pStyle w:val="Header"/>
      <w:spacing w:after="240" w:line="192" w:lineRule="auto"/>
      <w:jc w:val="center"/>
      <w:rPr>
        <w:sz w:val="18"/>
        <w:szCs w:val="18"/>
      </w:rPr>
    </w:pPr>
    <w:r w:rsidRPr="00BE7EAA">
      <w:rPr>
        <w:sz w:val="18"/>
        <w:szCs w:val="18"/>
      </w:rPr>
      <w:t xml:space="preserve">- </w:t>
    </w:r>
    <w:r w:rsidRPr="00BE7EAA">
      <w:rPr>
        <w:sz w:val="18"/>
        <w:szCs w:val="18"/>
      </w:rPr>
      <w:fldChar w:fldCharType="begin"/>
    </w:r>
    <w:r w:rsidRPr="00BE7EAA">
      <w:rPr>
        <w:sz w:val="18"/>
        <w:szCs w:val="18"/>
      </w:rPr>
      <w:instrText xml:space="preserve"> PAGE </w:instrText>
    </w:r>
    <w:r w:rsidRPr="00BE7EAA">
      <w:rPr>
        <w:sz w:val="18"/>
        <w:szCs w:val="18"/>
      </w:rPr>
      <w:fldChar w:fldCharType="separate"/>
    </w:r>
    <w:r w:rsidR="00BE7EAA">
      <w:rPr>
        <w:noProof/>
        <w:sz w:val="18"/>
        <w:szCs w:val="18"/>
      </w:rPr>
      <w:t>2</w:t>
    </w:r>
    <w:r w:rsidRPr="00BE7EAA">
      <w:rPr>
        <w:sz w:val="18"/>
        <w:szCs w:val="18"/>
      </w:rPr>
      <w:fldChar w:fldCharType="end"/>
    </w:r>
    <w:r w:rsidRPr="00BE7EAA">
      <w:rPr>
        <w:sz w:val="18"/>
        <w:szCs w:val="18"/>
      </w:rPr>
      <w:t xml:space="preserve"> -</w:t>
    </w:r>
    <w:r w:rsidR="00E84438" w:rsidRPr="00BE7EAA">
      <w:rPr>
        <w:sz w:val="18"/>
        <w:szCs w:val="18"/>
        <w:rtl/>
      </w:rPr>
      <w:br/>
    </w:r>
    <w:r w:rsidRPr="00BE7EAA">
      <w:rPr>
        <w:rFonts w:hint="cs"/>
        <w:sz w:val="18"/>
        <w:szCs w:val="18"/>
        <w:rtl/>
        <w:lang w:bidi="ar-EG"/>
      </w:rPr>
      <w:t xml:space="preserve">الرسالة </w:t>
    </w:r>
    <w:r w:rsidR="00E84438" w:rsidRPr="00BE7EAA">
      <w:rPr>
        <w:rFonts w:hint="cs"/>
        <w:sz w:val="18"/>
        <w:szCs w:val="18"/>
        <w:rtl/>
        <w:lang w:bidi="ar-EG"/>
      </w:rPr>
      <w:t>المعممة</w:t>
    </w:r>
    <w:r w:rsidRPr="00BE7EAA">
      <w:rPr>
        <w:rFonts w:hint="cs"/>
        <w:sz w:val="18"/>
        <w:szCs w:val="18"/>
        <w:rtl/>
        <w:lang w:bidi="ar-EG"/>
      </w:rPr>
      <w:t xml:space="preserve"> </w:t>
    </w:r>
    <w:r w:rsidR="005E127B" w:rsidRPr="00BE7EAA">
      <w:rPr>
        <w:sz w:val="18"/>
        <w:szCs w:val="18"/>
        <w:lang w:val="en-GB"/>
      </w:rPr>
      <w:t>324</w:t>
    </w:r>
    <w:r w:rsidR="00400EC6" w:rsidRPr="00BE7EAA">
      <w:rPr>
        <w:rFonts w:hint="cs"/>
        <w:sz w:val="18"/>
        <w:szCs w:val="18"/>
        <w:rtl/>
        <w:lang w:val="en-GB"/>
      </w:rPr>
      <w:t xml:space="preserve"> </w:t>
    </w:r>
    <w:r w:rsidR="003A3046" w:rsidRPr="00BE7EAA">
      <w:rPr>
        <w:rFonts w:hint="cs"/>
        <w:sz w:val="18"/>
        <w:szCs w:val="18"/>
        <w:rtl/>
        <w:lang w:val="en-GB"/>
      </w:rPr>
      <w:t>لمكتب</w:t>
    </w:r>
    <w:r w:rsidR="00400EC6" w:rsidRPr="00BE7EAA">
      <w:rPr>
        <w:rFonts w:hint="cs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DD"/>
    <w:rsid w:val="00002A63"/>
    <w:rsid w:val="0002736E"/>
    <w:rsid w:val="000620E9"/>
    <w:rsid w:val="0006468A"/>
    <w:rsid w:val="00090574"/>
    <w:rsid w:val="000C1C0E"/>
    <w:rsid w:val="000C548A"/>
    <w:rsid w:val="000E327F"/>
    <w:rsid w:val="00146FE2"/>
    <w:rsid w:val="00197741"/>
    <w:rsid w:val="001C0169"/>
    <w:rsid w:val="001C2E83"/>
    <w:rsid w:val="001D1D50"/>
    <w:rsid w:val="001D6745"/>
    <w:rsid w:val="001E446E"/>
    <w:rsid w:val="001E6AB3"/>
    <w:rsid w:val="001F7988"/>
    <w:rsid w:val="002154EE"/>
    <w:rsid w:val="002276D2"/>
    <w:rsid w:val="0023283D"/>
    <w:rsid w:val="0026373E"/>
    <w:rsid w:val="00271C43"/>
    <w:rsid w:val="00290728"/>
    <w:rsid w:val="002978F4"/>
    <w:rsid w:val="002A7D59"/>
    <w:rsid w:val="002B028D"/>
    <w:rsid w:val="002E196B"/>
    <w:rsid w:val="002E6541"/>
    <w:rsid w:val="002E6E07"/>
    <w:rsid w:val="00302A7E"/>
    <w:rsid w:val="00334924"/>
    <w:rsid w:val="003409BC"/>
    <w:rsid w:val="00357185"/>
    <w:rsid w:val="00383829"/>
    <w:rsid w:val="003963EB"/>
    <w:rsid w:val="003A3046"/>
    <w:rsid w:val="003F01DB"/>
    <w:rsid w:val="003F4B29"/>
    <w:rsid w:val="003F67F3"/>
    <w:rsid w:val="00400EC6"/>
    <w:rsid w:val="0042686F"/>
    <w:rsid w:val="004317D8"/>
    <w:rsid w:val="00434183"/>
    <w:rsid w:val="00443869"/>
    <w:rsid w:val="00447F32"/>
    <w:rsid w:val="00495017"/>
    <w:rsid w:val="004A019F"/>
    <w:rsid w:val="004E11DC"/>
    <w:rsid w:val="00525DDD"/>
    <w:rsid w:val="005409AC"/>
    <w:rsid w:val="0055516A"/>
    <w:rsid w:val="0056215C"/>
    <w:rsid w:val="005731DD"/>
    <w:rsid w:val="0058491B"/>
    <w:rsid w:val="00586BFF"/>
    <w:rsid w:val="00592EA5"/>
    <w:rsid w:val="00595B52"/>
    <w:rsid w:val="00596808"/>
    <w:rsid w:val="005A3170"/>
    <w:rsid w:val="005E127B"/>
    <w:rsid w:val="00654877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6AA"/>
    <w:rsid w:val="00722F0D"/>
    <w:rsid w:val="0074420E"/>
    <w:rsid w:val="00783E26"/>
    <w:rsid w:val="007A7992"/>
    <w:rsid w:val="007A7AC9"/>
    <w:rsid w:val="007C3BC7"/>
    <w:rsid w:val="007C3BCD"/>
    <w:rsid w:val="007D4ACF"/>
    <w:rsid w:val="007F0787"/>
    <w:rsid w:val="00810B7B"/>
    <w:rsid w:val="008157B6"/>
    <w:rsid w:val="0082358A"/>
    <w:rsid w:val="008235CD"/>
    <w:rsid w:val="008247DE"/>
    <w:rsid w:val="00840B10"/>
    <w:rsid w:val="008513CB"/>
    <w:rsid w:val="0087293B"/>
    <w:rsid w:val="00873469"/>
    <w:rsid w:val="008A7F84"/>
    <w:rsid w:val="008D0B49"/>
    <w:rsid w:val="009158BA"/>
    <w:rsid w:val="0091702E"/>
    <w:rsid w:val="00923B0C"/>
    <w:rsid w:val="00926F44"/>
    <w:rsid w:val="0094021C"/>
    <w:rsid w:val="0094432F"/>
    <w:rsid w:val="009501AD"/>
    <w:rsid w:val="00952F86"/>
    <w:rsid w:val="00982B28"/>
    <w:rsid w:val="009D313F"/>
    <w:rsid w:val="00A47A5A"/>
    <w:rsid w:val="00A6683B"/>
    <w:rsid w:val="00A77C90"/>
    <w:rsid w:val="00A9156F"/>
    <w:rsid w:val="00A93534"/>
    <w:rsid w:val="00A97F94"/>
    <w:rsid w:val="00AA7EA2"/>
    <w:rsid w:val="00AE671F"/>
    <w:rsid w:val="00AF6B5C"/>
    <w:rsid w:val="00B03099"/>
    <w:rsid w:val="00B05BC8"/>
    <w:rsid w:val="00B64B47"/>
    <w:rsid w:val="00B916A7"/>
    <w:rsid w:val="00BB0F08"/>
    <w:rsid w:val="00BD0FA4"/>
    <w:rsid w:val="00BE7EAA"/>
    <w:rsid w:val="00C002DE"/>
    <w:rsid w:val="00C53BF8"/>
    <w:rsid w:val="00C66157"/>
    <w:rsid w:val="00C674FE"/>
    <w:rsid w:val="00C67501"/>
    <w:rsid w:val="00C75633"/>
    <w:rsid w:val="00CB452D"/>
    <w:rsid w:val="00CC2CF9"/>
    <w:rsid w:val="00CE1C08"/>
    <w:rsid w:val="00CE2EE1"/>
    <w:rsid w:val="00CE3349"/>
    <w:rsid w:val="00CE36E5"/>
    <w:rsid w:val="00CF27F5"/>
    <w:rsid w:val="00CF3FFD"/>
    <w:rsid w:val="00D03721"/>
    <w:rsid w:val="00D10CCF"/>
    <w:rsid w:val="00D22846"/>
    <w:rsid w:val="00D517B2"/>
    <w:rsid w:val="00D56F52"/>
    <w:rsid w:val="00D577A2"/>
    <w:rsid w:val="00D76170"/>
    <w:rsid w:val="00D77D0F"/>
    <w:rsid w:val="00D84FF6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848EE"/>
    <w:rsid w:val="00E92863"/>
    <w:rsid w:val="00EA6969"/>
    <w:rsid w:val="00EB796D"/>
    <w:rsid w:val="00F058DC"/>
    <w:rsid w:val="00F1154E"/>
    <w:rsid w:val="00F24FC4"/>
    <w:rsid w:val="00F2676C"/>
    <w:rsid w:val="00F3107B"/>
    <w:rsid w:val="00F52941"/>
    <w:rsid w:val="00F84366"/>
    <w:rsid w:val="00F85089"/>
    <w:rsid w:val="00F974C5"/>
    <w:rsid w:val="00FA6F46"/>
    <w:rsid w:val="00FB51D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6F7ACA"/>
  <w15:chartTrackingRefBased/>
  <w15:docId w15:val="{E03D691D-EF08-45F4-B613-CFA546C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Pages/qi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qi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2021062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webinars/Pages/qi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7163-45E7-4120-861F-654476DC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17</cp:revision>
  <cp:lastPrinted>2021-06-17T08:42:00Z</cp:lastPrinted>
  <dcterms:created xsi:type="dcterms:W3CDTF">2021-06-14T13:47:00Z</dcterms:created>
  <dcterms:modified xsi:type="dcterms:W3CDTF">2021-06-17T08:42:00Z</dcterms:modified>
</cp:coreProperties>
</file>