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1017CA" w:rsidRPr="001017CA" w14:paraId="748F088A" w14:textId="77777777" w:rsidTr="1D6AE59F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42910754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B8A16A5" wp14:editId="6F7D92E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0D2FFDA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017C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9AE1BF8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017C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773E7C4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017CA" w:rsidRPr="007417EE" w14:paraId="6FCE6D45" w14:textId="77777777" w:rsidTr="1D6AE59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E479B2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C172AB7" w14:textId="6A7F523D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80" w:after="12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 xml:space="preserve">Geneva, </w:t>
            </w:r>
            <w:r w:rsidR="00276F7D">
              <w:rPr>
                <w:sz w:val="22"/>
                <w:szCs w:val="22"/>
              </w:rPr>
              <w:t>3</w:t>
            </w:r>
            <w:r w:rsidRPr="007417EE">
              <w:rPr>
                <w:sz w:val="22"/>
                <w:szCs w:val="22"/>
              </w:rPr>
              <w:t xml:space="preserve"> </w:t>
            </w:r>
            <w:r w:rsidR="00A94551">
              <w:rPr>
                <w:sz w:val="22"/>
                <w:szCs w:val="22"/>
              </w:rPr>
              <w:t>June</w:t>
            </w:r>
            <w:r w:rsidRPr="007417EE">
              <w:rPr>
                <w:sz w:val="22"/>
                <w:szCs w:val="22"/>
              </w:rPr>
              <w:t xml:space="preserve"> 2021</w:t>
            </w:r>
          </w:p>
        </w:tc>
      </w:tr>
      <w:tr w:rsidR="001017CA" w:rsidRPr="007417EE" w14:paraId="743D7B79" w14:textId="77777777" w:rsidTr="1D6AE59F">
        <w:trPr>
          <w:cantSplit/>
          <w:trHeight w:val="700"/>
        </w:trPr>
        <w:tc>
          <w:tcPr>
            <w:tcW w:w="1143" w:type="dxa"/>
          </w:tcPr>
          <w:p w14:paraId="5D42D225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Futura Lt BT" w:hAnsi="Futura Lt BT"/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784CCCD" w14:textId="6236FFD3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2"/>
                <w:szCs w:val="22"/>
              </w:rPr>
            </w:pPr>
            <w:r w:rsidRPr="007417EE">
              <w:rPr>
                <w:b/>
                <w:sz w:val="22"/>
                <w:szCs w:val="22"/>
              </w:rPr>
              <w:t xml:space="preserve">TSB Circular </w:t>
            </w:r>
            <w:r w:rsidR="0082691C" w:rsidRPr="007417EE">
              <w:rPr>
                <w:b/>
                <w:sz w:val="22"/>
                <w:szCs w:val="22"/>
              </w:rPr>
              <w:t>3</w:t>
            </w:r>
            <w:r w:rsidR="00A94551">
              <w:rPr>
                <w:b/>
                <w:sz w:val="22"/>
                <w:szCs w:val="22"/>
              </w:rPr>
              <w:t>24</w:t>
            </w:r>
          </w:p>
          <w:p w14:paraId="6CB1BBDF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TSB Events/XA</w:t>
            </w:r>
          </w:p>
        </w:tc>
        <w:tc>
          <w:tcPr>
            <w:tcW w:w="4394" w:type="dxa"/>
            <w:gridSpan w:val="2"/>
            <w:vMerge w:val="restart"/>
          </w:tcPr>
          <w:p w14:paraId="79814D53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7417EE">
              <w:rPr>
                <w:b/>
                <w:bCs/>
                <w:sz w:val="22"/>
                <w:szCs w:val="22"/>
              </w:rPr>
              <w:t>To:</w:t>
            </w:r>
          </w:p>
          <w:p w14:paraId="708057F8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417EE">
              <w:rPr>
                <w:sz w:val="22"/>
                <w:szCs w:val="22"/>
              </w:rPr>
              <w:t>Union;</w:t>
            </w:r>
            <w:proofErr w:type="gramEnd"/>
          </w:p>
          <w:p w14:paraId="06BBB7D0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7417EE">
              <w:rPr>
                <w:color w:val="000000"/>
                <w:sz w:val="22"/>
                <w:szCs w:val="22"/>
                <w:lang w:val="fr-CH"/>
              </w:rPr>
              <w:t>-</w:t>
            </w:r>
            <w:r w:rsidRPr="007417EE">
              <w:rPr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417EE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Pr="007417EE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7417EE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6A875DA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7417EE">
              <w:rPr>
                <w:color w:val="000000"/>
                <w:sz w:val="22"/>
                <w:szCs w:val="22"/>
                <w:lang w:val="fr-CH"/>
              </w:rPr>
              <w:t>-</w:t>
            </w:r>
            <w:r w:rsidRPr="007417EE">
              <w:rPr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7417EE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661FFD18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color w:val="000000"/>
                <w:sz w:val="22"/>
                <w:szCs w:val="22"/>
              </w:rPr>
              <w:t>-</w:t>
            </w:r>
            <w:r w:rsidRPr="007417EE">
              <w:rPr>
                <w:color w:val="000000"/>
                <w:sz w:val="22"/>
                <w:szCs w:val="22"/>
              </w:rPr>
              <w:tab/>
              <w:t>ITU Academia</w:t>
            </w:r>
          </w:p>
        </w:tc>
      </w:tr>
      <w:tr w:rsidR="001017CA" w:rsidRPr="007417EE" w14:paraId="5F4BDA82" w14:textId="77777777" w:rsidTr="1D6AE59F">
        <w:trPr>
          <w:cantSplit/>
          <w:trHeight w:val="289"/>
        </w:trPr>
        <w:tc>
          <w:tcPr>
            <w:tcW w:w="1143" w:type="dxa"/>
          </w:tcPr>
          <w:p w14:paraId="75B6D786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02773894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2"/>
                <w:szCs w:val="22"/>
              </w:rPr>
            </w:pPr>
            <w:r w:rsidRPr="007417EE">
              <w:rPr>
                <w:b/>
                <w:sz w:val="22"/>
                <w:szCs w:val="22"/>
              </w:rPr>
              <w:t xml:space="preserve">Xiaoya YANG </w:t>
            </w:r>
          </w:p>
        </w:tc>
        <w:tc>
          <w:tcPr>
            <w:tcW w:w="4394" w:type="dxa"/>
            <w:gridSpan w:val="2"/>
            <w:vMerge/>
          </w:tcPr>
          <w:p w14:paraId="32C233D9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142"/>
              <w:rPr>
                <w:sz w:val="22"/>
                <w:szCs w:val="22"/>
              </w:rPr>
            </w:pPr>
          </w:p>
        </w:tc>
      </w:tr>
      <w:tr w:rsidR="001017CA" w:rsidRPr="007417EE" w14:paraId="3B1CB843" w14:textId="77777777" w:rsidTr="1D6AE59F">
        <w:trPr>
          <w:cantSplit/>
          <w:trHeight w:val="221"/>
        </w:trPr>
        <w:tc>
          <w:tcPr>
            <w:tcW w:w="1143" w:type="dxa"/>
          </w:tcPr>
          <w:p w14:paraId="7C0A936D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3CC6B38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+41 22 730 6206</w:t>
            </w:r>
          </w:p>
        </w:tc>
        <w:tc>
          <w:tcPr>
            <w:tcW w:w="4394" w:type="dxa"/>
            <w:gridSpan w:val="2"/>
            <w:vMerge/>
          </w:tcPr>
          <w:p w14:paraId="2DE1664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142"/>
              <w:rPr>
                <w:sz w:val="22"/>
                <w:szCs w:val="22"/>
              </w:rPr>
            </w:pPr>
          </w:p>
        </w:tc>
      </w:tr>
      <w:tr w:rsidR="001017CA" w:rsidRPr="007417EE" w14:paraId="317C3805" w14:textId="77777777" w:rsidTr="1D6AE59F">
        <w:trPr>
          <w:cantSplit/>
          <w:trHeight w:val="282"/>
        </w:trPr>
        <w:tc>
          <w:tcPr>
            <w:tcW w:w="1143" w:type="dxa"/>
          </w:tcPr>
          <w:p w14:paraId="57D5A45A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A0EEB8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96DB9C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142"/>
              <w:rPr>
                <w:sz w:val="22"/>
                <w:szCs w:val="22"/>
              </w:rPr>
            </w:pPr>
          </w:p>
        </w:tc>
      </w:tr>
      <w:tr w:rsidR="001017CA" w:rsidRPr="007417EE" w14:paraId="0D016789" w14:textId="77777777" w:rsidTr="1D6AE59F">
        <w:trPr>
          <w:cantSplit/>
          <w:trHeight w:val="2553"/>
        </w:trPr>
        <w:tc>
          <w:tcPr>
            <w:tcW w:w="1143" w:type="dxa"/>
          </w:tcPr>
          <w:p w14:paraId="057DEAEA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AA9D758" w14:textId="77777777" w:rsidR="001017CA" w:rsidRPr="007417EE" w:rsidRDefault="00114B7C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hyperlink r:id="rId12" w:history="1">
              <w:r w:rsidR="001017CA" w:rsidRPr="007417EE">
                <w:rPr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70B7179E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2"/>
                <w:szCs w:val="22"/>
              </w:rPr>
            </w:pPr>
            <w:r w:rsidRPr="007417EE">
              <w:rPr>
                <w:b/>
                <w:sz w:val="22"/>
                <w:szCs w:val="22"/>
              </w:rPr>
              <w:t>Copy to:</w:t>
            </w:r>
          </w:p>
          <w:p w14:paraId="3B1201A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 xml:space="preserve">The Chairmen and Vice-Chairmen of ITU-T Study </w:t>
            </w:r>
            <w:proofErr w:type="gramStart"/>
            <w:r w:rsidRPr="007417EE">
              <w:rPr>
                <w:sz w:val="22"/>
                <w:szCs w:val="22"/>
              </w:rPr>
              <w:t>Groups;</w:t>
            </w:r>
            <w:proofErr w:type="gramEnd"/>
          </w:p>
          <w:p w14:paraId="3CD579CB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417EE">
              <w:rPr>
                <w:sz w:val="22"/>
                <w:szCs w:val="22"/>
              </w:rPr>
              <w:t>Bureau;</w:t>
            </w:r>
            <w:proofErr w:type="gramEnd"/>
          </w:p>
          <w:p w14:paraId="64AE47B2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017CA" w:rsidRPr="007417EE" w14:paraId="21D7B6BC" w14:textId="77777777" w:rsidTr="1D6AE59F">
        <w:trPr>
          <w:cantSplit/>
          <w:trHeight w:val="80"/>
        </w:trPr>
        <w:tc>
          <w:tcPr>
            <w:tcW w:w="1143" w:type="dxa"/>
          </w:tcPr>
          <w:p w14:paraId="09EDAD84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sz w:val="22"/>
                <w:szCs w:val="22"/>
              </w:rPr>
            </w:pPr>
            <w:r w:rsidRPr="007417EE">
              <w:rPr>
                <w:b/>
                <w:bCs/>
                <w:sz w:val="22"/>
                <w:szCs w:val="22"/>
              </w:rPr>
              <w:t>Subject</w:t>
            </w:r>
            <w:r w:rsidRPr="007417E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638" w:type="dxa"/>
            <w:gridSpan w:val="4"/>
          </w:tcPr>
          <w:p w14:paraId="49DFE1D0" w14:textId="77777777" w:rsidR="00A94551" w:rsidRDefault="00A94551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A94551">
              <w:rPr>
                <w:b/>
                <w:bCs/>
                <w:sz w:val="22"/>
                <w:szCs w:val="22"/>
              </w:rPr>
              <w:t xml:space="preserve">Quantum Information Technology (QIT) Webinar Series </w:t>
            </w:r>
          </w:p>
          <w:p w14:paraId="7E266403" w14:textId="4FC168D7" w:rsidR="001017CA" w:rsidRPr="007417EE" w:rsidRDefault="00A94551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A94551">
              <w:rPr>
                <w:b/>
                <w:bCs/>
                <w:sz w:val="22"/>
                <w:szCs w:val="22"/>
              </w:rPr>
              <w:t>(Episode 4: Fully Virtual Meeting, 23 June 2021)</w:t>
            </w:r>
          </w:p>
        </w:tc>
      </w:tr>
    </w:tbl>
    <w:p w14:paraId="2E79DD16" w14:textId="0C09F92A" w:rsidR="00FA46A0" w:rsidRPr="007417EE" w:rsidRDefault="00B61012">
      <w:pPr>
        <w:rPr>
          <w:sz w:val="22"/>
          <w:szCs w:val="22"/>
        </w:rPr>
      </w:pPr>
      <w:r w:rsidRPr="007417EE">
        <w:rPr>
          <w:sz w:val="22"/>
          <w:szCs w:val="22"/>
        </w:rPr>
        <w:t>Dear Sir/Madam,</w:t>
      </w:r>
    </w:p>
    <w:p w14:paraId="341DD1B1" w14:textId="21D5F3FF" w:rsidR="009128DA" w:rsidRPr="007417EE" w:rsidRDefault="00DB073F" w:rsidP="006C33C9">
      <w:pPr>
        <w:rPr>
          <w:sz w:val="22"/>
          <w:szCs w:val="22"/>
          <w:shd w:val="clear" w:color="auto" w:fill="FFFFFF"/>
        </w:rPr>
      </w:pPr>
      <w:bookmarkStart w:id="1" w:name="suitetext"/>
      <w:bookmarkStart w:id="2" w:name="text"/>
      <w:bookmarkEnd w:id="1"/>
      <w:bookmarkEnd w:id="2"/>
      <w:r w:rsidRPr="007417EE">
        <w:rPr>
          <w:sz w:val="22"/>
          <w:szCs w:val="22"/>
        </w:rPr>
        <w:t>1</w:t>
      </w:r>
      <w:r w:rsidRPr="007417EE">
        <w:rPr>
          <w:sz w:val="22"/>
          <w:szCs w:val="22"/>
        </w:rPr>
        <w:tab/>
      </w:r>
      <w:bookmarkStart w:id="3" w:name="_Hlk38880448"/>
      <w:r w:rsidRPr="007417EE">
        <w:rPr>
          <w:sz w:val="22"/>
          <w:szCs w:val="22"/>
        </w:rPr>
        <w:t xml:space="preserve">The International Telecommunication (ITU) </w:t>
      </w:r>
      <w:r w:rsidR="00FD50EA" w:rsidRPr="007417EE">
        <w:rPr>
          <w:sz w:val="22"/>
          <w:szCs w:val="22"/>
        </w:rPr>
        <w:t xml:space="preserve">is </w:t>
      </w:r>
      <w:r w:rsidRPr="007417EE">
        <w:rPr>
          <w:sz w:val="22"/>
          <w:szCs w:val="22"/>
        </w:rPr>
        <w:t xml:space="preserve">organizing </w:t>
      </w:r>
      <w:r w:rsidR="00A94551">
        <w:rPr>
          <w:sz w:val="22"/>
          <w:szCs w:val="22"/>
        </w:rPr>
        <w:t>the fourth episode of the</w:t>
      </w:r>
      <w:r w:rsidR="00162E48" w:rsidRPr="007417EE">
        <w:rPr>
          <w:sz w:val="22"/>
          <w:szCs w:val="22"/>
        </w:rPr>
        <w:t xml:space="preserve"> </w:t>
      </w:r>
      <w:hyperlink r:id="rId13" w:history="1">
        <w:r w:rsidR="00162E48" w:rsidRPr="007417EE">
          <w:rPr>
            <w:rStyle w:val="Hyperlink"/>
            <w:b/>
            <w:bCs/>
            <w:sz w:val="22"/>
            <w:szCs w:val="22"/>
          </w:rPr>
          <w:t>Quantum Information Technology (QIT)</w:t>
        </w:r>
      </w:hyperlink>
      <w:r w:rsidR="00162E48" w:rsidRPr="007417EE">
        <w:rPr>
          <w:sz w:val="22"/>
          <w:szCs w:val="22"/>
        </w:rPr>
        <w:t xml:space="preserve"> </w:t>
      </w:r>
      <w:r w:rsidR="00A94551">
        <w:rPr>
          <w:sz w:val="22"/>
          <w:szCs w:val="22"/>
        </w:rPr>
        <w:t>webinar series which</w:t>
      </w:r>
      <w:r w:rsidR="00911C5C" w:rsidRPr="007417EE">
        <w:rPr>
          <w:sz w:val="22"/>
          <w:szCs w:val="22"/>
        </w:rPr>
        <w:t xml:space="preserve"> </w:t>
      </w:r>
      <w:r w:rsidR="009128DA" w:rsidRPr="007417EE">
        <w:rPr>
          <w:sz w:val="22"/>
          <w:szCs w:val="22"/>
          <w:shd w:val="clear" w:color="auto" w:fill="FFFFFF"/>
        </w:rPr>
        <w:t>aim</w:t>
      </w:r>
      <w:r w:rsidR="00A94551">
        <w:rPr>
          <w:sz w:val="22"/>
          <w:szCs w:val="22"/>
          <w:shd w:val="clear" w:color="auto" w:fill="FFFFFF"/>
        </w:rPr>
        <w:t>s to</w:t>
      </w:r>
      <w:r w:rsidR="009128DA" w:rsidRPr="007417EE">
        <w:rPr>
          <w:sz w:val="22"/>
          <w:szCs w:val="22"/>
          <w:shd w:val="clear" w:color="auto" w:fill="FFFFFF"/>
        </w:rPr>
        <w:t xml:space="preserve"> shar</w:t>
      </w:r>
      <w:r w:rsidR="00A94551">
        <w:rPr>
          <w:sz w:val="22"/>
          <w:szCs w:val="22"/>
          <w:shd w:val="clear" w:color="auto" w:fill="FFFFFF"/>
        </w:rPr>
        <w:t>e</w:t>
      </w:r>
      <w:r w:rsidR="009128DA" w:rsidRPr="007417EE">
        <w:rPr>
          <w:sz w:val="22"/>
          <w:szCs w:val="22"/>
          <w:shd w:val="clear" w:color="auto" w:fill="FFFFFF"/>
        </w:rPr>
        <w:t xml:space="preserve"> information</w:t>
      </w:r>
      <w:r w:rsidR="2407C476" w:rsidRPr="007417EE">
        <w:rPr>
          <w:sz w:val="22"/>
          <w:szCs w:val="22"/>
        </w:rPr>
        <w:t xml:space="preserve"> and </w:t>
      </w:r>
      <w:r w:rsidR="00A94551">
        <w:rPr>
          <w:sz w:val="22"/>
          <w:szCs w:val="22"/>
        </w:rPr>
        <w:t xml:space="preserve">the </w:t>
      </w:r>
      <w:r w:rsidR="2407C476" w:rsidRPr="007417EE">
        <w:rPr>
          <w:sz w:val="22"/>
          <w:szCs w:val="22"/>
        </w:rPr>
        <w:t>latest development</w:t>
      </w:r>
      <w:r w:rsidR="00A94551">
        <w:rPr>
          <w:sz w:val="22"/>
          <w:szCs w:val="22"/>
        </w:rPr>
        <w:t>s</w:t>
      </w:r>
      <w:r w:rsidR="009128DA" w:rsidRPr="007417EE">
        <w:rPr>
          <w:sz w:val="22"/>
          <w:szCs w:val="22"/>
          <w:shd w:val="clear" w:color="auto" w:fill="FFFFFF"/>
        </w:rPr>
        <w:t xml:space="preserve"> </w:t>
      </w:r>
      <w:r w:rsidR="009D03AB" w:rsidRPr="007417EE">
        <w:rPr>
          <w:sz w:val="22"/>
          <w:szCs w:val="22"/>
          <w:shd w:val="clear" w:color="auto" w:fill="FFFFFF"/>
        </w:rPr>
        <w:t xml:space="preserve">on QIT </w:t>
      </w:r>
      <w:r w:rsidR="009128DA" w:rsidRPr="007417EE">
        <w:rPr>
          <w:sz w:val="22"/>
          <w:szCs w:val="22"/>
          <w:shd w:val="clear" w:color="auto" w:fill="FFFFFF"/>
        </w:rPr>
        <w:t>to ICT stakeholders that would be impacted by the rapidly developing field.</w:t>
      </w:r>
    </w:p>
    <w:p w14:paraId="6D1E92DC" w14:textId="3AF030A1" w:rsidR="00911C5C" w:rsidRPr="007417EE" w:rsidRDefault="00A94551" w:rsidP="006C33C9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This episode </w:t>
      </w:r>
      <w:r w:rsidR="00162636">
        <w:rPr>
          <w:sz w:val="22"/>
          <w:szCs w:val="22"/>
          <w:shd w:val="clear" w:color="auto" w:fill="FFFFFF"/>
        </w:rPr>
        <w:t>on</w:t>
      </w:r>
      <w:r>
        <w:rPr>
          <w:sz w:val="22"/>
          <w:szCs w:val="22"/>
          <w:shd w:val="clear" w:color="auto" w:fill="FFFFFF"/>
        </w:rPr>
        <w:t xml:space="preserve"> “</w:t>
      </w:r>
      <w:r w:rsidRPr="00A94551">
        <w:rPr>
          <w:b/>
          <w:bCs/>
          <w:sz w:val="22"/>
          <w:szCs w:val="22"/>
          <w:shd w:val="clear" w:color="auto" w:fill="FFFFFF"/>
        </w:rPr>
        <w:t>Harmonisation of Terminology in Standards for Quantum Technology</w:t>
      </w:r>
      <w:r>
        <w:rPr>
          <w:sz w:val="22"/>
          <w:szCs w:val="22"/>
          <w:shd w:val="clear" w:color="auto" w:fill="FFFFFF"/>
        </w:rPr>
        <w:t xml:space="preserve">” </w:t>
      </w:r>
      <w:r w:rsidR="00162636">
        <w:rPr>
          <w:sz w:val="22"/>
          <w:szCs w:val="22"/>
          <w:shd w:val="clear" w:color="auto" w:fill="FFFFFF"/>
        </w:rPr>
        <w:t xml:space="preserve">is jointly organized by the </w:t>
      </w:r>
      <w:r w:rsidR="00162636" w:rsidRPr="007417EE">
        <w:rPr>
          <w:rFonts w:eastAsia="Batang" w:cs="Calibri"/>
          <w:sz w:val="22"/>
          <w:szCs w:val="22"/>
          <w:lang w:eastAsia="ko-KR"/>
        </w:rPr>
        <w:t>European Telecommunications Standards Institute (ETSI)</w:t>
      </w:r>
      <w:r w:rsidR="00162636">
        <w:rPr>
          <w:rFonts w:eastAsia="Batang" w:cs="Calibri"/>
          <w:sz w:val="22"/>
          <w:szCs w:val="22"/>
          <w:lang w:eastAsia="ko-KR"/>
        </w:rPr>
        <w:t xml:space="preserve">, </w:t>
      </w:r>
      <w:r w:rsidR="00162636" w:rsidRPr="00162636">
        <w:rPr>
          <w:rFonts w:eastAsia="Batang" w:cs="Calibri"/>
          <w:sz w:val="22"/>
          <w:szCs w:val="22"/>
          <w:lang w:eastAsia="ko-KR"/>
        </w:rPr>
        <w:t>International Electrotechnical Commission (IEC)</w:t>
      </w:r>
      <w:r w:rsidR="00162636">
        <w:rPr>
          <w:rFonts w:eastAsia="Batang" w:cs="Calibri"/>
          <w:sz w:val="22"/>
          <w:szCs w:val="22"/>
          <w:lang w:eastAsia="ko-KR"/>
        </w:rPr>
        <w:t xml:space="preserve"> and the</w:t>
      </w:r>
      <w:r w:rsidR="00162636" w:rsidRPr="00162636">
        <w:rPr>
          <w:rFonts w:eastAsia="Batang" w:cs="Calibri"/>
          <w:sz w:val="22"/>
          <w:szCs w:val="22"/>
          <w:lang w:eastAsia="ko-KR"/>
        </w:rPr>
        <w:t xml:space="preserve"> Institute of Electrical and Electronics Engineers (IEEE) UK and Ireland Photonics Chapter </w:t>
      </w:r>
      <w:r>
        <w:rPr>
          <w:sz w:val="22"/>
          <w:szCs w:val="22"/>
          <w:shd w:val="clear" w:color="auto" w:fill="FFFFFF"/>
        </w:rPr>
        <w:t xml:space="preserve">and will take place on </w:t>
      </w:r>
      <w:r w:rsidRPr="00A94551">
        <w:rPr>
          <w:b/>
          <w:bCs/>
          <w:sz w:val="22"/>
          <w:szCs w:val="22"/>
          <w:shd w:val="clear" w:color="auto" w:fill="FFFFFF"/>
        </w:rPr>
        <w:t>23 June 2021 from 15h00 to 18h00 CEST</w:t>
      </w:r>
      <w:r>
        <w:rPr>
          <w:sz w:val="22"/>
          <w:szCs w:val="22"/>
          <w:shd w:val="clear" w:color="auto" w:fill="FFFFFF"/>
        </w:rPr>
        <w:t>.</w:t>
      </w:r>
    </w:p>
    <w:bookmarkEnd w:id="3"/>
    <w:p w14:paraId="40966955" w14:textId="780759F8" w:rsidR="00A94551" w:rsidRDefault="001017CA" w:rsidP="006C33C9">
      <w:pPr>
        <w:rPr>
          <w:sz w:val="22"/>
          <w:szCs w:val="22"/>
        </w:rPr>
      </w:pPr>
      <w:r w:rsidRPr="1D6AE59F">
        <w:rPr>
          <w:sz w:val="22"/>
          <w:szCs w:val="22"/>
        </w:rPr>
        <w:t>2</w:t>
      </w:r>
      <w:r>
        <w:tab/>
      </w:r>
      <w:r w:rsidR="64227939" w:rsidRPr="1D6AE59F">
        <w:rPr>
          <w:sz w:val="22"/>
          <w:szCs w:val="22"/>
        </w:rPr>
        <w:t xml:space="preserve">Clearly defined terms are </w:t>
      </w:r>
      <w:r w:rsidR="00BD0904">
        <w:rPr>
          <w:sz w:val="22"/>
          <w:szCs w:val="22"/>
        </w:rPr>
        <w:t>a</w:t>
      </w:r>
      <w:r w:rsidR="64227939" w:rsidRPr="1D6AE59F">
        <w:rPr>
          <w:sz w:val="22"/>
          <w:szCs w:val="22"/>
        </w:rPr>
        <w:t xml:space="preserve"> core objective </w:t>
      </w:r>
      <w:r w:rsidR="413BB7F9" w:rsidRPr="1D6AE59F">
        <w:rPr>
          <w:sz w:val="22"/>
          <w:szCs w:val="22"/>
        </w:rPr>
        <w:t xml:space="preserve">of standardization </w:t>
      </w:r>
      <w:r w:rsidR="0626E0FF" w:rsidRPr="1D6AE59F">
        <w:rPr>
          <w:sz w:val="22"/>
          <w:szCs w:val="22"/>
        </w:rPr>
        <w:t>because they are</w:t>
      </w:r>
      <w:r w:rsidR="3562E03C" w:rsidRPr="1D6AE59F">
        <w:rPr>
          <w:sz w:val="22"/>
          <w:szCs w:val="22"/>
        </w:rPr>
        <w:t xml:space="preserve"> the </w:t>
      </w:r>
      <w:r w:rsidR="68C18DCD" w:rsidRPr="1D6AE59F">
        <w:rPr>
          <w:sz w:val="22"/>
          <w:szCs w:val="22"/>
        </w:rPr>
        <w:t>foundation</w:t>
      </w:r>
      <w:r w:rsidR="64227939" w:rsidRPr="1D6AE59F">
        <w:rPr>
          <w:sz w:val="22"/>
          <w:szCs w:val="22"/>
        </w:rPr>
        <w:t xml:space="preserve"> of</w:t>
      </w:r>
      <w:r w:rsidR="008D4581">
        <w:rPr>
          <w:sz w:val="22"/>
          <w:szCs w:val="22"/>
        </w:rPr>
        <w:t xml:space="preserve"> </w:t>
      </w:r>
      <w:r w:rsidR="3E03A08C" w:rsidRPr="1D6AE59F">
        <w:rPr>
          <w:sz w:val="22"/>
          <w:szCs w:val="22"/>
        </w:rPr>
        <w:t>good</w:t>
      </w:r>
      <w:r w:rsidR="64227939" w:rsidRPr="1D6AE59F">
        <w:rPr>
          <w:sz w:val="22"/>
          <w:szCs w:val="22"/>
        </w:rPr>
        <w:t xml:space="preserve"> </w:t>
      </w:r>
      <w:r w:rsidR="00BD0904">
        <w:rPr>
          <w:sz w:val="22"/>
          <w:szCs w:val="22"/>
        </w:rPr>
        <w:t>technical</w:t>
      </w:r>
      <w:r w:rsidR="208E2A92" w:rsidRPr="1D6AE59F">
        <w:rPr>
          <w:sz w:val="22"/>
          <w:szCs w:val="22"/>
        </w:rPr>
        <w:t xml:space="preserve"> s</w:t>
      </w:r>
      <w:r w:rsidR="00A94551" w:rsidRPr="1D6AE59F">
        <w:rPr>
          <w:sz w:val="22"/>
          <w:szCs w:val="22"/>
        </w:rPr>
        <w:t>tandards</w:t>
      </w:r>
      <w:r w:rsidR="77E5C133" w:rsidRPr="1D6AE59F">
        <w:rPr>
          <w:sz w:val="22"/>
          <w:szCs w:val="22"/>
        </w:rPr>
        <w:t>.</w:t>
      </w:r>
      <w:r w:rsidR="00A94551" w:rsidRPr="1D6AE59F">
        <w:rPr>
          <w:sz w:val="22"/>
          <w:szCs w:val="22"/>
        </w:rPr>
        <w:t xml:space="preserve"> </w:t>
      </w:r>
      <w:r w:rsidR="00611AAC">
        <w:rPr>
          <w:sz w:val="22"/>
          <w:szCs w:val="22"/>
        </w:rPr>
        <w:t>H</w:t>
      </w:r>
      <w:r w:rsidR="00A94551" w:rsidRPr="1D6AE59F">
        <w:rPr>
          <w:sz w:val="22"/>
          <w:szCs w:val="22"/>
        </w:rPr>
        <w:t xml:space="preserve">owever, in practice, multiple standards are often </w:t>
      </w:r>
      <w:r w:rsidR="2EFE3F9B" w:rsidRPr="1D6AE59F">
        <w:rPr>
          <w:sz w:val="22"/>
          <w:szCs w:val="22"/>
        </w:rPr>
        <w:t xml:space="preserve">originated </w:t>
      </w:r>
      <w:r w:rsidR="558E3144" w:rsidRPr="1D6AE59F">
        <w:rPr>
          <w:sz w:val="22"/>
          <w:szCs w:val="22"/>
        </w:rPr>
        <w:t>separately</w:t>
      </w:r>
      <w:r w:rsidR="4F840EFB" w:rsidRPr="1D6AE59F">
        <w:rPr>
          <w:sz w:val="22"/>
          <w:szCs w:val="22"/>
        </w:rPr>
        <w:t>,</w:t>
      </w:r>
      <w:r w:rsidR="1D4FE277" w:rsidRPr="1D6AE59F">
        <w:rPr>
          <w:sz w:val="22"/>
          <w:szCs w:val="22"/>
        </w:rPr>
        <w:t xml:space="preserve"> </w:t>
      </w:r>
      <w:r w:rsidR="265E755E" w:rsidRPr="1D6AE59F">
        <w:rPr>
          <w:sz w:val="22"/>
          <w:szCs w:val="22"/>
        </w:rPr>
        <w:t>developed</w:t>
      </w:r>
      <w:r w:rsidR="6030D5AF" w:rsidRPr="1D6AE59F">
        <w:rPr>
          <w:sz w:val="22"/>
          <w:szCs w:val="22"/>
        </w:rPr>
        <w:t xml:space="preserve"> </w:t>
      </w:r>
      <w:proofErr w:type="gramStart"/>
      <w:r w:rsidR="5F1DA64B" w:rsidRPr="1D6AE59F">
        <w:rPr>
          <w:sz w:val="22"/>
          <w:szCs w:val="22"/>
        </w:rPr>
        <w:t>simultaneously</w:t>
      </w:r>
      <w:proofErr w:type="gramEnd"/>
      <w:r w:rsidR="5F1DA64B" w:rsidRPr="1D6AE59F">
        <w:rPr>
          <w:sz w:val="22"/>
          <w:szCs w:val="22"/>
        </w:rPr>
        <w:t xml:space="preserve"> and </w:t>
      </w:r>
      <w:r w:rsidR="00A94551" w:rsidRPr="1D6AE59F">
        <w:rPr>
          <w:sz w:val="22"/>
          <w:szCs w:val="22"/>
        </w:rPr>
        <w:t>used in combination</w:t>
      </w:r>
      <w:r w:rsidR="00F164D2">
        <w:rPr>
          <w:sz w:val="22"/>
          <w:szCs w:val="22"/>
        </w:rPr>
        <w:t xml:space="preserve"> which</w:t>
      </w:r>
      <w:r w:rsidR="00A94551" w:rsidRPr="1D6AE59F">
        <w:rPr>
          <w:sz w:val="22"/>
          <w:szCs w:val="22"/>
        </w:rPr>
        <w:t xml:space="preserve"> adds complexity to users </w:t>
      </w:r>
      <w:r w:rsidR="3CCFFD1E" w:rsidRPr="1D6AE59F">
        <w:rPr>
          <w:sz w:val="22"/>
          <w:szCs w:val="22"/>
        </w:rPr>
        <w:t>if</w:t>
      </w:r>
      <w:r w:rsidR="00A94551" w:rsidRPr="1D6AE59F">
        <w:rPr>
          <w:sz w:val="22"/>
          <w:szCs w:val="22"/>
        </w:rPr>
        <w:t xml:space="preserve"> </w:t>
      </w:r>
      <w:r w:rsidR="5B7919F7" w:rsidRPr="1D6AE59F">
        <w:rPr>
          <w:sz w:val="22"/>
          <w:szCs w:val="22"/>
        </w:rPr>
        <w:t xml:space="preserve">different or even </w:t>
      </w:r>
      <w:r w:rsidR="00A94551" w:rsidRPr="1D6AE59F">
        <w:rPr>
          <w:sz w:val="22"/>
          <w:szCs w:val="22"/>
        </w:rPr>
        <w:t xml:space="preserve">conflicting definitions exist. This episode will discuss motivations to harmonize the use of QIT-related terminology and </w:t>
      </w:r>
      <w:r w:rsidR="061FB0A1" w:rsidRPr="1D6AE59F">
        <w:rPr>
          <w:sz w:val="22"/>
          <w:szCs w:val="22"/>
        </w:rPr>
        <w:t>identify</w:t>
      </w:r>
      <w:r w:rsidR="00A94551" w:rsidRPr="1D6AE59F">
        <w:rPr>
          <w:sz w:val="22"/>
          <w:szCs w:val="22"/>
        </w:rPr>
        <w:t xml:space="preserve"> areas where </w:t>
      </w:r>
      <w:r w:rsidR="4BDDC58B" w:rsidRPr="1D6AE59F">
        <w:rPr>
          <w:sz w:val="22"/>
          <w:szCs w:val="22"/>
        </w:rPr>
        <w:t>certain</w:t>
      </w:r>
      <w:r w:rsidR="00A94551" w:rsidRPr="1D6AE59F">
        <w:rPr>
          <w:sz w:val="22"/>
          <w:szCs w:val="22"/>
        </w:rPr>
        <w:t xml:space="preserve"> terminolog</w:t>
      </w:r>
      <w:r w:rsidR="00F164D2">
        <w:rPr>
          <w:sz w:val="22"/>
          <w:szCs w:val="22"/>
        </w:rPr>
        <w:t>y</w:t>
      </w:r>
      <w:r w:rsidR="00A94551" w:rsidRPr="1D6AE59F">
        <w:rPr>
          <w:sz w:val="22"/>
          <w:szCs w:val="22"/>
        </w:rPr>
        <w:t xml:space="preserve"> </w:t>
      </w:r>
      <w:r w:rsidR="00F164D2">
        <w:rPr>
          <w:sz w:val="22"/>
          <w:szCs w:val="22"/>
        </w:rPr>
        <w:t>is</w:t>
      </w:r>
      <w:r w:rsidR="00A94551" w:rsidRPr="1D6AE59F">
        <w:rPr>
          <w:sz w:val="22"/>
          <w:szCs w:val="22"/>
        </w:rPr>
        <w:t xml:space="preserve"> likely to cut across different QITs as well as areas where consistency with standards from other fields is important.</w:t>
      </w:r>
      <w:r w:rsidR="00F164D2" w:rsidRPr="00F164D2">
        <w:rPr>
          <w:sz w:val="22"/>
          <w:szCs w:val="22"/>
        </w:rPr>
        <w:t xml:space="preserve"> </w:t>
      </w:r>
      <w:r w:rsidR="00F164D2">
        <w:rPr>
          <w:sz w:val="22"/>
          <w:szCs w:val="22"/>
        </w:rPr>
        <w:t>W</w:t>
      </w:r>
      <w:r w:rsidR="00F164D2" w:rsidRPr="1D6AE59F">
        <w:rPr>
          <w:sz w:val="22"/>
          <w:szCs w:val="22"/>
        </w:rPr>
        <w:t>ith specific examples</w:t>
      </w:r>
      <w:r w:rsidR="00F164D2">
        <w:rPr>
          <w:sz w:val="22"/>
          <w:szCs w:val="22"/>
        </w:rPr>
        <w:t>,</w:t>
      </w:r>
      <w:r w:rsidR="00A94551" w:rsidRPr="1D6AE59F">
        <w:rPr>
          <w:sz w:val="22"/>
          <w:szCs w:val="22"/>
        </w:rPr>
        <w:t xml:space="preserve"> </w:t>
      </w:r>
      <w:r w:rsidR="00F164D2">
        <w:rPr>
          <w:sz w:val="22"/>
          <w:szCs w:val="22"/>
        </w:rPr>
        <w:t xml:space="preserve">this episode </w:t>
      </w:r>
      <w:r w:rsidR="00A94551" w:rsidRPr="1D6AE59F">
        <w:rPr>
          <w:sz w:val="22"/>
          <w:szCs w:val="22"/>
        </w:rPr>
        <w:t>will also</w:t>
      </w:r>
      <w:r w:rsidR="02FAB25A" w:rsidRPr="1D6AE59F">
        <w:rPr>
          <w:sz w:val="22"/>
          <w:szCs w:val="22"/>
        </w:rPr>
        <w:t xml:space="preserve"> discuss</w:t>
      </w:r>
      <w:r w:rsidR="00A94551" w:rsidRPr="1D6AE59F">
        <w:rPr>
          <w:sz w:val="22"/>
          <w:szCs w:val="22"/>
        </w:rPr>
        <w:t xml:space="preserve"> whether terminology choices </w:t>
      </w:r>
      <w:r w:rsidR="2CB6D2A8" w:rsidRPr="1D6AE59F">
        <w:rPr>
          <w:sz w:val="22"/>
          <w:szCs w:val="22"/>
        </w:rPr>
        <w:t>might</w:t>
      </w:r>
      <w:r w:rsidR="00A94551" w:rsidRPr="1D6AE59F">
        <w:rPr>
          <w:sz w:val="22"/>
          <w:szCs w:val="22"/>
        </w:rPr>
        <w:t xml:space="preserve"> restrict the application of standards to future generations of quantum networks. Approaches applied by different SDOs for the </w:t>
      </w:r>
      <w:r w:rsidR="1A8B73C0" w:rsidRPr="1D6AE59F">
        <w:rPr>
          <w:sz w:val="22"/>
          <w:szCs w:val="22"/>
        </w:rPr>
        <w:t>development</w:t>
      </w:r>
      <w:r w:rsidR="00A94551" w:rsidRPr="1D6AE59F">
        <w:rPr>
          <w:sz w:val="22"/>
          <w:szCs w:val="22"/>
        </w:rPr>
        <w:t>, use and maintenance of terminology will also be discussed with a view of identifying potential mechanisms to facilitate harmonisation.</w:t>
      </w:r>
    </w:p>
    <w:p w14:paraId="7D7B4479" w14:textId="481EE223" w:rsidR="004B4C11" w:rsidRPr="007417EE" w:rsidRDefault="00A94551" w:rsidP="006C33C9">
      <w:p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4B4C11" w:rsidRPr="007417EE">
        <w:rPr>
          <w:sz w:val="22"/>
          <w:szCs w:val="22"/>
        </w:rPr>
        <w:tab/>
        <w:t>Participation in th</w:t>
      </w:r>
      <w:r>
        <w:rPr>
          <w:sz w:val="22"/>
          <w:szCs w:val="22"/>
        </w:rPr>
        <w:t>e</w:t>
      </w:r>
      <w:r w:rsidR="004B4C11" w:rsidRPr="007417EE">
        <w:rPr>
          <w:sz w:val="22"/>
          <w:szCs w:val="22"/>
        </w:rPr>
        <w:t xml:space="preserve"> webinar </w:t>
      </w:r>
      <w:r>
        <w:rPr>
          <w:sz w:val="22"/>
          <w:szCs w:val="22"/>
        </w:rPr>
        <w:t>is</w:t>
      </w:r>
      <w:r w:rsidR="004B4C11" w:rsidRPr="007417EE">
        <w:rPr>
          <w:sz w:val="22"/>
          <w:szCs w:val="22"/>
        </w:rPr>
        <w:t xml:space="preserve"> 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4B4C11" w:rsidRPr="007417EE">
        <w:rPr>
          <w:sz w:val="22"/>
          <w:szCs w:val="22"/>
        </w:rPr>
        <w:t>regional</w:t>
      </w:r>
      <w:proofErr w:type="gramEnd"/>
      <w:r w:rsidR="004B4C11" w:rsidRPr="007417EE">
        <w:rPr>
          <w:sz w:val="22"/>
          <w:szCs w:val="22"/>
        </w:rPr>
        <w:t xml:space="preserve"> and national organizations. </w:t>
      </w:r>
    </w:p>
    <w:p w14:paraId="25801F93" w14:textId="77777777" w:rsidR="00A672CE" w:rsidRDefault="00A94551" w:rsidP="006C33C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DB073F" w:rsidRPr="007417EE">
        <w:rPr>
          <w:sz w:val="22"/>
          <w:szCs w:val="22"/>
        </w:rPr>
        <w:tab/>
      </w:r>
      <w:r w:rsidR="003A457D" w:rsidRPr="007417EE">
        <w:rPr>
          <w:sz w:val="22"/>
          <w:szCs w:val="22"/>
        </w:rPr>
        <w:t>All relevant i</w:t>
      </w:r>
      <w:r w:rsidR="00DB073F" w:rsidRPr="007417EE">
        <w:rPr>
          <w:sz w:val="22"/>
          <w:szCs w:val="22"/>
        </w:rPr>
        <w:t xml:space="preserve">nformation </w:t>
      </w:r>
      <w:r w:rsidR="002053CA" w:rsidRPr="007417EE">
        <w:rPr>
          <w:sz w:val="22"/>
          <w:szCs w:val="22"/>
        </w:rPr>
        <w:t>pertaining</w:t>
      </w:r>
      <w:r w:rsidR="00DB073F" w:rsidRPr="007417EE">
        <w:rPr>
          <w:sz w:val="22"/>
          <w:szCs w:val="22"/>
        </w:rPr>
        <w:t xml:space="preserve"> to the </w:t>
      </w:r>
      <w:r w:rsidR="003A457D" w:rsidRPr="007417EE">
        <w:rPr>
          <w:sz w:val="22"/>
          <w:szCs w:val="22"/>
        </w:rPr>
        <w:t>webinar</w:t>
      </w:r>
      <w:r w:rsidR="0006441C" w:rsidRPr="007417EE">
        <w:rPr>
          <w:sz w:val="22"/>
          <w:szCs w:val="22"/>
        </w:rPr>
        <w:t>,</w:t>
      </w:r>
      <w:r w:rsidR="00A00764" w:rsidRPr="007417EE">
        <w:rPr>
          <w:sz w:val="22"/>
          <w:szCs w:val="22"/>
        </w:rPr>
        <w:t xml:space="preserve"> </w:t>
      </w:r>
      <w:r w:rsidR="0006441C" w:rsidRPr="007417EE">
        <w:rPr>
          <w:sz w:val="22"/>
          <w:szCs w:val="22"/>
        </w:rPr>
        <w:t>(speakers, registration</w:t>
      </w:r>
      <w:r w:rsidR="00A00764" w:rsidRPr="007417EE">
        <w:rPr>
          <w:sz w:val="22"/>
          <w:szCs w:val="22"/>
        </w:rPr>
        <w:t xml:space="preserve"> links</w:t>
      </w:r>
      <w:r w:rsidR="0006441C" w:rsidRPr="007417EE">
        <w:rPr>
          <w:sz w:val="22"/>
          <w:szCs w:val="22"/>
        </w:rPr>
        <w:t>, remote connection details)</w:t>
      </w:r>
      <w:r w:rsidR="00DB073F" w:rsidRPr="007417EE">
        <w:rPr>
          <w:sz w:val="22"/>
          <w:szCs w:val="22"/>
        </w:rPr>
        <w:t xml:space="preserve"> will be </w:t>
      </w:r>
      <w:r w:rsidR="004B4C11" w:rsidRPr="007417EE">
        <w:rPr>
          <w:sz w:val="22"/>
          <w:szCs w:val="22"/>
        </w:rPr>
        <w:t xml:space="preserve">made </w:t>
      </w:r>
      <w:r w:rsidR="00DB073F" w:rsidRPr="007417EE">
        <w:rPr>
          <w:sz w:val="22"/>
          <w:szCs w:val="22"/>
        </w:rPr>
        <w:t xml:space="preserve">available </w:t>
      </w:r>
      <w:r>
        <w:rPr>
          <w:sz w:val="22"/>
          <w:szCs w:val="22"/>
        </w:rPr>
        <w:t>at</w:t>
      </w:r>
      <w:r w:rsidR="00C051EC">
        <w:rPr>
          <w:sz w:val="22"/>
          <w:szCs w:val="22"/>
        </w:rPr>
        <w:t xml:space="preserve"> </w:t>
      </w:r>
      <w:hyperlink r:id="rId14" w:history="1">
        <w:r w:rsidR="00C051EC" w:rsidRPr="005F2392">
          <w:rPr>
            <w:rStyle w:val="Hyperlink"/>
            <w:sz w:val="22"/>
            <w:szCs w:val="22"/>
          </w:rPr>
          <w:t>https://www.itu.int/en/ITU-T/webinars/20210623/Pages/default.aspx</w:t>
        </w:r>
      </w:hyperlink>
      <w:r w:rsidR="00A672CE" w:rsidRPr="007417EE">
        <w:rPr>
          <w:sz w:val="22"/>
          <w:szCs w:val="22"/>
        </w:rPr>
        <w:t>. The website will be regularly updated as new or modified information becomes available. Participants are requested to check periodically for new updates.</w:t>
      </w:r>
    </w:p>
    <w:p w14:paraId="10262774" w14:textId="1F682E37" w:rsidR="00A94551" w:rsidRPr="007417EE" w:rsidRDefault="00A94551" w:rsidP="006C33C9">
      <w:pPr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>
        <w:rPr>
          <w:sz w:val="22"/>
          <w:szCs w:val="22"/>
        </w:rPr>
        <w:tab/>
        <w:t xml:space="preserve">For the previous episodes in this </w:t>
      </w:r>
      <w:hyperlink r:id="rId15" w:history="1">
        <w:r w:rsidRPr="007417EE">
          <w:rPr>
            <w:rStyle w:val="Hyperlink"/>
            <w:b/>
            <w:bCs/>
            <w:sz w:val="22"/>
            <w:szCs w:val="22"/>
          </w:rPr>
          <w:t>Quantum Information Technology (QIT)</w:t>
        </w:r>
      </w:hyperlink>
      <w:r w:rsidRPr="00741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webinar series, kindly view the recordings by following the respective links available on the </w:t>
      </w:r>
      <w:r w:rsidRPr="00A94551">
        <w:rPr>
          <w:sz w:val="22"/>
          <w:szCs w:val="22"/>
        </w:rPr>
        <w:t xml:space="preserve">main landing page found </w:t>
      </w:r>
      <w:hyperlink r:id="rId16" w:history="1">
        <w:r w:rsidRPr="00A94551">
          <w:rPr>
            <w:rStyle w:val="Hyperlink"/>
            <w:sz w:val="22"/>
            <w:szCs w:val="18"/>
          </w:rPr>
          <w:t>here</w:t>
        </w:r>
      </w:hyperlink>
      <w:r>
        <w:t>.</w:t>
      </w:r>
    </w:p>
    <w:p w14:paraId="5BB545EC" w14:textId="4C1A687A" w:rsidR="0075165B" w:rsidRPr="007417EE" w:rsidRDefault="00B61012" w:rsidP="00734AAB">
      <w:pPr>
        <w:spacing w:before="360"/>
        <w:rPr>
          <w:sz w:val="22"/>
          <w:szCs w:val="22"/>
        </w:rPr>
      </w:pPr>
      <w:r w:rsidRPr="007417EE">
        <w:rPr>
          <w:sz w:val="22"/>
          <w:szCs w:val="22"/>
        </w:rPr>
        <w:t>Yours faithfully,</w:t>
      </w:r>
    </w:p>
    <w:p w14:paraId="544863EC" w14:textId="2C26F134" w:rsidR="00D62702" w:rsidRPr="007417EE" w:rsidRDefault="00114B7C" w:rsidP="00734AAB">
      <w:pPr>
        <w:spacing w:before="960"/>
        <w:rPr>
          <w:sz w:val="22"/>
          <w:szCs w:val="22"/>
        </w:rPr>
      </w:pPr>
      <w:r w:rsidRPr="007417EE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A677AFE" wp14:editId="28478DF7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742950" cy="3138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N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417EE">
        <w:rPr>
          <w:sz w:val="22"/>
          <w:szCs w:val="22"/>
        </w:rPr>
        <w:t>Chaesub Lee</w:t>
      </w:r>
      <w:r w:rsidR="00B61012" w:rsidRPr="007417EE">
        <w:rPr>
          <w:sz w:val="22"/>
          <w:szCs w:val="22"/>
        </w:rPr>
        <w:br/>
        <w:t>Director of the Telecommunication</w:t>
      </w:r>
      <w:r w:rsidR="00B61012" w:rsidRPr="007417EE">
        <w:rPr>
          <w:sz w:val="22"/>
          <w:szCs w:val="22"/>
        </w:rPr>
        <w:br/>
        <w:t>Standardization Bureau</w:t>
      </w:r>
    </w:p>
    <w:sectPr w:rsidR="00D62702" w:rsidRPr="007417EE" w:rsidSect="002030AC">
      <w:headerReference w:type="default" r:id="rId18"/>
      <w:footerReference w:type="first" r:id="rId19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3BAE" w14:textId="77777777" w:rsidR="00FC49C5" w:rsidRDefault="00FC49C5">
      <w:r>
        <w:separator/>
      </w:r>
    </w:p>
  </w:endnote>
  <w:endnote w:type="continuationSeparator" w:id="0">
    <w:p w14:paraId="3E73729C" w14:textId="77777777" w:rsidR="00FC49C5" w:rsidRDefault="00FC49C5">
      <w:r>
        <w:continuationSeparator/>
      </w:r>
    </w:p>
  </w:endnote>
  <w:endnote w:type="continuationNotice" w:id="1">
    <w:p w14:paraId="29A2C80A" w14:textId="77777777" w:rsidR="00FC49C5" w:rsidRDefault="00FC49C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32E4" w14:textId="52CC9DC4" w:rsidR="00FA46A0" w:rsidRPr="006C33C9" w:rsidRDefault="006C33C9" w:rsidP="006C33C9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D60D" w14:textId="77777777" w:rsidR="00FC49C5" w:rsidRDefault="00FC49C5">
      <w:r>
        <w:t>____________________</w:t>
      </w:r>
    </w:p>
  </w:footnote>
  <w:footnote w:type="continuationSeparator" w:id="0">
    <w:p w14:paraId="530C28B0" w14:textId="77777777" w:rsidR="00FC49C5" w:rsidRDefault="00FC49C5">
      <w:r>
        <w:continuationSeparator/>
      </w:r>
    </w:p>
  </w:footnote>
  <w:footnote w:type="continuationNotice" w:id="1">
    <w:p w14:paraId="50E8417B" w14:textId="77777777" w:rsidR="00FC49C5" w:rsidRDefault="00FC49C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923" w14:textId="7374F440" w:rsidR="005D533E" w:rsidRDefault="00B61012" w:rsidP="005D533E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</w:t>
    </w:r>
    <w:r w:rsidR="005D533E">
      <w:rPr>
        <w:noProof/>
      </w:rPr>
      <w:t>3</w:t>
    </w:r>
    <w:r w:rsidR="007212F2">
      <w:rPr>
        <w:noProof/>
      </w:rPr>
      <w:t>24</w:t>
    </w:r>
  </w:p>
  <w:p w14:paraId="24A30215" w14:textId="77777777" w:rsidR="00FA46A0" w:rsidRDefault="00FA46A0" w:rsidP="00E15E0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7640"/>
    <w:rsid w:val="00017751"/>
    <w:rsid w:val="00022E6B"/>
    <w:rsid w:val="0006441C"/>
    <w:rsid w:val="000732EC"/>
    <w:rsid w:val="000B15C8"/>
    <w:rsid w:val="000E63D4"/>
    <w:rsid w:val="000F12BC"/>
    <w:rsid w:val="001017CA"/>
    <w:rsid w:val="001018E1"/>
    <w:rsid w:val="001070C1"/>
    <w:rsid w:val="00112F37"/>
    <w:rsid w:val="00114B7C"/>
    <w:rsid w:val="00132E69"/>
    <w:rsid w:val="001452C9"/>
    <w:rsid w:val="00162636"/>
    <w:rsid w:val="00162E48"/>
    <w:rsid w:val="00184FE3"/>
    <w:rsid w:val="001A34EC"/>
    <w:rsid w:val="001A5941"/>
    <w:rsid w:val="001A7804"/>
    <w:rsid w:val="001B207C"/>
    <w:rsid w:val="001B2F35"/>
    <w:rsid w:val="001C6AA9"/>
    <w:rsid w:val="001F3D92"/>
    <w:rsid w:val="002030AC"/>
    <w:rsid w:val="002053CA"/>
    <w:rsid w:val="00205C30"/>
    <w:rsid w:val="00214D55"/>
    <w:rsid w:val="00244C45"/>
    <w:rsid w:val="00276F7D"/>
    <w:rsid w:val="002F3AEA"/>
    <w:rsid w:val="00320C8D"/>
    <w:rsid w:val="00356B73"/>
    <w:rsid w:val="003746A5"/>
    <w:rsid w:val="00375A8A"/>
    <w:rsid w:val="00387B88"/>
    <w:rsid w:val="00396C3B"/>
    <w:rsid w:val="003A0588"/>
    <w:rsid w:val="003A457D"/>
    <w:rsid w:val="003D4690"/>
    <w:rsid w:val="003E1E2F"/>
    <w:rsid w:val="003F264B"/>
    <w:rsid w:val="00424AB7"/>
    <w:rsid w:val="00426109"/>
    <w:rsid w:val="004449A1"/>
    <w:rsid w:val="00453CEA"/>
    <w:rsid w:val="0046092C"/>
    <w:rsid w:val="00485E1E"/>
    <w:rsid w:val="00487330"/>
    <w:rsid w:val="004B4C11"/>
    <w:rsid w:val="004C61AB"/>
    <w:rsid w:val="004E3628"/>
    <w:rsid w:val="00503ADB"/>
    <w:rsid w:val="00505435"/>
    <w:rsid w:val="00512DD4"/>
    <w:rsid w:val="00564751"/>
    <w:rsid w:val="00597470"/>
    <w:rsid w:val="005A3775"/>
    <w:rsid w:val="005D35EA"/>
    <w:rsid w:val="005D533E"/>
    <w:rsid w:val="005D54A8"/>
    <w:rsid w:val="005E003C"/>
    <w:rsid w:val="005F1F39"/>
    <w:rsid w:val="005F5921"/>
    <w:rsid w:val="00604862"/>
    <w:rsid w:val="00611AAC"/>
    <w:rsid w:val="00614B80"/>
    <w:rsid w:val="00626A30"/>
    <w:rsid w:val="00655190"/>
    <w:rsid w:val="006B410B"/>
    <w:rsid w:val="006B75D2"/>
    <w:rsid w:val="006C33C9"/>
    <w:rsid w:val="006F065B"/>
    <w:rsid w:val="00700894"/>
    <w:rsid w:val="007212F2"/>
    <w:rsid w:val="007214BC"/>
    <w:rsid w:val="00724ADE"/>
    <w:rsid w:val="00730A58"/>
    <w:rsid w:val="00733026"/>
    <w:rsid w:val="00734AAB"/>
    <w:rsid w:val="007412D3"/>
    <w:rsid w:val="007417EE"/>
    <w:rsid w:val="0075165B"/>
    <w:rsid w:val="00755C07"/>
    <w:rsid w:val="00773DBB"/>
    <w:rsid w:val="00777BDB"/>
    <w:rsid w:val="007867C0"/>
    <w:rsid w:val="0079763E"/>
    <w:rsid w:val="007A65E8"/>
    <w:rsid w:val="007B680F"/>
    <w:rsid w:val="007E037C"/>
    <w:rsid w:val="007E6A46"/>
    <w:rsid w:val="007F3889"/>
    <w:rsid w:val="0082691C"/>
    <w:rsid w:val="00850CE9"/>
    <w:rsid w:val="00856950"/>
    <w:rsid w:val="00897A7A"/>
    <w:rsid w:val="008A567A"/>
    <w:rsid w:val="008B63ED"/>
    <w:rsid w:val="008C194B"/>
    <w:rsid w:val="008C4881"/>
    <w:rsid w:val="008D4581"/>
    <w:rsid w:val="008D67A2"/>
    <w:rsid w:val="009015EC"/>
    <w:rsid w:val="00911C5C"/>
    <w:rsid w:val="009128DA"/>
    <w:rsid w:val="00923099"/>
    <w:rsid w:val="009604C5"/>
    <w:rsid w:val="00963900"/>
    <w:rsid w:val="009747C5"/>
    <w:rsid w:val="009B2EB5"/>
    <w:rsid w:val="009D03AB"/>
    <w:rsid w:val="00A00764"/>
    <w:rsid w:val="00A01844"/>
    <w:rsid w:val="00A13DFF"/>
    <w:rsid w:val="00A170F2"/>
    <w:rsid w:val="00A672CE"/>
    <w:rsid w:val="00A72C30"/>
    <w:rsid w:val="00A903C2"/>
    <w:rsid w:val="00A90E48"/>
    <w:rsid w:val="00A94551"/>
    <w:rsid w:val="00B2488F"/>
    <w:rsid w:val="00B33656"/>
    <w:rsid w:val="00B45EE3"/>
    <w:rsid w:val="00B4669D"/>
    <w:rsid w:val="00B54CF5"/>
    <w:rsid w:val="00B61012"/>
    <w:rsid w:val="00B74D2C"/>
    <w:rsid w:val="00BD0904"/>
    <w:rsid w:val="00C051EC"/>
    <w:rsid w:val="00C10B58"/>
    <w:rsid w:val="00C25C25"/>
    <w:rsid w:val="00C56D9B"/>
    <w:rsid w:val="00C7274E"/>
    <w:rsid w:val="00C8240A"/>
    <w:rsid w:val="00C87523"/>
    <w:rsid w:val="00C95BF6"/>
    <w:rsid w:val="00CD2852"/>
    <w:rsid w:val="00D04FFC"/>
    <w:rsid w:val="00D23212"/>
    <w:rsid w:val="00D61259"/>
    <w:rsid w:val="00D62702"/>
    <w:rsid w:val="00D80366"/>
    <w:rsid w:val="00D857FF"/>
    <w:rsid w:val="00DB073F"/>
    <w:rsid w:val="00DE6C68"/>
    <w:rsid w:val="00DF2415"/>
    <w:rsid w:val="00E15E03"/>
    <w:rsid w:val="00E3198A"/>
    <w:rsid w:val="00E43161"/>
    <w:rsid w:val="00E55BE0"/>
    <w:rsid w:val="00E708AF"/>
    <w:rsid w:val="00E7624F"/>
    <w:rsid w:val="00EA2114"/>
    <w:rsid w:val="00EC15F4"/>
    <w:rsid w:val="00EC532B"/>
    <w:rsid w:val="00EE5435"/>
    <w:rsid w:val="00F164D2"/>
    <w:rsid w:val="00F22314"/>
    <w:rsid w:val="00F436B0"/>
    <w:rsid w:val="00F85C94"/>
    <w:rsid w:val="00FA16BA"/>
    <w:rsid w:val="00FA4331"/>
    <w:rsid w:val="00FA46A0"/>
    <w:rsid w:val="00FC1C19"/>
    <w:rsid w:val="00FC49C5"/>
    <w:rsid w:val="00FD50EA"/>
    <w:rsid w:val="00FF1231"/>
    <w:rsid w:val="00FF5729"/>
    <w:rsid w:val="01F654BF"/>
    <w:rsid w:val="02F76258"/>
    <w:rsid w:val="02FAB25A"/>
    <w:rsid w:val="061FB0A1"/>
    <w:rsid w:val="0626E0FF"/>
    <w:rsid w:val="06E294E0"/>
    <w:rsid w:val="071F84AC"/>
    <w:rsid w:val="0E1227B5"/>
    <w:rsid w:val="18DB3C7B"/>
    <w:rsid w:val="1A3344DD"/>
    <w:rsid w:val="1A8B73C0"/>
    <w:rsid w:val="1D4FD957"/>
    <w:rsid w:val="1D4FE277"/>
    <w:rsid w:val="1D6AE59F"/>
    <w:rsid w:val="1EEBA9B8"/>
    <w:rsid w:val="20857215"/>
    <w:rsid w:val="208E2A92"/>
    <w:rsid w:val="2358CD68"/>
    <w:rsid w:val="2407C476"/>
    <w:rsid w:val="265E755E"/>
    <w:rsid w:val="2BC0AE27"/>
    <w:rsid w:val="2CA77C03"/>
    <w:rsid w:val="2CB6D2A8"/>
    <w:rsid w:val="2CC0AD0C"/>
    <w:rsid w:val="2EFE3F9B"/>
    <w:rsid w:val="34CAE583"/>
    <w:rsid w:val="3562E03C"/>
    <w:rsid w:val="35BF81E4"/>
    <w:rsid w:val="372E8794"/>
    <w:rsid w:val="379AE8BE"/>
    <w:rsid w:val="37D0093D"/>
    <w:rsid w:val="3A921999"/>
    <w:rsid w:val="3B1D12BB"/>
    <w:rsid w:val="3BD0F99E"/>
    <w:rsid w:val="3CCFFD1E"/>
    <w:rsid w:val="3DBB543C"/>
    <w:rsid w:val="3E03A08C"/>
    <w:rsid w:val="40165F1E"/>
    <w:rsid w:val="413BB7F9"/>
    <w:rsid w:val="46E12F3D"/>
    <w:rsid w:val="4AA616DB"/>
    <w:rsid w:val="4BDDC58B"/>
    <w:rsid w:val="4CD6F46C"/>
    <w:rsid w:val="4F840EFB"/>
    <w:rsid w:val="4FF958C0"/>
    <w:rsid w:val="51AA658F"/>
    <w:rsid w:val="52889BC0"/>
    <w:rsid w:val="5538A85F"/>
    <w:rsid w:val="558E3144"/>
    <w:rsid w:val="563D8B1C"/>
    <w:rsid w:val="5664AE55"/>
    <w:rsid w:val="57765F02"/>
    <w:rsid w:val="593058F1"/>
    <w:rsid w:val="59A8683D"/>
    <w:rsid w:val="5A1B4026"/>
    <w:rsid w:val="5A983425"/>
    <w:rsid w:val="5AD3DA09"/>
    <w:rsid w:val="5B7919F7"/>
    <w:rsid w:val="5E0B7ACB"/>
    <w:rsid w:val="5F1DA64B"/>
    <w:rsid w:val="6030D5AF"/>
    <w:rsid w:val="61033F7D"/>
    <w:rsid w:val="64227939"/>
    <w:rsid w:val="6745571E"/>
    <w:rsid w:val="67709D16"/>
    <w:rsid w:val="68193C83"/>
    <w:rsid w:val="68C18DCD"/>
    <w:rsid w:val="690E5162"/>
    <w:rsid w:val="6A1C1620"/>
    <w:rsid w:val="6C9EC731"/>
    <w:rsid w:val="6E7FD2E7"/>
    <w:rsid w:val="6F4B15DE"/>
    <w:rsid w:val="70A166A3"/>
    <w:rsid w:val="723D3704"/>
    <w:rsid w:val="7250819A"/>
    <w:rsid w:val="729C0B4B"/>
    <w:rsid w:val="73F451B8"/>
    <w:rsid w:val="7624D2BA"/>
    <w:rsid w:val="77E5C133"/>
    <w:rsid w:val="787C67BE"/>
    <w:rsid w:val="79B04CF2"/>
    <w:rsid w:val="7F8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ebinars/Pages/qi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ebinars/Pages/qi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ebinars/Pages/qi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ebinars/20210623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E661E-AFA5-4788-8050-AF58216AB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</TotalTime>
  <Pages>2</Pages>
  <Words>528</Words>
  <Characters>3015</Characters>
  <Application>Microsoft Office Word</Application>
  <DocSecurity>0</DocSecurity>
  <Lines>25</Lines>
  <Paragraphs>7</Paragraphs>
  <ScaleCrop>false</ScaleCrop>
  <Company>ITU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TSBSG5-SG20-CC</dc:creator>
  <cp:keywords/>
  <dc:description/>
  <cp:lastModifiedBy>Braud, Olivia</cp:lastModifiedBy>
  <cp:revision>4</cp:revision>
  <cp:lastPrinted>2021-06-03T12:02:00Z</cp:lastPrinted>
  <dcterms:created xsi:type="dcterms:W3CDTF">2021-06-03T11:50:00Z</dcterms:created>
  <dcterms:modified xsi:type="dcterms:W3CDTF">2021-06-03T12:02:00Z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