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8A74E7" w14:paraId="797EB170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42A2055" w14:textId="77777777" w:rsidR="00036F4F" w:rsidRPr="008A74E7" w:rsidRDefault="00036F4F" w:rsidP="00272D3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A74E7">
              <w:rPr>
                <w:noProof/>
                <w:lang w:eastAsia="zh-CN"/>
              </w:rPr>
              <w:drawing>
                <wp:inline distT="0" distB="0" distL="0" distR="0" wp14:anchorId="1BBADB1C" wp14:editId="6A748C2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F275A50" w14:textId="77777777" w:rsidR="00036F4F" w:rsidRPr="008A74E7" w:rsidRDefault="00036F4F" w:rsidP="00272D3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A74E7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3C0653C" w14:textId="77777777" w:rsidR="00036F4F" w:rsidRPr="008A74E7" w:rsidRDefault="00036F4F" w:rsidP="00272D3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A74E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A74E7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6F89526" w14:textId="77777777" w:rsidR="00036F4F" w:rsidRPr="008A74E7" w:rsidRDefault="00036F4F" w:rsidP="00272D3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4121A5" w14:paraId="2C184FCE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0C69FF57" w14:textId="77777777" w:rsidR="00036F4F" w:rsidRPr="004121A5" w:rsidRDefault="00036F4F" w:rsidP="00272D35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2900" w:type="dxa"/>
          </w:tcPr>
          <w:p w14:paraId="59756493" w14:textId="77777777" w:rsidR="00036F4F" w:rsidRPr="004121A5" w:rsidRDefault="00036F4F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046" w:type="dxa"/>
            <w:gridSpan w:val="3"/>
          </w:tcPr>
          <w:p w14:paraId="07A04F8C" w14:textId="23521430" w:rsidR="00036F4F" w:rsidRPr="004121A5" w:rsidRDefault="00036F4F" w:rsidP="00272D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Genève, le</w:t>
            </w:r>
            <w:r w:rsidR="00750DD4" w:rsidRPr="004121A5">
              <w:rPr>
                <w:sz w:val="22"/>
                <w:szCs w:val="18"/>
              </w:rPr>
              <w:t xml:space="preserve"> 26 octobre 2021</w:t>
            </w:r>
          </w:p>
        </w:tc>
      </w:tr>
      <w:tr w:rsidR="00036F4F" w:rsidRPr="004121A5" w14:paraId="4784ADC0" w14:textId="77777777" w:rsidTr="008E399B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3BBA502D" w14:textId="77777777" w:rsidR="00036F4F" w:rsidRPr="004121A5" w:rsidRDefault="00036F4F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4121A5">
              <w:rPr>
                <w:b/>
                <w:bCs/>
                <w:sz w:val="22"/>
                <w:szCs w:val="18"/>
              </w:rPr>
              <w:t>Réf.:</w:t>
            </w:r>
          </w:p>
          <w:p w14:paraId="75A2ACFB" w14:textId="77777777" w:rsidR="00036F4F" w:rsidRPr="004121A5" w:rsidRDefault="00036F4F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751" w:type="dxa"/>
            <w:gridSpan w:val="3"/>
          </w:tcPr>
          <w:p w14:paraId="7CD302D4" w14:textId="437584CC" w:rsidR="00036F4F" w:rsidRPr="004121A5" w:rsidRDefault="00036F4F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4121A5">
              <w:rPr>
                <w:b/>
                <w:sz w:val="22"/>
                <w:szCs w:val="18"/>
              </w:rPr>
              <w:t xml:space="preserve">Circulaire TSB </w:t>
            </w:r>
            <w:r w:rsidR="00750DD4" w:rsidRPr="004121A5">
              <w:rPr>
                <w:b/>
                <w:sz w:val="22"/>
                <w:szCs w:val="18"/>
              </w:rPr>
              <w:t>354</w:t>
            </w:r>
          </w:p>
          <w:p w14:paraId="462083B7" w14:textId="117DB53B" w:rsidR="00036F4F" w:rsidRPr="004121A5" w:rsidRDefault="00C14367" w:rsidP="00272D35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4121A5">
              <w:rPr>
                <w:rFonts w:cstheme="minorHAnsi"/>
                <w:sz w:val="22"/>
                <w:szCs w:val="22"/>
              </w:rPr>
              <w:t>CE 20/CB</w:t>
            </w:r>
          </w:p>
        </w:tc>
        <w:tc>
          <w:tcPr>
            <w:tcW w:w="5046" w:type="dxa"/>
            <w:gridSpan w:val="3"/>
            <w:vMerge w:val="restart"/>
          </w:tcPr>
          <w:p w14:paraId="679CA188" w14:textId="77777777" w:rsidR="00036F4F" w:rsidRDefault="00036F4F" w:rsidP="00272D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bookmarkStart w:id="0" w:name="Addressee_F"/>
            <w:bookmarkEnd w:id="0"/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 xml:space="preserve">Aux administrations des </w:t>
            </w:r>
            <w:r w:rsidR="008E399B" w:rsidRPr="004121A5">
              <w:rPr>
                <w:sz w:val="22"/>
                <w:szCs w:val="18"/>
              </w:rPr>
              <w:t>É</w:t>
            </w:r>
            <w:r w:rsidRPr="004121A5">
              <w:rPr>
                <w:sz w:val="22"/>
                <w:szCs w:val="18"/>
              </w:rPr>
              <w:t>tats Membres de l'Union</w:t>
            </w:r>
          </w:p>
          <w:p w14:paraId="7EEDCF65" w14:textId="77777777" w:rsidR="004121A5" w:rsidRPr="004121A5" w:rsidRDefault="004121A5" w:rsidP="004121A5">
            <w:pPr>
              <w:tabs>
                <w:tab w:val="left" w:pos="4111"/>
              </w:tabs>
              <w:spacing w:before="240"/>
              <w:rPr>
                <w:sz w:val="22"/>
                <w:szCs w:val="18"/>
              </w:rPr>
            </w:pPr>
            <w:proofErr w:type="gramStart"/>
            <w:r w:rsidRPr="004121A5">
              <w:rPr>
                <w:b/>
                <w:sz w:val="22"/>
                <w:szCs w:val="18"/>
              </w:rPr>
              <w:t>Copie</w:t>
            </w:r>
            <w:r w:rsidRPr="004121A5">
              <w:rPr>
                <w:sz w:val="22"/>
                <w:szCs w:val="18"/>
              </w:rPr>
              <w:t>:</w:t>
            </w:r>
            <w:proofErr w:type="gramEnd"/>
          </w:p>
          <w:p w14:paraId="043A529A" w14:textId="77777777" w:rsidR="004121A5" w:rsidRPr="004121A5" w:rsidRDefault="004121A5" w:rsidP="00412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>Aux Membres du Secteur UIT-</w:t>
            </w:r>
            <w:proofErr w:type="gramStart"/>
            <w:r w:rsidRPr="004121A5">
              <w:rPr>
                <w:sz w:val="22"/>
                <w:szCs w:val="18"/>
              </w:rPr>
              <w:t>T;</w:t>
            </w:r>
            <w:proofErr w:type="gramEnd"/>
          </w:p>
          <w:p w14:paraId="4C7F89A1" w14:textId="77777777" w:rsidR="004121A5" w:rsidRPr="004121A5" w:rsidRDefault="004121A5" w:rsidP="00412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>Aux Associés de l'UIT-T participant aux travaux de la Commission d'études </w:t>
            </w:r>
            <w:proofErr w:type="gramStart"/>
            <w:r w:rsidRPr="004121A5">
              <w:rPr>
                <w:sz w:val="22"/>
                <w:szCs w:val="18"/>
              </w:rPr>
              <w:t>20;</w:t>
            </w:r>
            <w:proofErr w:type="gramEnd"/>
          </w:p>
          <w:p w14:paraId="53CFBB5B" w14:textId="77777777" w:rsidR="004121A5" w:rsidRPr="004121A5" w:rsidRDefault="004121A5" w:rsidP="00412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 xml:space="preserve">Aux établissements universitaires participant aux travaux de </w:t>
            </w:r>
            <w:proofErr w:type="gramStart"/>
            <w:r w:rsidRPr="004121A5">
              <w:rPr>
                <w:sz w:val="22"/>
                <w:szCs w:val="18"/>
              </w:rPr>
              <w:t>l'UIT;</w:t>
            </w:r>
            <w:proofErr w:type="gramEnd"/>
          </w:p>
          <w:p w14:paraId="6353720A" w14:textId="77777777" w:rsidR="004121A5" w:rsidRPr="004121A5" w:rsidRDefault="004121A5" w:rsidP="00412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>Aux Président et Vice-Présidents de la Commission d'études 20 de l'UIT</w:t>
            </w:r>
            <w:r w:rsidRPr="004121A5">
              <w:rPr>
                <w:sz w:val="22"/>
                <w:szCs w:val="18"/>
              </w:rPr>
              <w:noBreakHyphen/>
            </w:r>
            <w:proofErr w:type="gramStart"/>
            <w:r w:rsidRPr="004121A5">
              <w:rPr>
                <w:sz w:val="22"/>
                <w:szCs w:val="18"/>
              </w:rPr>
              <w:t>T;</w:t>
            </w:r>
            <w:proofErr w:type="gramEnd"/>
          </w:p>
          <w:p w14:paraId="134ADDA0" w14:textId="77777777" w:rsidR="004121A5" w:rsidRPr="004121A5" w:rsidRDefault="004121A5" w:rsidP="004121A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>À la Directrice du Bureau de développement des </w:t>
            </w:r>
            <w:proofErr w:type="gramStart"/>
            <w:r w:rsidRPr="004121A5">
              <w:rPr>
                <w:sz w:val="22"/>
                <w:szCs w:val="18"/>
              </w:rPr>
              <w:t>télécommunications;</w:t>
            </w:r>
            <w:proofErr w:type="gramEnd"/>
          </w:p>
          <w:p w14:paraId="3E907927" w14:textId="3A24FD7F" w:rsidR="004121A5" w:rsidRPr="004121A5" w:rsidRDefault="004121A5" w:rsidP="00412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-</w:t>
            </w:r>
            <w:r w:rsidRPr="004121A5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036F4F" w:rsidRPr="004121A5" w14:paraId="489E2C8A" w14:textId="77777777" w:rsidTr="008E399B">
        <w:trPr>
          <w:gridBefore w:val="1"/>
          <w:wBefore w:w="8" w:type="dxa"/>
          <w:cantSplit/>
        </w:trPr>
        <w:tc>
          <w:tcPr>
            <w:tcW w:w="1126" w:type="dxa"/>
          </w:tcPr>
          <w:p w14:paraId="480A7DC2" w14:textId="77777777" w:rsidR="00036F4F" w:rsidRPr="004121A5" w:rsidRDefault="00036F4F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4121A5">
              <w:rPr>
                <w:b/>
                <w:bCs/>
                <w:sz w:val="22"/>
                <w:szCs w:val="18"/>
              </w:rPr>
              <w:t>Tél.:</w:t>
            </w:r>
          </w:p>
        </w:tc>
        <w:tc>
          <w:tcPr>
            <w:tcW w:w="3751" w:type="dxa"/>
            <w:gridSpan w:val="3"/>
          </w:tcPr>
          <w:p w14:paraId="5587619A" w14:textId="7B7118DA" w:rsidR="00036F4F" w:rsidRPr="004121A5" w:rsidRDefault="00036F4F" w:rsidP="00272D35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+41 22 730</w:t>
            </w:r>
            <w:r w:rsidR="00750DD4" w:rsidRPr="004121A5">
              <w:rPr>
                <w:sz w:val="22"/>
                <w:szCs w:val="18"/>
              </w:rPr>
              <w:t xml:space="preserve"> </w:t>
            </w:r>
            <w:r w:rsidR="00750DD4" w:rsidRPr="004121A5">
              <w:rPr>
                <w:rFonts w:cstheme="minorHAnsi"/>
                <w:sz w:val="22"/>
                <w:szCs w:val="22"/>
              </w:rPr>
              <w:t>6301</w:t>
            </w:r>
          </w:p>
        </w:tc>
        <w:tc>
          <w:tcPr>
            <w:tcW w:w="5046" w:type="dxa"/>
            <w:gridSpan w:val="3"/>
            <w:vMerge/>
          </w:tcPr>
          <w:p w14:paraId="45B840E3" w14:textId="77777777" w:rsidR="00036F4F" w:rsidRPr="004121A5" w:rsidRDefault="00036F4F" w:rsidP="00272D35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036F4F" w:rsidRPr="004121A5" w14:paraId="33BF265C" w14:textId="77777777" w:rsidTr="004121A5">
        <w:trPr>
          <w:gridBefore w:val="1"/>
          <w:wBefore w:w="8" w:type="dxa"/>
          <w:cantSplit/>
          <w:trHeight w:val="60"/>
        </w:trPr>
        <w:tc>
          <w:tcPr>
            <w:tcW w:w="1126" w:type="dxa"/>
          </w:tcPr>
          <w:p w14:paraId="12EFA191" w14:textId="77777777" w:rsidR="00036F4F" w:rsidRDefault="00CC52FB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4121A5">
              <w:rPr>
                <w:b/>
                <w:bCs/>
                <w:sz w:val="22"/>
                <w:szCs w:val="18"/>
              </w:rPr>
              <w:t>Télécopie</w:t>
            </w:r>
            <w:r w:rsidR="00036F4F" w:rsidRPr="004121A5">
              <w:rPr>
                <w:b/>
                <w:bCs/>
                <w:sz w:val="22"/>
                <w:szCs w:val="18"/>
              </w:rPr>
              <w:t>:</w:t>
            </w:r>
            <w:proofErr w:type="gramEnd"/>
          </w:p>
          <w:p w14:paraId="771F8F6F" w14:textId="40790F15" w:rsidR="004121A5" w:rsidRPr="004121A5" w:rsidRDefault="004121A5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4121A5">
              <w:rPr>
                <w:b/>
                <w:bCs/>
                <w:sz w:val="22"/>
                <w:szCs w:val="18"/>
              </w:rPr>
              <w:t>Courriel</w:t>
            </w:r>
            <w:r>
              <w:rPr>
                <w:b/>
                <w:bCs/>
                <w:sz w:val="22"/>
                <w:szCs w:val="18"/>
              </w:rPr>
              <w:t> :</w:t>
            </w:r>
          </w:p>
        </w:tc>
        <w:tc>
          <w:tcPr>
            <w:tcW w:w="3751" w:type="dxa"/>
            <w:gridSpan w:val="3"/>
          </w:tcPr>
          <w:p w14:paraId="63D73BB5" w14:textId="77777777" w:rsidR="00036F4F" w:rsidRDefault="00036F4F" w:rsidP="00272D35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4121A5">
              <w:rPr>
                <w:sz w:val="22"/>
                <w:szCs w:val="18"/>
              </w:rPr>
              <w:t>+41 22 730 5853</w:t>
            </w:r>
          </w:p>
          <w:p w14:paraId="10CE8558" w14:textId="531A6A3E" w:rsidR="004121A5" w:rsidRPr="004121A5" w:rsidRDefault="004121A5" w:rsidP="00272D35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Pr="004121A5">
                <w:rPr>
                  <w:rStyle w:val="Hyperlink"/>
                  <w:sz w:val="22"/>
                  <w:szCs w:val="18"/>
                </w:rPr>
                <w:t>tsbsg20@itu.int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5DDE49B9" w14:textId="77777777" w:rsidR="00036F4F" w:rsidRPr="004121A5" w:rsidRDefault="00036F4F" w:rsidP="00272D35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517A03" w:rsidRPr="004121A5" w14:paraId="57C1F6FE" w14:textId="77777777" w:rsidTr="008E399B">
        <w:trPr>
          <w:gridBefore w:val="1"/>
          <w:wBefore w:w="8" w:type="dxa"/>
          <w:cantSplit/>
        </w:trPr>
        <w:tc>
          <w:tcPr>
            <w:tcW w:w="1126" w:type="dxa"/>
          </w:tcPr>
          <w:p w14:paraId="472F5D54" w14:textId="0E0D2C15" w:rsidR="00517A03" w:rsidRPr="004121A5" w:rsidRDefault="00517A03" w:rsidP="00412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10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3"/>
          </w:tcPr>
          <w:p w14:paraId="7F1C4B69" w14:textId="49E7CD6D" w:rsidR="00517A03" w:rsidRPr="004121A5" w:rsidRDefault="00517A03" w:rsidP="00272D35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</w:p>
        </w:tc>
        <w:tc>
          <w:tcPr>
            <w:tcW w:w="5046" w:type="dxa"/>
            <w:gridSpan w:val="3"/>
          </w:tcPr>
          <w:p w14:paraId="363CDB9D" w14:textId="2E7CD9B4" w:rsidR="00750DD4" w:rsidRPr="004121A5" w:rsidRDefault="00750DD4" w:rsidP="00272D35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sz w:val="22"/>
                <w:szCs w:val="18"/>
              </w:rPr>
            </w:pPr>
          </w:p>
        </w:tc>
      </w:tr>
      <w:tr w:rsidR="00517A03" w:rsidRPr="004121A5" w14:paraId="7F4FAE3C" w14:textId="77777777" w:rsidTr="008E399B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472D49C3" w14:textId="77777777" w:rsidR="00517A03" w:rsidRPr="004121A5" w:rsidRDefault="00517A03" w:rsidP="00272D3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121A5">
              <w:rPr>
                <w:b/>
                <w:bCs/>
                <w:sz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2F738F5D" w14:textId="29C16A62" w:rsidR="00517A03" w:rsidRPr="004121A5" w:rsidRDefault="00750DD4" w:rsidP="00272D3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</w:rPr>
            </w:pPr>
            <w:r w:rsidRPr="004121A5">
              <w:rPr>
                <w:b/>
                <w:bCs/>
                <w:sz w:val="22"/>
              </w:rPr>
              <w:t>Statut de</w:t>
            </w:r>
            <w:r w:rsidR="00CC52FB" w:rsidRPr="004121A5">
              <w:rPr>
                <w:b/>
                <w:bCs/>
                <w:sz w:val="22"/>
              </w:rPr>
              <w:t>s</w:t>
            </w:r>
            <w:r w:rsidR="00272D35" w:rsidRPr="004121A5">
              <w:rPr>
                <w:b/>
                <w:bCs/>
                <w:sz w:val="22"/>
              </w:rPr>
              <w:t xml:space="preserve"> </w:t>
            </w:r>
            <w:r w:rsidRPr="004121A5">
              <w:rPr>
                <w:b/>
                <w:bCs/>
                <w:sz w:val="22"/>
              </w:rPr>
              <w:t>Recommandation</w:t>
            </w:r>
            <w:r w:rsidR="00CC52FB" w:rsidRPr="004121A5">
              <w:rPr>
                <w:b/>
                <w:bCs/>
                <w:sz w:val="22"/>
              </w:rPr>
              <w:t>s</w:t>
            </w:r>
            <w:r w:rsidRPr="004121A5">
              <w:rPr>
                <w:b/>
                <w:bCs/>
                <w:sz w:val="22"/>
              </w:rPr>
              <w:t xml:space="preserve"> UIT-T Y.4421 (ex Y.UAV.arch) et Y.4809 (ex Y.IoT-ITS-ID), après la réunion de la Commission d'études 20 de l'UIT</w:t>
            </w:r>
            <w:r w:rsidRPr="004121A5">
              <w:rPr>
                <w:b/>
                <w:bCs/>
                <w:sz w:val="22"/>
              </w:rPr>
              <w:noBreakHyphen/>
              <w:t xml:space="preserve">T </w:t>
            </w:r>
            <w:r w:rsidRPr="004121A5">
              <w:rPr>
                <w:b/>
                <w:bCs/>
                <w:sz w:val="22"/>
              </w:rPr>
              <w:br/>
              <w:t>(</w:t>
            </w:r>
            <w:r w:rsidR="00CC52FB" w:rsidRPr="004121A5">
              <w:rPr>
                <w:b/>
                <w:bCs/>
                <w:sz w:val="22"/>
              </w:rPr>
              <w:t>réunion v</w:t>
            </w:r>
            <w:r w:rsidRPr="004121A5">
              <w:rPr>
                <w:b/>
                <w:bCs/>
                <w:sz w:val="22"/>
              </w:rPr>
              <w:t>irtuel</w:t>
            </w:r>
            <w:r w:rsidR="00CC52FB" w:rsidRPr="004121A5">
              <w:rPr>
                <w:b/>
                <w:bCs/>
                <w:sz w:val="22"/>
              </w:rPr>
              <w:t>le</w:t>
            </w:r>
            <w:r w:rsidRPr="004121A5">
              <w:rPr>
                <w:b/>
                <w:bCs/>
                <w:sz w:val="22"/>
              </w:rPr>
              <w:t>, 11-21 octobre 2021)</w:t>
            </w:r>
          </w:p>
        </w:tc>
      </w:tr>
    </w:tbl>
    <w:p w14:paraId="2EDC30A1" w14:textId="77777777" w:rsidR="00517A03" w:rsidRPr="004121A5" w:rsidRDefault="00517A03" w:rsidP="008A74E7">
      <w:pPr>
        <w:spacing w:before="240"/>
        <w:rPr>
          <w:sz w:val="22"/>
          <w:szCs w:val="18"/>
        </w:rPr>
      </w:pPr>
      <w:bookmarkStart w:id="1" w:name="StartTyping_F"/>
      <w:bookmarkEnd w:id="1"/>
      <w:r w:rsidRPr="004121A5">
        <w:rPr>
          <w:sz w:val="22"/>
          <w:szCs w:val="18"/>
        </w:rPr>
        <w:t>Madame, Monsieur,</w:t>
      </w:r>
    </w:p>
    <w:p w14:paraId="5826FE79" w14:textId="2062E4CF" w:rsidR="00750DD4" w:rsidRPr="004121A5" w:rsidRDefault="00750DD4" w:rsidP="00272D35">
      <w:pPr>
        <w:spacing w:after="240"/>
        <w:rPr>
          <w:bCs/>
          <w:sz w:val="22"/>
          <w:szCs w:val="18"/>
        </w:rPr>
      </w:pPr>
      <w:r w:rsidRPr="004121A5">
        <w:rPr>
          <w:bCs/>
          <w:sz w:val="22"/>
          <w:szCs w:val="18"/>
        </w:rPr>
        <w:t>1</w:t>
      </w:r>
      <w:r w:rsidRPr="004121A5">
        <w:rPr>
          <w:bCs/>
          <w:sz w:val="22"/>
          <w:szCs w:val="18"/>
        </w:rPr>
        <w:tab/>
        <w:t xml:space="preserve">Suite à la </w:t>
      </w:r>
      <w:hyperlink r:id="rId10" w:history="1">
        <w:r w:rsidRPr="004121A5">
          <w:rPr>
            <w:rStyle w:val="Hyperlink"/>
            <w:bCs/>
            <w:sz w:val="22"/>
            <w:szCs w:val="18"/>
          </w:rPr>
          <w:t xml:space="preserve">Circulaire TSB </w:t>
        </w:r>
        <w:r w:rsidR="00C14367" w:rsidRPr="004121A5">
          <w:rPr>
            <w:rStyle w:val="Hyperlink"/>
            <w:bCs/>
            <w:sz w:val="22"/>
            <w:szCs w:val="18"/>
          </w:rPr>
          <w:t>332</w:t>
        </w:r>
      </w:hyperlink>
      <w:r w:rsidRPr="004121A5">
        <w:rPr>
          <w:bCs/>
          <w:sz w:val="22"/>
          <w:szCs w:val="18"/>
        </w:rPr>
        <w:t xml:space="preserve"> du </w:t>
      </w:r>
      <w:r w:rsidR="00C14367" w:rsidRPr="004121A5">
        <w:rPr>
          <w:bCs/>
          <w:sz w:val="22"/>
          <w:szCs w:val="18"/>
        </w:rPr>
        <w:t>8</w:t>
      </w:r>
      <w:r w:rsidRPr="004121A5">
        <w:rPr>
          <w:bCs/>
          <w:sz w:val="22"/>
          <w:szCs w:val="18"/>
        </w:rPr>
        <w:t xml:space="preserve"> juillet 20</w:t>
      </w:r>
      <w:r w:rsidR="00C14367" w:rsidRPr="004121A5">
        <w:rPr>
          <w:bCs/>
          <w:sz w:val="22"/>
          <w:szCs w:val="18"/>
        </w:rPr>
        <w:t>21</w:t>
      </w:r>
      <w:r w:rsidRPr="004121A5">
        <w:rPr>
          <w:bCs/>
          <w:sz w:val="22"/>
          <w:szCs w:val="18"/>
        </w:rPr>
        <w:t>, et conformément au § 9.5 de la Résolution 1 (Rév. Hammamet, 2016) de l'AMNT, j'ai l'honneur de vous informer que la Commission d'études </w:t>
      </w:r>
      <w:r w:rsidR="00C14367" w:rsidRPr="004121A5">
        <w:rPr>
          <w:bCs/>
          <w:sz w:val="22"/>
          <w:szCs w:val="18"/>
        </w:rPr>
        <w:t>20</w:t>
      </w:r>
      <w:r w:rsidR="00272D35" w:rsidRPr="004121A5">
        <w:rPr>
          <w:bCs/>
          <w:sz w:val="22"/>
          <w:szCs w:val="18"/>
        </w:rPr>
        <w:t xml:space="preserve"> </w:t>
      </w:r>
      <w:r w:rsidRPr="004121A5">
        <w:rPr>
          <w:bCs/>
          <w:sz w:val="22"/>
          <w:szCs w:val="18"/>
        </w:rPr>
        <w:t xml:space="preserve">est parvenue, durant sa séance plénière qui s'est tenue </w:t>
      </w:r>
      <w:r w:rsidR="00C14367" w:rsidRPr="004121A5">
        <w:rPr>
          <w:bCs/>
          <w:sz w:val="22"/>
          <w:szCs w:val="18"/>
        </w:rPr>
        <w:t>virtuellement le 11 octobre 2021</w:t>
      </w:r>
      <w:r w:rsidRPr="004121A5">
        <w:rPr>
          <w:bCs/>
          <w:sz w:val="22"/>
          <w:szCs w:val="18"/>
        </w:rPr>
        <w:t>, aux décisions suivantes concernant les projets de Recommandations UIT-T mentionnés ci-après: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46"/>
        <w:gridCol w:w="1276"/>
      </w:tblGrid>
      <w:tr w:rsidR="00750DD4" w:rsidRPr="004121A5" w14:paraId="1D92B511" w14:textId="77777777" w:rsidTr="00C14367">
        <w:trPr>
          <w:cantSplit/>
          <w:tblHeader/>
          <w:jc w:val="center"/>
        </w:trPr>
        <w:tc>
          <w:tcPr>
            <w:tcW w:w="1696" w:type="dxa"/>
            <w:vAlign w:val="center"/>
          </w:tcPr>
          <w:p w14:paraId="6AFD4205" w14:textId="77777777" w:rsidR="00750DD4" w:rsidRPr="004121A5" w:rsidRDefault="00750DD4" w:rsidP="00272D35">
            <w:pPr>
              <w:pStyle w:val="TableHead"/>
              <w:rPr>
                <w:sz w:val="20"/>
                <w:szCs w:val="18"/>
              </w:rPr>
            </w:pPr>
            <w:r w:rsidRPr="004121A5">
              <w:rPr>
                <w:sz w:val="20"/>
                <w:szCs w:val="18"/>
              </w:rPr>
              <w:t>Numéro</w:t>
            </w:r>
          </w:p>
        </w:tc>
        <w:tc>
          <w:tcPr>
            <w:tcW w:w="6946" w:type="dxa"/>
            <w:vAlign w:val="center"/>
          </w:tcPr>
          <w:p w14:paraId="10DAA065" w14:textId="77777777" w:rsidR="00750DD4" w:rsidRPr="004121A5" w:rsidRDefault="00750DD4" w:rsidP="00272D35">
            <w:pPr>
              <w:pStyle w:val="TableHead"/>
              <w:rPr>
                <w:sz w:val="20"/>
                <w:szCs w:val="18"/>
              </w:rPr>
            </w:pPr>
            <w:r w:rsidRPr="004121A5">
              <w:rPr>
                <w:sz w:val="20"/>
                <w:szCs w:val="18"/>
              </w:rPr>
              <w:t>Titre</w:t>
            </w:r>
          </w:p>
        </w:tc>
        <w:tc>
          <w:tcPr>
            <w:tcW w:w="1276" w:type="dxa"/>
            <w:vAlign w:val="center"/>
          </w:tcPr>
          <w:p w14:paraId="2E480FCB" w14:textId="77777777" w:rsidR="00750DD4" w:rsidRPr="004121A5" w:rsidRDefault="00750DD4" w:rsidP="00272D35">
            <w:pPr>
              <w:pStyle w:val="TableHead"/>
              <w:rPr>
                <w:sz w:val="20"/>
                <w:szCs w:val="18"/>
              </w:rPr>
            </w:pPr>
            <w:r w:rsidRPr="004121A5">
              <w:rPr>
                <w:sz w:val="20"/>
                <w:szCs w:val="18"/>
              </w:rPr>
              <w:t>Décision</w:t>
            </w:r>
          </w:p>
        </w:tc>
      </w:tr>
      <w:tr w:rsidR="00C14367" w:rsidRPr="004121A5" w14:paraId="0399D0D2" w14:textId="77777777" w:rsidTr="00C14367">
        <w:trPr>
          <w:cantSplit/>
          <w:jc w:val="center"/>
        </w:trPr>
        <w:tc>
          <w:tcPr>
            <w:tcW w:w="1696" w:type="dxa"/>
          </w:tcPr>
          <w:p w14:paraId="59D73AFA" w14:textId="28218EE4" w:rsidR="00C14367" w:rsidRPr="004121A5" w:rsidRDefault="00C14367" w:rsidP="008E399B">
            <w:pPr>
              <w:pStyle w:val="TableText"/>
              <w:jc w:val="center"/>
              <w:rPr>
                <w:lang w:eastAsia="zh-CN"/>
              </w:rPr>
            </w:pPr>
            <w:r w:rsidRPr="004121A5">
              <w:rPr>
                <w:lang w:eastAsia="zh-CN"/>
              </w:rPr>
              <w:t>UIT-T Y.4421</w:t>
            </w:r>
          </w:p>
          <w:p w14:paraId="20390A3F" w14:textId="30FE7F6F" w:rsidR="00C14367" w:rsidRPr="004121A5" w:rsidRDefault="00C14367" w:rsidP="008E399B">
            <w:pPr>
              <w:pStyle w:val="TableText"/>
              <w:jc w:val="center"/>
            </w:pPr>
            <w:r w:rsidRPr="004121A5">
              <w:rPr>
                <w:lang w:eastAsia="zh-CN"/>
              </w:rPr>
              <w:t>(</w:t>
            </w:r>
            <w:proofErr w:type="gramStart"/>
            <w:r w:rsidRPr="004121A5">
              <w:rPr>
                <w:lang w:eastAsia="zh-CN"/>
              </w:rPr>
              <w:t>ex</w:t>
            </w:r>
            <w:proofErr w:type="gramEnd"/>
            <w:r w:rsidRPr="004121A5">
              <w:rPr>
                <w:lang w:eastAsia="zh-CN"/>
              </w:rPr>
              <w:t xml:space="preserve"> Y.UAV.arch)</w:t>
            </w:r>
          </w:p>
        </w:tc>
        <w:tc>
          <w:tcPr>
            <w:tcW w:w="6946" w:type="dxa"/>
            <w:vAlign w:val="center"/>
          </w:tcPr>
          <w:p w14:paraId="474AC7C9" w14:textId="6BAC5B72" w:rsidR="00C14367" w:rsidRPr="004121A5" w:rsidRDefault="00C14367" w:rsidP="008E399B">
            <w:pPr>
              <w:pStyle w:val="TableText"/>
              <w:jc w:val="center"/>
            </w:pPr>
            <w:r w:rsidRPr="004121A5">
              <w:t>Architecture fonctionnelle pour les aéronefs sans pilote et les contrôleurs des aéronefs sans pilote utilisant les réseaux IMT-2020</w:t>
            </w:r>
          </w:p>
        </w:tc>
        <w:tc>
          <w:tcPr>
            <w:tcW w:w="1276" w:type="dxa"/>
            <w:vAlign w:val="center"/>
          </w:tcPr>
          <w:p w14:paraId="1ADF4D01" w14:textId="77777777" w:rsidR="00C14367" w:rsidRPr="004121A5" w:rsidRDefault="00C14367" w:rsidP="008E399B">
            <w:pPr>
              <w:pStyle w:val="TableText"/>
              <w:jc w:val="center"/>
            </w:pPr>
            <w:r w:rsidRPr="004121A5">
              <w:t>Approuvé</w:t>
            </w:r>
          </w:p>
        </w:tc>
      </w:tr>
      <w:tr w:rsidR="00C14367" w:rsidRPr="004121A5" w14:paraId="30273A43" w14:textId="77777777" w:rsidTr="00C14367">
        <w:trPr>
          <w:cantSplit/>
          <w:jc w:val="center"/>
        </w:trPr>
        <w:tc>
          <w:tcPr>
            <w:tcW w:w="1696" w:type="dxa"/>
          </w:tcPr>
          <w:p w14:paraId="6F1C9E94" w14:textId="246A0DC7" w:rsidR="00C14367" w:rsidRPr="004121A5" w:rsidRDefault="00C14367" w:rsidP="008E399B">
            <w:pPr>
              <w:pStyle w:val="TableText"/>
              <w:jc w:val="center"/>
              <w:rPr>
                <w:lang w:eastAsia="zh-CN"/>
              </w:rPr>
            </w:pPr>
            <w:r w:rsidRPr="004121A5">
              <w:rPr>
                <w:lang w:eastAsia="zh-CN"/>
              </w:rPr>
              <w:t>UIT-T Y.4809</w:t>
            </w:r>
          </w:p>
          <w:p w14:paraId="3EECB745" w14:textId="37FC7EC4" w:rsidR="00C14367" w:rsidRPr="004121A5" w:rsidRDefault="00C14367" w:rsidP="008E399B">
            <w:pPr>
              <w:pStyle w:val="TableText"/>
              <w:jc w:val="center"/>
            </w:pPr>
            <w:r w:rsidRPr="004121A5">
              <w:rPr>
                <w:lang w:eastAsia="zh-CN"/>
              </w:rPr>
              <w:t>(</w:t>
            </w:r>
            <w:proofErr w:type="gramStart"/>
            <w:r w:rsidRPr="004121A5">
              <w:rPr>
                <w:lang w:eastAsia="zh-CN"/>
              </w:rPr>
              <w:t>ex</w:t>
            </w:r>
            <w:proofErr w:type="gramEnd"/>
            <w:r w:rsidRPr="004121A5">
              <w:rPr>
                <w:lang w:eastAsia="zh-CN"/>
              </w:rPr>
              <w:t xml:space="preserve"> Y.IoT-ITS-ID)</w:t>
            </w:r>
          </w:p>
        </w:tc>
        <w:tc>
          <w:tcPr>
            <w:tcW w:w="6946" w:type="dxa"/>
            <w:vAlign w:val="center"/>
          </w:tcPr>
          <w:p w14:paraId="1A3FA7A3" w14:textId="6026F6A3" w:rsidR="00C14367" w:rsidRPr="004121A5" w:rsidRDefault="00C14367" w:rsidP="008E399B">
            <w:pPr>
              <w:pStyle w:val="TableText"/>
              <w:jc w:val="center"/>
            </w:pPr>
            <w:r w:rsidRPr="004121A5">
              <w:t>Identificateurs IoT unifiés pour les systèmes de transport intelligents</w:t>
            </w:r>
          </w:p>
        </w:tc>
        <w:tc>
          <w:tcPr>
            <w:tcW w:w="1276" w:type="dxa"/>
            <w:vAlign w:val="center"/>
          </w:tcPr>
          <w:p w14:paraId="170EDC54" w14:textId="77777777" w:rsidR="00C14367" w:rsidRPr="004121A5" w:rsidRDefault="00C14367" w:rsidP="008E399B">
            <w:pPr>
              <w:pStyle w:val="TableText"/>
              <w:jc w:val="center"/>
            </w:pPr>
            <w:r w:rsidRPr="004121A5">
              <w:t>Approuvé</w:t>
            </w:r>
          </w:p>
        </w:tc>
      </w:tr>
    </w:tbl>
    <w:p w14:paraId="6BF2FB92" w14:textId="0D8648BC" w:rsidR="00750DD4" w:rsidRPr="004121A5" w:rsidRDefault="00750DD4" w:rsidP="00272D35">
      <w:pPr>
        <w:spacing w:before="240"/>
        <w:rPr>
          <w:bCs/>
          <w:sz w:val="22"/>
          <w:szCs w:val="18"/>
        </w:rPr>
      </w:pPr>
      <w:r w:rsidRPr="004121A5">
        <w:rPr>
          <w:bCs/>
          <w:sz w:val="22"/>
          <w:szCs w:val="18"/>
        </w:rPr>
        <w:t>2</w:t>
      </w:r>
      <w:r w:rsidRPr="004121A5">
        <w:rPr>
          <w:bCs/>
          <w:sz w:val="22"/>
          <w:szCs w:val="18"/>
        </w:rPr>
        <w:tab/>
        <w:t xml:space="preserve">Les renseignements existants sur les brevets sont accessibles en ligne sur le </w:t>
      </w:r>
      <w:hyperlink r:id="rId11" w:history="1">
        <w:r w:rsidRPr="004121A5">
          <w:rPr>
            <w:rStyle w:val="Hyperlink"/>
            <w:bCs/>
            <w:sz w:val="22"/>
            <w:szCs w:val="18"/>
          </w:rPr>
          <w:t>site web de l'UIT-T</w:t>
        </w:r>
      </w:hyperlink>
      <w:r w:rsidRPr="004121A5">
        <w:rPr>
          <w:bCs/>
          <w:sz w:val="22"/>
          <w:szCs w:val="18"/>
        </w:rPr>
        <w:t>.</w:t>
      </w:r>
    </w:p>
    <w:p w14:paraId="63AA0B12" w14:textId="3D29A392" w:rsidR="00750DD4" w:rsidRPr="004121A5" w:rsidRDefault="00750DD4" w:rsidP="00272D35">
      <w:pPr>
        <w:rPr>
          <w:bCs/>
          <w:sz w:val="22"/>
          <w:szCs w:val="18"/>
        </w:rPr>
      </w:pPr>
      <w:r w:rsidRPr="004121A5">
        <w:rPr>
          <w:bCs/>
          <w:sz w:val="22"/>
          <w:szCs w:val="18"/>
        </w:rPr>
        <w:t>3</w:t>
      </w:r>
      <w:r w:rsidRPr="004121A5">
        <w:rPr>
          <w:bCs/>
          <w:sz w:val="22"/>
          <w:szCs w:val="18"/>
        </w:rPr>
        <w:tab/>
        <w:t>Les versions prépubliées des Recommandations seront disponibles sur le site web de l'UIT</w:t>
      </w:r>
      <w:r w:rsidR="00066A7F" w:rsidRPr="004121A5">
        <w:rPr>
          <w:bCs/>
          <w:sz w:val="22"/>
          <w:szCs w:val="18"/>
        </w:rPr>
        <w:noBreakHyphen/>
      </w:r>
      <w:r w:rsidRPr="004121A5">
        <w:rPr>
          <w:bCs/>
          <w:sz w:val="22"/>
          <w:szCs w:val="18"/>
        </w:rPr>
        <w:t xml:space="preserve">T à l'adresse: </w:t>
      </w:r>
      <w:hyperlink r:id="rId12" w:history="1">
        <w:r w:rsidR="00066A7F" w:rsidRPr="004121A5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4121A5">
        <w:rPr>
          <w:bCs/>
          <w:sz w:val="22"/>
          <w:szCs w:val="18"/>
        </w:rPr>
        <w:t>.</w:t>
      </w:r>
    </w:p>
    <w:p w14:paraId="0D779546" w14:textId="77777777" w:rsidR="00750DD4" w:rsidRPr="004121A5" w:rsidRDefault="00750DD4" w:rsidP="00272D35">
      <w:pPr>
        <w:rPr>
          <w:bCs/>
          <w:sz w:val="22"/>
          <w:szCs w:val="18"/>
        </w:rPr>
      </w:pPr>
      <w:r w:rsidRPr="004121A5">
        <w:rPr>
          <w:bCs/>
          <w:sz w:val="22"/>
          <w:szCs w:val="18"/>
        </w:rPr>
        <w:t>4</w:t>
      </w:r>
      <w:r w:rsidRPr="004121A5">
        <w:rPr>
          <w:bCs/>
          <w:sz w:val="22"/>
          <w:szCs w:val="18"/>
        </w:rPr>
        <w:tab/>
        <w:t>L'UIT publiera les Recommandations approuvées dès que possible.</w:t>
      </w:r>
    </w:p>
    <w:p w14:paraId="6D3CFA41" w14:textId="0311306E" w:rsidR="00BD6ECF" w:rsidRPr="004121A5" w:rsidRDefault="00517A03" w:rsidP="00272D35">
      <w:pPr>
        <w:rPr>
          <w:sz w:val="22"/>
          <w:szCs w:val="18"/>
        </w:rPr>
      </w:pPr>
      <w:r w:rsidRPr="004121A5">
        <w:rPr>
          <w:sz w:val="22"/>
          <w:szCs w:val="18"/>
        </w:rPr>
        <w:t>Veuillez agréer, Madame, Monsieur, l</w:t>
      </w:r>
      <w:r w:rsidR="00167472" w:rsidRPr="004121A5">
        <w:rPr>
          <w:sz w:val="22"/>
          <w:szCs w:val="18"/>
        </w:rPr>
        <w:t>'</w:t>
      </w:r>
      <w:r w:rsidRPr="004121A5">
        <w:rPr>
          <w:sz w:val="22"/>
          <w:szCs w:val="18"/>
        </w:rPr>
        <w:t>assurance de ma</w:t>
      </w:r>
      <w:r w:rsidR="00272D35" w:rsidRPr="004121A5">
        <w:rPr>
          <w:sz w:val="22"/>
          <w:szCs w:val="18"/>
        </w:rPr>
        <w:t xml:space="preserve"> </w:t>
      </w:r>
      <w:r w:rsidRPr="004121A5">
        <w:rPr>
          <w:sz w:val="22"/>
          <w:szCs w:val="18"/>
        </w:rPr>
        <w:t>considération</w:t>
      </w:r>
      <w:r w:rsidR="00CC52FB" w:rsidRPr="004121A5">
        <w:rPr>
          <w:sz w:val="22"/>
          <w:szCs w:val="18"/>
        </w:rPr>
        <w:t xml:space="preserve"> distinguée</w:t>
      </w:r>
      <w:r w:rsidRPr="004121A5">
        <w:rPr>
          <w:sz w:val="22"/>
          <w:szCs w:val="18"/>
        </w:rPr>
        <w:t>.</w:t>
      </w:r>
    </w:p>
    <w:p w14:paraId="20B004F4" w14:textId="457B9EC3" w:rsidR="00517A03" w:rsidRPr="004121A5" w:rsidRDefault="00BA53E0" w:rsidP="004121A5">
      <w:pPr>
        <w:keepNext/>
        <w:keepLines/>
        <w:spacing w:before="960"/>
        <w:ind w:right="-284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6C9F8249" wp14:editId="392093D7">
            <wp:simplePos x="0" y="0"/>
            <wp:positionH relativeFrom="column">
              <wp:posOffset>635</wp:posOffset>
            </wp:positionH>
            <wp:positionV relativeFrom="paragraph">
              <wp:posOffset>113030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4121A5">
        <w:rPr>
          <w:sz w:val="22"/>
          <w:szCs w:val="18"/>
        </w:rPr>
        <w:t>Chaesub Lee</w:t>
      </w:r>
      <w:r w:rsidR="00036F4F" w:rsidRPr="004121A5">
        <w:rPr>
          <w:sz w:val="22"/>
          <w:szCs w:val="18"/>
        </w:rPr>
        <w:br/>
        <w:t xml:space="preserve">Directeur du Bureau de la normalisation </w:t>
      </w:r>
      <w:r w:rsidR="00036F4F" w:rsidRPr="004121A5">
        <w:rPr>
          <w:sz w:val="22"/>
          <w:szCs w:val="18"/>
        </w:rPr>
        <w:br/>
        <w:t>des télécommunications</w:t>
      </w:r>
      <w:r w:rsidR="00036F4F" w:rsidRPr="004121A5">
        <w:rPr>
          <w:b/>
          <w:sz w:val="22"/>
          <w:szCs w:val="18"/>
        </w:rPr>
        <w:t xml:space="preserve"> </w:t>
      </w:r>
    </w:p>
    <w:sectPr w:rsidR="00517A03" w:rsidRPr="004121A5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AB0D" w14:textId="77777777" w:rsidR="00750DD4" w:rsidRDefault="00750DD4">
      <w:r>
        <w:separator/>
      </w:r>
    </w:p>
  </w:endnote>
  <w:endnote w:type="continuationSeparator" w:id="0">
    <w:p w14:paraId="06557307" w14:textId="77777777" w:rsidR="00750DD4" w:rsidRDefault="0075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38E2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6D5F" w14:textId="77777777" w:rsidR="00750DD4" w:rsidRDefault="00750DD4">
      <w:r>
        <w:t>____________________</w:t>
      </w:r>
    </w:p>
  </w:footnote>
  <w:footnote w:type="continuationSeparator" w:id="0">
    <w:p w14:paraId="5E019282" w14:textId="77777777" w:rsidR="00750DD4" w:rsidRDefault="0075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BEA1" w14:textId="1694C00C" w:rsidR="00697BC1" w:rsidRDefault="00BA53E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1D08D7">
      <w:rPr>
        <w:noProof/>
        <w:sz w:val="18"/>
        <w:szCs w:val="16"/>
      </w:rPr>
      <w:t>–</w:t>
    </w:r>
  </w:p>
  <w:p w14:paraId="580C22BF" w14:textId="605C55D4" w:rsidR="001D08D7" w:rsidRPr="00697BC1" w:rsidRDefault="001D08D7" w:rsidP="00697BC1">
    <w:pPr>
      <w:pStyle w:val="Header"/>
      <w:rPr>
        <w:sz w:val="18"/>
        <w:szCs w:val="16"/>
      </w:rPr>
    </w:pPr>
    <w:r w:rsidRPr="001D08D7">
      <w:rPr>
        <w:sz w:val="18"/>
        <w:szCs w:val="16"/>
      </w:rPr>
      <w:t>Circulaire TSB 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399D5A-E9F6-4B39-8E69-9245AE3C3D82}"/>
    <w:docVar w:name="dgnword-eventsink" w:val="2280822126640"/>
  </w:docVars>
  <w:rsids>
    <w:rsidRoot w:val="00750DD4"/>
    <w:rsid w:val="000039EE"/>
    <w:rsid w:val="00005622"/>
    <w:rsid w:val="0002519E"/>
    <w:rsid w:val="00035B43"/>
    <w:rsid w:val="00036F4F"/>
    <w:rsid w:val="00066A7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5F10"/>
    <w:rsid w:val="00167472"/>
    <w:rsid w:val="00167F92"/>
    <w:rsid w:val="00173738"/>
    <w:rsid w:val="001B79A3"/>
    <w:rsid w:val="001D08D7"/>
    <w:rsid w:val="002152A3"/>
    <w:rsid w:val="00272D35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21A5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50DD4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A74E7"/>
    <w:rsid w:val="008C4397"/>
    <w:rsid w:val="008C465A"/>
    <w:rsid w:val="008E399B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A53E0"/>
    <w:rsid w:val="00BB24C0"/>
    <w:rsid w:val="00BD6ECF"/>
    <w:rsid w:val="00BE7719"/>
    <w:rsid w:val="00C14367"/>
    <w:rsid w:val="00C26F2E"/>
    <w:rsid w:val="00C302E3"/>
    <w:rsid w:val="00C45376"/>
    <w:rsid w:val="00C9028F"/>
    <w:rsid w:val="00CA0416"/>
    <w:rsid w:val="00CB1125"/>
    <w:rsid w:val="00CC52FB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8185C"/>
  <w15:docId w15:val="{B161579A-A160-4C38-99A9-6549B90B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0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3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3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200A-D2FE-4439-927C-7482D979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2021-11-17T12:26:00Z</cp:lastPrinted>
  <dcterms:created xsi:type="dcterms:W3CDTF">2021-10-28T06:37:00Z</dcterms:created>
  <dcterms:modified xsi:type="dcterms:W3CDTF">2021-11-17T12:26:00Z</dcterms:modified>
</cp:coreProperties>
</file>