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B27F58" w:rsidRPr="00F42A48" w14:paraId="5A02D357" w14:textId="77777777" w:rsidTr="000D3CD3">
        <w:trPr>
          <w:cantSplit/>
          <w:trHeight w:val="80"/>
          <w:jc w:val="center"/>
        </w:trPr>
        <w:tc>
          <w:tcPr>
            <w:tcW w:w="1276" w:type="dxa"/>
            <w:gridSpan w:val="2"/>
            <w:vAlign w:val="center"/>
          </w:tcPr>
          <w:p w14:paraId="2B7516A2" w14:textId="77777777" w:rsidR="00B27F58" w:rsidRPr="00F42A48" w:rsidRDefault="00B27F58" w:rsidP="000D3CD3">
            <w:pPr>
              <w:pStyle w:val="Tabletext"/>
              <w:jc w:val="center"/>
            </w:pPr>
            <w:r w:rsidRPr="00F42A48">
              <w:rPr>
                <w:noProof/>
                <w:lang w:eastAsia="en-GB"/>
              </w:rPr>
              <w:drawing>
                <wp:inline distT="0" distB="0" distL="0" distR="0" wp14:anchorId="2D939FEF" wp14:editId="136B58C3">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tcMar>
              <w:left w:w="142" w:type="dxa"/>
            </w:tcMar>
            <w:vAlign w:val="center"/>
          </w:tcPr>
          <w:p w14:paraId="45F22103" w14:textId="77777777" w:rsidR="00B27F58" w:rsidRPr="00F42A48" w:rsidRDefault="00B27F58" w:rsidP="000D3CD3">
            <w:pPr>
              <w:spacing w:before="0"/>
              <w:rPr>
                <w:rFonts w:cs="Times New Roman Bold"/>
                <w:b/>
                <w:bCs/>
                <w:smallCaps/>
                <w:sz w:val="26"/>
                <w:szCs w:val="26"/>
              </w:rPr>
            </w:pPr>
            <w:r w:rsidRPr="00F42A48">
              <w:rPr>
                <w:rFonts w:cs="Times New Roman Bold"/>
                <w:b/>
                <w:bCs/>
                <w:smallCaps/>
                <w:sz w:val="36"/>
                <w:szCs w:val="36"/>
              </w:rPr>
              <w:t>International telecommunication union</w:t>
            </w:r>
          </w:p>
          <w:p w14:paraId="74E959F6" w14:textId="77777777" w:rsidR="00B27F58" w:rsidRPr="00F42A48" w:rsidRDefault="00B27F58" w:rsidP="000D3CD3">
            <w:pPr>
              <w:spacing w:before="0"/>
              <w:rPr>
                <w:rFonts w:ascii="Verdana" w:hAnsi="Verdana"/>
                <w:color w:val="FFFFFF"/>
                <w:sz w:val="26"/>
                <w:szCs w:val="26"/>
              </w:rPr>
            </w:pPr>
            <w:r w:rsidRPr="00F42A48">
              <w:rPr>
                <w:rFonts w:cs="Times New Roman Bold"/>
                <w:b/>
                <w:bCs/>
                <w:iCs/>
                <w:smallCaps/>
                <w:sz w:val="28"/>
                <w:szCs w:val="28"/>
              </w:rPr>
              <w:t>Telecommunication Standardization Bureau</w:t>
            </w:r>
          </w:p>
        </w:tc>
        <w:tc>
          <w:tcPr>
            <w:tcW w:w="1984" w:type="dxa"/>
            <w:vAlign w:val="center"/>
          </w:tcPr>
          <w:p w14:paraId="372D2575" w14:textId="77777777" w:rsidR="00B27F58" w:rsidRPr="00F42A48" w:rsidRDefault="00B27F58" w:rsidP="000D3CD3">
            <w:pPr>
              <w:spacing w:before="0"/>
              <w:jc w:val="right"/>
              <w:rPr>
                <w:rFonts w:ascii="Verdana" w:hAnsi="Verdana"/>
                <w:color w:val="FFFFFF"/>
                <w:sz w:val="26"/>
                <w:szCs w:val="26"/>
              </w:rPr>
            </w:pPr>
          </w:p>
        </w:tc>
      </w:tr>
      <w:tr w:rsidR="00B27F58" w:rsidRPr="00F42A48" w14:paraId="1EE01C52" w14:textId="77777777" w:rsidTr="000D3CD3">
        <w:trPr>
          <w:cantSplit/>
          <w:trHeight w:val="634"/>
          <w:jc w:val="center"/>
        </w:trPr>
        <w:tc>
          <w:tcPr>
            <w:tcW w:w="5387" w:type="dxa"/>
            <w:gridSpan w:val="3"/>
            <w:vAlign w:val="center"/>
          </w:tcPr>
          <w:p w14:paraId="3972A8A4" w14:textId="77777777" w:rsidR="00B27F58" w:rsidRPr="00F42A48" w:rsidRDefault="00B27F58" w:rsidP="00B27F58">
            <w:pPr>
              <w:pStyle w:val="Tabletext"/>
              <w:spacing w:before="360"/>
              <w:jc w:val="right"/>
              <w:rPr>
                <w:rFonts w:cstheme="minorHAnsi"/>
                <w:sz w:val="22"/>
                <w:szCs w:val="22"/>
              </w:rPr>
            </w:pPr>
          </w:p>
        </w:tc>
        <w:tc>
          <w:tcPr>
            <w:tcW w:w="4394" w:type="dxa"/>
            <w:gridSpan w:val="2"/>
            <w:vAlign w:val="center"/>
          </w:tcPr>
          <w:p w14:paraId="7EBC74F7" w14:textId="6D93FE94" w:rsidR="00B27F58" w:rsidRPr="00F42A48" w:rsidRDefault="00B27F58" w:rsidP="00B27F58">
            <w:pPr>
              <w:pStyle w:val="Tabletext"/>
              <w:spacing w:before="360" w:after="120"/>
              <w:rPr>
                <w:rFonts w:cstheme="minorHAnsi"/>
                <w:sz w:val="22"/>
                <w:szCs w:val="22"/>
              </w:rPr>
            </w:pPr>
            <w:r w:rsidRPr="00F42A48">
              <w:rPr>
                <w:rFonts w:cstheme="minorHAnsi"/>
                <w:sz w:val="22"/>
                <w:szCs w:val="22"/>
              </w:rPr>
              <w:t xml:space="preserve">Geneva, </w:t>
            </w:r>
            <w:r w:rsidR="00B664AA" w:rsidRPr="00F42A48">
              <w:rPr>
                <w:rFonts w:cstheme="minorHAnsi"/>
                <w:sz w:val="22"/>
                <w:szCs w:val="22"/>
              </w:rPr>
              <w:t xml:space="preserve">29 </w:t>
            </w:r>
            <w:r w:rsidR="002957B3" w:rsidRPr="00F42A48">
              <w:rPr>
                <w:rFonts w:cstheme="minorHAnsi"/>
                <w:sz w:val="22"/>
                <w:szCs w:val="22"/>
              </w:rPr>
              <w:t>October</w:t>
            </w:r>
            <w:r w:rsidR="00F72B49" w:rsidRPr="00F42A48">
              <w:rPr>
                <w:rFonts w:cstheme="minorHAnsi"/>
                <w:sz w:val="22"/>
                <w:szCs w:val="22"/>
              </w:rPr>
              <w:t xml:space="preserve"> </w:t>
            </w:r>
            <w:r w:rsidR="00C46E09" w:rsidRPr="00F42A48">
              <w:rPr>
                <w:rFonts w:cstheme="minorHAnsi"/>
                <w:sz w:val="22"/>
                <w:szCs w:val="22"/>
              </w:rPr>
              <w:t>2021</w:t>
            </w:r>
          </w:p>
        </w:tc>
      </w:tr>
      <w:tr w:rsidR="00B27F58" w:rsidRPr="00F42A48" w14:paraId="04BACE90" w14:textId="77777777" w:rsidTr="000D3CD3">
        <w:trPr>
          <w:cantSplit/>
          <w:trHeight w:val="700"/>
          <w:jc w:val="center"/>
        </w:trPr>
        <w:tc>
          <w:tcPr>
            <w:tcW w:w="1143" w:type="dxa"/>
          </w:tcPr>
          <w:p w14:paraId="16AB418B" w14:textId="77777777" w:rsidR="00B27F58" w:rsidRPr="00F42A48" w:rsidRDefault="00B27F58" w:rsidP="000D3CD3">
            <w:pPr>
              <w:pStyle w:val="Tabletext"/>
              <w:rPr>
                <w:rFonts w:cstheme="minorHAnsi"/>
                <w:sz w:val="22"/>
                <w:szCs w:val="22"/>
              </w:rPr>
            </w:pPr>
            <w:r w:rsidRPr="00F42A48">
              <w:rPr>
                <w:rFonts w:cstheme="minorHAnsi"/>
                <w:sz w:val="22"/>
                <w:szCs w:val="22"/>
              </w:rPr>
              <w:t>Ref:</w:t>
            </w:r>
          </w:p>
        </w:tc>
        <w:tc>
          <w:tcPr>
            <w:tcW w:w="4244" w:type="dxa"/>
            <w:gridSpan w:val="2"/>
          </w:tcPr>
          <w:p w14:paraId="42FE3D79" w14:textId="53EDDE32" w:rsidR="00B27F58" w:rsidRPr="00F42A48" w:rsidRDefault="00B27F58" w:rsidP="000D3CD3">
            <w:pPr>
              <w:pStyle w:val="CircColNo"/>
              <w:rPr>
                <w:rFonts w:cstheme="minorHAnsi"/>
                <w:sz w:val="22"/>
                <w:szCs w:val="22"/>
              </w:rPr>
            </w:pPr>
            <w:r w:rsidRPr="00F42A48">
              <w:rPr>
                <w:rFonts w:cstheme="minorHAnsi"/>
                <w:sz w:val="22"/>
                <w:szCs w:val="22"/>
              </w:rPr>
              <w:t>TSB Circular</w:t>
            </w:r>
            <w:r w:rsidR="00130303" w:rsidRPr="00F42A48">
              <w:rPr>
                <w:rFonts w:cstheme="minorHAnsi"/>
                <w:sz w:val="22"/>
                <w:szCs w:val="22"/>
              </w:rPr>
              <w:t xml:space="preserve"> </w:t>
            </w:r>
            <w:r w:rsidR="002957B3" w:rsidRPr="00F42A48">
              <w:rPr>
                <w:rFonts w:cstheme="minorHAnsi"/>
                <w:sz w:val="22"/>
                <w:szCs w:val="22"/>
              </w:rPr>
              <w:t>35</w:t>
            </w:r>
            <w:r w:rsidR="00302F70" w:rsidRPr="00F42A48">
              <w:rPr>
                <w:rFonts w:cstheme="minorHAnsi"/>
                <w:sz w:val="22"/>
                <w:szCs w:val="22"/>
              </w:rPr>
              <w:t>6</w:t>
            </w:r>
          </w:p>
          <w:p w14:paraId="2E892BD7" w14:textId="77777777" w:rsidR="00B27F58" w:rsidRPr="00F42A48" w:rsidRDefault="00B27F58" w:rsidP="000D3CD3">
            <w:pPr>
              <w:pStyle w:val="Tabletext"/>
              <w:rPr>
                <w:rFonts w:cstheme="minorHAnsi"/>
                <w:sz w:val="22"/>
                <w:szCs w:val="22"/>
              </w:rPr>
            </w:pPr>
            <w:r w:rsidRPr="00F42A48">
              <w:rPr>
                <w:rFonts w:cstheme="minorHAnsi"/>
                <w:sz w:val="22"/>
                <w:szCs w:val="22"/>
              </w:rPr>
              <w:t>TSB Events/SC</w:t>
            </w:r>
          </w:p>
        </w:tc>
        <w:tc>
          <w:tcPr>
            <w:tcW w:w="4394" w:type="dxa"/>
            <w:gridSpan w:val="2"/>
            <w:vMerge w:val="restart"/>
          </w:tcPr>
          <w:p w14:paraId="5F63AB9F" w14:textId="77777777" w:rsidR="00B27F58" w:rsidRPr="00F42A48" w:rsidRDefault="00B27F58" w:rsidP="000D3CD3">
            <w:pPr>
              <w:pStyle w:val="Tabletext"/>
              <w:ind w:left="283" w:hanging="283"/>
              <w:rPr>
                <w:rFonts w:cstheme="minorHAnsi"/>
                <w:b/>
                <w:bCs/>
                <w:sz w:val="22"/>
                <w:szCs w:val="22"/>
              </w:rPr>
            </w:pPr>
            <w:bookmarkStart w:id="0" w:name="Addressee_E"/>
            <w:bookmarkEnd w:id="0"/>
            <w:r w:rsidRPr="00F42A48">
              <w:rPr>
                <w:rFonts w:cstheme="minorHAnsi"/>
                <w:b/>
                <w:bCs/>
                <w:sz w:val="22"/>
                <w:szCs w:val="22"/>
              </w:rPr>
              <w:t>To:</w:t>
            </w:r>
          </w:p>
          <w:p w14:paraId="0DBBEEC5" w14:textId="678747A2" w:rsidR="00B27F58" w:rsidRPr="00F42A48" w:rsidRDefault="00B27F58" w:rsidP="000D3CD3">
            <w:pPr>
              <w:pStyle w:val="Tabletext"/>
              <w:ind w:left="283" w:hanging="283"/>
              <w:rPr>
                <w:rFonts w:cstheme="minorHAnsi"/>
                <w:sz w:val="22"/>
                <w:szCs w:val="22"/>
              </w:rPr>
            </w:pPr>
            <w:r w:rsidRPr="00F42A48">
              <w:rPr>
                <w:rFonts w:cstheme="minorHAnsi"/>
                <w:sz w:val="22"/>
                <w:szCs w:val="22"/>
              </w:rPr>
              <w:t>-</w:t>
            </w:r>
            <w:r w:rsidRPr="00F42A48">
              <w:rPr>
                <w:rFonts w:cstheme="minorHAnsi"/>
                <w:sz w:val="22"/>
                <w:szCs w:val="22"/>
              </w:rPr>
              <w:tab/>
              <w:t>Administrations of Member States of</w:t>
            </w:r>
            <w:r w:rsidR="00B1392D" w:rsidRPr="00F42A48">
              <w:rPr>
                <w:rFonts w:cstheme="minorHAnsi"/>
                <w:sz w:val="22"/>
                <w:szCs w:val="22"/>
              </w:rPr>
              <w:br/>
            </w:r>
            <w:r w:rsidRPr="00F42A48">
              <w:rPr>
                <w:rFonts w:cstheme="minorHAnsi"/>
                <w:sz w:val="22"/>
                <w:szCs w:val="22"/>
              </w:rPr>
              <w:t xml:space="preserve">the </w:t>
            </w:r>
            <w:proofErr w:type="gramStart"/>
            <w:r w:rsidRPr="00F42A48">
              <w:rPr>
                <w:rFonts w:cstheme="minorHAnsi"/>
                <w:sz w:val="22"/>
                <w:szCs w:val="22"/>
              </w:rPr>
              <w:t>Union;</w:t>
            </w:r>
            <w:proofErr w:type="gramEnd"/>
          </w:p>
          <w:p w14:paraId="7DC3C6A4" w14:textId="77777777" w:rsidR="00B27F58" w:rsidRPr="00451C0F" w:rsidRDefault="00B27F58" w:rsidP="000D3CD3">
            <w:pPr>
              <w:pStyle w:val="Tabletext"/>
              <w:ind w:left="283" w:hanging="283"/>
              <w:rPr>
                <w:rFonts w:cstheme="minorHAnsi"/>
                <w:color w:val="000000"/>
                <w:sz w:val="22"/>
                <w:szCs w:val="22"/>
                <w:lang w:val="fr-FR"/>
              </w:rPr>
            </w:pPr>
            <w:r w:rsidRPr="00451C0F">
              <w:rPr>
                <w:rFonts w:cstheme="minorHAnsi"/>
                <w:color w:val="000000"/>
                <w:sz w:val="22"/>
                <w:szCs w:val="22"/>
                <w:lang w:val="fr-FR"/>
              </w:rPr>
              <w:t>-</w:t>
            </w:r>
            <w:r w:rsidRPr="00451C0F">
              <w:rPr>
                <w:rFonts w:cstheme="minorHAnsi"/>
                <w:color w:val="000000"/>
                <w:sz w:val="22"/>
                <w:szCs w:val="22"/>
                <w:lang w:val="fr-FR"/>
              </w:rPr>
              <w:tab/>
              <w:t xml:space="preserve">ITU-T </w:t>
            </w:r>
            <w:proofErr w:type="spellStart"/>
            <w:r w:rsidRPr="00451C0F">
              <w:rPr>
                <w:rFonts w:cstheme="minorHAnsi"/>
                <w:color w:val="000000"/>
                <w:sz w:val="22"/>
                <w:szCs w:val="22"/>
                <w:lang w:val="fr-FR"/>
              </w:rPr>
              <w:t>Sector</w:t>
            </w:r>
            <w:proofErr w:type="spellEnd"/>
            <w:r w:rsidRPr="00451C0F">
              <w:rPr>
                <w:rFonts w:cstheme="minorHAnsi"/>
                <w:color w:val="000000"/>
                <w:sz w:val="22"/>
                <w:szCs w:val="22"/>
                <w:lang w:val="fr-FR"/>
              </w:rPr>
              <w:t xml:space="preserve"> </w:t>
            </w:r>
            <w:proofErr w:type="gramStart"/>
            <w:r w:rsidRPr="00451C0F">
              <w:rPr>
                <w:rFonts w:cstheme="minorHAnsi"/>
                <w:color w:val="000000"/>
                <w:sz w:val="22"/>
                <w:szCs w:val="22"/>
                <w:lang w:val="fr-FR"/>
              </w:rPr>
              <w:t>Members;</w:t>
            </w:r>
            <w:proofErr w:type="gramEnd"/>
          </w:p>
          <w:p w14:paraId="5AA881EE" w14:textId="77777777" w:rsidR="00B27F58" w:rsidRPr="00451C0F" w:rsidRDefault="00B27F58" w:rsidP="000D3CD3">
            <w:pPr>
              <w:pStyle w:val="Tabletext"/>
              <w:ind w:left="283" w:hanging="283"/>
              <w:rPr>
                <w:rFonts w:cstheme="minorHAnsi"/>
                <w:color w:val="000000"/>
                <w:sz w:val="22"/>
                <w:szCs w:val="22"/>
                <w:lang w:val="fr-FR"/>
              </w:rPr>
            </w:pPr>
            <w:r w:rsidRPr="00451C0F">
              <w:rPr>
                <w:rFonts w:cstheme="minorHAnsi"/>
                <w:color w:val="000000"/>
                <w:sz w:val="22"/>
                <w:szCs w:val="22"/>
                <w:lang w:val="fr-FR"/>
              </w:rPr>
              <w:t>-</w:t>
            </w:r>
            <w:r w:rsidRPr="00451C0F">
              <w:rPr>
                <w:rFonts w:cstheme="minorHAnsi"/>
                <w:color w:val="000000"/>
                <w:sz w:val="22"/>
                <w:szCs w:val="22"/>
                <w:lang w:val="fr-FR"/>
              </w:rPr>
              <w:tab/>
              <w:t xml:space="preserve">ITU-T </w:t>
            </w:r>
            <w:proofErr w:type="gramStart"/>
            <w:r w:rsidRPr="00451C0F">
              <w:rPr>
                <w:rFonts w:cstheme="minorHAnsi"/>
                <w:color w:val="000000"/>
                <w:sz w:val="22"/>
                <w:szCs w:val="22"/>
                <w:lang w:val="fr-FR"/>
              </w:rPr>
              <w:t>Associates;</w:t>
            </w:r>
            <w:proofErr w:type="gramEnd"/>
          </w:p>
          <w:p w14:paraId="0D8D6726" w14:textId="77777777" w:rsidR="00B27F58" w:rsidRPr="00F42A48" w:rsidRDefault="00B27F58" w:rsidP="000D3CD3">
            <w:pPr>
              <w:pStyle w:val="Tabletext"/>
              <w:ind w:left="283" w:hanging="283"/>
              <w:rPr>
                <w:rFonts w:cstheme="minorHAnsi"/>
                <w:sz w:val="22"/>
                <w:szCs w:val="22"/>
              </w:rPr>
            </w:pPr>
            <w:r w:rsidRPr="00F42A48">
              <w:rPr>
                <w:rFonts w:cstheme="minorHAnsi"/>
                <w:color w:val="000000"/>
                <w:sz w:val="22"/>
                <w:szCs w:val="22"/>
              </w:rPr>
              <w:t>-</w:t>
            </w:r>
            <w:r w:rsidRPr="00F42A48">
              <w:rPr>
                <w:rFonts w:cstheme="minorHAnsi"/>
                <w:color w:val="000000"/>
                <w:sz w:val="22"/>
                <w:szCs w:val="22"/>
              </w:rPr>
              <w:tab/>
              <w:t>ITU Academia</w:t>
            </w:r>
          </w:p>
        </w:tc>
      </w:tr>
      <w:tr w:rsidR="00B27F58" w:rsidRPr="00F42A48" w14:paraId="7B31F7FD" w14:textId="77777777" w:rsidTr="000D3CD3">
        <w:trPr>
          <w:cantSplit/>
          <w:trHeight w:val="289"/>
          <w:jc w:val="center"/>
        </w:trPr>
        <w:tc>
          <w:tcPr>
            <w:tcW w:w="1143" w:type="dxa"/>
          </w:tcPr>
          <w:p w14:paraId="0D930ECE" w14:textId="77777777" w:rsidR="00B27F58" w:rsidRPr="00F42A48" w:rsidRDefault="00B27F58" w:rsidP="000D3CD3">
            <w:pPr>
              <w:pStyle w:val="Tabletext"/>
              <w:rPr>
                <w:rFonts w:cstheme="minorHAnsi"/>
                <w:sz w:val="22"/>
                <w:szCs w:val="22"/>
              </w:rPr>
            </w:pPr>
            <w:r w:rsidRPr="00F42A48">
              <w:rPr>
                <w:rFonts w:cstheme="minorHAnsi"/>
                <w:sz w:val="22"/>
                <w:szCs w:val="22"/>
              </w:rPr>
              <w:t>Contact:</w:t>
            </w:r>
          </w:p>
        </w:tc>
        <w:tc>
          <w:tcPr>
            <w:tcW w:w="4244" w:type="dxa"/>
            <w:gridSpan w:val="2"/>
          </w:tcPr>
          <w:p w14:paraId="5DABB9EB" w14:textId="677209C4" w:rsidR="00B27F58" w:rsidRPr="00F42A48" w:rsidRDefault="002957B3" w:rsidP="000D3CD3">
            <w:pPr>
              <w:pStyle w:val="Tabletext"/>
              <w:rPr>
                <w:rFonts w:cstheme="minorHAnsi"/>
                <w:b/>
                <w:sz w:val="22"/>
                <w:szCs w:val="22"/>
              </w:rPr>
            </w:pPr>
            <w:r w:rsidRPr="00F42A48">
              <w:rPr>
                <w:rFonts w:cstheme="minorHAnsi"/>
                <w:b/>
                <w:sz w:val="22"/>
                <w:szCs w:val="22"/>
              </w:rPr>
              <w:t>Simao Campos</w:t>
            </w:r>
          </w:p>
        </w:tc>
        <w:tc>
          <w:tcPr>
            <w:tcW w:w="4394" w:type="dxa"/>
            <w:gridSpan w:val="2"/>
            <w:vMerge/>
          </w:tcPr>
          <w:p w14:paraId="20085858" w14:textId="77777777" w:rsidR="00B27F58" w:rsidRPr="00F42A48" w:rsidRDefault="00B27F58" w:rsidP="000D3CD3">
            <w:pPr>
              <w:pStyle w:val="Tabletext"/>
              <w:ind w:left="142" w:hanging="142"/>
              <w:rPr>
                <w:rFonts w:cstheme="minorHAnsi"/>
                <w:sz w:val="22"/>
                <w:szCs w:val="22"/>
              </w:rPr>
            </w:pPr>
          </w:p>
        </w:tc>
      </w:tr>
      <w:tr w:rsidR="00B27F58" w:rsidRPr="00F42A48" w14:paraId="663A4665" w14:textId="77777777" w:rsidTr="000D3CD3">
        <w:trPr>
          <w:cantSplit/>
          <w:trHeight w:val="221"/>
          <w:jc w:val="center"/>
        </w:trPr>
        <w:tc>
          <w:tcPr>
            <w:tcW w:w="1143" w:type="dxa"/>
          </w:tcPr>
          <w:p w14:paraId="4703A4D0" w14:textId="77777777" w:rsidR="00B27F58" w:rsidRPr="00F42A48" w:rsidRDefault="00B27F58" w:rsidP="000D3CD3">
            <w:pPr>
              <w:pStyle w:val="Tabletext"/>
              <w:rPr>
                <w:rFonts w:cstheme="minorHAnsi"/>
                <w:sz w:val="22"/>
                <w:szCs w:val="22"/>
              </w:rPr>
            </w:pPr>
            <w:r w:rsidRPr="00F42A48">
              <w:rPr>
                <w:rFonts w:cstheme="minorHAnsi"/>
                <w:sz w:val="22"/>
                <w:szCs w:val="22"/>
              </w:rPr>
              <w:t>Tel:</w:t>
            </w:r>
          </w:p>
        </w:tc>
        <w:tc>
          <w:tcPr>
            <w:tcW w:w="4244" w:type="dxa"/>
            <w:gridSpan w:val="2"/>
          </w:tcPr>
          <w:p w14:paraId="71D69BCC" w14:textId="77777777" w:rsidR="00B27F58" w:rsidRPr="00F42A48" w:rsidRDefault="00B27F58" w:rsidP="000D3CD3">
            <w:pPr>
              <w:pStyle w:val="Tabletext"/>
              <w:rPr>
                <w:rFonts w:cstheme="minorHAnsi"/>
                <w:b/>
                <w:sz w:val="22"/>
                <w:szCs w:val="22"/>
              </w:rPr>
            </w:pPr>
            <w:r w:rsidRPr="00F42A48">
              <w:rPr>
                <w:rFonts w:cstheme="minorHAnsi"/>
                <w:sz w:val="22"/>
                <w:szCs w:val="22"/>
              </w:rPr>
              <w:t>+41 22 730 6805</w:t>
            </w:r>
          </w:p>
        </w:tc>
        <w:tc>
          <w:tcPr>
            <w:tcW w:w="4394" w:type="dxa"/>
            <w:gridSpan w:val="2"/>
            <w:vMerge/>
          </w:tcPr>
          <w:p w14:paraId="5123D1F3" w14:textId="77777777" w:rsidR="00B27F58" w:rsidRPr="00F42A48" w:rsidRDefault="00B27F58" w:rsidP="000D3CD3">
            <w:pPr>
              <w:pStyle w:val="Tabletext"/>
              <w:ind w:left="142" w:hanging="142"/>
              <w:rPr>
                <w:rFonts w:cstheme="minorHAnsi"/>
                <w:sz w:val="22"/>
                <w:szCs w:val="22"/>
              </w:rPr>
            </w:pPr>
          </w:p>
        </w:tc>
      </w:tr>
      <w:tr w:rsidR="00B27F58" w:rsidRPr="00F42A48" w14:paraId="5CC866FC" w14:textId="77777777" w:rsidTr="000D3CD3">
        <w:trPr>
          <w:cantSplit/>
          <w:trHeight w:val="103"/>
          <w:jc w:val="center"/>
        </w:trPr>
        <w:tc>
          <w:tcPr>
            <w:tcW w:w="1143" w:type="dxa"/>
          </w:tcPr>
          <w:p w14:paraId="64AB78D7" w14:textId="77777777" w:rsidR="00B27F58" w:rsidRPr="00F42A48" w:rsidRDefault="00B27F58" w:rsidP="000D3CD3">
            <w:pPr>
              <w:pStyle w:val="Tabletext"/>
              <w:rPr>
                <w:rFonts w:cstheme="minorHAnsi"/>
                <w:sz w:val="22"/>
                <w:szCs w:val="22"/>
              </w:rPr>
            </w:pPr>
            <w:r w:rsidRPr="00F42A48">
              <w:rPr>
                <w:rFonts w:cstheme="minorHAnsi"/>
                <w:sz w:val="22"/>
                <w:szCs w:val="22"/>
              </w:rPr>
              <w:t>Fax:</w:t>
            </w:r>
          </w:p>
        </w:tc>
        <w:tc>
          <w:tcPr>
            <w:tcW w:w="4244" w:type="dxa"/>
            <w:gridSpan w:val="2"/>
          </w:tcPr>
          <w:p w14:paraId="2147BC61" w14:textId="77777777" w:rsidR="00B27F58" w:rsidRPr="00F42A48" w:rsidRDefault="00B27F58" w:rsidP="000D3CD3">
            <w:pPr>
              <w:pStyle w:val="Tabletext"/>
              <w:rPr>
                <w:rFonts w:cstheme="minorHAnsi"/>
                <w:b/>
                <w:sz w:val="22"/>
                <w:szCs w:val="22"/>
              </w:rPr>
            </w:pPr>
            <w:r w:rsidRPr="00F42A48">
              <w:rPr>
                <w:rFonts w:cstheme="minorHAnsi"/>
                <w:sz w:val="22"/>
                <w:szCs w:val="22"/>
              </w:rPr>
              <w:t>+41 22 730 5853</w:t>
            </w:r>
          </w:p>
        </w:tc>
        <w:tc>
          <w:tcPr>
            <w:tcW w:w="4394" w:type="dxa"/>
            <w:gridSpan w:val="2"/>
            <w:vMerge/>
          </w:tcPr>
          <w:p w14:paraId="58129AC5" w14:textId="77777777" w:rsidR="00B27F58" w:rsidRPr="00F42A48" w:rsidRDefault="00B27F58" w:rsidP="000D3CD3">
            <w:pPr>
              <w:pStyle w:val="Tabletext"/>
              <w:ind w:left="142" w:hanging="142"/>
              <w:rPr>
                <w:rFonts w:cstheme="minorHAnsi"/>
                <w:sz w:val="22"/>
                <w:szCs w:val="22"/>
              </w:rPr>
            </w:pPr>
          </w:p>
        </w:tc>
      </w:tr>
      <w:tr w:rsidR="00B27F58" w:rsidRPr="00F42A48" w14:paraId="1A603C9C" w14:textId="77777777" w:rsidTr="000D3CD3">
        <w:trPr>
          <w:cantSplit/>
          <w:trHeight w:val="1381"/>
          <w:jc w:val="center"/>
        </w:trPr>
        <w:tc>
          <w:tcPr>
            <w:tcW w:w="1143" w:type="dxa"/>
          </w:tcPr>
          <w:p w14:paraId="0F23AF36" w14:textId="77777777" w:rsidR="00B27F58" w:rsidRPr="00F42A48" w:rsidRDefault="00B27F58" w:rsidP="000D3CD3">
            <w:pPr>
              <w:pStyle w:val="Tabletext"/>
              <w:rPr>
                <w:rFonts w:cstheme="minorHAnsi"/>
                <w:sz w:val="22"/>
                <w:szCs w:val="22"/>
              </w:rPr>
            </w:pPr>
            <w:r w:rsidRPr="00F42A48">
              <w:rPr>
                <w:rFonts w:cstheme="minorHAnsi"/>
                <w:sz w:val="22"/>
                <w:szCs w:val="22"/>
              </w:rPr>
              <w:t>E-mail:</w:t>
            </w:r>
          </w:p>
        </w:tc>
        <w:tc>
          <w:tcPr>
            <w:tcW w:w="4244" w:type="dxa"/>
            <w:gridSpan w:val="2"/>
          </w:tcPr>
          <w:p w14:paraId="6705600A" w14:textId="7B964976" w:rsidR="00B27F58" w:rsidRPr="00F42A48" w:rsidRDefault="00B27F58" w:rsidP="000D3CD3">
            <w:pPr>
              <w:pStyle w:val="Tabletext"/>
              <w:rPr>
                <w:rFonts w:cstheme="minorHAnsi"/>
                <w:sz w:val="22"/>
                <w:szCs w:val="22"/>
              </w:rPr>
            </w:pPr>
            <w:r w:rsidRPr="00F42A48">
              <w:rPr>
                <w:rStyle w:val="Hyperlink"/>
                <w:rFonts w:cstheme="minorHAnsi"/>
                <w:sz w:val="22"/>
                <w:szCs w:val="22"/>
              </w:rPr>
              <w:t>tsbevents@itu.int</w:t>
            </w:r>
            <w:r w:rsidR="00571651" w:rsidRPr="00F42A48">
              <w:rPr>
                <w:rStyle w:val="Hyperlink"/>
                <w:rFonts w:cstheme="minorHAnsi"/>
                <w:sz w:val="22"/>
                <w:szCs w:val="22"/>
              </w:rPr>
              <w:t xml:space="preserve"> </w:t>
            </w:r>
          </w:p>
        </w:tc>
        <w:tc>
          <w:tcPr>
            <w:tcW w:w="4394" w:type="dxa"/>
            <w:gridSpan w:val="2"/>
          </w:tcPr>
          <w:p w14:paraId="54424D07" w14:textId="77777777" w:rsidR="00B27F58" w:rsidRPr="00F42A48" w:rsidRDefault="00B27F58" w:rsidP="000D3CD3">
            <w:pPr>
              <w:pStyle w:val="Tabletext"/>
              <w:rPr>
                <w:rFonts w:cstheme="minorHAnsi"/>
                <w:b/>
                <w:sz w:val="22"/>
                <w:szCs w:val="22"/>
              </w:rPr>
            </w:pPr>
            <w:r w:rsidRPr="00F42A48">
              <w:rPr>
                <w:rFonts w:cstheme="minorHAnsi"/>
                <w:b/>
                <w:sz w:val="22"/>
                <w:szCs w:val="22"/>
              </w:rPr>
              <w:t>Copy to:</w:t>
            </w:r>
          </w:p>
          <w:p w14:paraId="0E91E6E1" w14:textId="65AFA3B8" w:rsidR="00B27F58" w:rsidRPr="00F42A48" w:rsidRDefault="00B27F58" w:rsidP="000D3CD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rPr>
            </w:pPr>
            <w:r w:rsidRPr="00F42A48">
              <w:rPr>
                <w:rFonts w:cstheme="minorHAnsi"/>
                <w:sz w:val="22"/>
                <w:szCs w:val="22"/>
              </w:rPr>
              <w:t>-</w:t>
            </w:r>
            <w:r w:rsidRPr="00F42A48">
              <w:rPr>
                <w:rFonts w:cstheme="minorHAnsi"/>
                <w:sz w:val="22"/>
                <w:szCs w:val="22"/>
              </w:rPr>
              <w:tab/>
              <w:t>The Chairmen and Vice-Chairmen of</w:t>
            </w:r>
            <w:r w:rsidR="00B72E7D" w:rsidRPr="00F42A48">
              <w:rPr>
                <w:rFonts w:cstheme="minorHAnsi"/>
                <w:sz w:val="22"/>
                <w:szCs w:val="22"/>
              </w:rPr>
              <w:br/>
            </w:r>
            <w:r w:rsidRPr="00F42A48">
              <w:rPr>
                <w:rFonts w:cstheme="minorHAnsi"/>
                <w:sz w:val="22"/>
                <w:szCs w:val="22"/>
              </w:rPr>
              <w:t xml:space="preserve">ITU-T Study </w:t>
            </w:r>
            <w:proofErr w:type="gramStart"/>
            <w:r w:rsidRPr="00F42A48">
              <w:rPr>
                <w:rFonts w:cstheme="minorHAnsi"/>
                <w:sz w:val="22"/>
                <w:szCs w:val="22"/>
              </w:rPr>
              <w:t>Groups;</w:t>
            </w:r>
            <w:proofErr w:type="gramEnd"/>
          </w:p>
          <w:p w14:paraId="0E52F758" w14:textId="77777777" w:rsidR="00B27F58" w:rsidRPr="00F42A48" w:rsidRDefault="00B27F58" w:rsidP="000D3CD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rPr>
            </w:pPr>
            <w:r w:rsidRPr="00F42A48">
              <w:rPr>
                <w:rFonts w:cstheme="minorHAnsi"/>
                <w:sz w:val="22"/>
                <w:szCs w:val="22"/>
              </w:rPr>
              <w:t>-</w:t>
            </w:r>
            <w:r w:rsidRPr="00F42A48">
              <w:rPr>
                <w:rFonts w:cstheme="minorHAnsi"/>
                <w:sz w:val="22"/>
                <w:szCs w:val="22"/>
              </w:rPr>
              <w:tab/>
              <w:t xml:space="preserve">The Director of the Radiocommunication </w:t>
            </w:r>
            <w:proofErr w:type="gramStart"/>
            <w:r w:rsidRPr="00F42A48">
              <w:rPr>
                <w:rFonts w:cstheme="minorHAnsi"/>
                <w:sz w:val="22"/>
                <w:szCs w:val="22"/>
              </w:rPr>
              <w:t>Bureau;</w:t>
            </w:r>
            <w:proofErr w:type="gramEnd"/>
          </w:p>
          <w:p w14:paraId="1FE7A7E3" w14:textId="1E28B4C5" w:rsidR="00B27F58" w:rsidRPr="00F42A48" w:rsidRDefault="00B27F58" w:rsidP="000D3CD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rPr>
            </w:pPr>
            <w:r w:rsidRPr="00F42A48">
              <w:rPr>
                <w:rFonts w:cstheme="minorHAnsi"/>
                <w:sz w:val="22"/>
                <w:szCs w:val="22"/>
              </w:rPr>
              <w:t>-</w:t>
            </w:r>
            <w:r w:rsidRPr="00F42A48">
              <w:rPr>
                <w:rFonts w:cstheme="minorHAnsi"/>
                <w:sz w:val="22"/>
                <w:szCs w:val="22"/>
              </w:rPr>
              <w:tab/>
              <w:t xml:space="preserve">The Director of the Telecommunication Development </w:t>
            </w:r>
            <w:proofErr w:type="gramStart"/>
            <w:r w:rsidRPr="00F42A48">
              <w:rPr>
                <w:rFonts w:cstheme="minorHAnsi"/>
                <w:sz w:val="22"/>
                <w:szCs w:val="22"/>
              </w:rPr>
              <w:t>Bureau</w:t>
            </w:r>
            <w:r w:rsidR="00B72E7D" w:rsidRPr="00F42A48">
              <w:rPr>
                <w:rFonts w:cstheme="minorHAnsi"/>
                <w:sz w:val="22"/>
                <w:szCs w:val="22"/>
              </w:rPr>
              <w:t>;</w:t>
            </w:r>
            <w:proofErr w:type="gramEnd"/>
          </w:p>
          <w:p w14:paraId="15207CCB" w14:textId="77777777" w:rsidR="00B27F58" w:rsidRPr="00F42A48" w:rsidRDefault="00B27F58" w:rsidP="000D3CD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rPr>
            </w:pPr>
            <w:r w:rsidRPr="00F42A48">
              <w:rPr>
                <w:rFonts w:cstheme="minorHAnsi"/>
                <w:sz w:val="22"/>
                <w:szCs w:val="22"/>
              </w:rPr>
              <w:t>-</w:t>
            </w:r>
            <w:r w:rsidRPr="00F42A48">
              <w:rPr>
                <w:rFonts w:cstheme="minorHAnsi"/>
                <w:sz w:val="22"/>
                <w:szCs w:val="22"/>
              </w:rPr>
              <w:tab/>
              <w:t>The Director of the ITU regional office for the Americas</w:t>
            </w:r>
          </w:p>
        </w:tc>
      </w:tr>
      <w:tr w:rsidR="00B27F58" w:rsidRPr="00F42A48" w14:paraId="44F64AD5" w14:textId="77777777" w:rsidTr="000D3CD3">
        <w:trPr>
          <w:cantSplit/>
          <w:trHeight w:val="80"/>
          <w:jc w:val="center"/>
        </w:trPr>
        <w:tc>
          <w:tcPr>
            <w:tcW w:w="1143" w:type="dxa"/>
          </w:tcPr>
          <w:p w14:paraId="7901DD5F" w14:textId="77777777" w:rsidR="00B27F58" w:rsidRPr="00F42A48" w:rsidRDefault="00B27F58" w:rsidP="00B27F58">
            <w:pPr>
              <w:pStyle w:val="Tabletext"/>
              <w:spacing w:before="240"/>
              <w:rPr>
                <w:rFonts w:cstheme="minorHAnsi"/>
                <w:sz w:val="22"/>
                <w:szCs w:val="22"/>
              </w:rPr>
            </w:pPr>
            <w:r w:rsidRPr="00F42A48">
              <w:rPr>
                <w:rFonts w:cstheme="minorHAnsi"/>
                <w:b/>
                <w:bCs/>
                <w:sz w:val="22"/>
                <w:szCs w:val="22"/>
              </w:rPr>
              <w:t>Subject</w:t>
            </w:r>
            <w:r w:rsidRPr="00F42A48">
              <w:rPr>
                <w:rFonts w:cstheme="minorHAnsi"/>
                <w:sz w:val="22"/>
                <w:szCs w:val="22"/>
              </w:rPr>
              <w:t>:</w:t>
            </w:r>
          </w:p>
        </w:tc>
        <w:tc>
          <w:tcPr>
            <w:tcW w:w="8638" w:type="dxa"/>
            <w:gridSpan w:val="4"/>
          </w:tcPr>
          <w:p w14:paraId="57968843" w14:textId="619A6CA0" w:rsidR="00B27F58" w:rsidRPr="00F42A48" w:rsidRDefault="00130303" w:rsidP="00C46E09">
            <w:pPr>
              <w:pStyle w:val="Tabletext"/>
              <w:spacing w:before="240"/>
              <w:rPr>
                <w:rFonts w:cstheme="minorHAnsi"/>
                <w:b/>
                <w:bCs/>
                <w:sz w:val="22"/>
                <w:szCs w:val="22"/>
              </w:rPr>
            </w:pPr>
            <w:bookmarkStart w:id="1" w:name="_Hlk25937542"/>
            <w:r w:rsidRPr="00F42A48">
              <w:rPr>
                <w:rFonts w:cstheme="minorHAnsi"/>
                <w:b/>
                <w:bCs/>
                <w:sz w:val="22"/>
                <w:szCs w:val="22"/>
              </w:rPr>
              <w:t>ITU</w:t>
            </w:r>
            <w:r w:rsidR="00C46E09" w:rsidRPr="00F42A48">
              <w:rPr>
                <w:rFonts w:cstheme="minorHAnsi"/>
                <w:b/>
                <w:bCs/>
                <w:sz w:val="22"/>
                <w:szCs w:val="22"/>
              </w:rPr>
              <w:t xml:space="preserve">/WHO </w:t>
            </w:r>
            <w:r w:rsidR="00E1515C" w:rsidRPr="00F42A48">
              <w:rPr>
                <w:rFonts w:cstheme="minorHAnsi"/>
                <w:b/>
                <w:bCs/>
                <w:sz w:val="22"/>
                <w:szCs w:val="22"/>
              </w:rPr>
              <w:t>W</w:t>
            </w:r>
            <w:r w:rsidR="00C46E09" w:rsidRPr="00F42A48">
              <w:rPr>
                <w:rFonts w:cstheme="minorHAnsi"/>
                <w:b/>
                <w:bCs/>
                <w:sz w:val="22"/>
                <w:szCs w:val="22"/>
              </w:rPr>
              <w:t xml:space="preserve">orkshop on </w:t>
            </w:r>
            <w:r w:rsidR="009958A5" w:rsidRPr="00F42A48">
              <w:rPr>
                <w:rFonts w:cstheme="minorHAnsi"/>
                <w:b/>
                <w:bCs/>
                <w:sz w:val="22"/>
                <w:szCs w:val="22"/>
              </w:rPr>
              <w:t>"</w:t>
            </w:r>
            <w:r w:rsidR="002957B3" w:rsidRPr="00F42A48">
              <w:rPr>
                <w:rFonts w:cstheme="minorHAnsi"/>
                <w:b/>
                <w:bCs/>
                <w:sz w:val="22"/>
                <w:szCs w:val="22"/>
              </w:rPr>
              <w:t>Safe listening in e-sports and video gaming: identifying use-cases and requirements”</w:t>
            </w:r>
            <w:r w:rsidR="008D07B2" w:rsidRPr="00F42A48">
              <w:rPr>
                <w:rFonts w:cstheme="minorHAnsi"/>
                <w:b/>
                <w:bCs/>
                <w:sz w:val="22"/>
                <w:szCs w:val="22"/>
              </w:rPr>
              <w:t xml:space="preserve"> </w:t>
            </w:r>
            <w:r w:rsidR="00B3213C" w:rsidRPr="00F42A48">
              <w:rPr>
                <w:rFonts w:cstheme="minorHAnsi"/>
                <w:b/>
                <w:bCs/>
                <w:sz w:val="22"/>
                <w:szCs w:val="22"/>
              </w:rPr>
              <w:t>(</w:t>
            </w:r>
            <w:r w:rsidR="00C46E09" w:rsidRPr="00F42A48">
              <w:rPr>
                <w:rFonts w:cstheme="minorHAnsi"/>
                <w:b/>
                <w:bCs/>
                <w:sz w:val="22"/>
                <w:szCs w:val="22"/>
              </w:rPr>
              <w:t xml:space="preserve">Fully </w:t>
            </w:r>
            <w:r w:rsidR="00273879" w:rsidRPr="00F42A48">
              <w:rPr>
                <w:rFonts w:cstheme="minorHAnsi"/>
                <w:b/>
                <w:bCs/>
                <w:sz w:val="22"/>
                <w:szCs w:val="22"/>
              </w:rPr>
              <w:t>v</w:t>
            </w:r>
            <w:r w:rsidR="00C46E09" w:rsidRPr="00F42A48">
              <w:rPr>
                <w:rFonts w:cstheme="minorHAnsi"/>
                <w:b/>
                <w:bCs/>
                <w:sz w:val="22"/>
                <w:szCs w:val="22"/>
              </w:rPr>
              <w:t xml:space="preserve">irtual, </w:t>
            </w:r>
            <w:r w:rsidR="002957B3" w:rsidRPr="00F42A48">
              <w:rPr>
                <w:rFonts w:cstheme="minorHAnsi"/>
                <w:b/>
                <w:bCs/>
                <w:sz w:val="22"/>
                <w:szCs w:val="22"/>
              </w:rPr>
              <w:t>2 December</w:t>
            </w:r>
            <w:r w:rsidR="00C46E09" w:rsidRPr="00F42A48">
              <w:rPr>
                <w:rFonts w:cstheme="minorHAnsi"/>
                <w:b/>
                <w:bCs/>
                <w:sz w:val="22"/>
                <w:szCs w:val="22"/>
              </w:rPr>
              <w:t xml:space="preserve"> </w:t>
            </w:r>
            <w:r w:rsidR="00B27F58" w:rsidRPr="00F42A48">
              <w:rPr>
                <w:rFonts w:cstheme="minorHAnsi"/>
                <w:b/>
                <w:bCs/>
                <w:sz w:val="22"/>
                <w:szCs w:val="22"/>
              </w:rPr>
              <w:t>202</w:t>
            </w:r>
            <w:bookmarkEnd w:id="1"/>
            <w:r w:rsidR="00C46E09" w:rsidRPr="00F42A48">
              <w:rPr>
                <w:rFonts w:cstheme="minorHAnsi"/>
                <w:b/>
                <w:bCs/>
                <w:sz w:val="22"/>
                <w:szCs w:val="22"/>
              </w:rPr>
              <w:t>1</w:t>
            </w:r>
            <w:r w:rsidR="00B3213C" w:rsidRPr="00F42A48">
              <w:rPr>
                <w:rFonts w:cstheme="minorHAnsi"/>
                <w:b/>
                <w:bCs/>
                <w:sz w:val="22"/>
                <w:szCs w:val="22"/>
              </w:rPr>
              <w:t>)</w:t>
            </w:r>
          </w:p>
        </w:tc>
      </w:tr>
    </w:tbl>
    <w:p w14:paraId="37A194B6" w14:textId="77777777" w:rsidR="00B27F58" w:rsidRPr="00F42A48" w:rsidRDefault="00B27F58" w:rsidP="009C36CE">
      <w:pPr>
        <w:pStyle w:val="Normalaftertitle0"/>
        <w:spacing w:before="360" w:after="240"/>
        <w:rPr>
          <w:rFonts w:cstheme="minorHAnsi"/>
          <w:sz w:val="22"/>
          <w:szCs w:val="22"/>
        </w:rPr>
      </w:pPr>
      <w:bookmarkStart w:id="2" w:name="StartTyping_E"/>
      <w:bookmarkEnd w:id="2"/>
      <w:r w:rsidRPr="00F42A48">
        <w:rPr>
          <w:rFonts w:cstheme="minorHAnsi"/>
          <w:sz w:val="22"/>
          <w:szCs w:val="22"/>
        </w:rPr>
        <w:t>Dear Sir/Madam,</w:t>
      </w:r>
    </w:p>
    <w:p w14:paraId="4F935518" w14:textId="39BB41EA" w:rsidR="00571651" w:rsidRPr="00F42A48" w:rsidRDefault="00B27F58" w:rsidP="004F2815">
      <w:pPr>
        <w:tabs>
          <w:tab w:val="clear" w:pos="1134"/>
          <w:tab w:val="clear" w:pos="1871"/>
          <w:tab w:val="left" w:pos="810"/>
        </w:tabs>
        <w:rPr>
          <w:rFonts w:cstheme="minorHAnsi"/>
          <w:sz w:val="22"/>
          <w:szCs w:val="22"/>
        </w:rPr>
      </w:pPr>
      <w:bookmarkStart w:id="3" w:name="suitetext"/>
      <w:bookmarkStart w:id="4" w:name="text"/>
      <w:bookmarkEnd w:id="3"/>
      <w:bookmarkEnd w:id="4"/>
      <w:r w:rsidRPr="00F42A48">
        <w:rPr>
          <w:rFonts w:cstheme="minorHAnsi"/>
          <w:bCs/>
          <w:sz w:val="22"/>
          <w:szCs w:val="22"/>
        </w:rPr>
        <w:t>1</w:t>
      </w:r>
      <w:r w:rsidRPr="00F42A48">
        <w:rPr>
          <w:rFonts w:cstheme="minorHAnsi"/>
          <w:sz w:val="22"/>
          <w:szCs w:val="22"/>
        </w:rPr>
        <w:tab/>
      </w:r>
      <w:r w:rsidR="00130303" w:rsidRPr="00F42A48">
        <w:rPr>
          <w:rFonts w:cstheme="minorHAnsi"/>
          <w:sz w:val="22"/>
          <w:szCs w:val="22"/>
        </w:rPr>
        <w:t>The International Telecommunication (ITU)</w:t>
      </w:r>
      <w:r w:rsidR="00C46E09" w:rsidRPr="00F42A48">
        <w:rPr>
          <w:rFonts w:cstheme="minorHAnsi"/>
          <w:sz w:val="22"/>
          <w:szCs w:val="22"/>
        </w:rPr>
        <w:t xml:space="preserve"> in collaboration with the World Health Organisation (WHO)</w:t>
      </w:r>
      <w:r w:rsidR="00DC2FAA" w:rsidRPr="00F42A48">
        <w:rPr>
          <w:rFonts w:cstheme="minorHAnsi"/>
          <w:sz w:val="22"/>
          <w:szCs w:val="22"/>
        </w:rPr>
        <w:t xml:space="preserve"> are</w:t>
      </w:r>
      <w:r w:rsidR="00130303" w:rsidRPr="00F42A48">
        <w:rPr>
          <w:rFonts w:cstheme="minorHAnsi"/>
          <w:sz w:val="22"/>
          <w:szCs w:val="22"/>
        </w:rPr>
        <w:t xml:space="preserve"> organizing a</w:t>
      </w:r>
      <w:r w:rsidR="00C46E09" w:rsidRPr="00F42A48">
        <w:rPr>
          <w:rFonts w:cstheme="minorHAnsi"/>
          <w:sz w:val="22"/>
          <w:szCs w:val="22"/>
        </w:rPr>
        <w:t xml:space="preserve"> workshop on </w:t>
      </w:r>
      <w:r w:rsidR="009958A5" w:rsidRPr="00F42A48">
        <w:rPr>
          <w:rFonts w:cstheme="minorHAnsi"/>
          <w:b/>
          <w:bCs/>
          <w:sz w:val="22"/>
          <w:szCs w:val="22"/>
        </w:rPr>
        <w:t>"</w:t>
      </w:r>
      <w:r w:rsidR="002957B3" w:rsidRPr="00F42A48">
        <w:rPr>
          <w:rFonts w:cstheme="minorHAnsi"/>
          <w:b/>
          <w:bCs/>
          <w:sz w:val="22"/>
          <w:szCs w:val="22"/>
        </w:rPr>
        <w:t>Safe listening in e-sports and video gaming: identifying use-cases and requirements</w:t>
      </w:r>
      <w:r w:rsidR="009958A5" w:rsidRPr="00F42A48">
        <w:rPr>
          <w:rFonts w:cstheme="minorHAnsi"/>
          <w:b/>
          <w:bCs/>
          <w:sz w:val="22"/>
          <w:szCs w:val="22"/>
        </w:rPr>
        <w:t>"</w:t>
      </w:r>
      <w:r w:rsidR="00D652CB" w:rsidRPr="00F42A48">
        <w:rPr>
          <w:rFonts w:cstheme="minorHAnsi"/>
          <w:sz w:val="22"/>
          <w:szCs w:val="22"/>
        </w:rPr>
        <w:t xml:space="preserve"> taking place virtually on </w:t>
      </w:r>
      <w:r w:rsidR="002957B3" w:rsidRPr="00F42A48">
        <w:rPr>
          <w:rFonts w:cstheme="minorHAnsi"/>
          <w:b/>
          <w:bCs/>
          <w:sz w:val="22"/>
          <w:szCs w:val="22"/>
        </w:rPr>
        <w:t xml:space="preserve">2 December </w:t>
      </w:r>
      <w:r w:rsidR="00D652CB" w:rsidRPr="00F42A48">
        <w:rPr>
          <w:rFonts w:cstheme="minorHAnsi"/>
          <w:b/>
          <w:bCs/>
          <w:sz w:val="22"/>
          <w:szCs w:val="22"/>
        </w:rPr>
        <w:t xml:space="preserve">2021 </w:t>
      </w:r>
      <w:r w:rsidR="00D652CB" w:rsidRPr="00F42A48">
        <w:rPr>
          <w:rFonts w:cstheme="minorHAnsi"/>
          <w:sz w:val="22"/>
          <w:szCs w:val="22"/>
        </w:rPr>
        <w:t>from</w:t>
      </w:r>
      <w:r w:rsidR="00302F70" w:rsidRPr="00F42A48">
        <w:rPr>
          <w:rFonts w:cstheme="minorHAnsi"/>
          <w:sz w:val="22"/>
          <w:szCs w:val="22"/>
        </w:rPr>
        <w:t xml:space="preserve"> </w:t>
      </w:r>
      <w:r w:rsidR="00D652CB" w:rsidRPr="00F42A48">
        <w:rPr>
          <w:rFonts w:cstheme="minorHAnsi"/>
          <w:sz w:val="22"/>
          <w:szCs w:val="22"/>
        </w:rPr>
        <w:t>1</w:t>
      </w:r>
      <w:r w:rsidR="002957B3" w:rsidRPr="00F42A48">
        <w:rPr>
          <w:rFonts w:cstheme="minorHAnsi"/>
          <w:sz w:val="22"/>
          <w:szCs w:val="22"/>
        </w:rPr>
        <w:t>4</w:t>
      </w:r>
      <w:r w:rsidR="00D652CB" w:rsidRPr="00F42A48">
        <w:rPr>
          <w:rFonts w:cstheme="minorHAnsi"/>
          <w:sz w:val="22"/>
          <w:szCs w:val="22"/>
        </w:rPr>
        <w:t xml:space="preserve">00 </w:t>
      </w:r>
      <w:r w:rsidR="009958A5" w:rsidRPr="00F42A48">
        <w:rPr>
          <w:rFonts w:cstheme="minorHAnsi"/>
          <w:sz w:val="22"/>
          <w:szCs w:val="22"/>
        </w:rPr>
        <w:t>to</w:t>
      </w:r>
      <w:r w:rsidR="00D652CB" w:rsidRPr="00F42A48">
        <w:rPr>
          <w:rFonts w:cstheme="minorHAnsi"/>
          <w:sz w:val="22"/>
          <w:szCs w:val="22"/>
        </w:rPr>
        <w:t xml:space="preserve"> 1</w:t>
      </w:r>
      <w:r w:rsidR="002957B3" w:rsidRPr="00F42A48">
        <w:rPr>
          <w:rFonts w:cstheme="minorHAnsi"/>
          <w:sz w:val="22"/>
          <w:szCs w:val="22"/>
        </w:rPr>
        <w:t>63</w:t>
      </w:r>
      <w:r w:rsidR="00D652CB" w:rsidRPr="00F42A48">
        <w:rPr>
          <w:rFonts w:cstheme="minorHAnsi"/>
          <w:sz w:val="22"/>
          <w:szCs w:val="22"/>
        </w:rPr>
        <w:t xml:space="preserve">0 </w:t>
      </w:r>
      <w:r w:rsidR="009958A5" w:rsidRPr="00F42A48">
        <w:rPr>
          <w:rFonts w:cstheme="minorHAnsi"/>
          <w:sz w:val="22"/>
          <w:szCs w:val="22"/>
        </w:rPr>
        <w:t>hours</w:t>
      </w:r>
      <w:r w:rsidR="00D652CB" w:rsidRPr="00F42A48">
        <w:rPr>
          <w:rFonts w:cstheme="minorHAnsi"/>
          <w:sz w:val="22"/>
          <w:szCs w:val="22"/>
        </w:rPr>
        <w:t xml:space="preserve"> Geneva time.</w:t>
      </w:r>
    </w:p>
    <w:p w14:paraId="3E5495C1" w14:textId="63FAD13D" w:rsidR="00C9030D" w:rsidRDefault="006C3755" w:rsidP="002957B3">
      <w:pPr>
        <w:tabs>
          <w:tab w:val="clear" w:pos="1134"/>
          <w:tab w:val="clear" w:pos="1871"/>
          <w:tab w:val="clear" w:pos="2268"/>
        </w:tabs>
        <w:overflowPunct/>
        <w:textAlignment w:val="auto"/>
        <w:rPr>
          <w:rFonts w:cstheme="minorHAnsi"/>
          <w:sz w:val="22"/>
          <w:szCs w:val="22"/>
        </w:rPr>
      </w:pPr>
      <w:r w:rsidRPr="00F42A48">
        <w:rPr>
          <w:rFonts w:cstheme="minorHAnsi"/>
          <w:sz w:val="22"/>
          <w:szCs w:val="22"/>
        </w:rPr>
        <w:t>2</w:t>
      </w:r>
      <w:r w:rsidR="00571651" w:rsidRPr="00F42A48">
        <w:rPr>
          <w:rFonts w:cstheme="minorHAnsi"/>
          <w:sz w:val="22"/>
          <w:szCs w:val="22"/>
        </w:rPr>
        <w:tab/>
      </w:r>
      <w:r w:rsidR="0020549C" w:rsidRPr="00F42A48">
        <w:rPr>
          <w:rFonts w:cstheme="minorHAnsi"/>
          <w:sz w:val="22"/>
          <w:szCs w:val="22"/>
        </w:rPr>
        <w:t xml:space="preserve">Video gaming and electronic </w:t>
      </w:r>
      <w:r w:rsidR="002957B3" w:rsidRPr="00F42A48">
        <w:rPr>
          <w:rFonts w:cstheme="minorHAnsi"/>
          <w:sz w:val="22"/>
          <w:szCs w:val="22"/>
        </w:rPr>
        <w:t xml:space="preserve">sports </w:t>
      </w:r>
      <w:r w:rsidR="00E54A90" w:rsidRPr="00F42A48">
        <w:rPr>
          <w:rFonts w:cstheme="minorHAnsi"/>
          <w:sz w:val="22"/>
          <w:szCs w:val="22"/>
        </w:rPr>
        <w:t>(</w:t>
      </w:r>
      <w:r w:rsidR="00E54A90" w:rsidRPr="00F42A48">
        <w:rPr>
          <w:rFonts w:cstheme="minorHAnsi"/>
          <w:i/>
          <w:iCs/>
          <w:sz w:val="22"/>
          <w:szCs w:val="22"/>
        </w:rPr>
        <w:t>e-sports</w:t>
      </w:r>
      <w:r w:rsidR="00E54A90" w:rsidRPr="00F42A48">
        <w:rPr>
          <w:rFonts w:cstheme="minorHAnsi"/>
          <w:sz w:val="22"/>
          <w:szCs w:val="22"/>
        </w:rPr>
        <w:t>)</w:t>
      </w:r>
      <w:r w:rsidR="004B387D" w:rsidRPr="00F42A48">
        <w:rPr>
          <w:rFonts w:cstheme="minorHAnsi"/>
          <w:sz w:val="22"/>
          <w:szCs w:val="22"/>
        </w:rPr>
        <w:t>, defined as highly organized competitive gaming,</w:t>
      </w:r>
      <w:r w:rsidR="008A53E2" w:rsidRPr="00F42A48">
        <w:rPr>
          <w:rFonts w:cstheme="minorHAnsi"/>
          <w:sz w:val="22"/>
          <w:szCs w:val="22"/>
        </w:rPr>
        <w:t xml:space="preserve"> </w:t>
      </w:r>
      <w:r w:rsidR="002957B3" w:rsidRPr="00F42A48">
        <w:rPr>
          <w:rFonts w:cstheme="minorHAnsi"/>
          <w:sz w:val="22"/>
          <w:szCs w:val="22"/>
        </w:rPr>
        <w:t>are rapidly becoming one of the largest entertainment industries worldwide with a global net worth of over 1</w:t>
      </w:r>
      <w:r w:rsidR="00451C0F">
        <w:rPr>
          <w:rFonts w:cstheme="minorHAnsi"/>
          <w:sz w:val="22"/>
          <w:szCs w:val="22"/>
        </w:rPr>
        <w:t> </w:t>
      </w:r>
      <w:r w:rsidR="002957B3" w:rsidRPr="00F42A48">
        <w:rPr>
          <w:rFonts w:cstheme="minorHAnsi"/>
          <w:sz w:val="22"/>
          <w:szCs w:val="22"/>
        </w:rPr>
        <w:t>billion US dollars in 2021</w:t>
      </w:r>
      <w:r w:rsidR="0089001B">
        <w:rPr>
          <w:rFonts w:cstheme="minorHAnsi"/>
          <w:sz w:val="22"/>
          <w:szCs w:val="22"/>
        </w:rPr>
        <w:t>.</w:t>
      </w:r>
      <w:r w:rsidR="003F0230" w:rsidRPr="00F42A48">
        <w:rPr>
          <w:rFonts w:cstheme="minorHAnsi"/>
          <w:sz w:val="22"/>
          <w:szCs w:val="22"/>
        </w:rPr>
        <w:t>E-sports attract millions of young players and viewers across the world, with an estimated global audience of over 380 million in 2017.</w:t>
      </w:r>
    </w:p>
    <w:p w14:paraId="5C4B7F86" w14:textId="292439C4" w:rsidR="002957B3" w:rsidRPr="00F42A48" w:rsidRDefault="00C9030D" w:rsidP="00E54A90">
      <w:pPr>
        <w:tabs>
          <w:tab w:val="clear" w:pos="1134"/>
          <w:tab w:val="clear" w:pos="1871"/>
          <w:tab w:val="clear" w:pos="2268"/>
        </w:tabs>
        <w:overflowPunct/>
        <w:textAlignment w:val="auto"/>
        <w:rPr>
          <w:rFonts w:cstheme="minorHAnsi"/>
          <w:sz w:val="22"/>
          <w:szCs w:val="22"/>
        </w:rPr>
      </w:pPr>
      <w:r>
        <w:rPr>
          <w:rFonts w:cstheme="minorHAnsi"/>
          <w:sz w:val="22"/>
          <w:szCs w:val="22"/>
        </w:rPr>
        <w:t>3</w:t>
      </w:r>
      <w:r>
        <w:rPr>
          <w:rFonts w:cstheme="minorHAnsi"/>
          <w:sz w:val="22"/>
          <w:szCs w:val="22"/>
        </w:rPr>
        <w:tab/>
      </w:r>
      <w:r w:rsidR="002957B3" w:rsidRPr="00F42A48">
        <w:rPr>
          <w:rFonts w:cstheme="minorHAnsi"/>
          <w:sz w:val="22"/>
          <w:szCs w:val="22"/>
        </w:rPr>
        <w:t xml:space="preserve">From a public health perspective, several studies have associated </w:t>
      </w:r>
      <w:r w:rsidR="00480C22">
        <w:rPr>
          <w:rFonts w:cstheme="minorHAnsi"/>
          <w:sz w:val="22"/>
          <w:szCs w:val="22"/>
        </w:rPr>
        <w:t xml:space="preserve">video </w:t>
      </w:r>
      <w:r w:rsidR="002957B3" w:rsidRPr="00F42A48">
        <w:rPr>
          <w:rFonts w:cstheme="minorHAnsi"/>
          <w:sz w:val="22"/>
          <w:szCs w:val="22"/>
        </w:rPr>
        <w:t>gaming and e-sports to consequential risky health behaviours such as sedentary lifestyle</w:t>
      </w:r>
      <w:r w:rsidR="00EE2D29" w:rsidRPr="00F42A48">
        <w:rPr>
          <w:rFonts w:cstheme="minorHAnsi"/>
          <w:sz w:val="22"/>
          <w:szCs w:val="22"/>
        </w:rPr>
        <w:t>,</w:t>
      </w:r>
      <w:r w:rsidR="002957B3" w:rsidRPr="00F42A48">
        <w:rPr>
          <w:rFonts w:cstheme="minorHAnsi"/>
          <w:sz w:val="22"/>
          <w:szCs w:val="22"/>
        </w:rPr>
        <w:t xml:space="preserve"> resulting in some extreme cases in an addiction that significantly impairs personal, family, social, educational, </w:t>
      </w:r>
      <w:proofErr w:type="gramStart"/>
      <w:r w:rsidR="002957B3" w:rsidRPr="00F42A48">
        <w:rPr>
          <w:rFonts w:cstheme="minorHAnsi"/>
          <w:sz w:val="22"/>
          <w:szCs w:val="22"/>
        </w:rPr>
        <w:t>occupational</w:t>
      </w:r>
      <w:proofErr w:type="gramEnd"/>
      <w:r w:rsidR="002957B3" w:rsidRPr="00F42A48">
        <w:rPr>
          <w:rFonts w:cstheme="minorHAnsi"/>
          <w:sz w:val="22"/>
          <w:szCs w:val="22"/>
        </w:rPr>
        <w:t xml:space="preserve"> or other important areas of functioning</w:t>
      </w:r>
      <w:r w:rsidR="00E65D10" w:rsidRPr="00F42A48">
        <w:rPr>
          <w:rFonts w:cstheme="minorHAnsi"/>
          <w:sz w:val="22"/>
          <w:szCs w:val="22"/>
        </w:rPr>
        <w:t>.</w:t>
      </w:r>
      <w:r w:rsidR="002957B3" w:rsidRPr="00F42A48">
        <w:rPr>
          <w:rFonts w:cstheme="minorHAnsi"/>
          <w:sz w:val="22"/>
          <w:szCs w:val="22"/>
        </w:rPr>
        <w:t xml:space="preserve"> On the other hand, studies also reveal possible health benefits of gaming in a moderate manner, such as enhanced cognitive abilities</w:t>
      </w:r>
      <w:r w:rsidR="00EE2D29" w:rsidRPr="00F42A48">
        <w:rPr>
          <w:rFonts w:cstheme="minorHAnsi"/>
          <w:sz w:val="22"/>
          <w:szCs w:val="22"/>
        </w:rPr>
        <w:t>.</w:t>
      </w:r>
      <w:r w:rsidR="002957B3" w:rsidRPr="00F42A48">
        <w:rPr>
          <w:rFonts w:cstheme="minorHAnsi"/>
          <w:sz w:val="22"/>
          <w:szCs w:val="22"/>
        </w:rPr>
        <w:t xml:space="preserve"> However, it is also known that e-sports and gaming expose adolescents and young adults to loud sounds over prolonged durations and this excessive exposure to loud sounds can lead to hearing loss that is permanent and irreversible</w:t>
      </w:r>
      <w:r w:rsidR="00E65D10" w:rsidRPr="00F42A48">
        <w:rPr>
          <w:rFonts w:cstheme="minorHAnsi"/>
          <w:sz w:val="22"/>
          <w:szCs w:val="22"/>
        </w:rPr>
        <w:t>.</w:t>
      </w:r>
      <w:r w:rsidR="00EA6057">
        <w:rPr>
          <w:rFonts w:cstheme="minorHAnsi"/>
          <w:sz w:val="22"/>
          <w:szCs w:val="22"/>
        </w:rPr>
        <w:t xml:space="preserve"> </w:t>
      </w:r>
      <w:r w:rsidR="002957B3" w:rsidRPr="00F42A48">
        <w:rPr>
          <w:rFonts w:cstheme="minorHAnsi"/>
          <w:sz w:val="22"/>
          <w:szCs w:val="22"/>
        </w:rPr>
        <w:t xml:space="preserve">While e-sports and </w:t>
      </w:r>
      <w:r w:rsidR="00866BC5">
        <w:rPr>
          <w:rFonts w:cstheme="minorHAnsi"/>
          <w:sz w:val="22"/>
          <w:szCs w:val="22"/>
        </w:rPr>
        <w:t xml:space="preserve">video </w:t>
      </w:r>
      <w:r w:rsidR="002957B3" w:rsidRPr="00F42A48">
        <w:rPr>
          <w:rFonts w:cstheme="minorHAnsi"/>
          <w:sz w:val="22"/>
          <w:szCs w:val="22"/>
        </w:rPr>
        <w:t>gaming are seen predominantly as recreational activities</w:t>
      </w:r>
      <w:r w:rsidR="00E65D10" w:rsidRPr="00F42A48">
        <w:rPr>
          <w:rFonts w:cstheme="minorHAnsi"/>
          <w:sz w:val="22"/>
          <w:szCs w:val="22"/>
        </w:rPr>
        <w:t>,</w:t>
      </w:r>
      <w:r w:rsidR="002957B3" w:rsidRPr="00F42A48">
        <w:rPr>
          <w:rFonts w:cstheme="minorHAnsi"/>
          <w:sz w:val="22"/>
          <w:szCs w:val="22"/>
        </w:rPr>
        <w:t xml:space="preserve"> more recently e-sports have been recognized as a professional competitive sports activity in many parts of the world</w:t>
      </w:r>
      <w:r w:rsidR="00E65D10" w:rsidRPr="00F42A48">
        <w:rPr>
          <w:rFonts w:cstheme="minorHAnsi"/>
          <w:sz w:val="22"/>
          <w:szCs w:val="22"/>
        </w:rPr>
        <w:t>.</w:t>
      </w:r>
      <w:r w:rsidR="002957B3" w:rsidRPr="00F42A48">
        <w:rPr>
          <w:rFonts w:cstheme="minorHAnsi"/>
          <w:sz w:val="22"/>
          <w:szCs w:val="22"/>
        </w:rPr>
        <w:t xml:space="preserve"> In the 2022 Asia games in Hangzhou, e-sports will be an official competitive item</w:t>
      </w:r>
      <w:r w:rsidR="00E65D10" w:rsidRPr="00F42A48">
        <w:rPr>
          <w:rFonts w:cstheme="minorHAnsi"/>
          <w:sz w:val="22"/>
          <w:szCs w:val="22"/>
        </w:rPr>
        <w:t>.</w:t>
      </w:r>
      <w:r w:rsidR="002957B3" w:rsidRPr="00F42A48">
        <w:rPr>
          <w:rFonts w:cstheme="minorHAnsi"/>
          <w:sz w:val="22"/>
          <w:szCs w:val="22"/>
        </w:rPr>
        <w:t xml:space="preserve"> Despite their popularity and risks of hearing loss, there are currently no globally recognized standards to provide guidance on safe listening in e-sports and gaming. </w:t>
      </w:r>
    </w:p>
    <w:p w14:paraId="4F77A159" w14:textId="6C3F9846" w:rsidR="002957B3" w:rsidRPr="00F42A48" w:rsidRDefault="008D07B2" w:rsidP="002957B3">
      <w:pPr>
        <w:tabs>
          <w:tab w:val="clear" w:pos="1134"/>
          <w:tab w:val="clear" w:pos="1871"/>
          <w:tab w:val="clear" w:pos="2268"/>
        </w:tabs>
        <w:overflowPunct/>
        <w:textAlignment w:val="auto"/>
        <w:rPr>
          <w:rFonts w:cstheme="minorHAnsi"/>
          <w:sz w:val="22"/>
          <w:szCs w:val="22"/>
        </w:rPr>
      </w:pPr>
      <w:r w:rsidRPr="00F42A48">
        <w:rPr>
          <w:rFonts w:cstheme="minorHAnsi"/>
          <w:sz w:val="22"/>
          <w:szCs w:val="22"/>
        </w:rPr>
        <w:t>4</w:t>
      </w:r>
      <w:r w:rsidR="00E65D10" w:rsidRPr="00F42A48">
        <w:rPr>
          <w:rFonts w:cstheme="minorHAnsi"/>
          <w:sz w:val="22"/>
          <w:szCs w:val="22"/>
        </w:rPr>
        <w:tab/>
      </w:r>
      <w:r w:rsidR="002957B3" w:rsidRPr="00F42A48">
        <w:rPr>
          <w:rFonts w:cstheme="minorHAnsi"/>
          <w:sz w:val="22"/>
          <w:szCs w:val="22"/>
        </w:rPr>
        <w:t>In 2014, the WHO estimated that over 1.1 billion young people are at risk of hearing loss due to unsafe exposure in recreational settings</w:t>
      </w:r>
      <w:r w:rsidR="00E65D10" w:rsidRPr="00F42A48">
        <w:rPr>
          <w:rFonts w:cstheme="minorHAnsi"/>
          <w:sz w:val="22"/>
          <w:szCs w:val="22"/>
        </w:rPr>
        <w:t>.</w:t>
      </w:r>
      <w:r w:rsidR="002957B3" w:rsidRPr="00F42A48">
        <w:rPr>
          <w:rFonts w:cstheme="minorHAnsi"/>
          <w:sz w:val="22"/>
          <w:szCs w:val="22"/>
        </w:rPr>
        <w:t xml:space="preserve"> As a result, WHO launched the </w:t>
      </w:r>
      <w:r w:rsidR="002957B3" w:rsidRPr="00F42A48">
        <w:rPr>
          <w:rFonts w:cstheme="minorHAnsi"/>
          <w:i/>
          <w:iCs/>
          <w:sz w:val="22"/>
          <w:szCs w:val="22"/>
        </w:rPr>
        <w:t xml:space="preserve">Make Listening Safe </w:t>
      </w:r>
      <w:r w:rsidR="002957B3" w:rsidRPr="00F42A48">
        <w:rPr>
          <w:rFonts w:cstheme="minorHAnsi"/>
          <w:sz w:val="22"/>
          <w:szCs w:val="22"/>
        </w:rPr>
        <w:t xml:space="preserve">(MLS) initiative with the aim to promote safe listening and reduce the risks of hearing loss. Among the outputs of the MLS </w:t>
      </w:r>
      <w:r w:rsidR="002957B3" w:rsidRPr="00F42A48">
        <w:rPr>
          <w:rFonts w:cstheme="minorHAnsi"/>
          <w:sz w:val="22"/>
          <w:szCs w:val="22"/>
        </w:rPr>
        <w:lastRenderedPageBreak/>
        <w:t xml:space="preserve">initiative was </w:t>
      </w:r>
      <w:r w:rsidR="00A467F0" w:rsidRPr="00F42A48">
        <w:rPr>
          <w:rFonts w:cstheme="minorHAnsi"/>
          <w:sz w:val="22"/>
          <w:szCs w:val="22"/>
        </w:rPr>
        <w:t xml:space="preserve">Recommendation ITU-T H.870 </w:t>
      </w:r>
      <w:r w:rsidR="002957B3" w:rsidRPr="00F42A48">
        <w:rPr>
          <w:rFonts w:cstheme="minorHAnsi"/>
          <w:i/>
          <w:iCs/>
          <w:sz w:val="22"/>
          <w:szCs w:val="22"/>
        </w:rPr>
        <w:t>Standard for Safe Listening devices and systems</w:t>
      </w:r>
      <w:r w:rsidR="002957B3" w:rsidRPr="00F42A48">
        <w:rPr>
          <w:rFonts w:cstheme="minorHAnsi"/>
          <w:sz w:val="22"/>
          <w:szCs w:val="22"/>
        </w:rPr>
        <w:t>, which was developed in 2018 as a</w:t>
      </w:r>
      <w:r w:rsidR="00527DF5" w:rsidRPr="00F42A48">
        <w:rPr>
          <w:rFonts w:cstheme="minorHAnsi"/>
          <w:sz w:val="22"/>
          <w:szCs w:val="22"/>
        </w:rPr>
        <w:t>n ITU and WHO</w:t>
      </w:r>
      <w:r w:rsidR="002957B3" w:rsidRPr="00F42A48">
        <w:rPr>
          <w:rFonts w:cstheme="minorHAnsi"/>
          <w:sz w:val="22"/>
          <w:szCs w:val="22"/>
        </w:rPr>
        <w:t xml:space="preserve"> collaboration in consultation with </w:t>
      </w:r>
      <w:r w:rsidR="00527DF5" w:rsidRPr="00F42A48">
        <w:rPr>
          <w:rFonts w:cstheme="minorHAnsi"/>
          <w:sz w:val="22"/>
          <w:szCs w:val="22"/>
        </w:rPr>
        <w:t xml:space="preserve">a wide range </w:t>
      </w:r>
      <w:r w:rsidR="0018674F" w:rsidRPr="00F42A48">
        <w:rPr>
          <w:rFonts w:cstheme="minorHAnsi"/>
          <w:sz w:val="22"/>
          <w:szCs w:val="22"/>
        </w:rPr>
        <w:t xml:space="preserve">of </w:t>
      </w:r>
      <w:r w:rsidR="002957B3" w:rsidRPr="00F42A48">
        <w:rPr>
          <w:rFonts w:cstheme="minorHAnsi"/>
          <w:sz w:val="22"/>
          <w:szCs w:val="22"/>
        </w:rPr>
        <w:t>stakeholders</w:t>
      </w:r>
      <w:r w:rsidR="00527DF5" w:rsidRPr="00F42A48">
        <w:rPr>
          <w:rFonts w:cstheme="minorHAnsi"/>
          <w:sz w:val="22"/>
          <w:szCs w:val="22"/>
        </w:rPr>
        <w:t>.</w:t>
      </w:r>
      <w:r w:rsidR="002957B3" w:rsidRPr="00F42A48">
        <w:rPr>
          <w:rFonts w:cstheme="minorHAnsi"/>
          <w:sz w:val="22"/>
          <w:szCs w:val="22"/>
        </w:rPr>
        <w:t xml:space="preserve"> The aim of the standard is to minimize the risk of hearing loss and to promote lasting enjoyment to users of these products while listening to music or other audio content. However, apart from smartphones, other e</w:t>
      </w:r>
      <w:r w:rsidR="00451C0F">
        <w:rPr>
          <w:rFonts w:cstheme="minorHAnsi"/>
          <w:sz w:val="22"/>
          <w:szCs w:val="22"/>
        </w:rPr>
        <w:noBreakHyphen/>
      </w:r>
      <w:r w:rsidR="002957B3" w:rsidRPr="00F42A48">
        <w:rPr>
          <w:rFonts w:cstheme="minorHAnsi"/>
          <w:sz w:val="22"/>
          <w:szCs w:val="22"/>
        </w:rPr>
        <w:t>sport and gaming devices were not part of this standard. It is on this aspect of recreational sound exposure that we seek wider consultations with key stakeholders in the e-sport and gaming industry including academicians and private sector entities that are engaged in this field, to identify use cases and requirements for the application of safe listening principles in the context of e-sports and video gaming.</w:t>
      </w:r>
    </w:p>
    <w:p w14:paraId="3B75B976" w14:textId="1FC44AF8" w:rsidR="002957B3" w:rsidRPr="00F42A48" w:rsidRDefault="008D07B2" w:rsidP="002957B3">
      <w:pPr>
        <w:tabs>
          <w:tab w:val="clear" w:pos="1134"/>
          <w:tab w:val="clear" w:pos="1871"/>
          <w:tab w:val="clear" w:pos="2268"/>
        </w:tabs>
        <w:overflowPunct/>
        <w:textAlignment w:val="auto"/>
        <w:rPr>
          <w:rFonts w:cstheme="minorHAnsi"/>
          <w:sz w:val="22"/>
          <w:szCs w:val="22"/>
        </w:rPr>
      </w:pPr>
      <w:r w:rsidRPr="00F42A48">
        <w:rPr>
          <w:rFonts w:cstheme="minorHAnsi"/>
          <w:sz w:val="22"/>
          <w:szCs w:val="22"/>
        </w:rPr>
        <w:t>5</w:t>
      </w:r>
      <w:r w:rsidR="00A133A9" w:rsidRPr="00F42A48">
        <w:rPr>
          <w:rFonts w:cstheme="minorHAnsi"/>
          <w:sz w:val="22"/>
          <w:szCs w:val="22"/>
        </w:rPr>
        <w:tab/>
        <w:t xml:space="preserve">This </w:t>
      </w:r>
      <w:r w:rsidR="002957B3" w:rsidRPr="00F42A48">
        <w:rPr>
          <w:rFonts w:cstheme="minorHAnsi"/>
          <w:sz w:val="22"/>
          <w:szCs w:val="22"/>
        </w:rPr>
        <w:t xml:space="preserve">workshop </w:t>
      </w:r>
      <w:r w:rsidR="00A133A9" w:rsidRPr="00F42A48">
        <w:rPr>
          <w:rFonts w:cstheme="minorHAnsi"/>
          <w:sz w:val="22"/>
          <w:szCs w:val="22"/>
        </w:rPr>
        <w:t>has</w:t>
      </w:r>
      <w:r w:rsidR="002957B3" w:rsidRPr="00F42A48">
        <w:rPr>
          <w:rFonts w:cstheme="minorHAnsi"/>
          <w:sz w:val="22"/>
          <w:szCs w:val="22"/>
        </w:rPr>
        <w:t xml:space="preserve"> the following objectives: </w:t>
      </w:r>
    </w:p>
    <w:p w14:paraId="2E58AD73" w14:textId="5C58B7EC" w:rsidR="002957B3" w:rsidRPr="00F42A48" w:rsidRDefault="002957B3" w:rsidP="00AE44AC">
      <w:pPr>
        <w:pStyle w:val="ListParagraph"/>
        <w:numPr>
          <w:ilvl w:val="0"/>
          <w:numId w:val="26"/>
        </w:numPr>
        <w:tabs>
          <w:tab w:val="clear" w:pos="1134"/>
          <w:tab w:val="clear" w:pos="1871"/>
          <w:tab w:val="clear" w:pos="2268"/>
        </w:tabs>
        <w:overflowPunct/>
        <w:textAlignment w:val="auto"/>
        <w:rPr>
          <w:rFonts w:cstheme="minorHAnsi"/>
          <w:sz w:val="22"/>
          <w:szCs w:val="22"/>
        </w:rPr>
      </w:pPr>
      <w:r w:rsidRPr="00F42A48">
        <w:rPr>
          <w:rFonts w:cstheme="minorHAnsi"/>
          <w:sz w:val="22"/>
          <w:szCs w:val="22"/>
        </w:rPr>
        <w:t xml:space="preserve">To identify e-sports use cases where safe listening would be beneficial. </w:t>
      </w:r>
    </w:p>
    <w:p w14:paraId="1B02D67E" w14:textId="633B06B6" w:rsidR="002957B3" w:rsidRPr="00F42A48" w:rsidRDefault="002957B3" w:rsidP="00AE44AC">
      <w:pPr>
        <w:pStyle w:val="ListParagraph"/>
        <w:numPr>
          <w:ilvl w:val="0"/>
          <w:numId w:val="26"/>
        </w:numPr>
        <w:tabs>
          <w:tab w:val="clear" w:pos="1134"/>
          <w:tab w:val="clear" w:pos="1871"/>
          <w:tab w:val="clear" w:pos="2268"/>
        </w:tabs>
        <w:overflowPunct/>
        <w:textAlignment w:val="auto"/>
        <w:rPr>
          <w:rFonts w:cstheme="minorHAnsi"/>
          <w:sz w:val="22"/>
          <w:szCs w:val="22"/>
        </w:rPr>
      </w:pPr>
      <w:r w:rsidRPr="00F42A48">
        <w:rPr>
          <w:rFonts w:cstheme="minorHAnsi"/>
          <w:sz w:val="22"/>
          <w:szCs w:val="22"/>
        </w:rPr>
        <w:t xml:space="preserve">To start a dialogue towards a common understanding on possible requirements that would enable safe listening in e-sports and video gaming. </w:t>
      </w:r>
    </w:p>
    <w:p w14:paraId="56EB5EB6" w14:textId="6AEB738A" w:rsidR="002957B3" w:rsidRPr="00F42A48" w:rsidRDefault="002957B3" w:rsidP="00AE44AC">
      <w:pPr>
        <w:pStyle w:val="ListParagraph"/>
        <w:numPr>
          <w:ilvl w:val="0"/>
          <w:numId w:val="26"/>
        </w:numPr>
        <w:tabs>
          <w:tab w:val="clear" w:pos="1134"/>
          <w:tab w:val="clear" w:pos="1871"/>
          <w:tab w:val="clear" w:pos="2268"/>
        </w:tabs>
        <w:overflowPunct/>
        <w:textAlignment w:val="auto"/>
        <w:rPr>
          <w:rFonts w:cstheme="minorHAnsi"/>
          <w:sz w:val="22"/>
          <w:szCs w:val="22"/>
        </w:rPr>
      </w:pPr>
      <w:r w:rsidRPr="00F42A48">
        <w:rPr>
          <w:rFonts w:cstheme="minorHAnsi"/>
          <w:sz w:val="22"/>
          <w:szCs w:val="22"/>
        </w:rPr>
        <w:t xml:space="preserve">To understand the perspectives of stakeholders in the field. </w:t>
      </w:r>
    </w:p>
    <w:p w14:paraId="3F6767AA" w14:textId="7465EC4F" w:rsidR="00A938C6" w:rsidRPr="00F42A48" w:rsidRDefault="002957B3" w:rsidP="00AE44AC">
      <w:pPr>
        <w:pStyle w:val="ListParagraph"/>
        <w:numPr>
          <w:ilvl w:val="0"/>
          <w:numId w:val="26"/>
        </w:numPr>
        <w:tabs>
          <w:tab w:val="clear" w:pos="1134"/>
          <w:tab w:val="clear" w:pos="1871"/>
          <w:tab w:val="clear" w:pos="2268"/>
        </w:tabs>
        <w:overflowPunct/>
        <w:textAlignment w:val="auto"/>
        <w:rPr>
          <w:rFonts w:cstheme="minorHAnsi"/>
          <w:sz w:val="22"/>
          <w:szCs w:val="22"/>
        </w:rPr>
      </w:pPr>
      <w:r w:rsidRPr="00F42A48">
        <w:rPr>
          <w:rFonts w:cstheme="minorHAnsi"/>
          <w:sz w:val="22"/>
          <w:szCs w:val="22"/>
        </w:rPr>
        <w:t xml:space="preserve">To determine the way forward for creating a technical standard on the application of safe listening principles in e-sports. </w:t>
      </w:r>
    </w:p>
    <w:p w14:paraId="4CD2E0F5" w14:textId="794BE1FA" w:rsidR="00B27F58" w:rsidRPr="00F42A48" w:rsidRDefault="00A938C6" w:rsidP="008D07B2">
      <w:pPr>
        <w:tabs>
          <w:tab w:val="clear" w:pos="1134"/>
          <w:tab w:val="clear" w:pos="1871"/>
          <w:tab w:val="clear" w:pos="2268"/>
        </w:tabs>
        <w:overflowPunct/>
        <w:textAlignment w:val="auto"/>
        <w:rPr>
          <w:rFonts w:eastAsia="Calibri" w:cstheme="minorHAnsi"/>
          <w:sz w:val="22"/>
          <w:szCs w:val="22"/>
        </w:rPr>
      </w:pPr>
      <w:r w:rsidRPr="00F42A48">
        <w:rPr>
          <w:rFonts w:cstheme="minorHAnsi"/>
          <w:sz w:val="22"/>
          <w:szCs w:val="22"/>
        </w:rPr>
        <w:t>6</w:t>
      </w:r>
      <w:r w:rsidR="00571651" w:rsidRPr="00F42A48">
        <w:rPr>
          <w:rFonts w:cstheme="minorHAnsi"/>
          <w:sz w:val="22"/>
          <w:szCs w:val="22"/>
        </w:rPr>
        <w:tab/>
      </w:r>
      <w:r w:rsidRPr="00F42A48">
        <w:rPr>
          <w:rFonts w:eastAsia="Calibri" w:cstheme="minorHAnsi"/>
          <w:sz w:val="22"/>
          <w:szCs w:val="22"/>
        </w:rPr>
        <w:t xml:space="preserve">Participation in the </w:t>
      </w:r>
      <w:r w:rsidR="00D41ADA" w:rsidRPr="00F42A48">
        <w:rPr>
          <w:rFonts w:eastAsia="Calibri" w:cstheme="minorHAnsi"/>
          <w:sz w:val="22"/>
          <w:szCs w:val="22"/>
        </w:rPr>
        <w:t>workshop</w:t>
      </w:r>
      <w:r w:rsidRPr="00F42A48">
        <w:rPr>
          <w:rFonts w:eastAsia="Calibri" w:cstheme="minorHAnsi"/>
          <w:sz w:val="22"/>
          <w:szCs w:val="22"/>
        </w:rPr>
        <w:t xml:space="preserve"> is </w:t>
      </w:r>
      <w:r w:rsidR="009958A5" w:rsidRPr="00F42A48">
        <w:rPr>
          <w:rFonts w:eastAsia="Calibri" w:cstheme="minorHAnsi"/>
          <w:sz w:val="22"/>
          <w:szCs w:val="22"/>
        </w:rPr>
        <w:t xml:space="preserve">free of charge and </w:t>
      </w:r>
      <w:r w:rsidRPr="00F42A48">
        <w:rPr>
          <w:rFonts w:eastAsia="Calibri" w:cstheme="minorHAnsi"/>
          <w:sz w:val="22"/>
          <w:szCs w:val="22"/>
        </w:rPr>
        <w:t xml:space="preserve">open to </w:t>
      </w:r>
      <w:r w:rsidR="009958A5" w:rsidRPr="00F42A48">
        <w:rPr>
          <w:rFonts w:eastAsia="Calibri" w:cstheme="minorHAnsi"/>
          <w:sz w:val="22"/>
          <w:szCs w:val="22"/>
        </w:rPr>
        <w:t xml:space="preserve">WHO and </w:t>
      </w:r>
      <w:r w:rsidRPr="00F42A48">
        <w:rPr>
          <w:rFonts w:eastAsia="Calibri" w:cstheme="minorHAnsi"/>
          <w:sz w:val="22"/>
          <w:szCs w:val="22"/>
        </w:rPr>
        <w:t xml:space="preserve">ITU </w:t>
      </w:r>
      <w:r w:rsidR="009958A5" w:rsidRPr="00F42A48">
        <w:rPr>
          <w:rFonts w:eastAsia="Calibri" w:cstheme="minorHAnsi"/>
          <w:sz w:val="22"/>
          <w:szCs w:val="22"/>
        </w:rPr>
        <w:t xml:space="preserve">members, </w:t>
      </w:r>
      <w:r w:rsidR="008D07B2" w:rsidRPr="00F42A48">
        <w:rPr>
          <w:rFonts w:eastAsia="Calibri" w:cstheme="minorHAnsi"/>
          <w:sz w:val="22"/>
          <w:szCs w:val="22"/>
        </w:rPr>
        <w:t xml:space="preserve">private sector entities engaged in development of hardware and software for esports, professional associations of game developers, associations of gamers, experts in sound and acoustics of e-sports, hearing care professionals, member State representatives, civil society representatives, members of the World Hearing Forum working group on safe listening, </w:t>
      </w:r>
      <w:r w:rsidR="009958A5" w:rsidRPr="00F42A48">
        <w:rPr>
          <w:rFonts w:eastAsia="Calibri" w:cstheme="minorHAnsi"/>
          <w:sz w:val="22"/>
          <w:szCs w:val="22"/>
        </w:rPr>
        <w:t>as well as</w:t>
      </w:r>
      <w:r w:rsidRPr="00F42A48">
        <w:rPr>
          <w:rFonts w:eastAsia="Calibri" w:cstheme="minorHAnsi"/>
          <w:sz w:val="22"/>
          <w:szCs w:val="22"/>
        </w:rPr>
        <w:t xml:space="preserve"> any individual from a country that is a member of ITU</w:t>
      </w:r>
      <w:r w:rsidR="008D07B2" w:rsidRPr="00F42A48">
        <w:rPr>
          <w:rFonts w:eastAsia="Calibri" w:cstheme="minorHAnsi"/>
          <w:sz w:val="22"/>
          <w:szCs w:val="22"/>
        </w:rPr>
        <w:t>/WHO</w:t>
      </w:r>
      <w:r w:rsidRPr="00F42A48">
        <w:rPr>
          <w:rFonts w:eastAsia="Calibri" w:cstheme="minorHAnsi"/>
          <w:sz w:val="22"/>
          <w:szCs w:val="22"/>
        </w:rPr>
        <w:t xml:space="preserve"> and who wishes to contribute to the work.</w:t>
      </w:r>
    </w:p>
    <w:p w14:paraId="11914B13" w14:textId="45D3D670" w:rsidR="00A938C6" w:rsidRPr="00F42A48" w:rsidRDefault="0025127D" w:rsidP="0073648F">
      <w:pPr>
        <w:tabs>
          <w:tab w:val="clear" w:pos="1134"/>
          <w:tab w:val="left" w:pos="900"/>
        </w:tabs>
        <w:rPr>
          <w:rFonts w:cstheme="minorHAnsi"/>
          <w:sz w:val="22"/>
          <w:szCs w:val="22"/>
        </w:rPr>
      </w:pPr>
      <w:r w:rsidRPr="00F42A48">
        <w:rPr>
          <w:rFonts w:cstheme="minorHAnsi"/>
          <w:sz w:val="22"/>
          <w:szCs w:val="22"/>
        </w:rPr>
        <w:t>7</w:t>
      </w:r>
      <w:r w:rsidR="009958A5" w:rsidRPr="00F42A48">
        <w:rPr>
          <w:rFonts w:cstheme="minorHAnsi"/>
          <w:sz w:val="22"/>
          <w:szCs w:val="22"/>
        </w:rPr>
        <w:tab/>
      </w:r>
      <w:r w:rsidR="00A938C6" w:rsidRPr="00F42A48">
        <w:rPr>
          <w:rFonts w:cstheme="minorHAnsi"/>
          <w:sz w:val="22"/>
          <w:szCs w:val="22"/>
        </w:rPr>
        <w:t>All pertinent information relating to this virtual workshop</w:t>
      </w:r>
      <w:r w:rsidR="00DC2FAA" w:rsidRPr="00F42A48">
        <w:rPr>
          <w:rFonts w:cstheme="minorHAnsi"/>
          <w:sz w:val="22"/>
          <w:szCs w:val="22"/>
        </w:rPr>
        <w:t xml:space="preserve">, </w:t>
      </w:r>
      <w:r w:rsidR="00A938C6" w:rsidRPr="00F42A48">
        <w:rPr>
          <w:rFonts w:cstheme="minorHAnsi"/>
          <w:sz w:val="22"/>
          <w:szCs w:val="22"/>
        </w:rPr>
        <w:t xml:space="preserve">including the draft programme, speakers, remote connection link </w:t>
      </w:r>
      <w:r w:rsidR="009958A5" w:rsidRPr="00F42A48">
        <w:rPr>
          <w:rFonts w:cstheme="minorHAnsi"/>
          <w:sz w:val="22"/>
          <w:szCs w:val="22"/>
        </w:rPr>
        <w:t xml:space="preserve">and </w:t>
      </w:r>
      <w:r w:rsidR="00A938C6" w:rsidRPr="00F42A48">
        <w:rPr>
          <w:rFonts w:cstheme="minorHAnsi"/>
          <w:sz w:val="22"/>
          <w:szCs w:val="22"/>
        </w:rPr>
        <w:t>registration details</w:t>
      </w:r>
      <w:r w:rsidR="004F2815" w:rsidRPr="00F42A48">
        <w:rPr>
          <w:rFonts w:cstheme="minorHAnsi"/>
          <w:sz w:val="22"/>
          <w:szCs w:val="22"/>
        </w:rPr>
        <w:t>,</w:t>
      </w:r>
      <w:r w:rsidR="00A938C6" w:rsidRPr="00F42A48">
        <w:rPr>
          <w:rFonts w:cstheme="minorHAnsi"/>
          <w:sz w:val="22"/>
          <w:szCs w:val="22"/>
        </w:rPr>
        <w:t xml:space="preserve"> will be </w:t>
      </w:r>
      <w:r w:rsidR="004F2815" w:rsidRPr="00F42A48">
        <w:rPr>
          <w:rFonts w:cstheme="minorHAnsi"/>
          <w:sz w:val="22"/>
          <w:szCs w:val="22"/>
        </w:rPr>
        <w:t xml:space="preserve">updated regularly </w:t>
      </w:r>
      <w:r w:rsidR="00A938C6" w:rsidRPr="00F42A48">
        <w:rPr>
          <w:rFonts w:cstheme="minorHAnsi"/>
          <w:sz w:val="22"/>
          <w:szCs w:val="22"/>
        </w:rPr>
        <w:t>on the event website at</w:t>
      </w:r>
      <w:r w:rsidR="00955348" w:rsidRPr="00F42A48">
        <w:rPr>
          <w:rFonts w:cstheme="minorHAnsi"/>
          <w:sz w:val="22"/>
          <w:szCs w:val="22"/>
        </w:rPr>
        <w:t xml:space="preserve"> </w:t>
      </w:r>
      <w:r w:rsidR="008D07B2" w:rsidRPr="00F42A48">
        <w:rPr>
          <w:rFonts w:cstheme="minorHAnsi"/>
          <w:sz w:val="22"/>
          <w:szCs w:val="22"/>
        </w:rPr>
        <w:t xml:space="preserve"> </w:t>
      </w:r>
      <w:hyperlink w:history="1"/>
      <w:hyperlink r:id="rId9" w:history="1">
        <w:r w:rsidR="00F42A48" w:rsidRPr="00F42A48">
          <w:rPr>
            <w:rStyle w:val="Hyperlink"/>
            <w:rFonts w:cstheme="minorHAnsi"/>
            <w:sz w:val="22"/>
            <w:szCs w:val="22"/>
          </w:rPr>
          <w:t>https://itu.int/en/ITU-T/Workshops-and-Seminars/2021/1202</w:t>
        </w:r>
      </w:hyperlink>
      <w:r w:rsidR="00F42A48" w:rsidRPr="00F42A48">
        <w:rPr>
          <w:rFonts w:cstheme="minorHAnsi"/>
          <w:sz w:val="22"/>
          <w:szCs w:val="22"/>
        </w:rPr>
        <w:t xml:space="preserve"> </w:t>
      </w:r>
      <w:r w:rsidR="00A938C6" w:rsidRPr="00F42A48">
        <w:rPr>
          <w:rFonts w:cstheme="minorHAnsi"/>
          <w:sz w:val="22"/>
          <w:szCs w:val="22"/>
        </w:rPr>
        <w:t>as new or modified information becomes available. Participants are requested to check periodically for new updates.</w:t>
      </w:r>
    </w:p>
    <w:p w14:paraId="0EC7C47B" w14:textId="19FC1E50" w:rsidR="004F2815" w:rsidRPr="00F42A48" w:rsidRDefault="004F2815" w:rsidP="00C46E09">
      <w:pPr>
        <w:spacing w:before="0"/>
        <w:rPr>
          <w:rFonts w:cstheme="minorHAnsi"/>
          <w:sz w:val="22"/>
          <w:szCs w:val="22"/>
        </w:rPr>
      </w:pPr>
    </w:p>
    <w:p w14:paraId="12490378" w14:textId="0A610E3B" w:rsidR="004F2815" w:rsidRPr="00F42A48" w:rsidRDefault="00C46E09" w:rsidP="00C46E09">
      <w:pPr>
        <w:spacing w:before="0"/>
        <w:rPr>
          <w:rFonts w:cstheme="minorHAnsi"/>
          <w:sz w:val="22"/>
          <w:szCs w:val="22"/>
        </w:rPr>
      </w:pPr>
      <w:r w:rsidRPr="00F42A48">
        <w:rPr>
          <w:rFonts w:cstheme="minorHAnsi"/>
          <w:sz w:val="22"/>
          <w:szCs w:val="22"/>
        </w:rPr>
        <w:t>Yours faithfully,</w:t>
      </w:r>
    </w:p>
    <w:p w14:paraId="7FB984D9" w14:textId="486BA914" w:rsidR="00C46E09" w:rsidRPr="00F42A48" w:rsidRDefault="00C5164E" w:rsidP="0073648F">
      <w:pPr>
        <w:spacing w:before="960"/>
        <w:rPr>
          <w:rFonts w:cstheme="minorHAnsi"/>
          <w:sz w:val="22"/>
          <w:szCs w:val="22"/>
        </w:rPr>
      </w:pPr>
      <w:r w:rsidRPr="00F42A48">
        <w:rPr>
          <w:rFonts w:cstheme="minorHAnsi"/>
          <w:noProof/>
          <w:sz w:val="22"/>
          <w:szCs w:val="22"/>
        </w:rPr>
        <w:drawing>
          <wp:anchor distT="0" distB="0" distL="114300" distR="114300" simplePos="0" relativeHeight="251659264" behindDoc="1" locked="0" layoutInCell="1" allowOverlap="1" wp14:anchorId="0E9DE2A3" wp14:editId="0BEB465D">
            <wp:simplePos x="0" y="0"/>
            <wp:positionH relativeFrom="column">
              <wp:posOffset>0</wp:posOffset>
            </wp:positionH>
            <wp:positionV relativeFrom="paragraph">
              <wp:posOffset>162560</wp:posOffset>
            </wp:positionV>
            <wp:extent cx="744116" cy="314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744116" cy="314325"/>
                    </a:xfrm>
                    <a:prstGeom prst="rect">
                      <a:avLst/>
                    </a:prstGeom>
                  </pic:spPr>
                </pic:pic>
              </a:graphicData>
            </a:graphic>
            <wp14:sizeRelH relativeFrom="margin">
              <wp14:pctWidth>0</wp14:pctWidth>
            </wp14:sizeRelH>
            <wp14:sizeRelV relativeFrom="margin">
              <wp14:pctHeight>0</wp14:pctHeight>
            </wp14:sizeRelV>
          </wp:anchor>
        </w:drawing>
      </w:r>
      <w:r w:rsidR="00C46E09" w:rsidRPr="00F42A48">
        <w:rPr>
          <w:rFonts w:cstheme="minorHAnsi"/>
          <w:sz w:val="22"/>
          <w:szCs w:val="22"/>
        </w:rPr>
        <w:t>Chaesub Lee</w:t>
      </w:r>
    </w:p>
    <w:p w14:paraId="0B2A7870" w14:textId="77777777" w:rsidR="00C46E09" w:rsidRPr="00F42A48" w:rsidRDefault="00C46E09" w:rsidP="00C46E09">
      <w:pPr>
        <w:spacing w:before="0"/>
        <w:rPr>
          <w:rFonts w:cstheme="minorHAnsi"/>
          <w:sz w:val="22"/>
          <w:szCs w:val="22"/>
        </w:rPr>
      </w:pPr>
      <w:r w:rsidRPr="00F42A48">
        <w:rPr>
          <w:rFonts w:cstheme="minorHAnsi"/>
          <w:sz w:val="22"/>
          <w:szCs w:val="22"/>
        </w:rPr>
        <w:t>Director of the Telecommunication</w:t>
      </w:r>
    </w:p>
    <w:p w14:paraId="6AEBA0A1" w14:textId="775B210C" w:rsidR="00AB3B04" w:rsidRPr="00F42A48" w:rsidRDefault="00C46E09" w:rsidP="00C46E09">
      <w:pPr>
        <w:spacing w:before="0"/>
        <w:rPr>
          <w:rFonts w:cstheme="minorHAnsi"/>
          <w:sz w:val="22"/>
          <w:szCs w:val="22"/>
        </w:rPr>
      </w:pPr>
      <w:r w:rsidRPr="00F42A48">
        <w:rPr>
          <w:rFonts w:cstheme="minorHAnsi"/>
          <w:sz w:val="22"/>
          <w:szCs w:val="22"/>
        </w:rPr>
        <w:t>Standardization Bureau</w:t>
      </w:r>
    </w:p>
    <w:sectPr w:rsidR="00AB3B04" w:rsidRPr="00F42A48" w:rsidSect="000E3A76">
      <w:headerReference w:type="default" r:id="rId11"/>
      <w:footerReference w:type="first" r:id="rId12"/>
      <w:type w:val="oddPage"/>
      <w:pgSz w:w="11907" w:h="16834" w:code="9"/>
      <w:pgMar w:top="1134" w:right="1089" w:bottom="1276" w:left="1089" w:header="426"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AD5C" w14:textId="77777777" w:rsidR="005C1506" w:rsidRDefault="005C1506">
      <w:r>
        <w:separator/>
      </w:r>
    </w:p>
  </w:endnote>
  <w:endnote w:type="continuationSeparator" w:id="0">
    <w:p w14:paraId="6E3F1BBD" w14:textId="77777777" w:rsidR="005C1506" w:rsidRDefault="005C1506">
      <w:r>
        <w:continuationSeparator/>
      </w:r>
    </w:p>
  </w:endnote>
  <w:endnote w:type="continuationNotice" w:id="1">
    <w:p w14:paraId="6698AFE0" w14:textId="77777777" w:rsidR="005C1506" w:rsidRDefault="005C150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7D2B" w14:textId="5A3A52BB" w:rsidR="00D2180F" w:rsidRPr="0073648F" w:rsidRDefault="0073648F" w:rsidP="0073648F">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8AFEC" w14:textId="77777777" w:rsidR="005C1506" w:rsidRDefault="005C1506">
      <w:r>
        <w:t>____________________</w:t>
      </w:r>
    </w:p>
  </w:footnote>
  <w:footnote w:type="continuationSeparator" w:id="0">
    <w:p w14:paraId="5312254A" w14:textId="77777777" w:rsidR="005C1506" w:rsidRDefault="005C1506">
      <w:r>
        <w:continuationSeparator/>
      </w:r>
    </w:p>
  </w:footnote>
  <w:footnote w:type="continuationNotice" w:id="1">
    <w:p w14:paraId="3CC54874" w14:textId="77777777" w:rsidR="005C1506" w:rsidRDefault="005C150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D0ED" w14:textId="36F3FEE6" w:rsidR="00932E45" w:rsidRDefault="00FA124A" w:rsidP="007777AE">
    <w:pPr>
      <w:pStyle w:val="Header"/>
      <w:rPr>
        <w:lang w:val="en-US"/>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0C6489">
      <w:rPr>
        <w:rStyle w:val="PageNumber"/>
        <w:noProof/>
      </w:rPr>
      <w:t>2</w:t>
    </w:r>
    <w:r w:rsidR="000D49FB">
      <w:rPr>
        <w:rStyle w:val="PageNumber"/>
      </w:rPr>
      <w:fldChar w:fldCharType="end"/>
    </w:r>
    <w:r>
      <w:rPr>
        <w:rStyle w:val="PageNumber"/>
      </w:rPr>
      <w:t xml:space="preserve"> -</w:t>
    </w:r>
    <w:r w:rsidR="00DB0262">
      <w:rPr>
        <w:rStyle w:val="PageNumber"/>
      </w:rPr>
      <w:br/>
    </w:r>
    <w:r w:rsidR="00323DE6">
      <w:rPr>
        <w:rStyle w:val="PageNumber"/>
      </w:rPr>
      <w:fldChar w:fldCharType="begin"/>
    </w:r>
    <w:r w:rsidR="00323DE6">
      <w:rPr>
        <w:rStyle w:val="PageNumber"/>
      </w:rPr>
      <w:instrText xml:space="preserve"> styleref CircColNo </w:instrText>
    </w:r>
    <w:r w:rsidR="00323DE6">
      <w:rPr>
        <w:rStyle w:val="PageNumber"/>
      </w:rPr>
      <w:fldChar w:fldCharType="separate"/>
    </w:r>
    <w:r w:rsidR="00C5164E">
      <w:rPr>
        <w:rStyle w:val="PageNumber"/>
        <w:noProof/>
      </w:rPr>
      <w:t>TSB Circular 356</w:t>
    </w:r>
    <w:r w:rsidR="00323DE6">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5F5F1C"/>
    <w:multiLevelType w:val="hybridMultilevel"/>
    <w:tmpl w:val="0CAAB0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0554BC9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FFA1A1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4327CF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1E6D01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57897D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AB86B3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D3CDFC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9B6F2B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F3AB32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348CE4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623070"/>
    <w:multiLevelType w:val="hybridMultilevel"/>
    <w:tmpl w:val="C80296D6"/>
    <w:lvl w:ilvl="0" w:tplc="CA40729E">
      <w:start w:val="1"/>
      <w:numFmt w:val="bullet"/>
      <w:lvlRestart w:val="0"/>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D10D65"/>
    <w:multiLevelType w:val="hybridMultilevel"/>
    <w:tmpl w:val="01684BEC"/>
    <w:lvl w:ilvl="0" w:tplc="77EAD53C">
      <w:start w:val="1"/>
      <w:numFmt w:val="lowerLetter"/>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3" w15:restartNumberingAfterBreak="0">
    <w:nsid w:val="263049A8"/>
    <w:multiLevelType w:val="hybridMultilevel"/>
    <w:tmpl w:val="5FA83D76"/>
    <w:lvl w:ilvl="0" w:tplc="E0FCC9DA">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D074E"/>
    <w:multiLevelType w:val="hybridMultilevel"/>
    <w:tmpl w:val="CC00B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402D00"/>
    <w:multiLevelType w:val="hybridMultilevel"/>
    <w:tmpl w:val="0EA66DF0"/>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722240"/>
    <w:multiLevelType w:val="hybridMultilevel"/>
    <w:tmpl w:val="717E5976"/>
    <w:lvl w:ilvl="0" w:tplc="F0B88AF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F44564"/>
    <w:multiLevelType w:val="multilevel"/>
    <w:tmpl w:val="A42A8A64"/>
    <w:styleLink w:val="CurrentList1"/>
    <w:lvl w:ilvl="0">
      <w:start w:val="5"/>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E9874DF"/>
    <w:multiLevelType w:val="hybridMultilevel"/>
    <w:tmpl w:val="ED4ADF1E"/>
    <w:lvl w:ilvl="0" w:tplc="2976FB5E">
      <w:start w:val="2"/>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46D11"/>
    <w:multiLevelType w:val="hybridMultilevel"/>
    <w:tmpl w:val="A42A8A64"/>
    <w:lvl w:ilvl="0" w:tplc="3F9A5F2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96F10"/>
    <w:multiLevelType w:val="multilevel"/>
    <w:tmpl w:val="A42A8A64"/>
    <w:styleLink w:val="CurrentList2"/>
    <w:lvl w:ilvl="0">
      <w:start w:val="5"/>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267456"/>
    <w:multiLevelType w:val="hybridMultilevel"/>
    <w:tmpl w:val="D4C89DDA"/>
    <w:lvl w:ilvl="0" w:tplc="B19AE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636561EC"/>
    <w:multiLevelType w:val="hybridMultilevel"/>
    <w:tmpl w:val="E6445D96"/>
    <w:lvl w:ilvl="0" w:tplc="B19AE38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A3F76"/>
    <w:multiLevelType w:val="multilevel"/>
    <w:tmpl w:val="717E5976"/>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7"/>
  </w:num>
  <w:num w:numId="4">
    <w:abstractNumId w:val="13"/>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6"/>
  </w:num>
  <w:num w:numId="16">
    <w:abstractNumId w:val="12"/>
  </w:num>
  <w:num w:numId="17">
    <w:abstractNumId w:val="20"/>
  </w:num>
  <w:num w:numId="18">
    <w:abstractNumId w:val="23"/>
  </w:num>
  <w:num w:numId="19">
    <w:abstractNumId w:val="18"/>
  </w:num>
  <w:num w:numId="20">
    <w:abstractNumId w:val="25"/>
  </w:num>
  <w:num w:numId="21">
    <w:abstractNumId w:val="24"/>
  </w:num>
  <w:num w:numId="22">
    <w:abstractNumId w:val="0"/>
  </w:num>
  <w:num w:numId="23">
    <w:abstractNumId w:val="21"/>
  </w:num>
  <w:num w:numId="24">
    <w:abstractNumId w:val="19"/>
  </w:num>
  <w:num w:numId="25">
    <w:abstractNumId w:val="2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es-ES_tradnl"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fr-FR" w:vendorID="64" w:dllVersion="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0NjUAYhMLI2MLcyUdpeDU4uLM/DyQAqNaAO+CSz4sAAAA"/>
  </w:docVars>
  <w:rsids>
    <w:rsidRoot w:val="002F4914"/>
    <w:rsid w:val="00002D4B"/>
    <w:rsid w:val="0000612C"/>
    <w:rsid w:val="000069D4"/>
    <w:rsid w:val="0001453B"/>
    <w:rsid w:val="00016922"/>
    <w:rsid w:val="000174AD"/>
    <w:rsid w:val="00027F15"/>
    <w:rsid w:val="00036E20"/>
    <w:rsid w:val="0003796F"/>
    <w:rsid w:val="00041A75"/>
    <w:rsid w:val="000717D3"/>
    <w:rsid w:val="00071966"/>
    <w:rsid w:val="00071999"/>
    <w:rsid w:val="000814B9"/>
    <w:rsid w:val="00095DB5"/>
    <w:rsid w:val="00097881"/>
    <w:rsid w:val="000A6826"/>
    <w:rsid w:val="000A7D55"/>
    <w:rsid w:val="000B596A"/>
    <w:rsid w:val="000C06F7"/>
    <w:rsid w:val="000C2409"/>
    <w:rsid w:val="000C2E8E"/>
    <w:rsid w:val="000C6489"/>
    <w:rsid w:val="000C7932"/>
    <w:rsid w:val="000D2F86"/>
    <w:rsid w:val="000D3CD3"/>
    <w:rsid w:val="000D49FB"/>
    <w:rsid w:val="000E0E7C"/>
    <w:rsid w:val="000E3A76"/>
    <w:rsid w:val="000E5269"/>
    <w:rsid w:val="000E530D"/>
    <w:rsid w:val="000F099D"/>
    <w:rsid w:val="000F1B4B"/>
    <w:rsid w:val="000F44EE"/>
    <w:rsid w:val="00102391"/>
    <w:rsid w:val="00103AE7"/>
    <w:rsid w:val="00105D7F"/>
    <w:rsid w:val="00113463"/>
    <w:rsid w:val="00113E27"/>
    <w:rsid w:val="00116354"/>
    <w:rsid w:val="0012744F"/>
    <w:rsid w:val="00130303"/>
    <w:rsid w:val="0013103F"/>
    <w:rsid w:val="0014706F"/>
    <w:rsid w:val="0015057B"/>
    <w:rsid w:val="00151FC1"/>
    <w:rsid w:val="00152493"/>
    <w:rsid w:val="00154124"/>
    <w:rsid w:val="00156DFF"/>
    <w:rsid w:val="00156F66"/>
    <w:rsid w:val="0016384C"/>
    <w:rsid w:val="001707ED"/>
    <w:rsid w:val="00172BAD"/>
    <w:rsid w:val="0017697D"/>
    <w:rsid w:val="00182528"/>
    <w:rsid w:val="00184409"/>
    <w:rsid w:val="0018500B"/>
    <w:rsid w:val="0018674F"/>
    <w:rsid w:val="00191B98"/>
    <w:rsid w:val="00192257"/>
    <w:rsid w:val="00195A3A"/>
    <w:rsid w:val="00196A19"/>
    <w:rsid w:val="001A363C"/>
    <w:rsid w:val="001B38B6"/>
    <w:rsid w:val="001B48F1"/>
    <w:rsid w:val="001C1DD9"/>
    <w:rsid w:val="001C3018"/>
    <w:rsid w:val="001C3A6E"/>
    <w:rsid w:val="001C4746"/>
    <w:rsid w:val="001C6B1D"/>
    <w:rsid w:val="001D13ED"/>
    <w:rsid w:val="001D142C"/>
    <w:rsid w:val="001E1011"/>
    <w:rsid w:val="001F2695"/>
    <w:rsid w:val="00202DC1"/>
    <w:rsid w:val="0020549C"/>
    <w:rsid w:val="00205948"/>
    <w:rsid w:val="002116EE"/>
    <w:rsid w:val="002122DD"/>
    <w:rsid w:val="002178F6"/>
    <w:rsid w:val="00222D56"/>
    <w:rsid w:val="002268EF"/>
    <w:rsid w:val="002309D8"/>
    <w:rsid w:val="002310E7"/>
    <w:rsid w:val="00232F39"/>
    <w:rsid w:val="00242B16"/>
    <w:rsid w:val="0024314F"/>
    <w:rsid w:val="00246836"/>
    <w:rsid w:val="00250A00"/>
    <w:rsid w:val="0025127D"/>
    <w:rsid w:val="00253B7C"/>
    <w:rsid w:val="002632E2"/>
    <w:rsid w:val="00266E56"/>
    <w:rsid w:val="00266F42"/>
    <w:rsid w:val="00270689"/>
    <w:rsid w:val="00273879"/>
    <w:rsid w:val="0028004F"/>
    <w:rsid w:val="00293CF1"/>
    <w:rsid w:val="002948AB"/>
    <w:rsid w:val="00294E18"/>
    <w:rsid w:val="002954C6"/>
    <w:rsid w:val="002957B3"/>
    <w:rsid w:val="002A1FFE"/>
    <w:rsid w:val="002A2A72"/>
    <w:rsid w:val="002A7FE2"/>
    <w:rsid w:val="002B0DEB"/>
    <w:rsid w:val="002B1B15"/>
    <w:rsid w:val="002B6A1B"/>
    <w:rsid w:val="002D3D22"/>
    <w:rsid w:val="002D6844"/>
    <w:rsid w:val="002D7A4B"/>
    <w:rsid w:val="002D7E61"/>
    <w:rsid w:val="002E1B4F"/>
    <w:rsid w:val="002E3496"/>
    <w:rsid w:val="002F16EB"/>
    <w:rsid w:val="002F2E67"/>
    <w:rsid w:val="002F3313"/>
    <w:rsid w:val="002F4914"/>
    <w:rsid w:val="00301022"/>
    <w:rsid w:val="00302F70"/>
    <w:rsid w:val="0030311F"/>
    <w:rsid w:val="00304A08"/>
    <w:rsid w:val="00305088"/>
    <w:rsid w:val="0030782F"/>
    <w:rsid w:val="00307B5A"/>
    <w:rsid w:val="00307BE5"/>
    <w:rsid w:val="003154AC"/>
    <w:rsid w:val="00315546"/>
    <w:rsid w:val="00323D71"/>
    <w:rsid w:val="00323DE6"/>
    <w:rsid w:val="003260DF"/>
    <w:rsid w:val="00330567"/>
    <w:rsid w:val="00332E9D"/>
    <w:rsid w:val="0033475A"/>
    <w:rsid w:val="00334CE2"/>
    <w:rsid w:val="00337729"/>
    <w:rsid w:val="00340E17"/>
    <w:rsid w:val="00341040"/>
    <w:rsid w:val="00344BEA"/>
    <w:rsid w:val="0034688A"/>
    <w:rsid w:val="00347AB1"/>
    <w:rsid w:val="00347AF2"/>
    <w:rsid w:val="00351DA5"/>
    <w:rsid w:val="00355D59"/>
    <w:rsid w:val="003632B1"/>
    <w:rsid w:val="003708A3"/>
    <w:rsid w:val="003824B7"/>
    <w:rsid w:val="00386A9D"/>
    <w:rsid w:val="00391081"/>
    <w:rsid w:val="0039223B"/>
    <w:rsid w:val="00397FBE"/>
    <w:rsid w:val="003B2789"/>
    <w:rsid w:val="003C0550"/>
    <w:rsid w:val="003C13CE"/>
    <w:rsid w:val="003C41A3"/>
    <w:rsid w:val="003D38E3"/>
    <w:rsid w:val="003E0A68"/>
    <w:rsid w:val="003E2518"/>
    <w:rsid w:val="003E3B69"/>
    <w:rsid w:val="003E4B1F"/>
    <w:rsid w:val="003E6CFD"/>
    <w:rsid w:val="003F0230"/>
    <w:rsid w:val="003F76AD"/>
    <w:rsid w:val="00403905"/>
    <w:rsid w:val="004047D5"/>
    <w:rsid w:val="00404EAB"/>
    <w:rsid w:val="004062B2"/>
    <w:rsid w:val="00407152"/>
    <w:rsid w:val="0040777F"/>
    <w:rsid w:val="00413B83"/>
    <w:rsid w:val="004230EB"/>
    <w:rsid w:val="00430C91"/>
    <w:rsid w:val="0043369C"/>
    <w:rsid w:val="004444CF"/>
    <w:rsid w:val="00451C0F"/>
    <w:rsid w:val="00452ECF"/>
    <w:rsid w:val="00452F29"/>
    <w:rsid w:val="00456AA1"/>
    <w:rsid w:val="00456F33"/>
    <w:rsid w:val="00466538"/>
    <w:rsid w:val="00471965"/>
    <w:rsid w:val="004745C5"/>
    <w:rsid w:val="00477A17"/>
    <w:rsid w:val="00477B77"/>
    <w:rsid w:val="00480C22"/>
    <w:rsid w:val="004827B3"/>
    <w:rsid w:val="00483A54"/>
    <w:rsid w:val="004B1EF7"/>
    <w:rsid w:val="004B387D"/>
    <w:rsid w:val="004B3FAD"/>
    <w:rsid w:val="004D0DCE"/>
    <w:rsid w:val="004D0FA5"/>
    <w:rsid w:val="004D3FCC"/>
    <w:rsid w:val="004D4E3B"/>
    <w:rsid w:val="004E18D6"/>
    <w:rsid w:val="004E1F1C"/>
    <w:rsid w:val="004E2637"/>
    <w:rsid w:val="004F2815"/>
    <w:rsid w:val="004F79DD"/>
    <w:rsid w:val="00501318"/>
    <w:rsid w:val="00501DCA"/>
    <w:rsid w:val="00505055"/>
    <w:rsid w:val="00512FA6"/>
    <w:rsid w:val="00513A47"/>
    <w:rsid w:val="00514242"/>
    <w:rsid w:val="00516DFD"/>
    <w:rsid w:val="00520C31"/>
    <w:rsid w:val="00521349"/>
    <w:rsid w:val="00527DF5"/>
    <w:rsid w:val="00531DFA"/>
    <w:rsid w:val="005408DF"/>
    <w:rsid w:val="00542792"/>
    <w:rsid w:val="005432AF"/>
    <w:rsid w:val="00552F50"/>
    <w:rsid w:val="00571651"/>
    <w:rsid w:val="00573344"/>
    <w:rsid w:val="00576886"/>
    <w:rsid w:val="005811E1"/>
    <w:rsid w:val="00583F9B"/>
    <w:rsid w:val="00587AEE"/>
    <w:rsid w:val="005A3191"/>
    <w:rsid w:val="005A535E"/>
    <w:rsid w:val="005B593A"/>
    <w:rsid w:val="005C1506"/>
    <w:rsid w:val="005E1223"/>
    <w:rsid w:val="005E2328"/>
    <w:rsid w:val="005E5C10"/>
    <w:rsid w:val="005F1652"/>
    <w:rsid w:val="005F2C78"/>
    <w:rsid w:val="0060254F"/>
    <w:rsid w:val="00612381"/>
    <w:rsid w:val="006144E4"/>
    <w:rsid w:val="006150B8"/>
    <w:rsid w:val="006242C0"/>
    <w:rsid w:val="006249D3"/>
    <w:rsid w:val="00625407"/>
    <w:rsid w:val="00633DCB"/>
    <w:rsid w:val="00640A88"/>
    <w:rsid w:val="00642014"/>
    <w:rsid w:val="00647A1D"/>
    <w:rsid w:val="00650299"/>
    <w:rsid w:val="0065565F"/>
    <w:rsid w:val="00655FC5"/>
    <w:rsid w:val="00656995"/>
    <w:rsid w:val="006619EA"/>
    <w:rsid w:val="006631A6"/>
    <w:rsid w:val="00664AAF"/>
    <w:rsid w:val="00676233"/>
    <w:rsid w:val="006825A3"/>
    <w:rsid w:val="00695ED9"/>
    <w:rsid w:val="006965A5"/>
    <w:rsid w:val="006A1D7C"/>
    <w:rsid w:val="006A4785"/>
    <w:rsid w:val="006C2D2F"/>
    <w:rsid w:val="006C3755"/>
    <w:rsid w:val="006C6386"/>
    <w:rsid w:val="006C7F41"/>
    <w:rsid w:val="006D1A0F"/>
    <w:rsid w:val="006D6640"/>
    <w:rsid w:val="006E3EF1"/>
    <w:rsid w:val="006F5410"/>
    <w:rsid w:val="006F5684"/>
    <w:rsid w:val="00703AA0"/>
    <w:rsid w:val="00712031"/>
    <w:rsid w:val="00723B92"/>
    <w:rsid w:val="0072576F"/>
    <w:rsid w:val="0073648F"/>
    <w:rsid w:val="00746CE3"/>
    <w:rsid w:val="0075362C"/>
    <w:rsid w:val="007558C0"/>
    <w:rsid w:val="0076365A"/>
    <w:rsid w:val="007662F1"/>
    <w:rsid w:val="00767230"/>
    <w:rsid w:val="00773340"/>
    <w:rsid w:val="00773F8B"/>
    <w:rsid w:val="00774D26"/>
    <w:rsid w:val="00775267"/>
    <w:rsid w:val="007777AE"/>
    <w:rsid w:val="00777A31"/>
    <w:rsid w:val="00787A3C"/>
    <w:rsid w:val="007B294C"/>
    <w:rsid w:val="007D2818"/>
    <w:rsid w:val="007D2F64"/>
    <w:rsid w:val="007D4D44"/>
    <w:rsid w:val="007D5128"/>
    <w:rsid w:val="007D54FF"/>
    <w:rsid w:val="007D6975"/>
    <w:rsid w:val="007D7EE3"/>
    <w:rsid w:val="007E39A4"/>
    <w:rsid w:val="007E5345"/>
    <w:rsid w:val="007E5F09"/>
    <w:rsid w:val="0080234E"/>
    <w:rsid w:val="00816160"/>
    <w:rsid w:val="00817F0B"/>
    <w:rsid w:val="00822581"/>
    <w:rsid w:val="008309DD"/>
    <w:rsid w:val="00831DC7"/>
    <w:rsid w:val="0083227A"/>
    <w:rsid w:val="00853B3A"/>
    <w:rsid w:val="00854C87"/>
    <w:rsid w:val="00855226"/>
    <w:rsid w:val="00864099"/>
    <w:rsid w:val="00866900"/>
    <w:rsid w:val="00866BC5"/>
    <w:rsid w:val="00866FDB"/>
    <w:rsid w:val="00870336"/>
    <w:rsid w:val="008710F3"/>
    <w:rsid w:val="0087300D"/>
    <w:rsid w:val="00877242"/>
    <w:rsid w:val="00881BA1"/>
    <w:rsid w:val="008820D0"/>
    <w:rsid w:val="0088352C"/>
    <w:rsid w:val="0088403A"/>
    <w:rsid w:val="0089001B"/>
    <w:rsid w:val="0089036C"/>
    <w:rsid w:val="008A074B"/>
    <w:rsid w:val="008A0A55"/>
    <w:rsid w:val="008A31DF"/>
    <w:rsid w:val="008A53E2"/>
    <w:rsid w:val="008A61EA"/>
    <w:rsid w:val="008C26B8"/>
    <w:rsid w:val="008D07B2"/>
    <w:rsid w:val="008E3FD3"/>
    <w:rsid w:val="008F1CFE"/>
    <w:rsid w:val="008F2052"/>
    <w:rsid w:val="008F39FA"/>
    <w:rsid w:val="008F640C"/>
    <w:rsid w:val="0091549B"/>
    <w:rsid w:val="00917A7D"/>
    <w:rsid w:val="00917FF3"/>
    <w:rsid w:val="009252B8"/>
    <w:rsid w:val="009254A6"/>
    <w:rsid w:val="009254E9"/>
    <w:rsid w:val="009273EC"/>
    <w:rsid w:val="00932E45"/>
    <w:rsid w:val="009336E8"/>
    <w:rsid w:val="00937C61"/>
    <w:rsid w:val="009406E5"/>
    <w:rsid w:val="00942530"/>
    <w:rsid w:val="0094528A"/>
    <w:rsid w:val="00945D5F"/>
    <w:rsid w:val="009518D6"/>
    <w:rsid w:val="009529B1"/>
    <w:rsid w:val="00955348"/>
    <w:rsid w:val="0096329C"/>
    <w:rsid w:val="009814AE"/>
    <w:rsid w:val="00981507"/>
    <w:rsid w:val="00982084"/>
    <w:rsid w:val="00991A72"/>
    <w:rsid w:val="009923E2"/>
    <w:rsid w:val="009950A9"/>
    <w:rsid w:val="009958A5"/>
    <w:rsid w:val="00995963"/>
    <w:rsid w:val="009B61EB"/>
    <w:rsid w:val="009B6449"/>
    <w:rsid w:val="009C1B31"/>
    <w:rsid w:val="009C2064"/>
    <w:rsid w:val="009C36CE"/>
    <w:rsid w:val="009D1697"/>
    <w:rsid w:val="009D5B4B"/>
    <w:rsid w:val="009D5EDC"/>
    <w:rsid w:val="009E4922"/>
    <w:rsid w:val="00A014F8"/>
    <w:rsid w:val="00A05A62"/>
    <w:rsid w:val="00A05E8D"/>
    <w:rsid w:val="00A1192A"/>
    <w:rsid w:val="00A11DCA"/>
    <w:rsid w:val="00A12680"/>
    <w:rsid w:val="00A133A9"/>
    <w:rsid w:val="00A16665"/>
    <w:rsid w:val="00A2003D"/>
    <w:rsid w:val="00A20F12"/>
    <w:rsid w:val="00A32739"/>
    <w:rsid w:val="00A45B1F"/>
    <w:rsid w:val="00A467F0"/>
    <w:rsid w:val="00A50C6C"/>
    <w:rsid w:val="00A5173C"/>
    <w:rsid w:val="00A5354B"/>
    <w:rsid w:val="00A54E92"/>
    <w:rsid w:val="00A61AEF"/>
    <w:rsid w:val="00A72E84"/>
    <w:rsid w:val="00A81389"/>
    <w:rsid w:val="00A938C6"/>
    <w:rsid w:val="00AB0FFD"/>
    <w:rsid w:val="00AB3B04"/>
    <w:rsid w:val="00AB6C43"/>
    <w:rsid w:val="00AC03C6"/>
    <w:rsid w:val="00AC1566"/>
    <w:rsid w:val="00AC2416"/>
    <w:rsid w:val="00AC2CAA"/>
    <w:rsid w:val="00AC4DC3"/>
    <w:rsid w:val="00AC6EBF"/>
    <w:rsid w:val="00AD7192"/>
    <w:rsid w:val="00AE26E6"/>
    <w:rsid w:val="00AE2DC6"/>
    <w:rsid w:val="00AE2E00"/>
    <w:rsid w:val="00AE3389"/>
    <w:rsid w:val="00AE44AC"/>
    <w:rsid w:val="00AF0C25"/>
    <w:rsid w:val="00AF0F28"/>
    <w:rsid w:val="00AF173A"/>
    <w:rsid w:val="00AF47A3"/>
    <w:rsid w:val="00B066A4"/>
    <w:rsid w:val="00B07A13"/>
    <w:rsid w:val="00B113DD"/>
    <w:rsid w:val="00B1358E"/>
    <w:rsid w:val="00B1392D"/>
    <w:rsid w:val="00B143E2"/>
    <w:rsid w:val="00B25468"/>
    <w:rsid w:val="00B27F58"/>
    <w:rsid w:val="00B3213C"/>
    <w:rsid w:val="00B34B08"/>
    <w:rsid w:val="00B4279B"/>
    <w:rsid w:val="00B45FC9"/>
    <w:rsid w:val="00B4743F"/>
    <w:rsid w:val="00B507A8"/>
    <w:rsid w:val="00B51487"/>
    <w:rsid w:val="00B54BD4"/>
    <w:rsid w:val="00B664AA"/>
    <w:rsid w:val="00B70F2E"/>
    <w:rsid w:val="00B72E7D"/>
    <w:rsid w:val="00B74985"/>
    <w:rsid w:val="00B75DF6"/>
    <w:rsid w:val="00B776BF"/>
    <w:rsid w:val="00B806E0"/>
    <w:rsid w:val="00B80B3D"/>
    <w:rsid w:val="00B832DD"/>
    <w:rsid w:val="00B83461"/>
    <w:rsid w:val="00B854E3"/>
    <w:rsid w:val="00B94DE5"/>
    <w:rsid w:val="00BA2057"/>
    <w:rsid w:val="00BA4DAE"/>
    <w:rsid w:val="00BB1D6D"/>
    <w:rsid w:val="00BB6CD5"/>
    <w:rsid w:val="00BC6CEB"/>
    <w:rsid w:val="00BC7CCF"/>
    <w:rsid w:val="00BD0B3C"/>
    <w:rsid w:val="00BE319C"/>
    <w:rsid w:val="00BE470B"/>
    <w:rsid w:val="00BF59A4"/>
    <w:rsid w:val="00C2252C"/>
    <w:rsid w:val="00C23AAA"/>
    <w:rsid w:val="00C25105"/>
    <w:rsid w:val="00C31DDB"/>
    <w:rsid w:val="00C46E09"/>
    <w:rsid w:val="00C5164E"/>
    <w:rsid w:val="00C57A91"/>
    <w:rsid w:val="00C60080"/>
    <w:rsid w:val="00C71357"/>
    <w:rsid w:val="00C7297C"/>
    <w:rsid w:val="00C8018E"/>
    <w:rsid w:val="00C80706"/>
    <w:rsid w:val="00C85C90"/>
    <w:rsid w:val="00C87BF8"/>
    <w:rsid w:val="00C9030D"/>
    <w:rsid w:val="00CA361B"/>
    <w:rsid w:val="00CB4771"/>
    <w:rsid w:val="00CB5AE2"/>
    <w:rsid w:val="00CC01C2"/>
    <w:rsid w:val="00CC3559"/>
    <w:rsid w:val="00CC3FC7"/>
    <w:rsid w:val="00CC6B07"/>
    <w:rsid w:val="00CD7F8B"/>
    <w:rsid w:val="00CF045F"/>
    <w:rsid w:val="00CF21F2"/>
    <w:rsid w:val="00D00E71"/>
    <w:rsid w:val="00D02712"/>
    <w:rsid w:val="00D067D8"/>
    <w:rsid w:val="00D073EF"/>
    <w:rsid w:val="00D214D0"/>
    <w:rsid w:val="00D2180F"/>
    <w:rsid w:val="00D27038"/>
    <w:rsid w:val="00D37B34"/>
    <w:rsid w:val="00D41ADA"/>
    <w:rsid w:val="00D53AD5"/>
    <w:rsid w:val="00D61574"/>
    <w:rsid w:val="00D646C1"/>
    <w:rsid w:val="00D652CB"/>
    <w:rsid w:val="00D6546B"/>
    <w:rsid w:val="00D70ECF"/>
    <w:rsid w:val="00D72604"/>
    <w:rsid w:val="00D7437C"/>
    <w:rsid w:val="00D76AE1"/>
    <w:rsid w:val="00D86DE3"/>
    <w:rsid w:val="00D95FD2"/>
    <w:rsid w:val="00D97C31"/>
    <w:rsid w:val="00DB0262"/>
    <w:rsid w:val="00DB16A9"/>
    <w:rsid w:val="00DB71C6"/>
    <w:rsid w:val="00DB7DA6"/>
    <w:rsid w:val="00DC1CAB"/>
    <w:rsid w:val="00DC2FAA"/>
    <w:rsid w:val="00DC32D5"/>
    <w:rsid w:val="00DC3861"/>
    <w:rsid w:val="00DD4BED"/>
    <w:rsid w:val="00DD5673"/>
    <w:rsid w:val="00DD62DF"/>
    <w:rsid w:val="00DE069B"/>
    <w:rsid w:val="00DE39F0"/>
    <w:rsid w:val="00DE6FC0"/>
    <w:rsid w:val="00DE778E"/>
    <w:rsid w:val="00DF0AF3"/>
    <w:rsid w:val="00DF5AE1"/>
    <w:rsid w:val="00E05FAE"/>
    <w:rsid w:val="00E0600D"/>
    <w:rsid w:val="00E07F0A"/>
    <w:rsid w:val="00E11B74"/>
    <w:rsid w:val="00E1515C"/>
    <w:rsid w:val="00E17937"/>
    <w:rsid w:val="00E20E52"/>
    <w:rsid w:val="00E21452"/>
    <w:rsid w:val="00E26374"/>
    <w:rsid w:val="00E27D7E"/>
    <w:rsid w:val="00E34935"/>
    <w:rsid w:val="00E34A8A"/>
    <w:rsid w:val="00E36B63"/>
    <w:rsid w:val="00E42E13"/>
    <w:rsid w:val="00E436D2"/>
    <w:rsid w:val="00E53FD5"/>
    <w:rsid w:val="00E54A90"/>
    <w:rsid w:val="00E600BD"/>
    <w:rsid w:val="00E6257C"/>
    <w:rsid w:val="00E63C59"/>
    <w:rsid w:val="00E65D10"/>
    <w:rsid w:val="00E67486"/>
    <w:rsid w:val="00E7778B"/>
    <w:rsid w:val="00E8069C"/>
    <w:rsid w:val="00E80804"/>
    <w:rsid w:val="00E844FD"/>
    <w:rsid w:val="00E942D1"/>
    <w:rsid w:val="00E95BDE"/>
    <w:rsid w:val="00E971B2"/>
    <w:rsid w:val="00EA6057"/>
    <w:rsid w:val="00EB0DF1"/>
    <w:rsid w:val="00EB6345"/>
    <w:rsid w:val="00EC4B2F"/>
    <w:rsid w:val="00ED019D"/>
    <w:rsid w:val="00ED26D3"/>
    <w:rsid w:val="00EE2D29"/>
    <w:rsid w:val="00EE7010"/>
    <w:rsid w:val="00EE72EC"/>
    <w:rsid w:val="00EF2ECE"/>
    <w:rsid w:val="00EF335B"/>
    <w:rsid w:val="00EF4854"/>
    <w:rsid w:val="00F01001"/>
    <w:rsid w:val="00F01D97"/>
    <w:rsid w:val="00F022CB"/>
    <w:rsid w:val="00F02746"/>
    <w:rsid w:val="00F42A48"/>
    <w:rsid w:val="00F43EEB"/>
    <w:rsid w:val="00F46C8A"/>
    <w:rsid w:val="00F501CC"/>
    <w:rsid w:val="00F5169C"/>
    <w:rsid w:val="00F5214D"/>
    <w:rsid w:val="00F53CD0"/>
    <w:rsid w:val="00F54EF2"/>
    <w:rsid w:val="00F62CDC"/>
    <w:rsid w:val="00F63DD6"/>
    <w:rsid w:val="00F72B49"/>
    <w:rsid w:val="00F73430"/>
    <w:rsid w:val="00F7771A"/>
    <w:rsid w:val="00F8639A"/>
    <w:rsid w:val="00F8794C"/>
    <w:rsid w:val="00F87FCA"/>
    <w:rsid w:val="00F97E4A"/>
    <w:rsid w:val="00FA124A"/>
    <w:rsid w:val="00FA1544"/>
    <w:rsid w:val="00FA3ACD"/>
    <w:rsid w:val="00FA7735"/>
    <w:rsid w:val="00FB095D"/>
    <w:rsid w:val="00FB2CFF"/>
    <w:rsid w:val="00FB63DA"/>
    <w:rsid w:val="00FC08DD"/>
    <w:rsid w:val="00FC2316"/>
    <w:rsid w:val="00FC2CFD"/>
    <w:rsid w:val="00FC38B9"/>
    <w:rsid w:val="00FC451F"/>
    <w:rsid w:val="00FC5F0E"/>
    <w:rsid w:val="00FC7990"/>
    <w:rsid w:val="00FD1438"/>
    <w:rsid w:val="00FD7A73"/>
    <w:rsid w:val="00FF5CE0"/>
    <w:rsid w:val="00FF5E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92680"/>
  <w15:docId w15:val="{937AE70B-A29B-4B3E-AE43-527C92A4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unhideWhenUsed/>
    <w:rsid w:val="00A05E8D"/>
    <w:rPr>
      <w:sz w:val="20"/>
    </w:rPr>
  </w:style>
  <w:style w:type="character" w:customStyle="1" w:styleId="CommentTextChar">
    <w:name w:val="Comment Text Char"/>
    <w:basedOn w:val="DefaultParagraphFont"/>
    <w:link w:val="CommentText"/>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391"/>
    <w:pPr>
      <w:ind w:left="720"/>
      <w:contextualSpacing/>
    </w:pPr>
  </w:style>
  <w:style w:type="character" w:customStyle="1" w:styleId="UnresolvedMention1">
    <w:name w:val="Unresolved Mention1"/>
    <w:basedOn w:val="DefaultParagraphFont"/>
    <w:uiPriority w:val="99"/>
    <w:semiHidden/>
    <w:unhideWhenUsed/>
    <w:rsid w:val="000C06F7"/>
    <w:rPr>
      <w:color w:val="808080"/>
      <w:shd w:val="clear" w:color="auto" w:fill="E6E6E6"/>
    </w:rPr>
  </w:style>
  <w:style w:type="character" w:customStyle="1" w:styleId="UnresolvedMention2">
    <w:name w:val="Unresolved Mention2"/>
    <w:basedOn w:val="DefaultParagraphFont"/>
    <w:uiPriority w:val="99"/>
    <w:semiHidden/>
    <w:unhideWhenUsed/>
    <w:rsid w:val="00E34A8A"/>
    <w:rPr>
      <w:color w:val="808080"/>
      <w:shd w:val="clear" w:color="auto" w:fill="E6E6E6"/>
    </w:rPr>
  </w:style>
  <w:style w:type="character" w:customStyle="1" w:styleId="UnresolvedMention3">
    <w:name w:val="Unresolved Mention3"/>
    <w:basedOn w:val="DefaultParagraphFont"/>
    <w:uiPriority w:val="99"/>
    <w:semiHidden/>
    <w:unhideWhenUsed/>
    <w:rsid w:val="00E971B2"/>
    <w:rPr>
      <w:color w:val="808080"/>
      <w:shd w:val="clear" w:color="auto" w:fill="E6E6E6"/>
    </w:rPr>
  </w:style>
  <w:style w:type="character" w:customStyle="1" w:styleId="UnresolvedMention4">
    <w:name w:val="Unresolved Mention4"/>
    <w:basedOn w:val="DefaultParagraphFont"/>
    <w:uiPriority w:val="99"/>
    <w:semiHidden/>
    <w:unhideWhenUsed/>
    <w:rsid w:val="00250A00"/>
    <w:rPr>
      <w:color w:val="605E5C"/>
      <w:shd w:val="clear" w:color="auto" w:fill="E1DFDD"/>
    </w:rPr>
  </w:style>
  <w:style w:type="paragraph" w:customStyle="1" w:styleId="CircColNo">
    <w:name w:val="CircColNo"/>
    <w:basedOn w:val="Tabletext"/>
    <w:qFormat/>
    <w:rsid w:val="00323DE6"/>
    <w:rPr>
      <w:b/>
    </w:rPr>
  </w:style>
  <w:style w:type="paragraph" w:customStyle="1" w:styleId="DeadlineVisa">
    <w:name w:val="DeadlineVisa"/>
    <w:basedOn w:val="Normal"/>
    <w:rsid w:val="002F16E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pPr>
    <w:rPr>
      <w:sz w:val="22"/>
      <w:szCs w:val="22"/>
    </w:rPr>
  </w:style>
  <w:style w:type="paragraph" w:customStyle="1" w:styleId="DeadlineGrant">
    <w:name w:val="DeadlineGrant"/>
    <w:basedOn w:val="Normal"/>
    <w:rsid w:val="002F16E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pPr>
    <w:rPr>
      <w:sz w:val="22"/>
      <w:szCs w:val="22"/>
    </w:rPr>
  </w:style>
  <w:style w:type="paragraph" w:customStyle="1" w:styleId="DeadlineRegistration">
    <w:name w:val="DeadlineRegistration"/>
    <w:basedOn w:val="Normal"/>
    <w:rsid w:val="002F16E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pPr>
    <w:rPr>
      <w:sz w:val="22"/>
      <w:szCs w:val="22"/>
    </w:rPr>
  </w:style>
  <w:style w:type="paragraph" w:customStyle="1" w:styleId="DeadlineContribution">
    <w:name w:val="DeadlineContribution"/>
    <w:basedOn w:val="Normal"/>
    <w:rsid w:val="002F16E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pPr>
    <w:rPr>
      <w:sz w:val="22"/>
      <w:szCs w:val="22"/>
    </w:rPr>
  </w:style>
  <w:style w:type="character" w:styleId="UnresolvedMention">
    <w:name w:val="Unresolved Mention"/>
    <w:basedOn w:val="DefaultParagraphFont"/>
    <w:uiPriority w:val="99"/>
    <w:semiHidden/>
    <w:unhideWhenUsed/>
    <w:rsid w:val="00E53FD5"/>
    <w:rPr>
      <w:color w:val="605E5C"/>
      <w:shd w:val="clear" w:color="auto" w:fill="E1DFDD"/>
    </w:rPr>
  </w:style>
  <w:style w:type="numbering" w:customStyle="1" w:styleId="CurrentList1">
    <w:name w:val="Current List1"/>
    <w:uiPriority w:val="99"/>
    <w:rsid w:val="00483A54"/>
    <w:pPr>
      <w:numPr>
        <w:numId w:val="24"/>
      </w:numPr>
    </w:pPr>
  </w:style>
  <w:style w:type="numbering" w:customStyle="1" w:styleId="CurrentList2">
    <w:name w:val="Current List2"/>
    <w:uiPriority w:val="99"/>
    <w:rsid w:val="00E17937"/>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2017">
      <w:bodyDiv w:val="1"/>
      <w:marLeft w:val="0"/>
      <w:marRight w:val="0"/>
      <w:marTop w:val="0"/>
      <w:marBottom w:val="0"/>
      <w:divBdr>
        <w:top w:val="none" w:sz="0" w:space="0" w:color="auto"/>
        <w:left w:val="none" w:sz="0" w:space="0" w:color="auto"/>
        <w:bottom w:val="none" w:sz="0" w:space="0" w:color="auto"/>
        <w:right w:val="none" w:sz="0" w:space="0" w:color="auto"/>
      </w:divBdr>
    </w:div>
    <w:div w:id="41223052">
      <w:bodyDiv w:val="1"/>
      <w:marLeft w:val="0"/>
      <w:marRight w:val="0"/>
      <w:marTop w:val="0"/>
      <w:marBottom w:val="0"/>
      <w:divBdr>
        <w:top w:val="none" w:sz="0" w:space="0" w:color="auto"/>
        <w:left w:val="none" w:sz="0" w:space="0" w:color="auto"/>
        <w:bottom w:val="none" w:sz="0" w:space="0" w:color="auto"/>
        <w:right w:val="none" w:sz="0" w:space="0" w:color="auto"/>
      </w:divBdr>
    </w:div>
    <w:div w:id="284509955">
      <w:bodyDiv w:val="1"/>
      <w:marLeft w:val="0"/>
      <w:marRight w:val="0"/>
      <w:marTop w:val="0"/>
      <w:marBottom w:val="0"/>
      <w:divBdr>
        <w:top w:val="none" w:sz="0" w:space="0" w:color="auto"/>
        <w:left w:val="none" w:sz="0" w:space="0" w:color="auto"/>
        <w:bottom w:val="none" w:sz="0" w:space="0" w:color="auto"/>
        <w:right w:val="none" w:sz="0" w:space="0" w:color="auto"/>
      </w:divBdr>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452330386">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536697591">
      <w:bodyDiv w:val="1"/>
      <w:marLeft w:val="0"/>
      <w:marRight w:val="0"/>
      <w:marTop w:val="0"/>
      <w:marBottom w:val="0"/>
      <w:divBdr>
        <w:top w:val="none" w:sz="0" w:space="0" w:color="auto"/>
        <w:left w:val="none" w:sz="0" w:space="0" w:color="auto"/>
        <w:bottom w:val="none" w:sz="0" w:space="0" w:color="auto"/>
        <w:right w:val="none" w:sz="0" w:space="0" w:color="auto"/>
      </w:divBdr>
    </w:div>
    <w:div w:id="576743730">
      <w:bodyDiv w:val="1"/>
      <w:marLeft w:val="0"/>
      <w:marRight w:val="0"/>
      <w:marTop w:val="0"/>
      <w:marBottom w:val="0"/>
      <w:divBdr>
        <w:top w:val="none" w:sz="0" w:space="0" w:color="auto"/>
        <w:left w:val="none" w:sz="0" w:space="0" w:color="auto"/>
        <w:bottom w:val="none" w:sz="0" w:space="0" w:color="auto"/>
        <w:right w:val="none" w:sz="0" w:space="0" w:color="auto"/>
      </w:divBdr>
    </w:div>
    <w:div w:id="1109082969">
      <w:bodyDiv w:val="1"/>
      <w:marLeft w:val="0"/>
      <w:marRight w:val="0"/>
      <w:marTop w:val="0"/>
      <w:marBottom w:val="0"/>
      <w:divBdr>
        <w:top w:val="none" w:sz="0" w:space="0" w:color="auto"/>
        <w:left w:val="none" w:sz="0" w:space="0" w:color="auto"/>
        <w:bottom w:val="none" w:sz="0" w:space="0" w:color="auto"/>
        <w:right w:val="none" w:sz="0" w:space="0" w:color="auto"/>
      </w:divBdr>
    </w:div>
    <w:div w:id="1169247908">
      <w:bodyDiv w:val="1"/>
      <w:marLeft w:val="0"/>
      <w:marRight w:val="0"/>
      <w:marTop w:val="0"/>
      <w:marBottom w:val="0"/>
      <w:divBdr>
        <w:top w:val="none" w:sz="0" w:space="0" w:color="auto"/>
        <w:left w:val="none" w:sz="0" w:space="0" w:color="auto"/>
        <w:bottom w:val="none" w:sz="0" w:space="0" w:color="auto"/>
        <w:right w:val="none" w:sz="0" w:space="0" w:color="auto"/>
      </w:divBdr>
    </w:div>
    <w:div w:id="1304845331">
      <w:bodyDiv w:val="1"/>
      <w:marLeft w:val="0"/>
      <w:marRight w:val="0"/>
      <w:marTop w:val="0"/>
      <w:marBottom w:val="0"/>
      <w:divBdr>
        <w:top w:val="none" w:sz="0" w:space="0" w:color="auto"/>
        <w:left w:val="none" w:sz="0" w:space="0" w:color="auto"/>
        <w:bottom w:val="none" w:sz="0" w:space="0" w:color="auto"/>
        <w:right w:val="none" w:sz="0" w:space="0" w:color="auto"/>
      </w:divBdr>
    </w:div>
    <w:div w:id="138649083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501577831">
      <w:bodyDiv w:val="1"/>
      <w:marLeft w:val="0"/>
      <w:marRight w:val="0"/>
      <w:marTop w:val="0"/>
      <w:marBottom w:val="0"/>
      <w:divBdr>
        <w:top w:val="none" w:sz="0" w:space="0" w:color="auto"/>
        <w:left w:val="none" w:sz="0" w:space="0" w:color="auto"/>
        <w:bottom w:val="none" w:sz="0" w:space="0" w:color="auto"/>
        <w:right w:val="none" w:sz="0" w:space="0" w:color="auto"/>
      </w:divBdr>
    </w:div>
    <w:div w:id="1557663493">
      <w:bodyDiv w:val="1"/>
      <w:marLeft w:val="0"/>
      <w:marRight w:val="0"/>
      <w:marTop w:val="0"/>
      <w:marBottom w:val="0"/>
      <w:divBdr>
        <w:top w:val="none" w:sz="0" w:space="0" w:color="auto"/>
        <w:left w:val="none" w:sz="0" w:space="0" w:color="auto"/>
        <w:bottom w:val="none" w:sz="0" w:space="0" w:color="auto"/>
        <w:right w:val="none" w:sz="0" w:space="0" w:color="auto"/>
      </w:divBdr>
    </w:div>
    <w:div w:id="1758552349">
      <w:bodyDiv w:val="1"/>
      <w:marLeft w:val="0"/>
      <w:marRight w:val="0"/>
      <w:marTop w:val="0"/>
      <w:marBottom w:val="0"/>
      <w:divBdr>
        <w:top w:val="none" w:sz="0" w:space="0" w:color="auto"/>
        <w:left w:val="none" w:sz="0" w:space="0" w:color="auto"/>
        <w:bottom w:val="none" w:sz="0" w:space="0" w:color="auto"/>
        <w:right w:val="none" w:sz="0" w:space="0" w:color="auto"/>
      </w:divBdr>
    </w:div>
    <w:div w:id="1813057979">
      <w:bodyDiv w:val="1"/>
      <w:marLeft w:val="0"/>
      <w:marRight w:val="0"/>
      <w:marTop w:val="0"/>
      <w:marBottom w:val="0"/>
      <w:divBdr>
        <w:top w:val="none" w:sz="0" w:space="0" w:color="auto"/>
        <w:left w:val="none" w:sz="0" w:space="0" w:color="auto"/>
        <w:bottom w:val="none" w:sz="0" w:space="0" w:color="auto"/>
        <w:right w:val="none" w:sz="0" w:space="0" w:color="auto"/>
      </w:divBdr>
    </w:div>
    <w:div w:id="1898321330">
      <w:bodyDiv w:val="1"/>
      <w:marLeft w:val="0"/>
      <w:marRight w:val="0"/>
      <w:marTop w:val="0"/>
      <w:marBottom w:val="0"/>
      <w:divBdr>
        <w:top w:val="none" w:sz="0" w:space="0" w:color="auto"/>
        <w:left w:val="none" w:sz="0" w:space="0" w:color="auto"/>
        <w:bottom w:val="none" w:sz="0" w:space="0" w:color="auto"/>
        <w:right w:val="none" w:sz="0" w:space="0" w:color="auto"/>
      </w:divBdr>
    </w:div>
    <w:div w:id="2137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tu.int/en/ITU-T/Workshops-and-Seminars/2021/120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03E6A-9DBE-4245-ADC1-2F125F32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4</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5256</CharactersWithSpaces>
  <SharedDoc>false</SharedDoc>
  <HLinks>
    <vt:vector size="18" baseType="variant">
      <vt:variant>
        <vt:i4>5111820</vt:i4>
      </vt:variant>
      <vt:variant>
        <vt:i4>3</vt:i4>
      </vt:variant>
      <vt:variant>
        <vt:i4>0</vt:i4>
      </vt:variant>
      <vt:variant>
        <vt:i4>5</vt:i4>
      </vt:variant>
      <vt:variant>
        <vt:lpwstr>https://itu.int/en/ITU-T/Workshops-and-Seminars/2021/1202</vt:lpwstr>
      </vt:variant>
      <vt:variant>
        <vt:lpwstr/>
      </vt:variant>
      <vt:variant>
        <vt:i4>2752612</vt:i4>
      </vt:variant>
      <vt:variant>
        <vt:i4>9</vt:i4>
      </vt:variant>
      <vt:variant>
        <vt:i4>0</vt:i4>
      </vt:variant>
      <vt:variant>
        <vt:i4>5</vt:i4>
      </vt:variant>
      <vt:variant>
        <vt:lpwstr>http://www.itu.int/</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 Malika</dc:creator>
  <cp:keywords/>
  <cp:lastModifiedBy>Braud, Olivia</cp:lastModifiedBy>
  <cp:revision>4</cp:revision>
  <cp:lastPrinted>2021-10-28T13:06:00Z</cp:lastPrinted>
  <dcterms:created xsi:type="dcterms:W3CDTF">2021-10-28T12:53:00Z</dcterms:created>
  <dcterms:modified xsi:type="dcterms:W3CDTF">2021-10-28T13:06:00Z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