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FA46A0" w14:paraId="2F3AEBE3" w14:textId="77777777" w:rsidTr="00482C4F">
        <w:trPr>
          <w:trHeight w:val="1282"/>
        </w:trPr>
        <w:tc>
          <w:tcPr>
            <w:tcW w:w="1144" w:type="dxa"/>
            <w:gridSpan w:val="2"/>
            <w:shd w:val="clear" w:color="auto" w:fill="auto"/>
            <w:tcMar>
              <w:left w:w="0" w:type="dxa"/>
              <w:right w:w="0" w:type="dxa"/>
            </w:tcMar>
            <w:vAlign w:val="center"/>
          </w:tcPr>
          <w:p w14:paraId="7BABF41D" w14:textId="77777777" w:rsidR="00FA46A0" w:rsidRDefault="009747C5">
            <w:pPr>
              <w:pStyle w:val="Tabletext"/>
              <w:jc w:val="center"/>
            </w:pPr>
            <w:r>
              <w:rPr>
                <w:noProof/>
                <w:lang w:val="en-US" w:eastAsia="zh-CN"/>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1A486C08"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Default="00FA46A0">
            <w:pPr>
              <w:spacing w:before="0"/>
              <w:jc w:val="right"/>
              <w:rPr>
                <w:rFonts w:ascii="Verdana" w:hAnsi="Verdana"/>
                <w:color w:val="FFFFFF"/>
                <w:sz w:val="26"/>
                <w:szCs w:val="26"/>
              </w:rPr>
            </w:pPr>
          </w:p>
        </w:tc>
      </w:tr>
      <w:tr w:rsidR="00FA46A0" w:rsidRPr="00D417C0" w14:paraId="7CBEEB9D" w14:textId="77777777" w:rsidTr="00482C4F">
        <w:trPr>
          <w:cantSplit/>
          <w:trHeight w:val="80"/>
        </w:trPr>
        <w:tc>
          <w:tcPr>
            <w:tcW w:w="4578" w:type="dxa"/>
            <w:gridSpan w:val="3"/>
            <w:vAlign w:val="center"/>
          </w:tcPr>
          <w:p w14:paraId="02781ED0" w14:textId="77777777" w:rsidR="00FA46A0" w:rsidRPr="00D417C0" w:rsidRDefault="00FA46A0">
            <w:pPr>
              <w:pStyle w:val="Tabletext"/>
              <w:jc w:val="right"/>
              <w:rPr>
                <w:rFonts w:asciiTheme="minorHAnsi" w:hAnsiTheme="minorHAnsi" w:cstheme="minorHAnsi"/>
                <w:sz w:val="22"/>
                <w:szCs w:val="22"/>
              </w:rPr>
            </w:pPr>
          </w:p>
        </w:tc>
        <w:tc>
          <w:tcPr>
            <w:tcW w:w="5151" w:type="dxa"/>
            <w:gridSpan w:val="2"/>
            <w:vAlign w:val="center"/>
          </w:tcPr>
          <w:p w14:paraId="5542BFA4" w14:textId="64E6C27B" w:rsidR="00FA46A0" w:rsidRPr="00D417C0" w:rsidRDefault="00724F2A" w:rsidP="00C24502">
            <w:pPr>
              <w:pStyle w:val="Tabletext"/>
              <w:spacing w:before="240" w:after="120"/>
              <w:ind w:left="-108"/>
              <w:rPr>
                <w:rFonts w:asciiTheme="minorHAnsi" w:hAnsiTheme="minorHAnsi" w:cstheme="minorHAnsi"/>
                <w:sz w:val="22"/>
                <w:szCs w:val="22"/>
              </w:rPr>
            </w:pPr>
            <w:r>
              <w:rPr>
                <w:rFonts w:asciiTheme="minorHAnsi" w:hAnsiTheme="minorHAnsi" w:cstheme="minorHAnsi"/>
                <w:sz w:val="22"/>
                <w:szCs w:val="22"/>
              </w:rPr>
              <w:t>Geneva, 14 January 2022</w:t>
            </w:r>
          </w:p>
        </w:tc>
      </w:tr>
      <w:tr w:rsidR="00FA46A0" w:rsidRPr="00D417C0" w14:paraId="5B9F57B8" w14:textId="77777777" w:rsidTr="00482C4F">
        <w:trPr>
          <w:cantSplit/>
          <w:trHeight w:val="746"/>
        </w:trPr>
        <w:tc>
          <w:tcPr>
            <w:tcW w:w="1134" w:type="dxa"/>
          </w:tcPr>
          <w:p w14:paraId="4361F29A" w14:textId="77777777" w:rsidR="00FA46A0" w:rsidRPr="00D417C0" w:rsidRDefault="00B61012" w:rsidP="00345F16">
            <w:pPr>
              <w:pStyle w:val="Tabletext"/>
              <w:ind w:left="-110"/>
              <w:rPr>
                <w:rFonts w:asciiTheme="minorHAnsi" w:hAnsiTheme="minorHAnsi" w:cstheme="minorHAnsi"/>
                <w:sz w:val="22"/>
                <w:szCs w:val="22"/>
              </w:rPr>
            </w:pPr>
            <w:r w:rsidRPr="00D417C0">
              <w:rPr>
                <w:rFonts w:asciiTheme="minorHAnsi" w:hAnsiTheme="minorHAnsi" w:cstheme="minorHAnsi"/>
                <w:b/>
                <w:sz w:val="22"/>
                <w:szCs w:val="22"/>
              </w:rPr>
              <w:t>Ref:</w:t>
            </w:r>
          </w:p>
        </w:tc>
        <w:tc>
          <w:tcPr>
            <w:tcW w:w="3444" w:type="dxa"/>
            <w:gridSpan w:val="2"/>
          </w:tcPr>
          <w:p w14:paraId="101ED353" w14:textId="5FF8FD2F" w:rsidR="00C24502" w:rsidRPr="00D417C0" w:rsidRDefault="00C24502" w:rsidP="00C24502">
            <w:pPr>
              <w:pStyle w:val="Tabletext"/>
              <w:rPr>
                <w:rFonts w:asciiTheme="minorHAnsi" w:hAnsiTheme="minorHAnsi" w:cstheme="minorHAnsi"/>
                <w:b/>
                <w:bCs/>
                <w:sz w:val="22"/>
                <w:szCs w:val="22"/>
              </w:rPr>
            </w:pPr>
            <w:r w:rsidRPr="00D417C0">
              <w:rPr>
                <w:rFonts w:asciiTheme="minorHAnsi" w:hAnsiTheme="minorHAnsi" w:cstheme="minorHAnsi"/>
                <w:b/>
                <w:bCs/>
                <w:sz w:val="22"/>
                <w:szCs w:val="22"/>
              </w:rPr>
              <w:t xml:space="preserve">TSB Circular </w:t>
            </w:r>
            <w:r w:rsidR="00D417C0" w:rsidRPr="00D417C0">
              <w:rPr>
                <w:rFonts w:asciiTheme="minorHAnsi" w:hAnsiTheme="minorHAnsi" w:cstheme="minorHAnsi"/>
                <w:b/>
                <w:bCs/>
                <w:sz w:val="22"/>
                <w:szCs w:val="22"/>
              </w:rPr>
              <w:t>367</w:t>
            </w:r>
          </w:p>
          <w:p w14:paraId="1FA4CE7F" w14:textId="662A08EE" w:rsidR="00FA46A0" w:rsidRPr="00D417C0" w:rsidRDefault="00C24502" w:rsidP="00C24502">
            <w:pPr>
              <w:pStyle w:val="Tabletext"/>
              <w:spacing w:before="0"/>
              <w:rPr>
                <w:rFonts w:asciiTheme="minorHAnsi" w:hAnsiTheme="minorHAnsi" w:cstheme="minorHAnsi"/>
                <w:b/>
                <w:bCs/>
                <w:sz w:val="22"/>
                <w:szCs w:val="22"/>
              </w:rPr>
            </w:pPr>
            <w:r w:rsidRPr="00D417C0">
              <w:rPr>
                <w:rFonts w:asciiTheme="minorHAnsi" w:hAnsiTheme="minorHAnsi" w:cstheme="minorHAnsi"/>
                <w:b/>
                <w:bCs/>
                <w:sz w:val="22"/>
                <w:szCs w:val="22"/>
              </w:rPr>
              <w:t>FG-</w:t>
            </w:r>
            <w:r w:rsidR="00F351C7" w:rsidRPr="00D417C0">
              <w:rPr>
                <w:rFonts w:asciiTheme="minorHAnsi" w:hAnsiTheme="minorHAnsi" w:cstheme="minorHAnsi"/>
                <w:b/>
                <w:bCs/>
                <w:sz w:val="22"/>
                <w:szCs w:val="22"/>
              </w:rPr>
              <w:t>TBFxG</w:t>
            </w:r>
            <w:r w:rsidRPr="00D417C0">
              <w:rPr>
                <w:rFonts w:asciiTheme="minorHAnsi" w:hAnsiTheme="minorHAnsi" w:cstheme="minorHAnsi"/>
                <w:b/>
                <w:bCs/>
                <w:sz w:val="22"/>
                <w:szCs w:val="22"/>
              </w:rPr>
              <w:t>/</w:t>
            </w:r>
            <w:r w:rsidR="00F351C7" w:rsidRPr="00D417C0">
              <w:rPr>
                <w:rFonts w:asciiTheme="minorHAnsi" w:hAnsiTheme="minorHAnsi" w:cstheme="minorHAnsi"/>
                <w:b/>
                <w:bCs/>
                <w:sz w:val="22"/>
                <w:szCs w:val="22"/>
              </w:rPr>
              <w:t>DA</w:t>
            </w:r>
          </w:p>
        </w:tc>
        <w:tc>
          <w:tcPr>
            <w:tcW w:w="5151" w:type="dxa"/>
            <w:gridSpan w:val="2"/>
            <w:vMerge w:val="restart"/>
          </w:tcPr>
          <w:p w14:paraId="10929BBB" w14:textId="77777777" w:rsidR="00FF5729" w:rsidRPr="00D417C0" w:rsidRDefault="00B61012" w:rsidP="00FF5729">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D417C0">
              <w:rPr>
                <w:rFonts w:asciiTheme="minorHAnsi" w:hAnsiTheme="minorHAnsi" w:cstheme="minorHAnsi"/>
                <w:b/>
                <w:sz w:val="22"/>
                <w:szCs w:val="22"/>
              </w:rPr>
              <w:t>To:</w:t>
            </w:r>
          </w:p>
          <w:p w14:paraId="636D143F" w14:textId="77777777" w:rsidR="00FF5729" w:rsidRPr="00D417C0"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Administrations of Member States of the Union</w:t>
            </w:r>
            <w:r w:rsidR="00A72C30" w:rsidRPr="00D417C0">
              <w:rPr>
                <w:rFonts w:asciiTheme="minorHAnsi" w:hAnsiTheme="minorHAnsi" w:cstheme="minorHAnsi"/>
                <w:sz w:val="22"/>
                <w:szCs w:val="22"/>
              </w:rPr>
              <w:t>;</w:t>
            </w:r>
          </w:p>
          <w:p w14:paraId="6AAEA161" w14:textId="77777777" w:rsidR="00FF5729" w:rsidRPr="00D417C0"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D417C0">
              <w:rPr>
                <w:rFonts w:asciiTheme="minorHAnsi" w:hAnsiTheme="minorHAnsi" w:cstheme="minorHAnsi"/>
                <w:sz w:val="22"/>
                <w:szCs w:val="22"/>
                <w:lang w:val="fr-CH"/>
              </w:rPr>
              <w:t>-</w:t>
            </w:r>
            <w:r w:rsidRPr="00D417C0">
              <w:rPr>
                <w:rFonts w:asciiTheme="minorHAnsi" w:hAnsiTheme="minorHAnsi" w:cstheme="minorHAnsi"/>
                <w:sz w:val="22"/>
                <w:szCs w:val="22"/>
                <w:lang w:val="fr-CH"/>
              </w:rPr>
              <w:tab/>
              <w:t>ITU-T Sector Members</w:t>
            </w:r>
            <w:r w:rsidR="00A72C30" w:rsidRPr="00D417C0">
              <w:rPr>
                <w:rFonts w:asciiTheme="minorHAnsi" w:hAnsiTheme="minorHAnsi" w:cstheme="minorHAnsi"/>
                <w:sz w:val="22"/>
                <w:szCs w:val="22"/>
                <w:lang w:val="fr-CH"/>
              </w:rPr>
              <w:t>;</w:t>
            </w:r>
          </w:p>
          <w:p w14:paraId="4872070A" w14:textId="77777777" w:rsidR="00FF5729" w:rsidRPr="00D417C0"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D417C0">
              <w:rPr>
                <w:rFonts w:asciiTheme="minorHAnsi" w:hAnsiTheme="minorHAnsi" w:cstheme="minorHAnsi"/>
                <w:sz w:val="22"/>
                <w:szCs w:val="22"/>
                <w:lang w:val="fr-CH"/>
              </w:rPr>
              <w:t>-</w:t>
            </w:r>
            <w:r w:rsidRPr="00D417C0">
              <w:rPr>
                <w:rFonts w:asciiTheme="minorHAnsi" w:hAnsiTheme="minorHAnsi" w:cstheme="minorHAnsi"/>
                <w:sz w:val="22"/>
                <w:szCs w:val="22"/>
                <w:lang w:val="fr-CH"/>
              </w:rPr>
              <w:tab/>
              <w:t>ITU-T Associates</w:t>
            </w:r>
            <w:r w:rsidR="00A72C30" w:rsidRPr="00D417C0">
              <w:rPr>
                <w:rFonts w:asciiTheme="minorHAnsi" w:hAnsiTheme="minorHAnsi" w:cstheme="minorHAnsi"/>
                <w:sz w:val="22"/>
                <w:szCs w:val="22"/>
                <w:lang w:val="fr-CH"/>
              </w:rPr>
              <w:t>;</w:t>
            </w:r>
          </w:p>
          <w:p w14:paraId="5984EDB0" w14:textId="77777777" w:rsidR="00FA46A0" w:rsidRPr="00D417C0"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ITU Academia</w:t>
            </w:r>
          </w:p>
        </w:tc>
      </w:tr>
      <w:tr w:rsidR="00C24502" w:rsidRPr="00D417C0" w14:paraId="218C7AAB" w14:textId="77777777" w:rsidTr="00482C4F">
        <w:trPr>
          <w:cantSplit/>
          <w:trHeight w:val="221"/>
        </w:trPr>
        <w:tc>
          <w:tcPr>
            <w:tcW w:w="1134" w:type="dxa"/>
          </w:tcPr>
          <w:p w14:paraId="0AF5256F" w14:textId="77777777" w:rsidR="00C24502" w:rsidRPr="00D417C0" w:rsidRDefault="00C24502" w:rsidP="00345F16">
            <w:pPr>
              <w:pStyle w:val="Tabletext"/>
              <w:ind w:left="-110"/>
              <w:rPr>
                <w:rFonts w:asciiTheme="minorHAnsi" w:hAnsiTheme="minorHAnsi" w:cstheme="minorHAnsi"/>
                <w:sz w:val="22"/>
                <w:szCs w:val="22"/>
              </w:rPr>
            </w:pPr>
            <w:r w:rsidRPr="00D417C0">
              <w:rPr>
                <w:rFonts w:asciiTheme="minorHAnsi" w:hAnsiTheme="minorHAnsi" w:cstheme="minorHAnsi"/>
                <w:b/>
                <w:sz w:val="22"/>
                <w:szCs w:val="22"/>
              </w:rPr>
              <w:t>Tel:</w:t>
            </w:r>
          </w:p>
        </w:tc>
        <w:tc>
          <w:tcPr>
            <w:tcW w:w="3444" w:type="dxa"/>
            <w:gridSpan w:val="2"/>
          </w:tcPr>
          <w:p w14:paraId="79A9C2E7" w14:textId="02957B2C" w:rsidR="00C24502" w:rsidRPr="00D417C0" w:rsidRDefault="00C24502" w:rsidP="00C24502">
            <w:pPr>
              <w:pStyle w:val="Tabletext"/>
              <w:rPr>
                <w:rFonts w:asciiTheme="minorHAnsi" w:hAnsiTheme="minorHAnsi" w:cstheme="minorHAnsi"/>
                <w:b/>
                <w:sz w:val="22"/>
                <w:szCs w:val="22"/>
              </w:rPr>
            </w:pPr>
            <w:r w:rsidRPr="00D417C0">
              <w:rPr>
                <w:rFonts w:asciiTheme="minorHAnsi" w:hAnsiTheme="minorHAnsi" w:cstheme="minorHAnsi"/>
                <w:sz w:val="22"/>
                <w:szCs w:val="22"/>
              </w:rPr>
              <w:t>+41 22 730 57</w:t>
            </w:r>
            <w:r w:rsidR="00F351C7" w:rsidRPr="00D417C0">
              <w:rPr>
                <w:rFonts w:asciiTheme="minorHAnsi" w:hAnsiTheme="minorHAnsi" w:cstheme="minorHAnsi"/>
                <w:sz w:val="22"/>
                <w:szCs w:val="22"/>
              </w:rPr>
              <w:t>80</w:t>
            </w:r>
          </w:p>
        </w:tc>
        <w:tc>
          <w:tcPr>
            <w:tcW w:w="5151" w:type="dxa"/>
            <w:gridSpan w:val="2"/>
            <w:vMerge/>
          </w:tcPr>
          <w:p w14:paraId="00A6FEE0" w14:textId="77777777" w:rsidR="00C24502" w:rsidRPr="00D417C0" w:rsidRDefault="00C24502" w:rsidP="00C24502">
            <w:pPr>
              <w:pStyle w:val="Tabletext"/>
              <w:ind w:left="142" w:hanging="391"/>
              <w:rPr>
                <w:rFonts w:asciiTheme="minorHAnsi" w:hAnsiTheme="minorHAnsi" w:cstheme="minorHAnsi"/>
                <w:sz w:val="22"/>
                <w:szCs w:val="22"/>
              </w:rPr>
            </w:pPr>
          </w:p>
        </w:tc>
      </w:tr>
      <w:tr w:rsidR="00C24502" w:rsidRPr="00D417C0" w14:paraId="4FB22726" w14:textId="77777777" w:rsidTr="00482C4F">
        <w:trPr>
          <w:cantSplit/>
          <w:trHeight w:val="282"/>
        </w:trPr>
        <w:tc>
          <w:tcPr>
            <w:tcW w:w="1134" w:type="dxa"/>
          </w:tcPr>
          <w:p w14:paraId="254ABACE" w14:textId="77777777" w:rsidR="00C24502" w:rsidRPr="00D417C0" w:rsidRDefault="00C24502" w:rsidP="00345F16">
            <w:pPr>
              <w:pStyle w:val="Tabletext"/>
              <w:ind w:left="-110"/>
              <w:rPr>
                <w:rFonts w:asciiTheme="minorHAnsi" w:hAnsiTheme="minorHAnsi" w:cstheme="minorHAnsi"/>
                <w:sz w:val="22"/>
                <w:szCs w:val="22"/>
              </w:rPr>
            </w:pPr>
            <w:r w:rsidRPr="00D417C0">
              <w:rPr>
                <w:rFonts w:asciiTheme="minorHAnsi" w:hAnsiTheme="minorHAnsi" w:cstheme="minorHAnsi"/>
                <w:b/>
                <w:sz w:val="22"/>
                <w:szCs w:val="22"/>
              </w:rPr>
              <w:t>Fax:</w:t>
            </w:r>
          </w:p>
        </w:tc>
        <w:tc>
          <w:tcPr>
            <w:tcW w:w="3444" w:type="dxa"/>
            <w:gridSpan w:val="2"/>
          </w:tcPr>
          <w:p w14:paraId="3EED3728" w14:textId="2628A552" w:rsidR="00C24502" w:rsidRPr="00D417C0" w:rsidRDefault="00C24502" w:rsidP="00C24502">
            <w:pPr>
              <w:pStyle w:val="Tabletext"/>
              <w:rPr>
                <w:rFonts w:asciiTheme="minorHAnsi" w:hAnsiTheme="minorHAnsi" w:cstheme="minorHAnsi"/>
                <w:b/>
                <w:sz w:val="22"/>
                <w:szCs w:val="22"/>
              </w:rPr>
            </w:pPr>
            <w:r w:rsidRPr="00D417C0">
              <w:rPr>
                <w:rFonts w:asciiTheme="minorHAnsi" w:hAnsiTheme="minorHAnsi" w:cstheme="minorHAnsi"/>
                <w:sz w:val="22"/>
                <w:szCs w:val="22"/>
              </w:rPr>
              <w:t>+41 22 730 5853</w:t>
            </w:r>
          </w:p>
        </w:tc>
        <w:tc>
          <w:tcPr>
            <w:tcW w:w="5151" w:type="dxa"/>
            <w:gridSpan w:val="2"/>
            <w:vMerge/>
          </w:tcPr>
          <w:p w14:paraId="2D69D236" w14:textId="77777777" w:rsidR="00C24502" w:rsidRPr="00D417C0" w:rsidRDefault="00C24502" w:rsidP="00C24502">
            <w:pPr>
              <w:pStyle w:val="Tabletext"/>
              <w:ind w:left="142" w:hanging="391"/>
              <w:rPr>
                <w:rFonts w:asciiTheme="minorHAnsi" w:hAnsiTheme="minorHAnsi" w:cstheme="minorHAnsi"/>
                <w:sz w:val="22"/>
                <w:szCs w:val="22"/>
              </w:rPr>
            </w:pPr>
          </w:p>
        </w:tc>
      </w:tr>
      <w:tr w:rsidR="00FA46A0" w:rsidRPr="00D417C0" w14:paraId="5E6C09DD" w14:textId="77777777" w:rsidTr="007834A9">
        <w:trPr>
          <w:cantSplit/>
          <w:trHeight w:val="1860"/>
        </w:trPr>
        <w:tc>
          <w:tcPr>
            <w:tcW w:w="1134" w:type="dxa"/>
          </w:tcPr>
          <w:p w14:paraId="0094CC3A" w14:textId="77777777" w:rsidR="00FA46A0" w:rsidRPr="00D417C0" w:rsidRDefault="00B61012" w:rsidP="00345F16">
            <w:pPr>
              <w:pStyle w:val="Tabletext"/>
              <w:ind w:left="-110"/>
              <w:rPr>
                <w:rFonts w:asciiTheme="minorHAnsi" w:hAnsiTheme="minorHAnsi" w:cstheme="minorHAnsi"/>
                <w:sz w:val="22"/>
                <w:szCs w:val="22"/>
              </w:rPr>
            </w:pPr>
            <w:r w:rsidRPr="00D417C0">
              <w:rPr>
                <w:rFonts w:asciiTheme="minorHAnsi" w:hAnsiTheme="minorHAnsi" w:cstheme="minorHAnsi"/>
                <w:b/>
                <w:sz w:val="22"/>
                <w:szCs w:val="22"/>
              </w:rPr>
              <w:t>E-mail:</w:t>
            </w:r>
          </w:p>
        </w:tc>
        <w:tc>
          <w:tcPr>
            <w:tcW w:w="3444" w:type="dxa"/>
            <w:gridSpan w:val="2"/>
          </w:tcPr>
          <w:p w14:paraId="676B845E" w14:textId="77042679" w:rsidR="00FA46A0" w:rsidRPr="00D417C0" w:rsidRDefault="00DA727B" w:rsidP="00FC1C19">
            <w:pPr>
              <w:pStyle w:val="Tabletext"/>
              <w:rPr>
                <w:rFonts w:asciiTheme="minorHAnsi" w:hAnsiTheme="minorHAnsi" w:cstheme="minorHAnsi"/>
                <w:sz w:val="22"/>
                <w:szCs w:val="22"/>
                <w:lang w:val="en-US"/>
              </w:rPr>
            </w:pPr>
            <w:hyperlink r:id="rId8" w:history="1">
              <w:r w:rsidR="005A1DCC" w:rsidRPr="00D417C0">
                <w:rPr>
                  <w:rStyle w:val="Hyperlink"/>
                  <w:rFonts w:asciiTheme="minorHAnsi" w:hAnsiTheme="minorHAnsi" w:cstheme="minorHAnsi"/>
                  <w:sz w:val="22"/>
                  <w:szCs w:val="22"/>
                  <w:lang w:val="en-US"/>
                </w:rPr>
                <w:t>tsbfgtbf@itu.int</w:t>
              </w:r>
            </w:hyperlink>
          </w:p>
        </w:tc>
        <w:tc>
          <w:tcPr>
            <w:tcW w:w="5151" w:type="dxa"/>
            <w:gridSpan w:val="2"/>
          </w:tcPr>
          <w:p w14:paraId="22C1E5F0" w14:textId="77777777" w:rsidR="00FC1C19" w:rsidRPr="00D417C0" w:rsidRDefault="00B61012" w:rsidP="00FF5729">
            <w:pPr>
              <w:pStyle w:val="Tabletext"/>
              <w:ind w:left="283" w:hanging="391"/>
              <w:rPr>
                <w:rFonts w:asciiTheme="minorHAnsi" w:hAnsiTheme="minorHAnsi" w:cstheme="minorHAnsi"/>
                <w:sz w:val="22"/>
                <w:szCs w:val="22"/>
              </w:rPr>
            </w:pPr>
            <w:r w:rsidRPr="00D417C0">
              <w:rPr>
                <w:rFonts w:asciiTheme="minorHAnsi" w:hAnsiTheme="minorHAnsi" w:cstheme="minorHAnsi"/>
                <w:b/>
                <w:sz w:val="22"/>
                <w:szCs w:val="22"/>
              </w:rPr>
              <w:t>Copy to:</w:t>
            </w:r>
          </w:p>
          <w:p w14:paraId="039EFAB0" w14:textId="73B97895" w:rsidR="003746A5" w:rsidRPr="00D417C0" w:rsidRDefault="003746A5" w:rsidP="00963900">
            <w:pPr>
              <w:pStyle w:val="Tabletext"/>
              <w:tabs>
                <w:tab w:val="clear" w:pos="284"/>
              </w:tabs>
              <w:ind w:left="283" w:hanging="391"/>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r>
            <w:r w:rsidR="00963900" w:rsidRPr="00D417C0">
              <w:rPr>
                <w:rFonts w:asciiTheme="minorHAnsi" w:hAnsiTheme="minorHAnsi" w:cstheme="minorHAnsi"/>
                <w:sz w:val="22"/>
                <w:szCs w:val="22"/>
              </w:rPr>
              <w:t>T</w:t>
            </w:r>
            <w:r w:rsidRPr="00D417C0">
              <w:rPr>
                <w:rFonts w:asciiTheme="minorHAnsi" w:hAnsiTheme="minorHAnsi" w:cstheme="minorHAnsi"/>
                <w:sz w:val="22"/>
                <w:szCs w:val="22"/>
              </w:rPr>
              <w:t>he Chairm</w:t>
            </w:r>
            <w:r w:rsidR="00D62702" w:rsidRPr="00D417C0">
              <w:rPr>
                <w:rFonts w:asciiTheme="minorHAnsi" w:hAnsiTheme="minorHAnsi" w:cstheme="minorHAnsi"/>
                <w:sz w:val="22"/>
                <w:szCs w:val="22"/>
              </w:rPr>
              <w:t>e</w:t>
            </w:r>
            <w:r w:rsidRPr="00D417C0">
              <w:rPr>
                <w:rFonts w:asciiTheme="minorHAnsi" w:hAnsiTheme="minorHAnsi" w:cstheme="minorHAnsi"/>
                <w:sz w:val="22"/>
                <w:szCs w:val="22"/>
              </w:rPr>
              <w:t>n and Vice-Chairmen of</w:t>
            </w:r>
            <w:r w:rsidR="00482C4F" w:rsidRPr="00D417C0">
              <w:rPr>
                <w:rFonts w:asciiTheme="minorHAnsi" w:hAnsiTheme="minorHAnsi" w:cstheme="minorHAnsi"/>
                <w:sz w:val="22"/>
                <w:szCs w:val="22"/>
                <w:rtl/>
              </w:rPr>
              <w:br/>
            </w:r>
            <w:r w:rsidR="00482C4F" w:rsidRPr="00D417C0">
              <w:rPr>
                <w:rFonts w:asciiTheme="minorHAnsi" w:hAnsiTheme="minorHAnsi" w:cstheme="minorHAnsi"/>
                <w:sz w:val="22"/>
                <w:szCs w:val="22"/>
                <w:lang w:val="en-US"/>
              </w:rPr>
              <w:t xml:space="preserve">ITU-T </w:t>
            </w:r>
            <w:r w:rsidRPr="00D417C0">
              <w:rPr>
                <w:rFonts w:asciiTheme="minorHAnsi" w:hAnsiTheme="minorHAnsi" w:cstheme="minorHAnsi"/>
                <w:sz w:val="22"/>
                <w:szCs w:val="22"/>
              </w:rPr>
              <w:t>Study Group</w:t>
            </w:r>
            <w:r w:rsidR="00FC1C19" w:rsidRPr="00D417C0">
              <w:rPr>
                <w:rFonts w:asciiTheme="minorHAnsi" w:hAnsiTheme="minorHAnsi" w:cstheme="minorHAnsi"/>
                <w:sz w:val="22"/>
                <w:szCs w:val="22"/>
              </w:rPr>
              <w:t>s;</w:t>
            </w:r>
          </w:p>
          <w:p w14:paraId="0503E4E5" w14:textId="77777777" w:rsidR="003746A5" w:rsidRPr="00D417C0" w:rsidRDefault="003746A5" w:rsidP="00963900">
            <w:pPr>
              <w:pStyle w:val="Tabletext"/>
              <w:tabs>
                <w:tab w:val="clear" w:pos="284"/>
              </w:tabs>
              <w:ind w:left="283" w:hanging="391"/>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The Director of the Telecommunication Development Bureau;</w:t>
            </w:r>
          </w:p>
          <w:p w14:paraId="0170C617" w14:textId="77777777" w:rsidR="00FA46A0" w:rsidRPr="00D417C0" w:rsidRDefault="003746A5" w:rsidP="00963900">
            <w:pPr>
              <w:pStyle w:val="Tabletext"/>
              <w:tabs>
                <w:tab w:val="clear" w:pos="284"/>
              </w:tabs>
              <w:ind w:left="283" w:hanging="391"/>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The Director of the Radiocommunication Bureau</w:t>
            </w:r>
          </w:p>
        </w:tc>
      </w:tr>
      <w:tr w:rsidR="00FA46A0" w:rsidRPr="00D417C0" w14:paraId="3D692815" w14:textId="77777777" w:rsidTr="00482C4F">
        <w:trPr>
          <w:cantSplit/>
          <w:trHeight w:val="618"/>
        </w:trPr>
        <w:tc>
          <w:tcPr>
            <w:tcW w:w="1134" w:type="dxa"/>
          </w:tcPr>
          <w:p w14:paraId="71C35540" w14:textId="77777777" w:rsidR="00FA46A0" w:rsidRPr="00D417C0" w:rsidRDefault="00B61012" w:rsidP="00345F16">
            <w:pPr>
              <w:pStyle w:val="Tabletext"/>
              <w:ind w:left="-110"/>
              <w:rPr>
                <w:rFonts w:asciiTheme="minorHAnsi" w:hAnsiTheme="minorHAnsi" w:cstheme="minorHAnsi"/>
                <w:sz w:val="22"/>
                <w:szCs w:val="22"/>
              </w:rPr>
            </w:pPr>
            <w:r w:rsidRPr="00D417C0">
              <w:rPr>
                <w:rFonts w:asciiTheme="minorHAnsi" w:hAnsiTheme="minorHAnsi" w:cstheme="minorHAnsi"/>
                <w:b/>
                <w:sz w:val="22"/>
                <w:szCs w:val="22"/>
              </w:rPr>
              <w:t>Subject:</w:t>
            </w:r>
          </w:p>
        </w:tc>
        <w:tc>
          <w:tcPr>
            <w:tcW w:w="8595" w:type="dxa"/>
            <w:gridSpan w:val="4"/>
          </w:tcPr>
          <w:p w14:paraId="6DAA681E" w14:textId="4812A41B" w:rsidR="00FA46A0" w:rsidRPr="00D417C0" w:rsidRDefault="00C24502" w:rsidP="00246FFB">
            <w:pPr>
              <w:pStyle w:val="Tabletext"/>
              <w:rPr>
                <w:rFonts w:asciiTheme="minorHAnsi" w:hAnsiTheme="minorHAnsi" w:cstheme="minorHAnsi"/>
                <w:sz w:val="22"/>
                <w:szCs w:val="22"/>
              </w:rPr>
            </w:pPr>
            <w:r w:rsidRPr="00D417C0">
              <w:rPr>
                <w:rFonts w:asciiTheme="minorHAnsi" w:hAnsiTheme="minorHAnsi" w:cstheme="minorHAnsi"/>
                <w:b/>
                <w:bCs/>
                <w:sz w:val="22"/>
                <w:szCs w:val="22"/>
              </w:rPr>
              <w:t xml:space="preserve">Creation of a new </w:t>
            </w:r>
            <w:r w:rsidR="00246FFB" w:rsidRPr="00D417C0">
              <w:rPr>
                <w:rFonts w:asciiTheme="minorHAnsi" w:hAnsiTheme="minorHAnsi" w:cstheme="minorHAnsi"/>
                <w:b/>
                <w:bCs/>
                <w:sz w:val="22"/>
                <w:szCs w:val="22"/>
              </w:rPr>
              <w:t xml:space="preserve">ITU-T Focus Group on Testbeds Federations for IMT-2020 and beyond (FG-TBFxG) </w:t>
            </w:r>
            <w:r w:rsidRPr="00D417C0">
              <w:rPr>
                <w:rFonts w:asciiTheme="minorHAnsi" w:hAnsiTheme="minorHAnsi" w:cstheme="minorHAnsi"/>
                <w:b/>
                <w:bCs/>
                <w:sz w:val="22"/>
                <w:szCs w:val="22"/>
              </w:rPr>
              <w:t xml:space="preserve">and its first meeting: Virtual, </w:t>
            </w:r>
            <w:r w:rsidR="00246FFB" w:rsidRPr="00D417C0">
              <w:rPr>
                <w:rFonts w:asciiTheme="minorHAnsi" w:hAnsiTheme="minorHAnsi" w:cstheme="minorHAnsi"/>
                <w:b/>
                <w:bCs/>
                <w:sz w:val="22"/>
                <w:szCs w:val="22"/>
              </w:rPr>
              <w:t>4</w:t>
            </w:r>
            <w:r w:rsidRPr="00D417C0">
              <w:rPr>
                <w:rFonts w:asciiTheme="minorHAnsi" w:hAnsiTheme="minorHAnsi" w:cstheme="minorHAnsi"/>
                <w:b/>
                <w:bCs/>
                <w:sz w:val="22"/>
                <w:szCs w:val="22"/>
              </w:rPr>
              <w:t>-</w:t>
            </w:r>
            <w:r w:rsidR="00C938C1" w:rsidRPr="00D417C0">
              <w:rPr>
                <w:rFonts w:asciiTheme="minorHAnsi" w:hAnsiTheme="minorHAnsi" w:cstheme="minorHAnsi"/>
                <w:b/>
                <w:bCs/>
                <w:sz w:val="22"/>
                <w:szCs w:val="22"/>
              </w:rPr>
              <w:t>7</w:t>
            </w:r>
            <w:r w:rsidRPr="00D417C0">
              <w:rPr>
                <w:rFonts w:asciiTheme="minorHAnsi" w:hAnsiTheme="minorHAnsi" w:cstheme="minorHAnsi"/>
                <w:b/>
                <w:bCs/>
                <w:sz w:val="22"/>
                <w:szCs w:val="22"/>
              </w:rPr>
              <w:t xml:space="preserve"> </w:t>
            </w:r>
            <w:r w:rsidR="00DB19E7" w:rsidRPr="00D417C0">
              <w:rPr>
                <w:rFonts w:asciiTheme="minorHAnsi" w:hAnsiTheme="minorHAnsi" w:cstheme="minorHAnsi"/>
                <w:b/>
                <w:bCs/>
                <w:sz w:val="22"/>
                <w:szCs w:val="22"/>
              </w:rPr>
              <w:t>April</w:t>
            </w:r>
            <w:r w:rsidRPr="00D417C0">
              <w:rPr>
                <w:rFonts w:asciiTheme="minorHAnsi" w:hAnsiTheme="minorHAnsi" w:cstheme="minorHAnsi"/>
                <w:b/>
                <w:bCs/>
                <w:sz w:val="22"/>
                <w:szCs w:val="22"/>
              </w:rPr>
              <w:t xml:space="preserve"> 202</w:t>
            </w:r>
            <w:r w:rsidR="00DB19E7" w:rsidRPr="00D417C0">
              <w:rPr>
                <w:rFonts w:asciiTheme="minorHAnsi" w:hAnsiTheme="minorHAnsi" w:cstheme="minorHAnsi"/>
                <w:b/>
                <w:bCs/>
                <w:sz w:val="22"/>
                <w:szCs w:val="22"/>
              </w:rPr>
              <w:t>2</w:t>
            </w:r>
          </w:p>
        </w:tc>
      </w:tr>
    </w:tbl>
    <w:p w14:paraId="22F1424F" w14:textId="77777777" w:rsidR="00C24502" w:rsidRPr="00D417C0" w:rsidRDefault="00C24502" w:rsidP="00482C4F">
      <w:pPr>
        <w:spacing w:before="240"/>
        <w:rPr>
          <w:rFonts w:asciiTheme="minorHAnsi" w:hAnsiTheme="minorHAnsi" w:cstheme="minorHAnsi"/>
          <w:sz w:val="22"/>
          <w:szCs w:val="22"/>
        </w:rPr>
      </w:pPr>
      <w:r w:rsidRPr="00D417C0">
        <w:rPr>
          <w:rFonts w:asciiTheme="minorHAnsi" w:hAnsiTheme="minorHAnsi" w:cstheme="minorHAnsi"/>
          <w:sz w:val="22"/>
          <w:szCs w:val="22"/>
        </w:rPr>
        <w:t>Dear Sir/Madam,</w:t>
      </w:r>
    </w:p>
    <w:p w14:paraId="1C8999FB" w14:textId="7660A701" w:rsidR="00C24502" w:rsidRPr="00D417C0" w:rsidRDefault="00C24502" w:rsidP="00C24502">
      <w:pPr>
        <w:rPr>
          <w:rFonts w:asciiTheme="minorHAnsi" w:hAnsiTheme="minorHAnsi" w:cstheme="minorHAnsi"/>
          <w:sz w:val="22"/>
          <w:szCs w:val="22"/>
        </w:rPr>
      </w:pPr>
      <w:r w:rsidRPr="00D417C0">
        <w:rPr>
          <w:rFonts w:asciiTheme="minorHAnsi" w:hAnsiTheme="minorHAnsi" w:cstheme="minorHAnsi"/>
          <w:sz w:val="22"/>
          <w:szCs w:val="22"/>
        </w:rPr>
        <w:t>1</w:t>
      </w:r>
      <w:r w:rsidRPr="00D417C0">
        <w:rPr>
          <w:rFonts w:asciiTheme="minorHAnsi" w:hAnsiTheme="minorHAnsi" w:cstheme="minorHAnsi"/>
          <w:sz w:val="22"/>
          <w:szCs w:val="22"/>
        </w:rPr>
        <w:tab/>
        <w:t xml:space="preserve">Further to the agreement by ITU-T Study Group </w:t>
      </w:r>
      <w:r w:rsidR="00DB19E7" w:rsidRPr="00D417C0">
        <w:rPr>
          <w:rFonts w:asciiTheme="minorHAnsi" w:hAnsiTheme="minorHAnsi" w:cstheme="minorHAnsi"/>
          <w:sz w:val="22"/>
          <w:szCs w:val="22"/>
        </w:rPr>
        <w:t>11</w:t>
      </w:r>
      <w:r w:rsidRPr="00D417C0">
        <w:rPr>
          <w:rFonts w:asciiTheme="minorHAnsi" w:hAnsiTheme="minorHAnsi" w:cstheme="minorHAnsi"/>
          <w:sz w:val="22"/>
          <w:szCs w:val="22"/>
        </w:rPr>
        <w:t xml:space="preserve"> at its </w:t>
      </w:r>
      <w:r w:rsidR="00DB19E7" w:rsidRPr="00D417C0">
        <w:rPr>
          <w:rFonts w:asciiTheme="minorHAnsi" w:hAnsiTheme="minorHAnsi" w:cstheme="minorHAnsi"/>
          <w:sz w:val="22"/>
          <w:szCs w:val="22"/>
        </w:rPr>
        <w:t xml:space="preserve">virtual </w:t>
      </w:r>
      <w:r w:rsidRPr="00D417C0">
        <w:rPr>
          <w:rFonts w:asciiTheme="minorHAnsi" w:hAnsiTheme="minorHAnsi" w:cstheme="minorHAnsi"/>
          <w:sz w:val="22"/>
          <w:szCs w:val="22"/>
        </w:rPr>
        <w:t>plenary (1</w:t>
      </w:r>
      <w:r w:rsidR="00DB19E7" w:rsidRPr="00D417C0">
        <w:rPr>
          <w:rFonts w:asciiTheme="minorHAnsi" w:hAnsiTheme="minorHAnsi" w:cstheme="minorHAnsi"/>
          <w:sz w:val="22"/>
          <w:szCs w:val="22"/>
        </w:rPr>
        <w:t>0</w:t>
      </w:r>
      <w:r w:rsidRPr="00D417C0">
        <w:rPr>
          <w:rFonts w:asciiTheme="minorHAnsi" w:hAnsiTheme="minorHAnsi" w:cstheme="minorHAnsi"/>
          <w:sz w:val="22"/>
          <w:szCs w:val="22"/>
        </w:rPr>
        <w:t xml:space="preserve"> December 202</w:t>
      </w:r>
      <w:r w:rsidR="00DB19E7" w:rsidRPr="00D417C0">
        <w:rPr>
          <w:rFonts w:asciiTheme="minorHAnsi" w:hAnsiTheme="minorHAnsi" w:cstheme="minorHAnsi"/>
          <w:sz w:val="22"/>
          <w:szCs w:val="22"/>
        </w:rPr>
        <w:t>1</w:t>
      </w:r>
      <w:r w:rsidRPr="00D417C0">
        <w:rPr>
          <w:rFonts w:asciiTheme="minorHAnsi" w:hAnsiTheme="minorHAnsi" w:cstheme="minorHAnsi"/>
          <w:sz w:val="22"/>
          <w:szCs w:val="22"/>
        </w:rPr>
        <w:t xml:space="preserve">), I am pleased to announce the establishment of a new </w:t>
      </w:r>
      <w:r w:rsidR="00DB19E7" w:rsidRPr="00D417C0">
        <w:rPr>
          <w:rFonts w:asciiTheme="minorHAnsi" w:hAnsiTheme="minorHAnsi" w:cstheme="minorHAnsi"/>
          <w:b/>
          <w:bCs/>
          <w:sz w:val="22"/>
          <w:szCs w:val="22"/>
        </w:rPr>
        <w:t>Focus Group on Testbeds Federations for IMT-2020 and beyond (FG-TBFxG)</w:t>
      </w:r>
      <w:r w:rsidRPr="00D417C0">
        <w:rPr>
          <w:rFonts w:asciiTheme="minorHAnsi" w:hAnsiTheme="minorHAnsi" w:cstheme="minorHAnsi"/>
          <w:sz w:val="22"/>
          <w:szCs w:val="22"/>
        </w:rPr>
        <w:t xml:space="preserve">. The Focus Group will hold its first meeting on </w:t>
      </w:r>
      <w:r w:rsidR="00DB19E7" w:rsidRPr="00D417C0">
        <w:rPr>
          <w:rFonts w:asciiTheme="minorHAnsi" w:hAnsiTheme="minorHAnsi" w:cstheme="minorHAnsi"/>
          <w:sz w:val="22"/>
          <w:szCs w:val="22"/>
        </w:rPr>
        <w:t>4-7 April</w:t>
      </w:r>
      <w:r w:rsidRPr="00D417C0">
        <w:rPr>
          <w:rFonts w:asciiTheme="minorHAnsi" w:hAnsiTheme="minorHAnsi" w:cstheme="minorHAnsi"/>
          <w:sz w:val="22"/>
          <w:szCs w:val="22"/>
        </w:rPr>
        <w:t xml:space="preserve"> 202</w:t>
      </w:r>
      <w:r w:rsidR="00DB19E7" w:rsidRPr="00D417C0">
        <w:rPr>
          <w:rFonts w:asciiTheme="minorHAnsi" w:hAnsiTheme="minorHAnsi" w:cstheme="minorHAnsi"/>
          <w:sz w:val="22"/>
          <w:szCs w:val="22"/>
        </w:rPr>
        <w:t>2</w:t>
      </w:r>
      <w:r w:rsidRPr="00D417C0">
        <w:rPr>
          <w:rFonts w:asciiTheme="minorHAnsi" w:hAnsiTheme="minorHAnsi" w:cstheme="minorHAnsi"/>
          <w:sz w:val="22"/>
          <w:szCs w:val="22"/>
        </w:rPr>
        <w:t>.</w:t>
      </w:r>
    </w:p>
    <w:p w14:paraId="37D7EDAA" w14:textId="437C1577" w:rsidR="00AF646D" w:rsidRPr="00D417C0" w:rsidRDefault="00C24502" w:rsidP="00780A32">
      <w:pPr>
        <w:rPr>
          <w:rFonts w:asciiTheme="minorHAnsi" w:hAnsiTheme="minorHAnsi" w:cstheme="minorHAnsi"/>
          <w:sz w:val="22"/>
          <w:szCs w:val="22"/>
        </w:rPr>
      </w:pPr>
      <w:r w:rsidRPr="00D417C0">
        <w:rPr>
          <w:rFonts w:asciiTheme="minorHAnsi" w:hAnsiTheme="minorHAnsi" w:cstheme="minorHAnsi"/>
          <w:sz w:val="22"/>
          <w:szCs w:val="22"/>
        </w:rPr>
        <w:t>2</w:t>
      </w:r>
      <w:r w:rsidRPr="00D417C0">
        <w:rPr>
          <w:rFonts w:asciiTheme="minorHAnsi" w:hAnsiTheme="minorHAnsi" w:cstheme="minorHAnsi"/>
          <w:sz w:val="22"/>
          <w:szCs w:val="22"/>
        </w:rPr>
        <w:tab/>
        <w:t xml:space="preserve">Under the chairmanship of </w:t>
      </w:r>
      <w:r w:rsidR="0007363C" w:rsidRPr="00D417C0">
        <w:rPr>
          <w:rFonts w:asciiTheme="minorHAnsi" w:hAnsiTheme="minorHAnsi" w:cstheme="minorHAnsi"/>
          <w:sz w:val="22"/>
          <w:szCs w:val="22"/>
          <w:lang w:val="en-US"/>
        </w:rPr>
        <w:t>Mr Giulio Maggiore (Telecom Italia, Italy)</w:t>
      </w:r>
      <w:r w:rsidRPr="00D417C0">
        <w:rPr>
          <w:rFonts w:asciiTheme="minorHAnsi" w:hAnsiTheme="minorHAnsi" w:cstheme="minorHAnsi"/>
          <w:sz w:val="22"/>
          <w:szCs w:val="22"/>
        </w:rPr>
        <w:t xml:space="preserve">, </w:t>
      </w:r>
      <w:r w:rsidR="00AF646D" w:rsidRPr="00D417C0">
        <w:rPr>
          <w:rFonts w:asciiTheme="minorHAnsi" w:hAnsiTheme="minorHAnsi" w:cstheme="minorHAnsi"/>
          <w:sz w:val="22"/>
          <w:szCs w:val="22"/>
          <w:shd w:val="clear" w:color="auto" w:fill="FFFFFF"/>
          <w:lang w:val="en-US" w:eastAsia="en-GB"/>
        </w:rPr>
        <w:t xml:space="preserve">as a platform to harmonize testbeds specifications across SDOs/Fora. The FG-TBFxG will develop the required application program interfaces (APIs) aligned with the Testbeds Federations Reference Model defined in Recommendation </w:t>
      </w:r>
      <w:hyperlink r:id="rId9" w:history="1">
        <w:r w:rsidR="00AF646D" w:rsidRPr="00D417C0">
          <w:rPr>
            <w:rStyle w:val="Hyperlink"/>
            <w:rFonts w:asciiTheme="minorHAnsi" w:hAnsiTheme="minorHAnsi" w:cstheme="minorHAnsi"/>
            <w:sz w:val="22"/>
            <w:szCs w:val="22"/>
          </w:rPr>
          <w:t>ITU-T Q.4068</w:t>
        </w:r>
      </w:hyperlink>
      <w:r w:rsidR="00AF646D" w:rsidRPr="00D417C0">
        <w:rPr>
          <w:rFonts w:asciiTheme="minorHAnsi" w:hAnsiTheme="minorHAnsi" w:cstheme="minorHAnsi"/>
          <w:sz w:val="22"/>
          <w:szCs w:val="22"/>
          <w:shd w:val="clear" w:color="auto" w:fill="FFFFFF"/>
          <w:lang w:val="en-US" w:eastAsia="en-GB"/>
        </w:rPr>
        <w:t>, developed in collaboration with ETSI TC INT, and</w:t>
      </w:r>
      <w:r w:rsidR="00EE0811">
        <w:rPr>
          <w:rFonts w:asciiTheme="minorHAnsi" w:hAnsiTheme="minorHAnsi" w:cstheme="minorHAnsi"/>
          <w:sz w:val="22"/>
          <w:szCs w:val="22"/>
          <w:shd w:val="clear" w:color="auto" w:fill="FFFFFF"/>
          <w:lang w:val="en-US" w:eastAsia="en-GB"/>
        </w:rPr>
        <w:t xml:space="preserve"> will</w:t>
      </w:r>
      <w:r w:rsidR="00AF646D" w:rsidRPr="00D417C0">
        <w:rPr>
          <w:rFonts w:asciiTheme="minorHAnsi" w:hAnsiTheme="minorHAnsi" w:cstheme="minorHAnsi"/>
          <w:sz w:val="22"/>
          <w:szCs w:val="22"/>
          <w:shd w:val="clear" w:color="auto" w:fill="FFFFFF"/>
          <w:lang w:val="en-US" w:eastAsia="en-GB"/>
        </w:rPr>
        <w:t xml:space="preserve"> define a set of use cases for Federated Testbeds and APIs.</w:t>
      </w:r>
    </w:p>
    <w:p w14:paraId="6F5F82B9" w14:textId="048A7B1C" w:rsidR="00780A32" w:rsidRPr="00D417C0" w:rsidRDefault="00780A32" w:rsidP="00780A32">
      <w:pPr>
        <w:rPr>
          <w:rFonts w:asciiTheme="minorHAnsi" w:hAnsiTheme="minorHAnsi" w:cstheme="minorHAnsi"/>
          <w:sz w:val="22"/>
          <w:szCs w:val="22"/>
        </w:rPr>
      </w:pPr>
      <w:r w:rsidRPr="00D417C0">
        <w:rPr>
          <w:rFonts w:asciiTheme="minorHAnsi" w:hAnsiTheme="minorHAnsi" w:cstheme="minorHAnsi"/>
          <w:sz w:val="22"/>
          <w:szCs w:val="22"/>
        </w:rPr>
        <w:t>FG-TBFxG encourages all involved stakeholders, SDOs/Fora, to participate in the Focus Group activities and to:</w:t>
      </w:r>
    </w:p>
    <w:p w14:paraId="3E26F3EF" w14:textId="51D6B56A" w:rsidR="00780A32" w:rsidRPr="00D417C0" w:rsidRDefault="00780A32" w:rsidP="00780A32">
      <w:pPr>
        <w:spacing w:before="80"/>
        <w:ind w:left="794" w:hanging="794"/>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Contribute to the development of the APIs being prescribed by the Testbeds Federations Reference Model;</w:t>
      </w:r>
    </w:p>
    <w:p w14:paraId="7768F40F" w14:textId="04E77C9E" w:rsidR="00780A32" w:rsidRPr="00D417C0" w:rsidRDefault="00780A32" w:rsidP="00780A32">
      <w:pPr>
        <w:spacing w:before="80"/>
        <w:ind w:left="794" w:hanging="794"/>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 xml:space="preserve">Share the burden on APIs Specifications and Standardization and on </w:t>
      </w:r>
      <w:r w:rsidR="00A7490A" w:rsidRPr="00D417C0">
        <w:rPr>
          <w:rFonts w:asciiTheme="minorHAnsi" w:hAnsiTheme="minorHAnsi" w:cstheme="minorHAnsi"/>
          <w:sz w:val="22"/>
          <w:szCs w:val="22"/>
        </w:rPr>
        <w:t>r</w:t>
      </w:r>
      <w:r w:rsidRPr="00D417C0">
        <w:rPr>
          <w:rFonts w:asciiTheme="minorHAnsi" w:hAnsiTheme="minorHAnsi" w:cstheme="minorHAnsi"/>
          <w:sz w:val="22"/>
          <w:szCs w:val="22"/>
        </w:rPr>
        <w:t>oadmaps in a harmonized and collaborative way;</w:t>
      </w:r>
    </w:p>
    <w:p w14:paraId="24248D1B" w14:textId="554F7D2C" w:rsidR="007D75E4" w:rsidRPr="00D417C0" w:rsidRDefault="00780A32" w:rsidP="00780A32">
      <w:pPr>
        <w:spacing w:before="80"/>
        <w:ind w:left="794" w:hanging="794"/>
        <w:rPr>
          <w:rFonts w:asciiTheme="minorHAnsi" w:hAnsiTheme="minorHAnsi" w:cstheme="minorHAnsi"/>
          <w:sz w:val="22"/>
          <w:szCs w:val="22"/>
        </w:rPr>
      </w:pPr>
      <w:r w:rsidRPr="00D417C0">
        <w:rPr>
          <w:rFonts w:asciiTheme="minorHAnsi" w:hAnsiTheme="minorHAnsi" w:cstheme="minorHAnsi"/>
          <w:sz w:val="22"/>
          <w:szCs w:val="22"/>
        </w:rPr>
        <w:t>–</w:t>
      </w:r>
      <w:r w:rsidRPr="00D417C0">
        <w:rPr>
          <w:rFonts w:asciiTheme="minorHAnsi" w:hAnsiTheme="minorHAnsi" w:cstheme="minorHAnsi"/>
          <w:sz w:val="22"/>
          <w:szCs w:val="22"/>
        </w:rPr>
        <w:tab/>
        <w:t xml:space="preserve">Develop </w:t>
      </w:r>
      <w:r w:rsidR="00A7490A" w:rsidRPr="00D417C0">
        <w:rPr>
          <w:rFonts w:asciiTheme="minorHAnsi" w:hAnsiTheme="minorHAnsi" w:cstheme="minorHAnsi"/>
          <w:sz w:val="22"/>
          <w:szCs w:val="22"/>
        </w:rPr>
        <w:t>n</w:t>
      </w:r>
      <w:r w:rsidRPr="00D417C0">
        <w:rPr>
          <w:rFonts w:asciiTheme="minorHAnsi" w:hAnsiTheme="minorHAnsi" w:cstheme="minorHAnsi"/>
          <w:sz w:val="22"/>
          <w:szCs w:val="22"/>
        </w:rPr>
        <w:t xml:space="preserve">ew use cases and services for </w:t>
      </w:r>
      <w:proofErr w:type="gramStart"/>
      <w:r w:rsidRPr="00D417C0">
        <w:rPr>
          <w:rFonts w:asciiTheme="minorHAnsi" w:hAnsiTheme="minorHAnsi" w:cstheme="minorHAnsi"/>
          <w:sz w:val="22"/>
          <w:szCs w:val="22"/>
        </w:rPr>
        <w:t>Testbeds</w:t>
      </w:r>
      <w:proofErr w:type="gramEnd"/>
      <w:r w:rsidRPr="00D417C0">
        <w:rPr>
          <w:rFonts w:asciiTheme="minorHAnsi" w:hAnsiTheme="minorHAnsi" w:cstheme="minorHAnsi"/>
          <w:sz w:val="22"/>
          <w:szCs w:val="22"/>
        </w:rPr>
        <w:t xml:space="preserve"> </w:t>
      </w:r>
      <w:r w:rsidR="00A7490A" w:rsidRPr="00D417C0">
        <w:rPr>
          <w:rFonts w:asciiTheme="minorHAnsi" w:hAnsiTheme="minorHAnsi" w:cstheme="minorHAnsi"/>
          <w:sz w:val="22"/>
          <w:szCs w:val="22"/>
        </w:rPr>
        <w:t>s</w:t>
      </w:r>
      <w:r w:rsidRPr="00D417C0">
        <w:rPr>
          <w:rFonts w:asciiTheme="minorHAnsi" w:hAnsiTheme="minorHAnsi" w:cstheme="minorHAnsi"/>
          <w:sz w:val="22"/>
          <w:szCs w:val="22"/>
        </w:rPr>
        <w:t>uppliers that derive from the Testbeds Federations Reference Model and associated APIs, such as “Testbed-as-a Service” (</w:t>
      </w:r>
      <w:proofErr w:type="spellStart"/>
      <w:r w:rsidRPr="00D417C0">
        <w:rPr>
          <w:rFonts w:asciiTheme="minorHAnsi" w:hAnsiTheme="minorHAnsi" w:cstheme="minorHAnsi"/>
          <w:sz w:val="22"/>
          <w:szCs w:val="22"/>
        </w:rPr>
        <w:t>TaaS</w:t>
      </w:r>
      <w:proofErr w:type="spellEnd"/>
      <w:r w:rsidRPr="00D417C0">
        <w:rPr>
          <w:rFonts w:asciiTheme="minorHAnsi" w:hAnsiTheme="minorHAnsi" w:cstheme="minorHAnsi"/>
          <w:sz w:val="22"/>
          <w:szCs w:val="22"/>
        </w:rPr>
        <w:t>).</w:t>
      </w:r>
    </w:p>
    <w:p w14:paraId="033375B2" w14:textId="4F16B999" w:rsidR="00584CF0" w:rsidRPr="00D417C0" w:rsidRDefault="00BD20EE" w:rsidP="00C24502">
      <w:pPr>
        <w:rPr>
          <w:rFonts w:asciiTheme="minorHAnsi" w:hAnsiTheme="minorHAnsi" w:cstheme="minorHAnsi"/>
          <w:sz w:val="22"/>
          <w:szCs w:val="22"/>
        </w:rPr>
      </w:pPr>
      <w:r w:rsidRPr="00D417C0">
        <w:rPr>
          <w:rFonts w:asciiTheme="minorHAnsi" w:hAnsiTheme="minorHAnsi" w:cstheme="minorHAnsi"/>
          <w:sz w:val="22"/>
          <w:szCs w:val="22"/>
        </w:rPr>
        <w:t>3</w:t>
      </w:r>
      <w:r w:rsidRPr="00D417C0">
        <w:rPr>
          <w:rFonts w:asciiTheme="minorHAnsi" w:hAnsiTheme="minorHAnsi" w:cstheme="minorHAnsi"/>
          <w:sz w:val="22"/>
          <w:szCs w:val="22"/>
        </w:rPr>
        <w:tab/>
      </w:r>
      <w:r w:rsidR="001638EC" w:rsidRPr="00D417C0">
        <w:rPr>
          <w:rFonts w:asciiTheme="minorHAnsi" w:hAnsiTheme="minorHAnsi" w:cstheme="minorHAnsi"/>
          <w:sz w:val="22"/>
          <w:szCs w:val="22"/>
          <w:shd w:val="clear" w:color="auto" w:fill="FFFFFF"/>
          <w:lang w:val="en-US" w:eastAsia="en-GB"/>
        </w:rPr>
        <w:t xml:space="preserve">The Focus Group will play a role in providing a platform to share views, to develop a series of deliverables and it will also offer a platform to different stakeholders to share their initiatives and projects aligned with the outlined vision and the desired Ecosystem on Testbeds Federations. The Focus Group will develop technical specifications that may become a basis for further standardization </w:t>
      </w:r>
      <w:proofErr w:type="gramStart"/>
      <w:r w:rsidR="001638EC" w:rsidRPr="00D417C0">
        <w:rPr>
          <w:rFonts w:asciiTheme="minorHAnsi" w:hAnsiTheme="minorHAnsi" w:cstheme="minorHAnsi"/>
          <w:sz w:val="22"/>
          <w:szCs w:val="22"/>
          <w:shd w:val="clear" w:color="auto" w:fill="FFFFFF"/>
          <w:lang w:val="en-US" w:eastAsia="en-GB"/>
        </w:rPr>
        <w:t>in the area of</w:t>
      </w:r>
      <w:proofErr w:type="gramEnd"/>
      <w:r w:rsidR="001638EC" w:rsidRPr="00D417C0">
        <w:rPr>
          <w:rFonts w:asciiTheme="minorHAnsi" w:hAnsiTheme="minorHAnsi" w:cstheme="minorHAnsi"/>
          <w:sz w:val="22"/>
          <w:szCs w:val="22"/>
          <w:shd w:val="clear" w:color="auto" w:fill="FFFFFF"/>
          <w:lang w:val="en-US" w:eastAsia="en-GB"/>
        </w:rPr>
        <w:t xml:space="preserve"> Testbeds Federations.</w:t>
      </w:r>
    </w:p>
    <w:p w14:paraId="1C93246A" w14:textId="77777777" w:rsidR="009545D6" w:rsidRPr="00D417C0" w:rsidRDefault="00CB388D" w:rsidP="00C24502">
      <w:pPr>
        <w:rPr>
          <w:sz w:val="22"/>
          <w:szCs w:val="22"/>
          <w:lang w:val="en-US"/>
        </w:rPr>
      </w:pPr>
      <w:r w:rsidRPr="00D417C0">
        <w:rPr>
          <w:rFonts w:asciiTheme="minorHAnsi" w:hAnsiTheme="minorHAnsi" w:cstheme="minorHAnsi"/>
          <w:sz w:val="22"/>
          <w:szCs w:val="22"/>
        </w:rPr>
        <w:t>4</w:t>
      </w:r>
      <w:r w:rsidR="00C24502" w:rsidRPr="00D417C0">
        <w:rPr>
          <w:rFonts w:asciiTheme="minorHAnsi" w:hAnsiTheme="minorHAnsi" w:cstheme="minorHAnsi"/>
          <w:sz w:val="22"/>
          <w:szCs w:val="22"/>
        </w:rPr>
        <w:tab/>
        <w:t>Participation in FG-</w:t>
      </w:r>
      <w:r w:rsidR="006D619C" w:rsidRPr="00D417C0">
        <w:rPr>
          <w:rFonts w:asciiTheme="minorHAnsi" w:hAnsiTheme="minorHAnsi" w:cstheme="minorHAnsi"/>
          <w:sz w:val="22"/>
          <w:szCs w:val="22"/>
        </w:rPr>
        <w:t>TBFxG</w:t>
      </w:r>
      <w:r w:rsidR="00C24502" w:rsidRPr="00D417C0">
        <w:rPr>
          <w:rFonts w:asciiTheme="minorHAnsi" w:hAnsiTheme="minorHAnsi" w:cstheme="minorHAnsi"/>
          <w:sz w:val="22"/>
          <w:szCs w:val="22"/>
        </w:rPr>
        <w:t xml:space="preserve"> is free of charge and open to </w:t>
      </w:r>
      <w:r w:rsidR="001870DF" w:rsidRPr="00D417C0">
        <w:rPr>
          <w:rFonts w:asciiTheme="minorHAnsi" w:hAnsiTheme="minorHAnsi" w:cstheme="minorHAnsi"/>
          <w:sz w:val="22"/>
          <w:szCs w:val="22"/>
        </w:rPr>
        <w:t>a</w:t>
      </w:r>
      <w:proofErr w:type="spellStart"/>
      <w:r w:rsidR="001870DF" w:rsidRPr="00D417C0">
        <w:rPr>
          <w:rFonts w:asciiTheme="minorHAnsi" w:hAnsiTheme="minorHAnsi" w:cstheme="minorHAnsi"/>
          <w:sz w:val="22"/>
          <w:szCs w:val="22"/>
          <w:lang w:val="en-US"/>
        </w:rPr>
        <w:t>ny</w:t>
      </w:r>
      <w:proofErr w:type="spellEnd"/>
      <w:r w:rsidR="001870DF" w:rsidRPr="00D417C0">
        <w:rPr>
          <w:rFonts w:asciiTheme="minorHAnsi" w:hAnsiTheme="minorHAnsi" w:cstheme="minorHAnsi"/>
          <w:sz w:val="22"/>
          <w:szCs w:val="22"/>
          <w:lang w:val="en-US"/>
        </w:rPr>
        <w:t xml:space="preserve"> individual from a country that is a member of ITU and who is willing to contribute actively to the work may participate in the focus </w:t>
      </w:r>
      <w:r w:rsidR="001870DF" w:rsidRPr="00D417C0">
        <w:rPr>
          <w:sz w:val="22"/>
          <w:szCs w:val="22"/>
          <w:lang w:val="en-US"/>
        </w:rPr>
        <w:t>group. This includes individuals who are also members of international, regional and national organizations.</w:t>
      </w:r>
      <w:r w:rsidR="00DC725F" w:rsidRPr="00D417C0">
        <w:rPr>
          <w:sz w:val="22"/>
          <w:szCs w:val="22"/>
          <w:lang w:val="en-US"/>
        </w:rPr>
        <w:t xml:space="preserve"> </w:t>
      </w:r>
      <w:r w:rsidR="00927387" w:rsidRPr="00D417C0">
        <w:rPr>
          <w:sz w:val="22"/>
          <w:szCs w:val="22"/>
          <w:lang w:val="en-US"/>
        </w:rPr>
        <w:t>The FG-TBFxG encourages collaboration with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1CFFEB64" w14:textId="7E2D3837" w:rsidR="00C24502" w:rsidRPr="00D417C0" w:rsidRDefault="00C24502" w:rsidP="00C24502">
      <w:pPr>
        <w:rPr>
          <w:sz w:val="22"/>
          <w:szCs w:val="22"/>
        </w:rPr>
      </w:pPr>
      <w:r w:rsidRPr="00D417C0">
        <w:rPr>
          <w:sz w:val="22"/>
          <w:szCs w:val="22"/>
        </w:rPr>
        <w:lastRenderedPageBreak/>
        <w:t xml:space="preserve">Anyone interested in following or participating in this work is invited to subscribe to a dedicated </w:t>
      </w:r>
      <w:r w:rsidR="00B45565" w:rsidRPr="00D417C0">
        <w:rPr>
          <w:sz w:val="22"/>
          <w:szCs w:val="22"/>
        </w:rPr>
        <w:t xml:space="preserve">Focus Group </w:t>
      </w:r>
      <w:r w:rsidRPr="00D417C0">
        <w:rPr>
          <w:sz w:val="22"/>
          <w:szCs w:val="22"/>
        </w:rPr>
        <w:t>mailing</w:t>
      </w:r>
      <w:r w:rsidR="009545D6" w:rsidRPr="00D417C0">
        <w:rPr>
          <w:sz w:val="22"/>
          <w:szCs w:val="22"/>
        </w:rPr>
        <w:t>-</w:t>
      </w:r>
      <w:r w:rsidRPr="00D417C0">
        <w:rPr>
          <w:sz w:val="22"/>
          <w:szCs w:val="22"/>
        </w:rPr>
        <w:t>list</w:t>
      </w:r>
      <w:r w:rsidR="00B45565" w:rsidRPr="00D417C0">
        <w:rPr>
          <w:sz w:val="22"/>
          <w:szCs w:val="22"/>
        </w:rPr>
        <w:t xml:space="preserve"> </w:t>
      </w:r>
      <w:hyperlink r:id="rId10" w:history="1">
        <w:r w:rsidR="006662ED" w:rsidRPr="00EB5277">
          <w:rPr>
            <w:rStyle w:val="Hyperlink"/>
            <w:sz w:val="22"/>
            <w:szCs w:val="22"/>
          </w:rPr>
          <w:t>fgtbf@lists.itu.int</w:t>
        </w:r>
      </w:hyperlink>
      <w:r w:rsidR="00B45565" w:rsidRPr="00D417C0">
        <w:rPr>
          <w:sz w:val="22"/>
          <w:szCs w:val="22"/>
        </w:rPr>
        <w:t xml:space="preserve">. The </w:t>
      </w:r>
      <w:r w:rsidRPr="00D417C0">
        <w:rPr>
          <w:sz w:val="22"/>
          <w:szCs w:val="22"/>
        </w:rPr>
        <w:t>details on how to subscribe can be found at</w:t>
      </w:r>
      <w:r w:rsidR="00B45565" w:rsidRPr="00D417C0">
        <w:rPr>
          <w:sz w:val="22"/>
          <w:szCs w:val="22"/>
        </w:rPr>
        <w:t xml:space="preserve"> </w:t>
      </w:r>
      <w:r w:rsidR="0060287C" w:rsidRPr="00D417C0">
        <w:rPr>
          <w:sz w:val="22"/>
          <w:szCs w:val="22"/>
        </w:rPr>
        <w:t xml:space="preserve">the webpage at: </w:t>
      </w:r>
      <w:hyperlink r:id="rId11" w:history="1">
        <w:r w:rsidR="0060287C" w:rsidRPr="00D417C0">
          <w:rPr>
            <w:rStyle w:val="Hyperlink"/>
            <w:sz w:val="22"/>
            <w:szCs w:val="22"/>
          </w:rPr>
          <w:t>www.itu.int/go/fgtbf</w:t>
        </w:r>
      </w:hyperlink>
      <w:r w:rsidRPr="00D417C0">
        <w:rPr>
          <w:sz w:val="22"/>
          <w:szCs w:val="22"/>
        </w:rPr>
        <w:t>.</w:t>
      </w:r>
    </w:p>
    <w:p w14:paraId="20F6237C" w14:textId="2DC25D5C" w:rsidR="00C24502" w:rsidRPr="00D417C0" w:rsidRDefault="00CB388D" w:rsidP="00C24502">
      <w:pPr>
        <w:rPr>
          <w:sz w:val="22"/>
          <w:szCs w:val="22"/>
        </w:rPr>
      </w:pPr>
      <w:r w:rsidRPr="00D417C0">
        <w:rPr>
          <w:sz w:val="22"/>
          <w:szCs w:val="22"/>
        </w:rPr>
        <w:t>5</w:t>
      </w:r>
      <w:r w:rsidR="00C24502" w:rsidRPr="00D417C0">
        <w:rPr>
          <w:sz w:val="22"/>
          <w:szCs w:val="22"/>
        </w:rPr>
        <w:tab/>
        <w:t xml:space="preserve">The group will operate under the procedures set out in </w:t>
      </w:r>
      <w:hyperlink r:id="rId12" w:history="1">
        <w:r w:rsidR="00C24502" w:rsidRPr="00D417C0">
          <w:rPr>
            <w:rStyle w:val="Hyperlink"/>
            <w:sz w:val="22"/>
            <w:szCs w:val="22"/>
          </w:rPr>
          <w:t>Recommendation ITU-T A.7</w:t>
        </w:r>
      </w:hyperlink>
      <w:r w:rsidR="00C24502" w:rsidRPr="00D417C0">
        <w:rPr>
          <w:sz w:val="22"/>
          <w:szCs w:val="22"/>
        </w:rPr>
        <w:t xml:space="preserve"> and within the agreed </w:t>
      </w:r>
      <w:r w:rsidR="00EE0811">
        <w:rPr>
          <w:sz w:val="22"/>
          <w:szCs w:val="22"/>
        </w:rPr>
        <w:t>T</w:t>
      </w:r>
      <w:r w:rsidR="00C24502" w:rsidRPr="00D417C0">
        <w:rPr>
          <w:sz w:val="22"/>
          <w:szCs w:val="22"/>
        </w:rPr>
        <w:t xml:space="preserve">erms of </w:t>
      </w:r>
      <w:r w:rsidR="00EE0811">
        <w:rPr>
          <w:sz w:val="22"/>
          <w:szCs w:val="22"/>
        </w:rPr>
        <w:t>R</w:t>
      </w:r>
      <w:r w:rsidR="00C24502" w:rsidRPr="00D417C0">
        <w:rPr>
          <w:sz w:val="22"/>
          <w:szCs w:val="22"/>
        </w:rPr>
        <w:t xml:space="preserve">eference reproduced in </w:t>
      </w:r>
      <w:r w:rsidR="00C24502" w:rsidRPr="00D417C0">
        <w:rPr>
          <w:b/>
          <w:bCs/>
          <w:sz w:val="22"/>
          <w:szCs w:val="22"/>
        </w:rPr>
        <w:t>Annex 1</w:t>
      </w:r>
      <w:r w:rsidR="00C24502" w:rsidRPr="00D417C0">
        <w:rPr>
          <w:sz w:val="22"/>
          <w:szCs w:val="22"/>
        </w:rPr>
        <w:t xml:space="preserve">. The focus group’s lifetime is set for one year from the first meeting, with the possibility for a further year subject to the agreement of its parent study group, ITU-T Study Group </w:t>
      </w:r>
      <w:r w:rsidR="002666A4" w:rsidRPr="00D417C0">
        <w:rPr>
          <w:sz w:val="22"/>
          <w:szCs w:val="22"/>
        </w:rPr>
        <w:t>11</w:t>
      </w:r>
      <w:r w:rsidR="00C24502" w:rsidRPr="00D417C0">
        <w:rPr>
          <w:sz w:val="22"/>
          <w:szCs w:val="22"/>
        </w:rPr>
        <w:t>.</w:t>
      </w:r>
    </w:p>
    <w:p w14:paraId="1DBC22D1" w14:textId="30AF1C96" w:rsidR="00C24502" w:rsidRPr="00D417C0" w:rsidRDefault="00CB388D" w:rsidP="00C24502">
      <w:pPr>
        <w:rPr>
          <w:sz w:val="22"/>
          <w:szCs w:val="22"/>
        </w:rPr>
      </w:pPr>
      <w:r w:rsidRPr="00D417C0">
        <w:rPr>
          <w:sz w:val="22"/>
          <w:szCs w:val="22"/>
        </w:rPr>
        <w:t>6</w:t>
      </w:r>
      <w:r w:rsidR="00C24502" w:rsidRPr="00D417C0">
        <w:rPr>
          <w:sz w:val="22"/>
          <w:szCs w:val="22"/>
        </w:rPr>
        <w:tab/>
        <w:t>The first meeting of FG-</w:t>
      </w:r>
      <w:r w:rsidR="002666A4" w:rsidRPr="00D417C0">
        <w:rPr>
          <w:sz w:val="22"/>
          <w:szCs w:val="22"/>
        </w:rPr>
        <w:t xml:space="preserve">TBFxG </w:t>
      </w:r>
      <w:r w:rsidR="00C24502" w:rsidRPr="00D417C0">
        <w:rPr>
          <w:sz w:val="22"/>
          <w:szCs w:val="22"/>
        </w:rPr>
        <w:t xml:space="preserve">will be held virtually from </w:t>
      </w:r>
      <w:r w:rsidR="002666A4" w:rsidRPr="00D417C0">
        <w:rPr>
          <w:sz w:val="22"/>
          <w:szCs w:val="22"/>
        </w:rPr>
        <w:t>4</w:t>
      </w:r>
      <w:r w:rsidR="00C24502" w:rsidRPr="00D417C0">
        <w:rPr>
          <w:sz w:val="22"/>
          <w:szCs w:val="22"/>
        </w:rPr>
        <w:t xml:space="preserve"> to 7 </w:t>
      </w:r>
      <w:r w:rsidR="002666A4" w:rsidRPr="00D417C0">
        <w:rPr>
          <w:sz w:val="22"/>
          <w:szCs w:val="22"/>
        </w:rPr>
        <w:t>April</w:t>
      </w:r>
      <w:r w:rsidR="00C24502" w:rsidRPr="00D417C0">
        <w:rPr>
          <w:sz w:val="22"/>
          <w:szCs w:val="22"/>
        </w:rPr>
        <w:t xml:space="preserve"> 202</w:t>
      </w:r>
      <w:r w:rsidR="002666A4" w:rsidRPr="00D417C0">
        <w:rPr>
          <w:sz w:val="22"/>
          <w:szCs w:val="22"/>
        </w:rPr>
        <w:t>2</w:t>
      </w:r>
      <w:r w:rsidR="00C24502" w:rsidRPr="00D417C0">
        <w:rPr>
          <w:sz w:val="22"/>
          <w:szCs w:val="22"/>
        </w:rPr>
        <w:t xml:space="preserve"> (1</w:t>
      </w:r>
      <w:r w:rsidR="00913638" w:rsidRPr="00D417C0">
        <w:rPr>
          <w:sz w:val="22"/>
          <w:szCs w:val="22"/>
        </w:rPr>
        <w:t>2</w:t>
      </w:r>
      <w:r w:rsidR="00C24502" w:rsidRPr="00D417C0">
        <w:rPr>
          <w:sz w:val="22"/>
          <w:szCs w:val="22"/>
        </w:rPr>
        <w:t>00-1</w:t>
      </w:r>
      <w:r w:rsidR="00913638" w:rsidRPr="00D417C0">
        <w:rPr>
          <w:sz w:val="22"/>
          <w:szCs w:val="22"/>
        </w:rPr>
        <w:t>7</w:t>
      </w:r>
      <w:r w:rsidR="00C24502" w:rsidRPr="00D417C0">
        <w:rPr>
          <w:sz w:val="22"/>
          <w:szCs w:val="22"/>
        </w:rPr>
        <w:t>00 hours Geneva time). The objectives of the first meeting include:</w:t>
      </w:r>
    </w:p>
    <w:p w14:paraId="666F93E1" w14:textId="14845244" w:rsidR="00EE0F23" w:rsidRPr="00D417C0" w:rsidRDefault="00C24502" w:rsidP="00EE0F23">
      <w:pPr>
        <w:pStyle w:val="enumlev1"/>
        <w:rPr>
          <w:sz w:val="22"/>
          <w:szCs w:val="22"/>
        </w:rPr>
      </w:pPr>
      <w:bookmarkStart w:id="0" w:name="_Hlk90297781"/>
      <w:r w:rsidRPr="00D417C0">
        <w:rPr>
          <w:sz w:val="22"/>
          <w:szCs w:val="22"/>
        </w:rPr>
        <w:t>–</w:t>
      </w:r>
      <w:r w:rsidRPr="00D417C0">
        <w:rPr>
          <w:sz w:val="22"/>
          <w:szCs w:val="22"/>
        </w:rPr>
        <w:tab/>
      </w:r>
      <w:bookmarkEnd w:id="0"/>
      <w:r w:rsidR="00EE0811">
        <w:rPr>
          <w:sz w:val="22"/>
          <w:szCs w:val="22"/>
        </w:rPr>
        <w:t>I</w:t>
      </w:r>
      <w:r w:rsidR="00EE0F23" w:rsidRPr="00D417C0">
        <w:rPr>
          <w:sz w:val="22"/>
          <w:szCs w:val="22"/>
        </w:rPr>
        <w:t>ntroduction the scope of FG-</w:t>
      </w:r>
      <w:proofErr w:type="gramStart"/>
      <w:r w:rsidR="00EE0F23" w:rsidRPr="00D417C0">
        <w:rPr>
          <w:sz w:val="22"/>
          <w:szCs w:val="22"/>
        </w:rPr>
        <w:t>TBFxG;</w:t>
      </w:r>
      <w:proofErr w:type="gramEnd"/>
    </w:p>
    <w:p w14:paraId="61890371" w14:textId="3354A4E4" w:rsidR="00EE0F23" w:rsidRPr="00D417C0" w:rsidRDefault="003329CF" w:rsidP="00EE0F23">
      <w:pPr>
        <w:pStyle w:val="enumlev1"/>
        <w:rPr>
          <w:sz w:val="22"/>
          <w:szCs w:val="22"/>
        </w:rPr>
      </w:pPr>
      <w:r w:rsidRPr="00D417C0">
        <w:rPr>
          <w:sz w:val="22"/>
          <w:szCs w:val="22"/>
        </w:rPr>
        <w:t>–</w:t>
      </w:r>
      <w:r w:rsidRPr="00D417C0">
        <w:rPr>
          <w:sz w:val="22"/>
          <w:szCs w:val="22"/>
        </w:rPr>
        <w:tab/>
      </w:r>
      <w:r w:rsidR="00EE0811">
        <w:rPr>
          <w:sz w:val="22"/>
          <w:szCs w:val="22"/>
        </w:rPr>
        <w:t>C</w:t>
      </w:r>
      <w:r w:rsidR="00EE0F23" w:rsidRPr="00D417C0">
        <w:rPr>
          <w:sz w:val="22"/>
          <w:szCs w:val="22"/>
        </w:rPr>
        <w:t>reation of Working Groups (WG) of FG-</w:t>
      </w:r>
      <w:proofErr w:type="gramStart"/>
      <w:r w:rsidR="00EE0F23" w:rsidRPr="00D417C0">
        <w:rPr>
          <w:sz w:val="22"/>
          <w:szCs w:val="22"/>
        </w:rPr>
        <w:t>TBFxG;</w:t>
      </w:r>
      <w:proofErr w:type="gramEnd"/>
    </w:p>
    <w:p w14:paraId="6055E4AF" w14:textId="51467C6B" w:rsidR="00EE0F23" w:rsidRPr="00D417C0" w:rsidRDefault="003329CF" w:rsidP="00EE0F23">
      <w:pPr>
        <w:pStyle w:val="enumlev1"/>
        <w:rPr>
          <w:sz w:val="22"/>
          <w:szCs w:val="22"/>
        </w:rPr>
      </w:pPr>
      <w:r w:rsidRPr="00D417C0">
        <w:rPr>
          <w:sz w:val="22"/>
          <w:szCs w:val="22"/>
        </w:rPr>
        <w:t>–</w:t>
      </w:r>
      <w:r w:rsidRPr="00D417C0">
        <w:rPr>
          <w:sz w:val="22"/>
          <w:szCs w:val="22"/>
        </w:rPr>
        <w:tab/>
      </w:r>
      <w:r w:rsidR="00EE0811">
        <w:rPr>
          <w:sz w:val="22"/>
          <w:szCs w:val="22"/>
        </w:rPr>
        <w:t>A</w:t>
      </w:r>
      <w:r w:rsidR="00EE0F23" w:rsidRPr="00D417C0">
        <w:rPr>
          <w:sz w:val="22"/>
          <w:szCs w:val="22"/>
        </w:rPr>
        <w:t>ppointment of FG-</w:t>
      </w:r>
      <w:proofErr w:type="spellStart"/>
      <w:r w:rsidR="00EE0F23" w:rsidRPr="00D417C0">
        <w:rPr>
          <w:sz w:val="22"/>
          <w:szCs w:val="22"/>
        </w:rPr>
        <w:t>TBFxG</w:t>
      </w:r>
      <w:proofErr w:type="spellEnd"/>
      <w:r w:rsidR="00EE0F23" w:rsidRPr="00D417C0">
        <w:rPr>
          <w:sz w:val="22"/>
          <w:szCs w:val="22"/>
        </w:rPr>
        <w:t xml:space="preserve"> management, including vice-chairs and WGs </w:t>
      </w:r>
      <w:proofErr w:type="gramStart"/>
      <w:r w:rsidR="00EE0F23" w:rsidRPr="00D417C0">
        <w:rPr>
          <w:sz w:val="22"/>
          <w:szCs w:val="22"/>
        </w:rPr>
        <w:t>Chairmen;</w:t>
      </w:r>
      <w:proofErr w:type="gramEnd"/>
    </w:p>
    <w:p w14:paraId="5A32F739" w14:textId="1DDBB95C" w:rsidR="00EE0F23" w:rsidRPr="00D417C0" w:rsidRDefault="003329CF" w:rsidP="003329CF">
      <w:pPr>
        <w:pStyle w:val="enumlev1"/>
        <w:tabs>
          <w:tab w:val="clear" w:pos="794"/>
          <w:tab w:val="clear" w:pos="1191"/>
          <w:tab w:val="left" w:pos="810"/>
        </w:tabs>
        <w:ind w:left="810" w:hanging="810"/>
        <w:rPr>
          <w:sz w:val="22"/>
          <w:szCs w:val="22"/>
        </w:rPr>
      </w:pPr>
      <w:r w:rsidRPr="00D417C0">
        <w:rPr>
          <w:sz w:val="22"/>
          <w:szCs w:val="22"/>
        </w:rPr>
        <w:t>–</w:t>
      </w:r>
      <w:r w:rsidRPr="00D417C0">
        <w:rPr>
          <w:sz w:val="22"/>
          <w:szCs w:val="22"/>
        </w:rPr>
        <w:tab/>
      </w:r>
      <w:r w:rsidR="00EE0811">
        <w:rPr>
          <w:sz w:val="22"/>
          <w:szCs w:val="22"/>
        </w:rPr>
        <w:t>A</w:t>
      </w:r>
      <w:r w:rsidR="00EE0F23" w:rsidRPr="00D417C0">
        <w:rPr>
          <w:sz w:val="22"/>
          <w:szCs w:val="22"/>
        </w:rPr>
        <w:t xml:space="preserve">greement on </w:t>
      </w:r>
      <w:proofErr w:type="gramStart"/>
      <w:r w:rsidR="00EE0F23" w:rsidRPr="00D417C0">
        <w:rPr>
          <w:sz w:val="22"/>
          <w:szCs w:val="22"/>
        </w:rPr>
        <w:t>a</w:t>
      </w:r>
      <w:proofErr w:type="gramEnd"/>
      <w:r w:rsidR="00EE0F23" w:rsidRPr="00D417C0">
        <w:rPr>
          <w:sz w:val="22"/>
          <w:szCs w:val="22"/>
        </w:rPr>
        <w:t xml:space="preserve"> FG-</w:t>
      </w:r>
      <w:proofErr w:type="spellStart"/>
      <w:r w:rsidR="00EE0F23" w:rsidRPr="00D417C0">
        <w:rPr>
          <w:sz w:val="22"/>
          <w:szCs w:val="22"/>
        </w:rPr>
        <w:t>TBFxG</w:t>
      </w:r>
      <w:proofErr w:type="spellEnd"/>
      <w:r w:rsidR="00EE0F23" w:rsidRPr="00D417C0">
        <w:rPr>
          <w:sz w:val="22"/>
          <w:szCs w:val="22"/>
        </w:rPr>
        <w:t xml:space="preserve"> roadmap of expected deliverables, timelines, scopes, and editors and assignment of responsibilities to the various WGs;</w:t>
      </w:r>
    </w:p>
    <w:p w14:paraId="704323E4" w14:textId="1162B280" w:rsidR="00EE0F23" w:rsidRPr="00D417C0" w:rsidRDefault="003329CF" w:rsidP="00EE0F23">
      <w:pPr>
        <w:pStyle w:val="enumlev1"/>
        <w:rPr>
          <w:sz w:val="22"/>
          <w:szCs w:val="22"/>
        </w:rPr>
      </w:pPr>
      <w:r w:rsidRPr="00D417C0">
        <w:rPr>
          <w:sz w:val="22"/>
          <w:szCs w:val="22"/>
        </w:rPr>
        <w:t>–</w:t>
      </w:r>
      <w:r w:rsidRPr="00D417C0">
        <w:rPr>
          <w:sz w:val="22"/>
          <w:szCs w:val="22"/>
        </w:rPr>
        <w:tab/>
      </w:r>
      <w:r w:rsidR="00EE0811">
        <w:rPr>
          <w:sz w:val="22"/>
          <w:szCs w:val="22"/>
        </w:rPr>
        <w:t>A</w:t>
      </w:r>
      <w:r w:rsidR="00EE0F23" w:rsidRPr="00D417C0">
        <w:rPr>
          <w:sz w:val="22"/>
          <w:szCs w:val="22"/>
        </w:rPr>
        <w:t>greement on FG-</w:t>
      </w:r>
      <w:proofErr w:type="spellStart"/>
      <w:r w:rsidR="00EE0F23" w:rsidRPr="00D417C0">
        <w:rPr>
          <w:sz w:val="22"/>
          <w:szCs w:val="22"/>
        </w:rPr>
        <w:t>TBFxG</w:t>
      </w:r>
      <w:proofErr w:type="spellEnd"/>
      <w:r w:rsidR="00EE0F23" w:rsidRPr="00D417C0">
        <w:rPr>
          <w:sz w:val="22"/>
          <w:szCs w:val="22"/>
        </w:rPr>
        <w:t xml:space="preserve"> working methods, using ITU-T A.7 as a </w:t>
      </w:r>
      <w:proofErr w:type="gramStart"/>
      <w:r w:rsidR="00EE0F23" w:rsidRPr="00D417C0">
        <w:rPr>
          <w:sz w:val="22"/>
          <w:szCs w:val="22"/>
        </w:rPr>
        <w:t>base;</w:t>
      </w:r>
      <w:proofErr w:type="gramEnd"/>
    </w:p>
    <w:p w14:paraId="5AC4C807" w14:textId="12669532" w:rsidR="00EE0F23" w:rsidRPr="00D417C0" w:rsidRDefault="003329CF" w:rsidP="00EE0F23">
      <w:pPr>
        <w:pStyle w:val="enumlev1"/>
        <w:rPr>
          <w:sz w:val="22"/>
          <w:szCs w:val="22"/>
        </w:rPr>
      </w:pPr>
      <w:r w:rsidRPr="00D417C0">
        <w:rPr>
          <w:sz w:val="22"/>
          <w:szCs w:val="22"/>
        </w:rPr>
        <w:t>–</w:t>
      </w:r>
      <w:r w:rsidRPr="00D417C0">
        <w:rPr>
          <w:sz w:val="22"/>
          <w:szCs w:val="22"/>
        </w:rPr>
        <w:tab/>
      </w:r>
      <w:r w:rsidR="00EE0811">
        <w:rPr>
          <w:sz w:val="22"/>
          <w:szCs w:val="22"/>
        </w:rPr>
        <w:t>A</w:t>
      </w:r>
      <w:r w:rsidR="00EE0F23" w:rsidRPr="00D417C0">
        <w:rPr>
          <w:sz w:val="22"/>
          <w:szCs w:val="22"/>
        </w:rPr>
        <w:t>greement on FG-</w:t>
      </w:r>
      <w:proofErr w:type="spellStart"/>
      <w:r w:rsidR="00EE0F23" w:rsidRPr="00D417C0">
        <w:rPr>
          <w:sz w:val="22"/>
          <w:szCs w:val="22"/>
        </w:rPr>
        <w:t>TBFxG</w:t>
      </w:r>
      <w:proofErr w:type="spellEnd"/>
      <w:r w:rsidR="00EE0F23" w:rsidRPr="00D417C0">
        <w:rPr>
          <w:sz w:val="22"/>
          <w:szCs w:val="22"/>
        </w:rPr>
        <w:t xml:space="preserve"> future meeting plans, including frequency of </w:t>
      </w:r>
      <w:proofErr w:type="gramStart"/>
      <w:r w:rsidR="00EE0F23" w:rsidRPr="00D417C0">
        <w:rPr>
          <w:sz w:val="22"/>
          <w:szCs w:val="22"/>
        </w:rPr>
        <w:t>meetings;</w:t>
      </w:r>
      <w:proofErr w:type="gramEnd"/>
    </w:p>
    <w:p w14:paraId="4E976515" w14:textId="04765797" w:rsidR="00C24502" w:rsidRPr="00D417C0" w:rsidRDefault="00C24502" w:rsidP="00EE0F23">
      <w:pPr>
        <w:pStyle w:val="enumlev1"/>
        <w:rPr>
          <w:sz w:val="22"/>
          <w:szCs w:val="22"/>
        </w:rPr>
      </w:pPr>
      <w:r w:rsidRPr="00D417C0">
        <w:rPr>
          <w:sz w:val="22"/>
          <w:szCs w:val="22"/>
        </w:rPr>
        <w:t>–</w:t>
      </w:r>
      <w:r w:rsidRPr="00D417C0">
        <w:rPr>
          <w:sz w:val="22"/>
          <w:szCs w:val="22"/>
        </w:rPr>
        <w:tab/>
      </w:r>
      <w:r w:rsidR="00EE0811">
        <w:rPr>
          <w:sz w:val="22"/>
          <w:szCs w:val="22"/>
        </w:rPr>
        <w:t>R</w:t>
      </w:r>
      <w:r w:rsidRPr="00D417C0">
        <w:rPr>
          <w:sz w:val="22"/>
          <w:szCs w:val="22"/>
        </w:rPr>
        <w:t>eview of written contributions and initial development of the scope of deliverables.</w:t>
      </w:r>
    </w:p>
    <w:p w14:paraId="345C3CA7" w14:textId="77777777" w:rsidR="00A75EF3" w:rsidRPr="00D417C0" w:rsidRDefault="00CB388D" w:rsidP="00C24502">
      <w:pPr>
        <w:rPr>
          <w:rFonts w:asciiTheme="minorHAnsi" w:hAnsiTheme="minorHAnsi"/>
          <w:sz w:val="22"/>
          <w:szCs w:val="22"/>
        </w:rPr>
      </w:pPr>
      <w:r w:rsidRPr="00D417C0">
        <w:rPr>
          <w:sz w:val="22"/>
          <w:szCs w:val="22"/>
        </w:rPr>
        <w:t>7</w:t>
      </w:r>
      <w:r w:rsidR="00C24502" w:rsidRPr="00D417C0">
        <w:rPr>
          <w:sz w:val="22"/>
          <w:szCs w:val="22"/>
        </w:rPr>
        <w:tab/>
        <w:t xml:space="preserve">Written contributions are essential to the eventual success of the focus groups, and are strongly encouraged </w:t>
      </w:r>
      <w:r w:rsidR="00C24502" w:rsidRPr="00D417C0">
        <w:rPr>
          <w:rFonts w:asciiTheme="minorHAnsi" w:hAnsiTheme="minorHAnsi"/>
          <w:sz w:val="22"/>
          <w:szCs w:val="22"/>
        </w:rPr>
        <w:t xml:space="preserve">in line with the terms of reference set out in </w:t>
      </w:r>
      <w:r w:rsidR="00C24502" w:rsidRPr="00D417C0">
        <w:rPr>
          <w:rFonts w:asciiTheme="minorHAnsi" w:hAnsiTheme="minorHAnsi"/>
          <w:b/>
          <w:bCs/>
          <w:sz w:val="22"/>
          <w:szCs w:val="22"/>
        </w:rPr>
        <w:t xml:space="preserve">Annex 1, </w:t>
      </w:r>
      <w:r w:rsidR="00C24502" w:rsidRPr="00D417C0">
        <w:rPr>
          <w:rFonts w:asciiTheme="minorHAnsi" w:hAnsiTheme="minorHAnsi"/>
          <w:sz w:val="22"/>
          <w:szCs w:val="22"/>
        </w:rPr>
        <w:t>and to address the objectives highlighted above to foster an initial development plan of deliverables.</w:t>
      </w:r>
    </w:p>
    <w:p w14:paraId="210DB291" w14:textId="7C41D06B" w:rsidR="00C24502" w:rsidRPr="00D417C0" w:rsidRDefault="00C24502" w:rsidP="00C24502">
      <w:pPr>
        <w:rPr>
          <w:rFonts w:asciiTheme="minorHAnsi" w:hAnsiTheme="minorHAnsi"/>
          <w:sz w:val="22"/>
          <w:szCs w:val="22"/>
        </w:rPr>
      </w:pPr>
      <w:r w:rsidRPr="00D417C0">
        <w:rPr>
          <w:sz w:val="22"/>
          <w:szCs w:val="22"/>
        </w:rPr>
        <w:t>Written contributions should be submitted to the Secretariat (</w:t>
      </w:r>
      <w:hyperlink r:id="rId13" w:history="1">
        <w:r w:rsidR="00BE6735" w:rsidRPr="00D417C0">
          <w:rPr>
            <w:rStyle w:val="Hyperlink"/>
            <w:sz w:val="22"/>
            <w:szCs w:val="22"/>
          </w:rPr>
          <w:t>tsbfgtbf@itu.int</w:t>
        </w:r>
      </w:hyperlink>
      <w:r w:rsidRPr="00D417C0">
        <w:rPr>
          <w:sz w:val="22"/>
          <w:szCs w:val="22"/>
        </w:rPr>
        <w:t>) in electronic format using the templates available from the FG-</w:t>
      </w:r>
      <w:r w:rsidR="00BE6735" w:rsidRPr="00D417C0">
        <w:rPr>
          <w:sz w:val="22"/>
          <w:szCs w:val="22"/>
        </w:rPr>
        <w:t xml:space="preserve">TBFxG </w:t>
      </w:r>
      <w:r w:rsidRPr="00D417C0">
        <w:rPr>
          <w:sz w:val="22"/>
          <w:szCs w:val="22"/>
        </w:rPr>
        <w:t>homepage</w:t>
      </w:r>
      <w:r w:rsidR="009A0665" w:rsidRPr="00D417C0">
        <w:rPr>
          <w:sz w:val="22"/>
          <w:szCs w:val="22"/>
        </w:rPr>
        <w:t xml:space="preserve"> (</w:t>
      </w:r>
      <w:hyperlink r:id="rId14" w:history="1">
        <w:r w:rsidR="009A0665" w:rsidRPr="00D417C0">
          <w:rPr>
            <w:rStyle w:val="Hyperlink"/>
            <w:sz w:val="22"/>
            <w:szCs w:val="22"/>
          </w:rPr>
          <w:t>www.itu.int/go/fgtbf</w:t>
        </w:r>
      </w:hyperlink>
      <w:r w:rsidR="009A0665" w:rsidRPr="00D417C0">
        <w:rPr>
          <w:sz w:val="22"/>
          <w:szCs w:val="22"/>
        </w:rPr>
        <w:t>)</w:t>
      </w:r>
      <w:r w:rsidRPr="00D417C0">
        <w:rPr>
          <w:sz w:val="22"/>
          <w:szCs w:val="22"/>
        </w:rPr>
        <w:t xml:space="preserve">. </w:t>
      </w:r>
      <w:r w:rsidRPr="00D417C0">
        <w:rPr>
          <w:b/>
          <w:bCs/>
          <w:sz w:val="22"/>
          <w:szCs w:val="22"/>
        </w:rPr>
        <w:t>The contribution deadline for the first meeting is 2</w:t>
      </w:r>
      <w:r w:rsidR="009A0665" w:rsidRPr="00D417C0">
        <w:rPr>
          <w:b/>
          <w:bCs/>
          <w:sz w:val="22"/>
          <w:szCs w:val="22"/>
        </w:rPr>
        <w:t>8</w:t>
      </w:r>
      <w:r w:rsidRPr="00D417C0">
        <w:rPr>
          <w:b/>
          <w:bCs/>
          <w:sz w:val="22"/>
          <w:szCs w:val="22"/>
        </w:rPr>
        <w:t xml:space="preserve"> March 202</w:t>
      </w:r>
      <w:r w:rsidR="00D57525" w:rsidRPr="00D417C0">
        <w:rPr>
          <w:b/>
          <w:bCs/>
          <w:sz w:val="22"/>
          <w:szCs w:val="22"/>
        </w:rPr>
        <w:t>2</w:t>
      </w:r>
      <w:r w:rsidRPr="00D417C0">
        <w:rPr>
          <w:b/>
          <w:bCs/>
          <w:sz w:val="22"/>
          <w:szCs w:val="22"/>
        </w:rPr>
        <w:t>.</w:t>
      </w:r>
    </w:p>
    <w:p w14:paraId="258839A5" w14:textId="702EA44C" w:rsidR="00C24502" w:rsidRPr="0026401A" w:rsidRDefault="00CB388D" w:rsidP="00C24502">
      <w:pPr>
        <w:rPr>
          <w:sz w:val="22"/>
          <w:szCs w:val="22"/>
        </w:rPr>
      </w:pPr>
      <w:r w:rsidRPr="00D417C0">
        <w:rPr>
          <w:sz w:val="22"/>
          <w:szCs w:val="22"/>
        </w:rPr>
        <w:t>8</w:t>
      </w:r>
      <w:r w:rsidR="00C24502" w:rsidRPr="00D417C0">
        <w:rPr>
          <w:sz w:val="22"/>
          <w:szCs w:val="22"/>
        </w:rPr>
        <w:tab/>
      </w:r>
      <w:r w:rsidR="00C24502" w:rsidRPr="0026401A">
        <w:rPr>
          <w:sz w:val="22"/>
          <w:szCs w:val="22"/>
        </w:rPr>
        <w:t xml:space="preserve">The meeting </w:t>
      </w:r>
      <w:r w:rsidR="002D08FF" w:rsidRPr="0026401A">
        <w:rPr>
          <w:sz w:val="22"/>
          <w:szCs w:val="22"/>
        </w:rPr>
        <w:t xml:space="preserve">draft </w:t>
      </w:r>
      <w:r w:rsidR="00C24502" w:rsidRPr="0026401A">
        <w:rPr>
          <w:sz w:val="22"/>
          <w:szCs w:val="22"/>
        </w:rPr>
        <w:t xml:space="preserve">agenda, documents and other practical information will be available </w:t>
      </w:r>
      <w:r w:rsidR="0064254B" w:rsidRPr="0026401A">
        <w:rPr>
          <w:sz w:val="22"/>
          <w:szCs w:val="22"/>
        </w:rPr>
        <w:t>at</w:t>
      </w:r>
      <w:r w:rsidR="00C24502" w:rsidRPr="0026401A">
        <w:rPr>
          <w:sz w:val="22"/>
          <w:szCs w:val="22"/>
        </w:rPr>
        <w:t xml:space="preserve"> the </w:t>
      </w:r>
      <w:hyperlink r:id="rId15" w:history="1">
        <w:r w:rsidR="00C24502" w:rsidRPr="0026401A">
          <w:rPr>
            <w:rStyle w:val="Hyperlink"/>
            <w:sz w:val="22"/>
            <w:szCs w:val="22"/>
          </w:rPr>
          <w:t>FG-</w:t>
        </w:r>
        <w:r w:rsidR="003119FD" w:rsidRPr="0026401A">
          <w:rPr>
            <w:rStyle w:val="Hyperlink"/>
            <w:sz w:val="22"/>
            <w:szCs w:val="22"/>
          </w:rPr>
          <w:t>TBFxG</w:t>
        </w:r>
        <w:r w:rsidR="00C24502" w:rsidRPr="0026401A">
          <w:rPr>
            <w:rStyle w:val="Hyperlink"/>
            <w:sz w:val="22"/>
            <w:szCs w:val="22"/>
          </w:rPr>
          <w:t xml:space="preserve"> homepage</w:t>
        </w:r>
      </w:hyperlink>
      <w:r w:rsidR="00C24502" w:rsidRPr="0026401A">
        <w:rPr>
          <w:sz w:val="22"/>
          <w:szCs w:val="22"/>
        </w:rPr>
        <w:t xml:space="preserve"> in advance of the meeting. The discussions will be held in English only.</w:t>
      </w:r>
      <w:r w:rsidR="009A0665" w:rsidRPr="0026401A">
        <w:rPr>
          <w:sz w:val="22"/>
          <w:szCs w:val="22"/>
        </w:rPr>
        <w:t xml:space="preserve"> </w:t>
      </w:r>
      <w:r w:rsidR="002D08FF" w:rsidRPr="0026401A">
        <w:rPr>
          <w:sz w:val="22"/>
          <w:szCs w:val="22"/>
        </w:rPr>
        <w:t xml:space="preserve">Information on the remote participation details </w:t>
      </w:r>
      <w:r w:rsidR="00FE4E07" w:rsidRPr="0026401A">
        <w:rPr>
          <w:sz w:val="22"/>
          <w:szCs w:val="22"/>
        </w:rPr>
        <w:t>will be made available on the Focus Group webpage</w:t>
      </w:r>
      <w:r w:rsidR="00031A43" w:rsidRPr="0026401A">
        <w:rPr>
          <w:sz w:val="22"/>
          <w:szCs w:val="22"/>
        </w:rPr>
        <w:t xml:space="preserve"> (</w:t>
      </w:r>
      <w:hyperlink r:id="rId16" w:history="1">
        <w:r w:rsidR="00031A43" w:rsidRPr="0026401A">
          <w:rPr>
            <w:rStyle w:val="Hyperlink"/>
            <w:sz w:val="22"/>
            <w:szCs w:val="22"/>
          </w:rPr>
          <w:t>www.itu.int/go/fgtbf</w:t>
        </w:r>
      </w:hyperlink>
      <w:r w:rsidR="00031A43" w:rsidRPr="0026401A">
        <w:rPr>
          <w:sz w:val="22"/>
          <w:szCs w:val="22"/>
        </w:rPr>
        <w:t>)</w:t>
      </w:r>
      <w:r w:rsidR="009A0665" w:rsidRPr="0026401A">
        <w:rPr>
          <w:sz w:val="22"/>
          <w:szCs w:val="22"/>
        </w:rPr>
        <w:t>.</w:t>
      </w:r>
    </w:p>
    <w:p w14:paraId="76184807" w14:textId="7192168D" w:rsidR="00C24502" w:rsidRPr="0026401A" w:rsidRDefault="00C24502" w:rsidP="00C24502">
      <w:pPr>
        <w:spacing w:after="120"/>
        <w:rPr>
          <w:sz w:val="22"/>
          <w:szCs w:val="22"/>
        </w:rPr>
      </w:pPr>
      <w:r w:rsidRPr="0026401A">
        <w:rPr>
          <w:sz w:val="22"/>
          <w:szCs w:val="22"/>
        </w:rPr>
        <w:t>9</w:t>
      </w:r>
      <w:r w:rsidRPr="0026401A">
        <w:rPr>
          <w:sz w:val="22"/>
          <w:szCs w:val="22"/>
        </w:rPr>
        <w:tab/>
      </w:r>
      <w:r w:rsidR="002D08FF" w:rsidRPr="0026401A">
        <w:rPr>
          <w:sz w:val="22"/>
          <w:szCs w:val="22"/>
        </w:rPr>
        <w:t>P</w:t>
      </w:r>
      <w:r w:rsidRPr="0026401A">
        <w:rPr>
          <w:sz w:val="22"/>
          <w:szCs w:val="22"/>
        </w:rPr>
        <w:t xml:space="preserve">articipants are invited to register online via the </w:t>
      </w:r>
      <w:hyperlink r:id="rId17" w:history="1">
        <w:r w:rsidRPr="0026401A">
          <w:rPr>
            <w:rStyle w:val="Hyperlink"/>
            <w:sz w:val="22"/>
            <w:szCs w:val="22"/>
          </w:rPr>
          <w:t>FG-</w:t>
        </w:r>
        <w:r w:rsidR="001355F7" w:rsidRPr="0026401A">
          <w:rPr>
            <w:rStyle w:val="Hyperlink"/>
            <w:sz w:val="22"/>
            <w:szCs w:val="22"/>
          </w:rPr>
          <w:t>TBFxG</w:t>
        </w:r>
        <w:r w:rsidRPr="0026401A">
          <w:rPr>
            <w:rStyle w:val="Hyperlink"/>
            <w:sz w:val="22"/>
            <w:szCs w:val="22"/>
          </w:rPr>
          <w:t xml:space="preserve"> homepage</w:t>
        </w:r>
      </w:hyperlink>
      <w:r w:rsidRPr="0026401A">
        <w:rPr>
          <w:sz w:val="22"/>
          <w:szCs w:val="22"/>
        </w:rPr>
        <w:t xml:space="preserve"> as soon as possible. </w:t>
      </w:r>
      <w:r w:rsidR="002D08FF" w:rsidRPr="0026401A">
        <w:rPr>
          <w:b/>
          <w:bCs/>
          <w:sz w:val="22"/>
          <w:szCs w:val="22"/>
          <w:u w:val="single"/>
        </w:rPr>
        <w:t>R</w:t>
      </w:r>
      <w:r w:rsidRPr="0026401A">
        <w:rPr>
          <w:b/>
          <w:bCs/>
          <w:sz w:val="22"/>
          <w:szCs w:val="22"/>
          <w:u w:val="single"/>
        </w:rPr>
        <w:t>egistration is mandatory</w:t>
      </w:r>
      <w:r w:rsidR="002D08FF" w:rsidRPr="0026401A">
        <w:rPr>
          <w:b/>
          <w:bCs/>
          <w:sz w:val="22"/>
          <w:szCs w:val="22"/>
          <w:u w:val="single"/>
        </w:rPr>
        <w:t xml:space="preserve"> to attend the virtual meeting</w:t>
      </w:r>
      <w:r w:rsidRPr="0026401A">
        <w:rPr>
          <w:sz w:val="22"/>
          <w:szCs w:val="22"/>
        </w:rPr>
        <w:t>.</w:t>
      </w:r>
    </w:p>
    <w:tbl>
      <w:tblPr>
        <w:tblStyle w:val="TableGrid"/>
        <w:tblW w:w="5000" w:type="pct"/>
        <w:tblLayout w:type="fixed"/>
        <w:tblLook w:val="04A0" w:firstRow="1" w:lastRow="0" w:firstColumn="1" w:lastColumn="0" w:noHBand="0" w:noVBand="1"/>
      </w:tblPr>
      <w:tblGrid>
        <w:gridCol w:w="1999"/>
        <w:gridCol w:w="7720"/>
      </w:tblGrid>
      <w:tr w:rsidR="00C24502" w:rsidRPr="0026401A" w14:paraId="595FC57A" w14:textId="77777777" w:rsidTr="008F35A1">
        <w:trPr>
          <w:trHeight w:val="575"/>
        </w:trPr>
        <w:tc>
          <w:tcPr>
            <w:tcW w:w="1999" w:type="dxa"/>
            <w:vAlign w:val="center"/>
          </w:tcPr>
          <w:p w14:paraId="1C9033A0" w14:textId="15028911" w:rsidR="00C24502" w:rsidRPr="0026401A" w:rsidRDefault="000A4047" w:rsidP="008F35A1">
            <w:pPr>
              <w:pStyle w:val="enumlev1"/>
              <w:rPr>
                <w:sz w:val="22"/>
                <w:szCs w:val="22"/>
              </w:rPr>
            </w:pPr>
            <w:r w:rsidRPr="0026401A">
              <w:rPr>
                <w:sz w:val="22"/>
                <w:szCs w:val="22"/>
              </w:rPr>
              <w:t>2</w:t>
            </w:r>
            <w:r w:rsidR="00AC6DEB" w:rsidRPr="0026401A">
              <w:rPr>
                <w:sz w:val="22"/>
                <w:szCs w:val="22"/>
              </w:rPr>
              <w:t>8</w:t>
            </w:r>
            <w:r w:rsidR="00C24502" w:rsidRPr="0026401A">
              <w:rPr>
                <w:sz w:val="22"/>
                <w:szCs w:val="22"/>
              </w:rPr>
              <w:t xml:space="preserve"> March 202</w:t>
            </w:r>
            <w:r w:rsidRPr="0026401A">
              <w:rPr>
                <w:sz w:val="22"/>
                <w:szCs w:val="22"/>
              </w:rPr>
              <w:t>2</w:t>
            </w:r>
          </w:p>
        </w:tc>
        <w:tc>
          <w:tcPr>
            <w:tcW w:w="7720" w:type="dxa"/>
            <w:vAlign w:val="center"/>
          </w:tcPr>
          <w:p w14:paraId="631936FF" w14:textId="06C4476C" w:rsidR="00C24502" w:rsidRPr="0026401A" w:rsidRDefault="00C24502" w:rsidP="008F35A1">
            <w:pPr>
              <w:spacing w:before="60" w:after="60" w:line="300" w:lineRule="exact"/>
              <w:rPr>
                <w:rFonts w:asciiTheme="minorHAnsi" w:hAnsiTheme="minorHAnsi" w:cstheme="minorHAnsi"/>
                <w:sz w:val="22"/>
                <w:szCs w:val="22"/>
              </w:rPr>
            </w:pPr>
            <w:r w:rsidRPr="0026401A">
              <w:rPr>
                <w:rFonts w:asciiTheme="minorHAnsi" w:hAnsiTheme="minorHAnsi" w:cstheme="minorHAnsi"/>
                <w:sz w:val="22"/>
                <w:szCs w:val="22"/>
              </w:rPr>
              <w:t xml:space="preserve">Submit written contributions (by e-mail to </w:t>
            </w:r>
            <w:hyperlink r:id="rId18" w:history="1">
              <w:r w:rsidR="009A0665" w:rsidRPr="0026401A">
                <w:rPr>
                  <w:rStyle w:val="Hyperlink"/>
                  <w:rFonts w:asciiTheme="minorHAnsi" w:hAnsiTheme="minorHAnsi" w:cstheme="minorHAnsi"/>
                  <w:sz w:val="22"/>
                  <w:szCs w:val="22"/>
                </w:rPr>
                <w:t>tsbfgtbf@itu.int</w:t>
              </w:r>
            </w:hyperlink>
            <w:r w:rsidRPr="0026401A">
              <w:rPr>
                <w:rFonts w:asciiTheme="minorHAnsi" w:hAnsiTheme="minorHAnsi" w:cstheme="minorHAnsi"/>
                <w:sz w:val="22"/>
                <w:szCs w:val="22"/>
              </w:rPr>
              <w:t>)</w:t>
            </w:r>
          </w:p>
        </w:tc>
      </w:tr>
      <w:tr w:rsidR="00C24502" w:rsidRPr="00D417C0" w14:paraId="05C71CA9" w14:textId="77777777" w:rsidTr="00482C4F">
        <w:trPr>
          <w:trHeight w:val="449"/>
        </w:trPr>
        <w:tc>
          <w:tcPr>
            <w:tcW w:w="1999" w:type="dxa"/>
          </w:tcPr>
          <w:p w14:paraId="4A27C84A" w14:textId="1B757776" w:rsidR="00C24502" w:rsidRPr="0026401A" w:rsidRDefault="00F13385" w:rsidP="00D57525">
            <w:pPr>
              <w:pStyle w:val="enumlev1"/>
              <w:rPr>
                <w:sz w:val="22"/>
                <w:szCs w:val="22"/>
              </w:rPr>
            </w:pPr>
            <w:r w:rsidRPr="0026401A">
              <w:rPr>
                <w:sz w:val="22"/>
                <w:szCs w:val="22"/>
              </w:rPr>
              <w:t>3 April 2022</w:t>
            </w:r>
          </w:p>
        </w:tc>
        <w:tc>
          <w:tcPr>
            <w:tcW w:w="7720" w:type="dxa"/>
          </w:tcPr>
          <w:p w14:paraId="506D223B" w14:textId="3313ECE2" w:rsidR="003119FD" w:rsidRPr="0026401A" w:rsidRDefault="00C24502" w:rsidP="00A532C8">
            <w:pPr>
              <w:spacing w:before="60" w:after="60" w:line="300" w:lineRule="exact"/>
              <w:rPr>
                <w:sz w:val="22"/>
                <w:szCs w:val="22"/>
                <w:lang w:val="en-US" w:eastAsia="en-GB"/>
              </w:rPr>
            </w:pPr>
            <w:r w:rsidRPr="0026401A">
              <w:rPr>
                <w:sz w:val="22"/>
                <w:szCs w:val="22"/>
              </w:rPr>
              <w:t xml:space="preserve">Pre-registration </w:t>
            </w:r>
            <w:r w:rsidR="001A1E39" w:rsidRPr="0026401A">
              <w:rPr>
                <w:sz w:val="22"/>
                <w:szCs w:val="22"/>
              </w:rPr>
              <w:t>is available on the</w:t>
            </w:r>
            <w:r w:rsidR="001A1E39" w:rsidRPr="0026401A">
              <w:rPr>
                <w:rFonts w:asciiTheme="minorHAnsi" w:hAnsiTheme="minorHAnsi" w:cstheme="minorHAnsi"/>
                <w:sz w:val="22"/>
                <w:szCs w:val="22"/>
              </w:rPr>
              <w:t xml:space="preserve"> </w:t>
            </w:r>
            <w:r w:rsidR="001A1E39" w:rsidRPr="0026401A">
              <w:rPr>
                <w:sz w:val="22"/>
                <w:szCs w:val="22"/>
              </w:rPr>
              <w:t xml:space="preserve">Focus Group webpage, </w:t>
            </w:r>
            <w:hyperlink r:id="rId19" w:history="1">
              <w:r w:rsidR="001A1E39" w:rsidRPr="0026401A">
                <w:rPr>
                  <w:rStyle w:val="Hyperlink"/>
                  <w:sz w:val="22"/>
                  <w:szCs w:val="22"/>
                </w:rPr>
                <w:t>www.itu.int/go/fgtbf</w:t>
              </w:r>
            </w:hyperlink>
          </w:p>
        </w:tc>
      </w:tr>
    </w:tbl>
    <w:p w14:paraId="09790B79" w14:textId="77777777" w:rsidR="00C24502" w:rsidRPr="00D417C0" w:rsidRDefault="00C24502" w:rsidP="001E692B">
      <w:pPr>
        <w:spacing w:before="360"/>
        <w:rPr>
          <w:sz w:val="22"/>
          <w:szCs w:val="22"/>
        </w:rPr>
      </w:pPr>
      <w:r w:rsidRPr="00D417C0">
        <w:rPr>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112"/>
      </w:tblGrid>
      <w:tr w:rsidR="00C24502" w:rsidRPr="00FE6A0F" w14:paraId="7B450C69" w14:textId="77777777" w:rsidTr="006E2BDE">
        <w:trPr>
          <w:trHeight w:val="1955"/>
        </w:trPr>
        <w:tc>
          <w:tcPr>
            <w:tcW w:w="6663" w:type="dxa"/>
            <w:tcBorders>
              <w:right w:val="single" w:sz="4" w:space="0" w:color="auto"/>
            </w:tcBorders>
          </w:tcPr>
          <w:p w14:paraId="272BCEDC" w14:textId="0761ED8D" w:rsidR="002C3404" w:rsidRPr="00D417C0" w:rsidRDefault="002C3404" w:rsidP="00345F16">
            <w:pPr>
              <w:keepNext/>
              <w:keepLines/>
              <w:spacing w:before="360"/>
              <w:ind w:left="-110"/>
              <w:rPr>
                <w:sz w:val="22"/>
                <w:szCs w:val="22"/>
              </w:rPr>
            </w:pPr>
            <w:r w:rsidRPr="00D417C0">
              <w:rPr>
                <w:sz w:val="22"/>
                <w:szCs w:val="22"/>
              </w:rPr>
              <w:t>Yours faithfully,</w:t>
            </w:r>
          </w:p>
          <w:p w14:paraId="6F296F1A" w14:textId="52E2E41B" w:rsidR="00C24502" w:rsidRPr="00FE6A0F" w:rsidRDefault="00DA727B" w:rsidP="00345F16">
            <w:pPr>
              <w:keepNext/>
              <w:keepLines/>
              <w:spacing w:before="960"/>
              <w:ind w:left="-110"/>
            </w:pPr>
            <w:r>
              <w:rPr>
                <w:noProof/>
                <w:sz w:val="22"/>
                <w:szCs w:val="22"/>
              </w:rPr>
              <w:drawing>
                <wp:anchor distT="0" distB="0" distL="114300" distR="114300" simplePos="0" relativeHeight="251658240" behindDoc="1" locked="0" layoutInCell="1" allowOverlap="1" wp14:anchorId="6325B5D5" wp14:editId="3638DAFE">
                  <wp:simplePos x="0" y="0"/>
                  <wp:positionH relativeFrom="column">
                    <wp:posOffset>-67945</wp:posOffset>
                  </wp:positionH>
                  <wp:positionV relativeFrom="paragraph">
                    <wp:posOffset>166370</wp:posOffset>
                  </wp:positionV>
                  <wp:extent cx="729084" cy="307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2C3404" w:rsidRPr="00D417C0">
              <w:rPr>
                <w:sz w:val="22"/>
                <w:szCs w:val="22"/>
              </w:rPr>
              <w:t>Chaesub Lee</w:t>
            </w:r>
            <w:r w:rsidR="002C3404" w:rsidRPr="00D417C0">
              <w:rPr>
                <w:sz w:val="22"/>
                <w:szCs w:val="22"/>
              </w:rPr>
              <w:br/>
              <w:t>Director of the Telecommunication</w:t>
            </w:r>
            <w:r w:rsidR="002C3404" w:rsidRPr="00D417C0">
              <w:rPr>
                <w:sz w:val="22"/>
                <w:szCs w:val="22"/>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18DB01" w14:textId="5B02268C" w:rsidR="00B61F82" w:rsidRPr="00D417C0" w:rsidRDefault="00B61F82" w:rsidP="002C3404">
            <w:pPr>
              <w:spacing w:before="0"/>
              <w:jc w:val="center"/>
              <w:rPr>
                <w:noProof/>
                <w:sz w:val="22"/>
                <w:szCs w:val="22"/>
                <w:highlight w:val="yellow"/>
                <w:lang w:eastAsia="zh-CN"/>
              </w:rPr>
            </w:pPr>
            <w:r w:rsidRPr="00D417C0">
              <w:rPr>
                <w:noProof/>
                <w:sz w:val="22"/>
                <w:szCs w:val="22"/>
                <w:lang w:eastAsia="zh-CN"/>
              </w:rPr>
              <w:drawing>
                <wp:inline distT="0" distB="0" distL="0" distR="0" wp14:anchorId="7C8DB0DC" wp14:editId="7C7E3B80">
                  <wp:extent cx="1470211" cy="146583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81390" cy="1476981"/>
                          </a:xfrm>
                          <a:prstGeom prst="rect">
                            <a:avLst/>
                          </a:prstGeom>
                        </pic:spPr>
                      </pic:pic>
                    </a:graphicData>
                  </a:graphic>
                </wp:inline>
              </w:drawing>
            </w:r>
          </w:p>
          <w:p w14:paraId="1EF36A63" w14:textId="7501A572" w:rsidR="00C24502" w:rsidRPr="00D417C0" w:rsidRDefault="00C24502" w:rsidP="002C3404">
            <w:pPr>
              <w:spacing w:before="0"/>
              <w:jc w:val="center"/>
              <w:rPr>
                <w:sz w:val="22"/>
                <w:szCs w:val="22"/>
              </w:rPr>
            </w:pPr>
          </w:p>
        </w:tc>
      </w:tr>
    </w:tbl>
    <w:p w14:paraId="705F563F" w14:textId="70F20531" w:rsidR="00C24502" w:rsidRPr="00D417C0" w:rsidRDefault="00C24502" w:rsidP="007834A9">
      <w:pPr>
        <w:spacing w:before="240"/>
        <w:rPr>
          <w:b/>
          <w:bCs/>
          <w:sz w:val="22"/>
          <w:szCs w:val="22"/>
        </w:rPr>
      </w:pPr>
      <w:r w:rsidRPr="00D417C0">
        <w:rPr>
          <w:b/>
          <w:bCs/>
          <w:sz w:val="22"/>
          <w:szCs w:val="22"/>
        </w:rPr>
        <w:t xml:space="preserve">Annex: </w:t>
      </w:r>
      <w:r w:rsidRPr="00D417C0">
        <w:rPr>
          <w:sz w:val="22"/>
          <w:szCs w:val="22"/>
        </w:rPr>
        <w:t>1</w:t>
      </w:r>
      <w:r w:rsidRPr="00D417C0">
        <w:rPr>
          <w:b/>
          <w:bCs/>
          <w:sz w:val="22"/>
          <w:szCs w:val="22"/>
        </w:rPr>
        <w:br w:type="page"/>
      </w:r>
    </w:p>
    <w:p w14:paraId="0E5E76CB" w14:textId="3B2D0AA4" w:rsidR="00C24502" w:rsidRDefault="00C24502" w:rsidP="00C24502">
      <w:pPr>
        <w:pStyle w:val="AnnexNo"/>
        <w:rPr>
          <w:rFonts w:asciiTheme="minorHAnsi" w:hAnsiTheme="minorHAnsi" w:cstheme="minorHAnsi"/>
          <w:b/>
          <w:bCs/>
        </w:rPr>
      </w:pPr>
      <w:r w:rsidRPr="00C938C1">
        <w:rPr>
          <w:rFonts w:asciiTheme="minorHAnsi" w:hAnsiTheme="minorHAnsi" w:cstheme="minorHAnsi"/>
          <w:b/>
          <w:bCs/>
        </w:rPr>
        <w:lastRenderedPageBreak/>
        <w:t>ANNEX 1</w:t>
      </w:r>
    </w:p>
    <w:p w14:paraId="49FDF74A" w14:textId="1824237B" w:rsidR="008A3F05" w:rsidRPr="00647EDE" w:rsidRDefault="008A3F05" w:rsidP="007834A9">
      <w:pPr>
        <w:spacing w:before="240"/>
        <w:rPr>
          <w:rFonts w:asciiTheme="minorHAnsi" w:hAnsiTheme="minorHAnsi" w:cstheme="minorHAnsi"/>
          <w:sz w:val="22"/>
          <w:szCs w:val="22"/>
        </w:rPr>
      </w:pPr>
      <w:r w:rsidRPr="00647EDE">
        <w:rPr>
          <w:rFonts w:asciiTheme="minorHAnsi" w:hAnsiTheme="minorHAnsi" w:cstheme="minorHAnsi"/>
          <w:b/>
          <w:bCs/>
          <w:sz w:val="22"/>
          <w:szCs w:val="22"/>
        </w:rPr>
        <w:t>Source:</w:t>
      </w:r>
      <w:r w:rsidRPr="00647EDE">
        <w:rPr>
          <w:rFonts w:asciiTheme="minorHAnsi" w:hAnsiTheme="minorHAnsi" w:cstheme="minorHAnsi"/>
          <w:sz w:val="22"/>
          <w:szCs w:val="22"/>
        </w:rPr>
        <w:t xml:space="preserve"> </w:t>
      </w:r>
      <w:hyperlink r:id="rId22" w:history="1">
        <w:r w:rsidRPr="00647EDE">
          <w:rPr>
            <w:rStyle w:val="Hyperlink"/>
            <w:rFonts w:asciiTheme="minorHAnsi" w:hAnsiTheme="minorHAnsi" w:cstheme="minorHAnsi"/>
            <w:sz w:val="22"/>
            <w:szCs w:val="22"/>
          </w:rPr>
          <w:t>SG11-TD1804-R1/GEN</w:t>
        </w:r>
      </w:hyperlink>
    </w:p>
    <w:p w14:paraId="1B6CAA62" w14:textId="53BEDBAD" w:rsidR="00D508E0" w:rsidRPr="00647EDE" w:rsidRDefault="00D508E0" w:rsidP="007834A9">
      <w:pPr>
        <w:keepNext/>
        <w:keepLines/>
        <w:spacing w:before="240"/>
        <w:jc w:val="center"/>
        <w:rPr>
          <w:rFonts w:asciiTheme="minorHAnsi" w:hAnsiTheme="minorHAnsi" w:cstheme="minorHAnsi"/>
          <w:b/>
          <w:sz w:val="22"/>
          <w:szCs w:val="22"/>
        </w:rPr>
      </w:pPr>
      <w:r w:rsidRPr="00647EDE">
        <w:rPr>
          <w:rFonts w:asciiTheme="minorHAnsi" w:hAnsiTheme="minorHAnsi" w:cstheme="minorHAnsi"/>
          <w:b/>
          <w:sz w:val="22"/>
          <w:szCs w:val="22"/>
        </w:rPr>
        <w:t xml:space="preserve">Terms of Reference for the ITU-T Focus Group on </w:t>
      </w:r>
      <w:r w:rsidRPr="00647EDE">
        <w:rPr>
          <w:rFonts w:asciiTheme="minorHAnsi" w:hAnsiTheme="minorHAnsi" w:cstheme="minorHAnsi"/>
          <w:b/>
          <w:sz w:val="22"/>
          <w:szCs w:val="22"/>
        </w:rPr>
        <w:br/>
        <w:t>“Testbeds Federations for IMT-2020 and beyond”</w:t>
      </w:r>
      <w:r w:rsidRPr="00647EDE">
        <w:rPr>
          <w:rFonts w:asciiTheme="minorHAnsi" w:hAnsiTheme="minorHAnsi" w:cstheme="minorHAnsi"/>
          <w:b/>
          <w:sz w:val="22"/>
          <w:szCs w:val="22"/>
        </w:rPr>
        <w:br/>
        <w:t>(FG-TBFxG)</w:t>
      </w:r>
    </w:p>
    <w:p w14:paraId="32D12E12" w14:textId="77777777" w:rsidR="00D508E0" w:rsidRPr="00647EDE" w:rsidRDefault="00D508E0" w:rsidP="00D508E0">
      <w:pPr>
        <w:spacing w:before="360"/>
        <w:rPr>
          <w:rFonts w:asciiTheme="minorHAnsi" w:hAnsiTheme="minorHAnsi" w:cstheme="minorHAnsi"/>
          <w:b/>
          <w:bCs/>
          <w:sz w:val="22"/>
          <w:szCs w:val="22"/>
        </w:rPr>
      </w:pPr>
      <w:r w:rsidRPr="00647EDE">
        <w:rPr>
          <w:rFonts w:asciiTheme="minorHAnsi" w:hAnsiTheme="minorHAnsi" w:cstheme="minorHAnsi"/>
          <w:b/>
          <w:bCs/>
          <w:sz w:val="22"/>
          <w:szCs w:val="22"/>
        </w:rPr>
        <w:t>1.</w:t>
      </w:r>
      <w:r w:rsidRPr="00647EDE">
        <w:rPr>
          <w:rFonts w:asciiTheme="minorHAnsi" w:hAnsiTheme="minorHAnsi" w:cstheme="minorHAnsi"/>
          <w:b/>
          <w:bCs/>
          <w:sz w:val="22"/>
          <w:szCs w:val="22"/>
        </w:rPr>
        <w:tab/>
        <w:t>Rationale and Scope</w:t>
      </w:r>
    </w:p>
    <w:p w14:paraId="1DE1326C"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industrial sectors (</w:t>
      </w:r>
      <w:r w:rsidRPr="00647EDE">
        <w:rPr>
          <w:rFonts w:asciiTheme="minorHAnsi" w:hAnsiTheme="minorHAnsi" w:cstheme="minorHAnsi"/>
          <w:sz w:val="22"/>
          <w:szCs w:val="22"/>
          <w:lang w:val="en-US"/>
        </w:rPr>
        <w:t>such as certain applications in the areas of transportation, finance &amp; banking, healthcare, automotive, manufacturing, production plants, retail, entertainment &amp; broadcasting, etc., that leverage ICT technologies and infrastructures</w:t>
      </w:r>
      <w:r w:rsidRPr="00647EDE">
        <w:rPr>
          <w:rFonts w:asciiTheme="minorHAnsi" w:hAnsiTheme="minorHAnsi" w:cstheme="minorHAnsi"/>
          <w:sz w:val="22"/>
          <w:szCs w:val="22"/>
        </w:rPr>
        <w:t>).</w:t>
      </w:r>
    </w:p>
    <w:p w14:paraId="63581074"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 xml:space="preserve">Today, there are many Testbeds available for Research purposes and many Testbeds continue to be built by the Research Communities and by the </w:t>
      </w:r>
      <w:proofErr w:type="gramStart"/>
      <w:r w:rsidRPr="00647EDE">
        <w:rPr>
          <w:rFonts w:asciiTheme="minorHAnsi" w:hAnsiTheme="minorHAnsi" w:cstheme="minorHAnsi"/>
          <w:sz w:val="22"/>
          <w:szCs w:val="22"/>
        </w:rPr>
        <w:t>Industry</w:t>
      </w:r>
      <w:proofErr w:type="gramEnd"/>
      <w:r w:rsidRPr="00647EDE">
        <w:rPr>
          <w:rFonts w:asciiTheme="minorHAnsi" w:hAnsiTheme="minorHAnsi" w:cstheme="minorHAnsi"/>
          <w:sz w:val="22"/>
          <w:szCs w:val="22"/>
        </w:rPr>
        <w:t xml:space="preserve"> as well. The </w:t>
      </w:r>
      <w:proofErr w:type="gramStart"/>
      <w:r w:rsidRPr="00647EDE">
        <w:rPr>
          <w:rFonts w:asciiTheme="minorHAnsi" w:hAnsiTheme="minorHAnsi" w:cstheme="minorHAnsi"/>
          <w:sz w:val="22"/>
          <w:szCs w:val="22"/>
        </w:rPr>
        <w:t>Industry</w:t>
      </w:r>
      <w:proofErr w:type="gramEnd"/>
      <w:r w:rsidRPr="00647EDE">
        <w:rPr>
          <w:rFonts w:asciiTheme="minorHAnsi" w:hAnsiTheme="minorHAnsi" w:cstheme="minorHAnsi"/>
          <w:sz w:val="22"/>
          <w:szCs w:val="22"/>
        </w:rPr>
        <w:t xml:space="preserve"> continues to build its own Testbeds that are used internally within organizations such as Network Operators (or Communications Service Providers) or Vendors, and in some cases some industrial Testbeds are useable to multiple organizations based on certain collaboration agreements that are closed only to the partners.</w:t>
      </w:r>
    </w:p>
    <w:p w14:paraId="447C2D53"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 and due to the fact that it is more sustainable when the burden of investing in Testbed facilities is shared among various potential Testbed suppliers/providers). New ICT Technologies, Networks and Industry-oriented Applications are becoming increasingly complex to test using Standalone Testbeds. Hence, Federated Testbeds bring sustainability in fostering environments for quick innovations and testing of complex technologies and use cases, and for enabling quicker time to market for products and services.</w:t>
      </w:r>
    </w:p>
    <w:p w14:paraId="6AE3944E"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In this regard, federated testbeds may bring a lot of value to “research use-cases” and “industry real technology deployment use cases”. In general, there is an urgent need to build an Ecosystem for enabling Sustainable Testbeds Development, Evolutions, and Federations. This becomes important for the whole ICT Industry and different domains, especially in this era of automation and consideration of emerging impacts of pandemics like COVID-19 on products developments and lifecycle management.</w:t>
      </w:r>
    </w:p>
    <w:p w14:paraId="37BD554B"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ITU-T SG11 in close collaboration with ETSI TC INT developed draft Recommendation ITU-T Q.4068 “Open APIs for interoperable testbed federations” which defines a generic Reference Model for Testbeds Federations and describes the main elements of this Reference Model.</w:t>
      </w:r>
    </w:p>
    <w:p w14:paraId="757DF9E1"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In addition, ITU-T SG11, ETSI TC INT and IEEE co-organized Joint SDOs Brainstorming Workshop on Testbeds Federations for 5G and Beyond: Interoperability, Standardization, Reference Model and APIs which was held fully virtual on 15-16 March 2021 (</w:t>
      </w:r>
      <w:hyperlink r:id="rId23" w:history="1">
        <w:r w:rsidRPr="00647EDE">
          <w:rPr>
            <w:rFonts w:asciiTheme="minorHAnsi" w:hAnsiTheme="minorHAnsi" w:cstheme="minorHAnsi"/>
            <w:color w:val="0000FF"/>
            <w:sz w:val="22"/>
            <w:szCs w:val="22"/>
            <w:u w:val="single"/>
            <w:lang w:val="en-US"/>
          </w:rPr>
          <w:t>www.itu.int/go/BTF4-5G</w:t>
        </w:r>
      </w:hyperlink>
      <w:r w:rsidRPr="00647EDE">
        <w:rPr>
          <w:rFonts w:asciiTheme="minorHAnsi" w:hAnsiTheme="minorHAnsi" w:cstheme="minorHAnsi"/>
          <w:sz w:val="22"/>
          <w:szCs w:val="22"/>
        </w:rPr>
        <w:t>). It was noted that Research Communities and the Industry (Solutions vendors/suppliers, CSPs, Enterprises, and Standards Development Organizations (SDOs)/Fora) all have roles to play in this desired Ecosystem that should be built around the Testbeds Federations Reference Model now and into the future, in this era of “</w:t>
      </w:r>
      <w:proofErr w:type="spellStart"/>
      <w:r w:rsidRPr="00647EDE">
        <w:rPr>
          <w:rFonts w:asciiTheme="minorHAnsi" w:hAnsiTheme="minorHAnsi" w:cstheme="minorHAnsi"/>
          <w:i/>
          <w:sz w:val="22"/>
          <w:szCs w:val="22"/>
        </w:rPr>
        <w:t>Software’rization</w:t>
      </w:r>
      <w:proofErr w:type="spellEnd"/>
      <w:r w:rsidRPr="00647EDE">
        <w:rPr>
          <w:rFonts w:asciiTheme="minorHAnsi" w:hAnsiTheme="minorHAnsi" w:cstheme="minorHAnsi"/>
          <w:sz w:val="22"/>
          <w:szCs w:val="22"/>
        </w:rPr>
        <w:t xml:space="preserve">” and </w:t>
      </w:r>
      <w:r w:rsidRPr="00647EDE">
        <w:rPr>
          <w:rFonts w:asciiTheme="minorHAnsi" w:hAnsiTheme="minorHAnsi" w:cstheme="minorHAnsi"/>
          <w:i/>
          <w:iCs/>
          <w:sz w:val="22"/>
          <w:szCs w:val="22"/>
        </w:rPr>
        <w:t>Disaggregation</w:t>
      </w:r>
      <w:r w:rsidRPr="00647EDE">
        <w:rPr>
          <w:rFonts w:asciiTheme="minorHAnsi" w:hAnsiTheme="minorHAnsi" w:cstheme="minorHAnsi"/>
          <w:sz w:val="22"/>
          <w:szCs w:val="22"/>
        </w:rPr>
        <w:t xml:space="preserve"> of ICT Networks, IMT-2020 and beyond.</w:t>
      </w:r>
    </w:p>
    <w:p w14:paraId="72E881AC" w14:textId="77777777" w:rsidR="00D508E0" w:rsidRPr="00647EDE" w:rsidRDefault="00D508E0" w:rsidP="00D508E0">
      <w:pPr>
        <w:jc w:val="both"/>
        <w:rPr>
          <w:rFonts w:asciiTheme="minorHAnsi" w:hAnsiTheme="minorHAnsi" w:cstheme="minorHAnsi"/>
          <w:sz w:val="22"/>
          <w:szCs w:val="22"/>
        </w:rPr>
      </w:pPr>
      <w:proofErr w:type="gramStart"/>
      <w:r w:rsidRPr="00647EDE">
        <w:rPr>
          <w:rFonts w:asciiTheme="minorHAnsi" w:hAnsiTheme="minorHAnsi" w:cstheme="minorHAnsi"/>
          <w:sz w:val="22"/>
          <w:szCs w:val="22"/>
        </w:rPr>
        <w:t>Taking into account</w:t>
      </w:r>
      <w:proofErr w:type="gramEnd"/>
      <w:r w:rsidRPr="00647EDE">
        <w:rPr>
          <w:rFonts w:asciiTheme="minorHAnsi" w:hAnsiTheme="minorHAnsi" w:cstheme="minorHAnsi"/>
          <w:sz w:val="22"/>
          <w:szCs w:val="22"/>
        </w:rPr>
        <w:t xml:space="preserve"> the importance of the desired Ecosystem, including APIs for the Testbed Federations that affect various stakeholders, this Focus Group on “Testbeds Federations for IMT-2020 and beyond” (FG-TBFxG) would play a role in providing a platform to share views, to develop a series of deliverables, and showcasing initiatives, projects, and standards activities linked to Testbed Federations.</w:t>
      </w:r>
    </w:p>
    <w:p w14:paraId="5CC388B6"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 xml:space="preserve">The FG-TBFxG will serve as a platform to help bring about Harmonization of Testbeds specifications across SDOs/Fora. The FG-TBFxG will leverage and align with the Testbeds Federations Reference Model being standardized jointly by ETSI TC INT and ITU-T SG11 in researching, developing and specifying the required APIs, </w:t>
      </w:r>
      <w:r w:rsidRPr="00647EDE">
        <w:rPr>
          <w:rFonts w:asciiTheme="minorHAnsi" w:hAnsiTheme="minorHAnsi" w:cstheme="minorHAnsi"/>
          <w:sz w:val="22"/>
          <w:szCs w:val="22"/>
        </w:rPr>
        <w:lastRenderedPageBreak/>
        <w:t>and defining a set of use cases for Federated Testbeds and use of the APIs. FG-TBFxG encourages all Stakeholders, SDOs/Fora, to:</w:t>
      </w:r>
    </w:p>
    <w:p w14:paraId="5460973E" w14:textId="77777777" w:rsidR="00D508E0" w:rsidRPr="00647EDE" w:rsidRDefault="00D508E0" w:rsidP="00D508E0">
      <w:pPr>
        <w:numPr>
          <w:ilvl w:val="0"/>
          <w:numId w:val="16"/>
        </w:numPr>
        <w:contextualSpacing/>
        <w:jc w:val="both"/>
        <w:rPr>
          <w:rFonts w:asciiTheme="minorHAnsi" w:hAnsiTheme="minorHAnsi" w:cstheme="minorHAnsi"/>
          <w:sz w:val="22"/>
          <w:szCs w:val="22"/>
        </w:rPr>
      </w:pPr>
      <w:r w:rsidRPr="00647EDE">
        <w:rPr>
          <w:rFonts w:asciiTheme="minorHAnsi" w:hAnsiTheme="minorHAnsi" w:cstheme="minorHAnsi"/>
          <w:sz w:val="22"/>
          <w:szCs w:val="22"/>
        </w:rPr>
        <w:t>Contribute to the development of the APIs being prescribed by the Testbeds Federations Reference Model;</w:t>
      </w:r>
    </w:p>
    <w:p w14:paraId="1896F94C" w14:textId="77777777" w:rsidR="00D508E0" w:rsidRPr="00647EDE" w:rsidRDefault="00D508E0" w:rsidP="00D508E0">
      <w:pPr>
        <w:numPr>
          <w:ilvl w:val="0"/>
          <w:numId w:val="16"/>
        </w:numPr>
        <w:contextualSpacing/>
        <w:jc w:val="both"/>
        <w:rPr>
          <w:rFonts w:asciiTheme="minorHAnsi" w:hAnsiTheme="minorHAnsi" w:cstheme="minorHAnsi"/>
          <w:sz w:val="22"/>
          <w:szCs w:val="22"/>
        </w:rPr>
      </w:pPr>
      <w:r w:rsidRPr="00647EDE">
        <w:rPr>
          <w:rFonts w:asciiTheme="minorHAnsi" w:hAnsiTheme="minorHAnsi" w:cstheme="minorHAnsi"/>
          <w:sz w:val="22"/>
          <w:szCs w:val="22"/>
        </w:rPr>
        <w:t>Share the burden on APIs Specifications and Standardization and on Roadmaps in a harmonized and collaborative way;</w:t>
      </w:r>
    </w:p>
    <w:p w14:paraId="72E68EEE" w14:textId="77777777" w:rsidR="00D508E0" w:rsidRPr="00647EDE" w:rsidRDefault="00D508E0" w:rsidP="00D508E0">
      <w:pPr>
        <w:numPr>
          <w:ilvl w:val="0"/>
          <w:numId w:val="16"/>
        </w:numPr>
        <w:contextualSpacing/>
        <w:jc w:val="both"/>
        <w:rPr>
          <w:rFonts w:asciiTheme="minorHAnsi" w:hAnsiTheme="minorHAnsi" w:cstheme="minorHAnsi"/>
          <w:sz w:val="22"/>
          <w:szCs w:val="22"/>
        </w:rPr>
      </w:pPr>
      <w:r w:rsidRPr="00647EDE">
        <w:rPr>
          <w:rFonts w:asciiTheme="minorHAnsi" w:hAnsiTheme="minorHAnsi" w:cstheme="minorHAnsi"/>
          <w:sz w:val="22"/>
          <w:szCs w:val="22"/>
        </w:rPr>
        <w:t>Develop New use cases and services for Testbeds Suppliers that derive from the Testbeds Federations Reference Model and associated APIs, such as “Testbed-as-a Service” (</w:t>
      </w:r>
      <w:proofErr w:type="spellStart"/>
      <w:r w:rsidRPr="00647EDE">
        <w:rPr>
          <w:rFonts w:asciiTheme="minorHAnsi" w:hAnsiTheme="minorHAnsi" w:cstheme="minorHAnsi"/>
          <w:sz w:val="22"/>
          <w:szCs w:val="22"/>
        </w:rPr>
        <w:t>TaaS</w:t>
      </w:r>
      <w:proofErr w:type="spellEnd"/>
      <w:r w:rsidRPr="00647EDE">
        <w:rPr>
          <w:rFonts w:asciiTheme="minorHAnsi" w:hAnsiTheme="minorHAnsi" w:cstheme="minorHAnsi"/>
          <w:sz w:val="22"/>
          <w:szCs w:val="22"/>
        </w:rPr>
        <w:t xml:space="preserve">). </w:t>
      </w:r>
    </w:p>
    <w:p w14:paraId="120634C1"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NOTE: Among the expected Stakeholders are: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13227FFF"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Focus Group will also seek to elucidate the roles that can be played by the various Stakeholders in the Ecosystem for Testbeds Federations Standards and Use Cases. For that the FG-TBFxG will play a role in providing a platform to share views, to develop a series of deliverables associated with the topics above, and it will also offer a platform to players that may like to showcase initiatives and projects that align with the outlined vision and the desired Ecosystem on Testbeds Federations. The Focus Group will develop Specifications that may become a basis for further Standardization in the area of Testbeds Federations. It will invite non ITU-T members to participate in this work.</w:t>
      </w:r>
    </w:p>
    <w:p w14:paraId="2D950FBD" w14:textId="77777777" w:rsidR="00D508E0" w:rsidRPr="00647EDE" w:rsidRDefault="00D508E0" w:rsidP="00D508E0">
      <w:pPr>
        <w:keepNext/>
        <w:keepLines/>
        <w:rPr>
          <w:rFonts w:asciiTheme="minorHAnsi" w:hAnsiTheme="minorHAnsi" w:cstheme="minorHAnsi"/>
          <w:b/>
          <w:bCs/>
          <w:sz w:val="22"/>
          <w:szCs w:val="22"/>
        </w:rPr>
      </w:pPr>
      <w:r w:rsidRPr="00647EDE">
        <w:rPr>
          <w:rFonts w:asciiTheme="minorHAnsi" w:hAnsiTheme="minorHAnsi" w:cstheme="minorHAnsi"/>
          <w:b/>
          <w:bCs/>
          <w:sz w:val="22"/>
          <w:szCs w:val="22"/>
        </w:rPr>
        <w:t>2.</w:t>
      </w:r>
      <w:r w:rsidRPr="00647EDE">
        <w:rPr>
          <w:rFonts w:asciiTheme="minorHAnsi" w:hAnsiTheme="minorHAnsi" w:cstheme="minorHAnsi"/>
          <w:b/>
          <w:bCs/>
          <w:sz w:val="22"/>
          <w:szCs w:val="22"/>
        </w:rPr>
        <w:tab/>
        <w:t>Objectives of the FG-TBFxG</w:t>
      </w:r>
    </w:p>
    <w:p w14:paraId="4A897EAE"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FG-TBFxG will have the following objectives:</w:t>
      </w:r>
    </w:p>
    <w:p w14:paraId="17CDBBD2"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To define a set of APIs definitions that complement the ongoing ITU-T SG11 study activities related to Testbed Federations and APIs of the Testbeds Federations Reference Model;</w:t>
      </w:r>
    </w:p>
    <w:p w14:paraId="4AAB1C43"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To collect Use Cases for Testbeds Federations of relevance to IMT-2020 and beyond;</w:t>
      </w:r>
    </w:p>
    <w:p w14:paraId="2168204A" w14:textId="77777777" w:rsidR="00D508E0" w:rsidRPr="00647EDE" w:rsidRDefault="00D508E0" w:rsidP="00D508E0">
      <w:pPr>
        <w:numPr>
          <w:ilvl w:val="0"/>
          <w:numId w:val="15"/>
        </w:numPr>
        <w:jc w:val="both"/>
        <w:rPr>
          <w:rFonts w:asciiTheme="minorHAnsi" w:hAnsiTheme="minorHAnsi" w:cstheme="minorHAnsi"/>
          <w:sz w:val="22"/>
          <w:szCs w:val="22"/>
        </w:rPr>
      </w:pPr>
      <w:bookmarkStart w:id="1" w:name="_Hlk69648726"/>
      <w:r w:rsidRPr="00647EDE">
        <w:rPr>
          <w:rFonts w:asciiTheme="minorHAnsi" w:hAnsiTheme="minorHAnsi" w:cstheme="minorHAnsi"/>
          <w:sz w:val="22"/>
          <w:szCs w:val="22"/>
        </w:rPr>
        <w:t>To identify use cases and services based on Testbed Federations reference model that should be considered for various types of Stakeholders on the benefits of them joining the ecosystem around Testbeds Federations for IMT-2020 and beyond;</w:t>
      </w:r>
    </w:p>
    <w:bookmarkEnd w:id="1"/>
    <w:p w14:paraId="32AB8A94"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To study the various Topics/Points compiled in the Key Takeaways from the ITU-T, ETSI, IEEE Joint SDOs Brainstorming Workshop on Testbeds Federations for 5G &amp; Beyond (</w:t>
      </w:r>
      <w:hyperlink r:id="rId24" w:history="1">
        <w:r w:rsidRPr="00647EDE">
          <w:rPr>
            <w:rFonts w:asciiTheme="minorHAnsi" w:hAnsiTheme="minorHAnsi" w:cstheme="minorHAnsi"/>
            <w:color w:val="0000FF"/>
            <w:sz w:val="22"/>
            <w:szCs w:val="22"/>
            <w:u w:val="single"/>
          </w:rPr>
          <w:t>www.itu.int/go/BTF4-5G</w:t>
        </w:r>
      </w:hyperlink>
      <w:r w:rsidRPr="00647EDE">
        <w:rPr>
          <w:rFonts w:asciiTheme="minorHAnsi" w:hAnsiTheme="minorHAnsi" w:cstheme="minorHAnsi"/>
          <w:sz w:val="22"/>
          <w:szCs w:val="22"/>
        </w:rPr>
        <w:t>) in order to take them into consideration in the work of the Focus Group;</w:t>
      </w:r>
    </w:p>
    <w:p w14:paraId="79F0257B"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To identify Metrics/Key Performance Indicators (KPIs) of relevance to Use Cases for Testbed Federations per and across ICT industry sectors in different domains (verticals); and propose methods/mappings by which E2E relationships among various metrics (</w:t>
      </w:r>
      <w:proofErr w:type="gramStart"/>
      <w:r w:rsidRPr="00647EDE">
        <w:rPr>
          <w:rFonts w:asciiTheme="minorHAnsi" w:hAnsiTheme="minorHAnsi" w:cstheme="minorHAnsi"/>
          <w:sz w:val="22"/>
          <w:szCs w:val="22"/>
        </w:rPr>
        <w:t>e.g.</w:t>
      </w:r>
      <w:proofErr w:type="gramEnd"/>
      <w:r w:rsidRPr="00647EDE">
        <w:rPr>
          <w:rFonts w:asciiTheme="minorHAnsi" w:hAnsiTheme="minorHAnsi" w:cstheme="minorHAnsi"/>
          <w:sz w:val="22"/>
          <w:szCs w:val="22"/>
        </w:rPr>
        <w:t xml:space="preserve"> KPIs) across Testbeds can be defined (see NOTE below):</w:t>
      </w:r>
    </w:p>
    <w:p w14:paraId="0CDAD819" w14:textId="77777777" w:rsidR="00D508E0" w:rsidRPr="00647EDE" w:rsidRDefault="00D508E0" w:rsidP="00D508E0">
      <w:pPr>
        <w:ind w:left="1560"/>
        <w:rPr>
          <w:rFonts w:asciiTheme="minorHAnsi" w:hAnsiTheme="minorHAnsi" w:cstheme="minorHAnsi"/>
          <w:sz w:val="22"/>
          <w:szCs w:val="22"/>
        </w:rPr>
      </w:pPr>
      <w:r w:rsidRPr="00647EDE">
        <w:rPr>
          <w:rFonts w:asciiTheme="minorHAnsi" w:hAnsiTheme="minorHAnsi" w:cstheme="minorHAnsi"/>
          <w:sz w:val="22"/>
          <w:szCs w:val="22"/>
        </w:rPr>
        <w:t>NOTE: Among KPIs for Testbed Federations are:</w:t>
      </w:r>
      <w:r w:rsidRPr="00647EDE">
        <w:rPr>
          <w:rFonts w:asciiTheme="minorHAnsi" w:hAnsiTheme="minorHAnsi" w:cstheme="minorHAnsi"/>
          <w:sz w:val="22"/>
          <w:szCs w:val="22"/>
        </w:rPr>
        <w:br/>
      </w:r>
      <w:r w:rsidRPr="00647EDE">
        <w:rPr>
          <w:rFonts w:asciiTheme="minorHAnsi" w:hAnsiTheme="minorHAnsi" w:cstheme="minorHAnsi"/>
          <w:b/>
          <w:bCs/>
          <w:sz w:val="22"/>
          <w:szCs w:val="22"/>
        </w:rPr>
        <w:t>(1)</w:t>
      </w:r>
      <w:r w:rsidRPr="00647EDE">
        <w:rPr>
          <w:rFonts w:asciiTheme="minorHAnsi" w:hAnsiTheme="minorHAnsi" w:cstheme="minorHAnsi"/>
          <w:sz w:val="22"/>
          <w:szCs w:val="22"/>
        </w:rPr>
        <w:t xml:space="preserve"> KPIs of relevance to a Technology or combined Technologies that are being Tested using Federated Testbeds such that the measured KPIs help in the Test Cases verdicts setting;</w:t>
      </w:r>
      <w:r w:rsidRPr="00647EDE">
        <w:rPr>
          <w:rFonts w:asciiTheme="minorHAnsi" w:hAnsiTheme="minorHAnsi" w:cstheme="minorHAnsi"/>
          <w:sz w:val="22"/>
          <w:szCs w:val="22"/>
        </w:rPr>
        <w:br/>
      </w:r>
      <w:r w:rsidRPr="00647EDE">
        <w:rPr>
          <w:rFonts w:asciiTheme="minorHAnsi" w:hAnsiTheme="minorHAnsi" w:cstheme="minorHAnsi"/>
          <w:b/>
          <w:bCs/>
          <w:sz w:val="22"/>
          <w:szCs w:val="22"/>
        </w:rPr>
        <w:t>(2)</w:t>
      </w:r>
      <w:r w:rsidRPr="00647EDE">
        <w:rPr>
          <w:rFonts w:asciiTheme="minorHAnsi" w:hAnsiTheme="minorHAnsi" w:cstheme="minorHAnsi"/>
          <w:sz w:val="22"/>
          <w:szCs w:val="22"/>
        </w:rPr>
        <w:t xml:space="preserve"> KPIs of relevance to utilization, availability, capabilities, customer-experience (satisfaction) of the Testbeds and their resources being consumed or can be consumed in Testbed usage in a Test Scenario;</w:t>
      </w:r>
      <w:r w:rsidRPr="00647EDE">
        <w:rPr>
          <w:rFonts w:asciiTheme="minorHAnsi" w:hAnsiTheme="minorHAnsi" w:cstheme="minorHAnsi"/>
          <w:sz w:val="22"/>
          <w:szCs w:val="22"/>
        </w:rPr>
        <w:br/>
      </w:r>
      <w:r w:rsidRPr="00647EDE">
        <w:rPr>
          <w:rFonts w:asciiTheme="minorHAnsi" w:hAnsiTheme="minorHAnsi" w:cstheme="minorHAnsi"/>
          <w:b/>
          <w:bCs/>
          <w:sz w:val="22"/>
          <w:szCs w:val="22"/>
        </w:rPr>
        <w:t>(3)</w:t>
      </w:r>
      <w:r w:rsidRPr="00647EDE">
        <w:rPr>
          <w:rFonts w:asciiTheme="minorHAnsi" w:hAnsiTheme="minorHAnsi" w:cstheme="minorHAnsi"/>
          <w:sz w:val="22"/>
          <w:szCs w:val="22"/>
        </w:rPr>
        <w:t xml:space="preserve"> Non-technical KPIs that relate to Testbed Service Offerings and Consumption </w:t>
      </w:r>
    </w:p>
    <w:p w14:paraId="42A0E6A9"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To develop guidance to Research and Industry communities working on IMT-2020and beyond on how to use the Testbeds Reference Model to contribute to the development of the APIs being prescribed by the Testbeds Reference Model, and also contribute to various instantiations cases of the Reference Model</w:t>
      </w:r>
    </w:p>
    <w:p w14:paraId="31BDC859"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 xml:space="preserve">To facilitate discussions by which various SDOs/Fora can share ideas on how they can potentially share the burden on APIs Specifications and Standardization and on Roadmaps in a harmonized and collaborative way, based on the Testbeds Federations Reference Model, and produce a matrix that </w:t>
      </w:r>
      <w:r w:rsidRPr="00647EDE">
        <w:rPr>
          <w:rFonts w:asciiTheme="minorHAnsi" w:hAnsiTheme="minorHAnsi" w:cstheme="minorHAnsi"/>
          <w:sz w:val="22"/>
          <w:szCs w:val="22"/>
        </w:rPr>
        <w:lastRenderedPageBreak/>
        <w:t>maps SDOs/Fora and other Stakeholders to APIs types they will be addressing or have interest to address;</w:t>
      </w:r>
    </w:p>
    <w:p w14:paraId="58BBC7D6"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To define Potential New use cases and services for Testbeds Suppliers that derive from the Testbeds Federations Reference Model and associated APIs, such as “Testbed-as-a Service” (</w:t>
      </w:r>
      <w:proofErr w:type="spellStart"/>
      <w:r w:rsidRPr="00647EDE">
        <w:rPr>
          <w:rFonts w:asciiTheme="minorHAnsi" w:hAnsiTheme="minorHAnsi" w:cstheme="minorHAnsi"/>
          <w:sz w:val="22"/>
          <w:szCs w:val="22"/>
        </w:rPr>
        <w:t>TaaS</w:t>
      </w:r>
      <w:proofErr w:type="spellEnd"/>
      <w:r w:rsidRPr="00647EDE">
        <w:rPr>
          <w:rFonts w:asciiTheme="minorHAnsi" w:hAnsiTheme="minorHAnsi" w:cstheme="minorHAnsi"/>
          <w:sz w:val="22"/>
          <w:szCs w:val="22"/>
        </w:rPr>
        <w:t>);</w:t>
      </w:r>
    </w:p>
    <w:p w14:paraId="36EE3DDA" w14:textId="5B34FF0C" w:rsidR="00D508E0" w:rsidRPr="00647EDE" w:rsidRDefault="00D508E0" w:rsidP="00D508E0">
      <w:pPr>
        <w:numPr>
          <w:ilvl w:val="0"/>
          <w:numId w:val="15"/>
        </w:numPr>
        <w:jc w:val="both"/>
        <w:rPr>
          <w:rFonts w:asciiTheme="minorHAnsi" w:hAnsiTheme="minorHAnsi" w:cstheme="minorHAnsi"/>
          <w:sz w:val="22"/>
          <w:szCs w:val="22"/>
        </w:rPr>
      </w:pPr>
      <w:bookmarkStart w:id="2" w:name="_Hlk69590261"/>
      <w:r w:rsidRPr="00647EDE">
        <w:rPr>
          <w:rFonts w:asciiTheme="minorHAnsi" w:hAnsiTheme="minorHAnsi" w:cstheme="minorHAnsi"/>
          <w:sz w:val="22"/>
          <w:szCs w:val="22"/>
        </w:rPr>
        <w:t xml:space="preserve">To </w:t>
      </w:r>
      <w:bookmarkEnd w:id="2"/>
      <w:r w:rsidRPr="00647EDE">
        <w:rPr>
          <w:rFonts w:asciiTheme="minorHAnsi" w:hAnsiTheme="minorHAnsi" w:cstheme="minorHAnsi"/>
          <w:sz w:val="22"/>
          <w:szCs w:val="22"/>
        </w:rPr>
        <w:t>develop guidelines to Owners of Existing Testbeds and Platforms for IMT-2020 and beyond on how they could embark on Transformation or Evolution of existing Testbeds (Industry-grade, and potential Research Testbeds as well) and their Federation APIs to meet the requirements of the Testbeds Federation reference model (ITU-T Q.4068</w:t>
      </w:r>
      <w:proofErr w:type="gramStart"/>
      <w:r w:rsidRPr="00647EDE">
        <w:rPr>
          <w:rFonts w:asciiTheme="minorHAnsi" w:hAnsiTheme="minorHAnsi" w:cstheme="minorHAnsi"/>
          <w:sz w:val="22"/>
          <w:szCs w:val="22"/>
        </w:rPr>
        <w:t>);</w:t>
      </w:r>
      <w:proofErr w:type="gramEnd"/>
    </w:p>
    <w:p w14:paraId="6CC79741"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 xml:space="preserve">To develop guidelines to the </w:t>
      </w:r>
      <w:proofErr w:type="gramStart"/>
      <w:r w:rsidRPr="00647EDE">
        <w:rPr>
          <w:rFonts w:asciiTheme="minorHAnsi" w:hAnsiTheme="minorHAnsi" w:cstheme="minorHAnsi"/>
          <w:sz w:val="22"/>
          <w:szCs w:val="22"/>
        </w:rPr>
        <w:t>Industry</w:t>
      </w:r>
      <w:proofErr w:type="gramEnd"/>
      <w:r w:rsidRPr="00647EDE">
        <w:rPr>
          <w:rFonts w:asciiTheme="minorHAnsi" w:hAnsiTheme="minorHAnsi" w:cstheme="minorHAnsi"/>
          <w:sz w:val="22"/>
          <w:szCs w:val="22"/>
        </w:rPr>
        <w:t xml:space="preserve"> on how to address the Challenges that need to be addressed as guided by the Reference Model and APIs for Testbeds Federations for IMT-2020 and beyond;</w:t>
      </w:r>
    </w:p>
    <w:p w14:paraId="40028842" w14:textId="77777777" w:rsidR="00D508E0" w:rsidRPr="00647EDE" w:rsidRDefault="00D508E0" w:rsidP="00D508E0">
      <w:pPr>
        <w:numPr>
          <w:ilvl w:val="0"/>
          <w:numId w:val="15"/>
        </w:numPr>
        <w:jc w:val="both"/>
        <w:rPr>
          <w:rFonts w:asciiTheme="minorHAnsi" w:hAnsiTheme="minorHAnsi" w:cstheme="minorHAnsi"/>
          <w:bCs/>
          <w:sz w:val="22"/>
          <w:szCs w:val="22"/>
        </w:rPr>
      </w:pPr>
      <w:r w:rsidRPr="00647EDE">
        <w:rPr>
          <w:rFonts w:asciiTheme="minorHAnsi" w:hAnsiTheme="minorHAnsi" w:cstheme="minorHAnsi"/>
          <w:sz w:val="22"/>
          <w:szCs w:val="22"/>
        </w:rPr>
        <w:t xml:space="preserve">To </w:t>
      </w:r>
      <w:bookmarkStart w:id="3" w:name="_Hlk69942617"/>
      <w:r w:rsidRPr="00647EDE">
        <w:rPr>
          <w:rFonts w:asciiTheme="minorHAnsi" w:hAnsiTheme="minorHAnsi" w:cstheme="minorHAnsi"/>
          <w:sz w:val="22"/>
          <w:szCs w:val="22"/>
        </w:rPr>
        <w:t xml:space="preserve">identify any </w:t>
      </w:r>
      <w:r w:rsidRPr="00647EDE">
        <w:rPr>
          <w:rFonts w:asciiTheme="minorHAnsi" w:hAnsiTheme="minorHAnsi" w:cstheme="minorHAnsi"/>
          <w:bCs/>
          <w:sz w:val="22"/>
          <w:szCs w:val="22"/>
        </w:rPr>
        <w:t>Regulatory requirements and other aspects of relevance to Testbeds Federations and engage the relevant Stakeholders on how such aspects can be addressed;</w:t>
      </w:r>
    </w:p>
    <w:bookmarkEnd w:id="3"/>
    <w:p w14:paraId="3C321854" w14:textId="77777777" w:rsidR="00D508E0" w:rsidRPr="00647EDE" w:rsidRDefault="00D508E0" w:rsidP="00D508E0">
      <w:pPr>
        <w:numPr>
          <w:ilvl w:val="0"/>
          <w:numId w:val="15"/>
        </w:numPr>
        <w:jc w:val="both"/>
        <w:rPr>
          <w:rFonts w:asciiTheme="minorHAnsi" w:hAnsiTheme="minorHAnsi" w:cstheme="minorHAnsi"/>
          <w:bCs/>
          <w:sz w:val="22"/>
          <w:szCs w:val="22"/>
        </w:rPr>
      </w:pPr>
      <w:r w:rsidRPr="00647EDE">
        <w:rPr>
          <w:rFonts w:asciiTheme="minorHAnsi" w:hAnsiTheme="minorHAnsi" w:cstheme="minorHAnsi"/>
          <w:sz w:val="22"/>
          <w:szCs w:val="22"/>
        </w:rPr>
        <w:t>To</w:t>
      </w:r>
      <w:r w:rsidRPr="00647EDE">
        <w:rPr>
          <w:rFonts w:asciiTheme="minorHAnsi" w:hAnsiTheme="minorHAnsi" w:cstheme="minorHAnsi"/>
          <w:bCs/>
          <w:sz w:val="22"/>
          <w:szCs w:val="22"/>
        </w:rPr>
        <w:t xml:space="preserve"> define steps that can be pursued by the Industry towards Developing and Maintaining ONPs (Open Networking Platforms) for IMT-2020 and beyond, and the Use of the Testbeds Federations Reference Model and APIs to build ONPs;</w:t>
      </w:r>
    </w:p>
    <w:p w14:paraId="68DC2BE0" w14:textId="77777777" w:rsidR="00D508E0" w:rsidRPr="00647EDE" w:rsidRDefault="00D508E0" w:rsidP="00D508E0">
      <w:pPr>
        <w:numPr>
          <w:ilvl w:val="0"/>
          <w:numId w:val="15"/>
        </w:numPr>
        <w:jc w:val="both"/>
        <w:rPr>
          <w:rFonts w:asciiTheme="minorHAnsi" w:hAnsiTheme="minorHAnsi" w:cstheme="minorHAnsi"/>
          <w:bCs/>
          <w:sz w:val="22"/>
          <w:szCs w:val="22"/>
        </w:rPr>
      </w:pPr>
      <w:r w:rsidRPr="00647EDE">
        <w:rPr>
          <w:rFonts w:asciiTheme="minorHAnsi" w:hAnsiTheme="minorHAnsi" w:cstheme="minorHAnsi"/>
          <w:bCs/>
          <w:sz w:val="22"/>
          <w:szCs w:val="22"/>
        </w:rPr>
        <w:t>To develop reports of the FG activities on reference model and APIs for testbeds federation after the FG finished its work;</w:t>
      </w:r>
    </w:p>
    <w:p w14:paraId="618C16A7" w14:textId="77777777" w:rsidR="00D508E0" w:rsidRPr="00647EDE" w:rsidRDefault="00D508E0" w:rsidP="00D508E0">
      <w:pPr>
        <w:numPr>
          <w:ilvl w:val="0"/>
          <w:numId w:val="15"/>
        </w:numPr>
        <w:jc w:val="both"/>
        <w:rPr>
          <w:rFonts w:asciiTheme="minorHAnsi" w:hAnsiTheme="minorHAnsi" w:cstheme="minorHAnsi"/>
          <w:sz w:val="22"/>
          <w:szCs w:val="22"/>
        </w:rPr>
      </w:pPr>
      <w:r w:rsidRPr="00647EDE">
        <w:rPr>
          <w:rFonts w:asciiTheme="minorHAnsi" w:hAnsiTheme="minorHAnsi" w:cstheme="minorHAnsi"/>
          <w:sz w:val="22"/>
          <w:szCs w:val="22"/>
        </w:rPr>
        <w:t xml:space="preserve">To encourage participation from various projects and fora in the activities of the </w:t>
      </w:r>
      <w:r w:rsidRPr="00647EDE">
        <w:rPr>
          <w:rFonts w:asciiTheme="minorHAnsi" w:hAnsiTheme="minorHAnsi" w:cstheme="minorHAnsi"/>
          <w:bCs/>
          <w:sz w:val="22"/>
          <w:szCs w:val="22"/>
        </w:rPr>
        <w:t>FG-TBFxG</w:t>
      </w:r>
      <w:r w:rsidRPr="00647EDE">
        <w:rPr>
          <w:rFonts w:asciiTheme="minorHAnsi" w:hAnsiTheme="minorHAnsi" w:cstheme="minorHAnsi"/>
          <w:sz w:val="22"/>
          <w:szCs w:val="22"/>
        </w:rPr>
        <w:t>.</w:t>
      </w:r>
    </w:p>
    <w:p w14:paraId="564DDC2F"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3.</w:t>
      </w:r>
      <w:r w:rsidRPr="00647EDE">
        <w:rPr>
          <w:rFonts w:asciiTheme="minorHAnsi" w:hAnsiTheme="minorHAnsi" w:cstheme="minorHAnsi"/>
          <w:b/>
          <w:bCs/>
          <w:sz w:val="22"/>
          <w:szCs w:val="22"/>
        </w:rPr>
        <w:tab/>
        <w:t>Structure</w:t>
      </w:r>
    </w:p>
    <w:p w14:paraId="0404D6E9"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FG-TBFxG may establish sub-groups as needed. To coordinate operations and provide guidance to subgroups, there will be a chair and vice-chairs.</w:t>
      </w:r>
    </w:p>
    <w:p w14:paraId="48B56855"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4.</w:t>
      </w:r>
      <w:r w:rsidRPr="00647EDE">
        <w:rPr>
          <w:rFonts w:asciiTheme="minorHAnsi" w:hAnsiTheme="minorHAnsi" w:cstheme="minorHAnsi"/>
          <w:b/>
          <w:bCs/>
          <w:sz w:val="22"/>
          <w:szCs w:val="22"/>
        </w:rPr>
        <w:tab/>
        <w:t>Specific Tasks and Deliverables</w:t>
      </w:r>
    </w:p>
    <w:p w14:paraId="72706DDA" w14:textId="77777777" w:rsidR="00D508E0" w:rsidRPr="00647EDE" w:rsidRDefault="00D508E0" w:rsidP="00D508E0">
      <w:pPr>
        <w:spacing w:before="80"/>
        <w:ind w:left="794" w:hanging="794"/>
        <w:jc w:val="both"/>
        <w:rPr>
          <w:rFonts w:asciiTheme="minorHAnsi" w:hAnsiTheme="minorHAnsi" w:cstheme="minorHAnsi"/>
          <w:sz w:val="22"/>
          <w:szCs w:val="22"/>
        </w:rPr>
      </w:pPr>
      <w:r w:rsidRPr="00647EDE">
        <w:rPr>
          <w:rFonts w:asciiTheme="minorHAnsi" w:hAnsiTheme="minorHAnsi" w:cstheme="minorHAnsi"/>
          <w:sz w:val="22"/>
          <w:szCs w:val="22"/>
        </w:rPr>
        <w:t>Tasks and deliverables developed by FG-TBFxG may include the following:</w:t>
      </w:r>
    </w:p>
    <w:p w14:paraId="5E333064"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Gathering information about ongoing standardization initiatives on Testbed Federations and related APIs being standardized by SDOs/Fora (</w:t>
      </w:r>
      <w:proofErr w:type="gramStart"/>
      <w:r w:rsidRPr="00647EDE">
        <w:rPr>
          <w:rFonts w:asciiTheme="minorHAnsi" w:hAnsiTheme="minorHAnsi" w:cstheme="minorHAnsi"/>
          <w:sz w:val="22"/>
          <w:szCs w:val="22"/>
        </w:rPr>
        <w:t>e.g.</w:t>
      </w:r>
      <w:proofErr w:type="gramEnd"/>
      <w:r w:rsidRPr="00647EDE">
        <w:rPr>
          <w:rFonts w:asciiTheme="minorHAnsi" w:hAnsiTheme="minorHAnsi" w:cstheme="minorHAnsi"/>
          <w:sz w:val="22"/>
          <w:szCs w:val="22"/>
        </w:rPr>
        <w:t xml:space="preserve"> ITU-T SG11, IEEE INGR, ETSI TC INT, TM Forum, </w:t>
      </w:r>
      <w:proofErr w:type="spellStart"/>
      <w:r w:rsidRPr="00647EDE">
        <w:rPr>
          <w:rFonts w:asciiTheme="minorHAnsi" w:hAnsiTheme="minorHAnsi" w:cstheme="minorHAnsi"/>
          <w:sz w:val="22"/>
          <w:szCs w:val="22"/>
        </w:rPr>
        <w:t>BroadBand</w:t>
      </w:r>
      <w:proofErr w:type="spellEnd"/>
      <w:r w:rsidRPr="00647EDE">
        <w:rPr>
          <w:rFonts w:asciiTheme="minorHAnsi" w:hAnsiTheme="minorHAnsi" w:cstheme="minorHAnsi"/>
          <w:sz w:val="22"/>
          <w:szCs w:val="22"/>
        </w:rPr>
        <w:t xml:space="preserve"> Forum (BBF)). The aim of this task is to amend the ongoing SG11 standardization work on this subject matter;</w:t>
      </w:r>
    </w:p>
    <w:p w14:paraId="6CD45141"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Developing an APIs Invocations Framework as part of the Testbeds Federations Reference Model being standardized by ITU-T SG11, by which Generic APIs invoke Testbed-specific specialized APIs in specific Testbeds Types during execution of Use Cases for Testbeds and Testbeds Federations;</w:t>
      </w:r>
    </w:p>
    <w:p w14:paraId="283E1E28"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Defining use cases for Testbeds Federations of relevance to IMT-2020 and beyond for different ICT industrial sectors based on the Testbeds Federations Reference Model and solicitations of inputs from relevant players in different domains (verticals) (</w:t>
      </w:r>
      <w:proofErr w:type="gramStart"/>
      <w:r w:rsidRPr="00647EDE">
        <w:rPr>
          <w:rFonts w:asciiTheme="minorHAnsi" w:hAnsiTheme="minorHAnsi" w:cstheme="minorHAnsi"/>
          <w:sz w:val="22"/>
          <w:szCs w:val="22"/>
        </w:rPr>
        <w:t>e.g.</w:t>
      </w:r>
      <w:proofErr w:type="gramEnd"/>
      <w:r w:rsidRPr="00647EDE">
        <w:rPr>
          <w:rFonts w:asciiTheme="minorHAnsi" w:hAnsiTheme="minorHAnsi" w:cstheme="minorHAnsi"/>
          <w:sz w:val="22"/>
          <w:szCs w:val="22"/>
        </w:rPr>
        <w:t xml:space="preserve"> IoT, Autonomic/Autonomous Networks (ANs);</w:t>
      </w:r>
    </w:p>
    <w:p w14:paraId="72179B9A"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Studying existing and ongoing Initiatives in Research and Industry on IMT-2020 and beyond, on APIs of relevance to the Testbeds Federations Reference Model(ITU-T Q.4068), and provide guidelines on how the stakeholders can implement the standardized Testbeds Federations Reference Model or its Instantiations for various types of Testbeds;</w:t>
      </w:r>
    </w:p>
    <w:p w14:paraId="0EB95032" w14:textId="77777777" w:rsidR="00D508E0" w:rsidRPr="00647EDE" w:rsidRDefault="00D508E0" w:rsidP="00D508E0">
      <w:pPr>
        <w:numPr>
          <w:ilvl w:val="0"/>
          <w:numId w:val="14"/>
        </w:numPr>
        <w:contextualSpacing/>
        <w:rPr>
          <w:rFonts w:asciiTheme="minorHAnsi" w:hAnsiTheme="minorHAnsi" w:cstheme="minorHAnsi"/>
          <w:sz w:val="22"/>
          <w:szCs w:val="22"/>
        </w:rPr>
      </w:pPr>
      <w:r w:rsidRPr="00647EDE">
        <w:rPr>
          <w:rFonts w:asciiTheme="minorHAnsi" w:hAnsiTheme="minorHAnsi" w:cstheme="minorHAnsi"/>
          <w:sz w:val="22"/>
          <w:szCs w:val="22"/>
        </w:rPr>
        <w:t>Providing a Framework on how transformations or enhancements/evolutions may be pursued by the community to make existing IMT-2020 related Testbeds APIs fit to the Reference Model and its APIs Invocations Framework;</w:t>
      </w:r>
    </w:p>
    <w:p w14:paraId="76463B58"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Defining Potential New use cases and services for Testbeds Suppliers or Owners that derive from the Testbeds Federations Reference Model and associated APIs, such as “Testbed-as-a Service” (</w:t>
      </w:r>
      <w:proofErr w:type="spellStart"/>
      <w:r w:rsidRPr="00647EDE">
        <w:rPr>
          <w:rFonts w:asciiTheme="minorHAnsi" w:hAnsiTheme="minorHAnsi" w:cstheme="minorHAnsi"/>
          <w:sz w:val="22"/>
          <w:szCs w:val="22"/>
        </w:rPr>
        <w:t>TaaS</w:t>
      </w:r>
      <w:proofErr w:type="spellEnd"/>
      <w:r w:rsidRPr="00647EDE">
        <w:rPr>
          <w:rFonts w:asciiTheme="minorHAnsi" w:hAnsiTheme="minorHAnsi" w:cstheme="minorHAnsi"/>
          <w:sz w:val="22"/>
          <w:szCs w:val="22"/>
        </w:rPr>
        <w:t>);</w:t>
      </w:r>
    </w:p>
    <w:p w14:paraId="7F5F8D1C" w14:textId="77777777" w:rsidR="00D508E0" w:rsidRPr="00647EDE" w:rsidRDefault="00D508E0" w:rsidP="00D508E0">
      <w:pPr>
        <w:numPr>
          <w:ilvl w:val="0"/>
          <w:numId w:val="14"/>
        </w:numPr>
        <w:spacing w:before="80"/>
        <w:jc w:val="both"/>
        <w:rPr>
          <w:rFonts w:asciiTheme="minorHAnsi" w:hAnsiTheme="minorHAnsi" w:cstheme="minorHAnsi"/>
          <w:bCs/>
          <w:sz w:val="22"/>
          <w:szCs w:val="22"/>
        </w:rPr>
      </w:pPr>
      <w:r w:rsidRPr="00647EDE">
        <w:rPr>
          <w:rFonts w:asciiTheme="minorHAnsi" w:hAnsiTheme="minorHAnsi" w:cstheme="minorHAnsi"/>
          <w:sz w:val="22"/>
          <w:szCs w:val="22"/>
        </w:rPr>
        <w:t>Organising thematic workshops and forums on Testbeds Federations for IMT-2020 and beyond. These workshops and forums are expected to bring together all stakeholders including policy makers, ICT sector members, national telecommunication authorities, academia, SDOs/Fora, UN agencies to discuss various aspects related</w:t>
      </w:r>
      <w:r w:rsidRPr="00647EDE">
        <w:rPr>
          <w:rFonts w:asciiTheme="minorHAnsi" w:hAnsiTheme="minorHAnsi" w:cstheme="minorHAnsi"/>
          <w:bCs/>
          <w:sz w:val="22"/>
          <w:szCs w:val="22"/>
        </w:rPr>
        <w:t xml:space="preserve"> to Testbeds Federations for IMT-2020 and beyond;</w:t>
      </w:r>
    </w:p>
    <w:p w14:paraId="0FB56BFA" w14:textId="77777777" w:rsidR="00D508E0" w:rsidRPr="00647EDE" w:rsidRDefault="00D508E0" w:rsidP="00D508E0">
      <w:pPr>
        <w:numPr>
          <w:ilvl w:val="0"/>
          <w:numId w:val="14"/>
        </w:numPr>
        <w:spacing w:before="80"/>
        <w:jc w:val="both"/>
        <w:rPr>
          <w:rFonts w:asciiTheme="minorHAnsi" w:hAnsiTheme="minorHAnsi" w:cstheme="minorHAnsi"/>
          <w:bCs/>
          <w:sz w:val="22"/>
          <w:szCs w:val="22"/>
        </w:rPr>
      </w:pPr>
      <w:r w:rsidRPr="00647EDE">
        <w:rPr>
          <w:rFonts w:asciiTheme="minorHAnsi" w:hAnsiTheme="minorHAnsi" w:cstheme="minorHAnsi"/>
          <w:bCs/>
          <w:sz w:val="22"/>
          <w:szCs w:val="22"/>
        </w:rPr>
        <w:lastRenderedPageBreak/>
        <w:t xml:space="preserve">Identifying and selecting relevant </w:t>
      </w:r>
      <w:r w:rsidRPr="00647EDE">
        <w:rPr>
          <w:rFonts w:asciiTheme="minorHAnsi" w:hAnsiTheme="minorHAnsi" w:cstheme="minorHAnsi"/>
          <w:sz w:val="22"/>
          <w:szCs w:val="22"/>
        </w:rPr>
        <w:t xml:space="preserve">projects and fora </w:t>
      </w:r>
      <w:r w:rsidRPr="00647EDE">
        <w:rPr>
          <w:rFonts w:asciiTheme="minorHAnsi" w:hAnsiTheme="minorHAnsi" w:cstheme="minorHAnsi"/>
          <w:bCs/>
          <w:sz w:val="22"/>
          <w:szCs w:val="22"/>
        </w:rPr>
        <w:t>that can be used in Testbed Federations for IMT-2020 and beyond that conform to the SG11’s Reference Model for Testbeds Federations and its APIs; and promote the vision to the relevant Open Source/Hardware Projects/Forums;</w:t>
      </w:r>
    </w:p>
    <w:p w14:paraId="3DFC1296"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Developing Technical Reports and Specifications which address the outlined items such as APIs and Frameworks, while also identifying future standardization work for ITU-T study groups in the area of Federated Testbeds for IMT-2020 and beyond (as described in the objectives);</w:t>
      </w:r>
    </w:p>
    <w:p w14:paraId="0A61EA40" w14:textId="77777777" w:rsidR="00D508E0" w:rsidRPr="00647EDE" w:rsidRDefault="00D508E0" w:rsidP="00D508E0">
      <w:pPr>
        <w:numPr>
          <w:ilvl w:val="0"/>
          <w:numId w:val="14"/>
        </w:numPr>
        <w:spacing w:before="80"/>
        <w:jc w:val="both"/>
        <w:rPr>
          <w:rFonts w:asciiTheme="minorHAnsi" w:hAnsiTheme="minorHAnsi" w:cstheme="minorHAnsi"/>
          <w:sz w:val="22"/>
          <w:szCs w:val="22"/>
        </w:rPr>
      </w:pPr>
      <w:r w:rsidRPr="00647EDE">
        <w:rPr>
          <w:rFonts w:asciiTheme="minorHAnsi" w:hAnsiTheme="minorHAnsi" w:cstheme="minorHAnsi"/>
          <w:sz w:val="22"/>
          <w:szCs w:val="22"/>
        </w:rPr>
        <w:t>Communicating the final list of deliverables to SG11, at least four calendar weeks before the parent group’s next meeting.</w:t>
      </w:r>
    </w:p>
    <w:p w14:paraId="69643FFC"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5.</w:t>
      </w:r>
      <w:r w:rsidRPr="00647EDE">
        <w:rPr>
          <w:rFonts w:asciiTheme="minorHAnsi" w:hAnsiTheme="minorHAnsi" w:cstheme="minorHAnsi"/>
          <w:b/>
          <w:bCs/>
          <w:sz w:val="22"/>
          <w:szCs w:val="22"/>
        </w:rPr>
        <w:tab/>
        <w:t>Relationships</w:t>
      </w:r>
    </w:p>
    <w:p w14:paraId="45F7A33A"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 xml:space="preserve">This Focus Group will work closely with SG11 through collocated meetings where and when possible and will work in close coordination with all ITU-T Study Groups as appropriate. </w:t>
      </w:r>
    </w:p>
    <w:p w14:paraId="483DCB80"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This FG–TBF5G will also collaborate (as required) with other relevant entities, in accordance with Recommendation ITU-T A.7.</w:t>
      </w:r>
    </w:p>
    <w:p w14:paraId="05B4C8C4"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It will establish close collaboration with other SDOs/Fora (</w:t>
      </w:r>
      <w:proofErr w:type="gramStart"/>
      <w:r w:rsidRPr="00647EDE">
        <w:rPr>
          <w:rFonts w:asciiTheme="minorHAnsi" w:hAnsiTheme="minorHAnsi" w:cstheme="minorHAnsi"/>
          <w:sz w:val="22"/>
          <w:szCs w:val="22"/>
        </w:rPr>
        <w:t>e.g.</w:t>
      </w:r>
      <w:proofErr w:type="gramEnd"/>
      <w:r w:rsidRPr="00647EDE">
        <w:rPr>
          <w:rFonts w:asciiTheme="minorHAnsi" w:hAnsiTheme="minorHAnsi" w:cstheme="minorHAnsi"/>
          <w:sz w:val="22"/>
          <w:szCs w:val="22"/>
        </w:rPr>
        <w:t xml:space="preserve"> IEEE, ETSI, </w:t>
      </w:r>
      <w:proofErr w:type="spellStart"/>
      <w:r w:rsidRPr="00647EDE">
        <w:rPr>
          <w:rFonts w:asciiTheme="minorHAnsi" w:hAnsiTheme="minorHAnsi" w:cstheme="minorHAnsi"/>
          <w:sz w:val="22"/>
          <w:szCs w:val="22"/>
        </w:rPr>
        <w:t>TMForum</w:t>
      </w:r>
      <w:proofErr w:type="spellEnd"/>
      <w:r w:rsidRPr="00647EDE">
        <w:rPr>
          <w:rFonts w:asciiTheme="minorHAnsi" w:hAnsiTheme="minorHAnsi" w:cstheme="minorHAnsi"/>
          <w:sz w:val="22"/>
          <w:szCs w:val="22"/>
        </w:rPr>
        <w:t xml:space="preserve">, </w:t>
      </w:r>
      <w:proofErr w:type="spellStart"/>
      <w:r w:rsidRPr="00647EDE">
        <w:rPr>
          <w:rFonts w:asciiTheme="minorHAnsi" w:hAnsiTheme="minorHAnsi" w:cstheme="minorHAnsi"/>
          <w:sz w:val="22"/>
          <w:szCs w:val="22"/>
        </w:rPr>
        <w:t>BroadBand</w:t>
      </w:r>
      <w:proofErr w:type="spellEnd"/>
      <w:r w:rsidRPr="00647EDE">
        <w:rPr>
          <w:rFonts w:asciiTheme="minorHAnsi" w:hAnsiTheme="minorHAnsi" w:cstheme="minorHAnsi"/>
          <w:sz w:val="22"/>
          <w:szCs w:val="22"/>
        </w:rPr>
        <w:t xml:space="preserve"> Forum (BBF), TIP, ORAN, NGMN, 3GPP, etc.), municipalities, non-governmental organizations (NGOs), policy makers, companies, academic institutions, research institutions and other relevant organizations.</w:t>
      </w:r>
    </w:p>
    <w:p w14:paraId="0386C3D3"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6.</w:t>
      </w:r>
      <w:r w:rsidRPr="00647EDE">
        <w:rPr>
          <w:rFonts w:asciiTheme="minorHAnsi" w:hAnsiTheme="minorHAnsi" w:cstheme="minorHAnsi"/>
          <w:b/>
          <w:bCs/>
          <w:sz w:val="22"/>
          <w:szCs w:val="22"/>
        </w:rPr>
        <w:tab/>
        <w:t>Parent group</w:t>
      </w:r>
    </w:p>
    <w:p w14:paraId="6413271A"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parent group of the FG-TBFxG is ITU-T Study Group 11 “Signalling requirements, protocols, test specifications and combating counterfeit products”.</w:t>
      </w:r>
    </w:p>
    <w:p w14:paraId="4DD00C27"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Among others, SG11 leads ITU activities on establishing test specifications, conformance and interoperability testing for all types of networks, technologies and services that are the subject of study and standardization by all ITU</w:t>
      </w:r>
      <w:r w:rsidRPr="00647EDE">
        <w:rPr>
          <w:rFonts w:ascii="Cambria Math" w:hAnsi="Cambria Math" w:cs="Cambria Math"/>
          <w:sz w:val="22"/>
          <w:szCs w:val="22"/>
        </w:rPr>
        <w:t>‑</w:t>
      </w:r>
      <w:r w:rsidRPr="00647EDE">
        <w:rPr>
          <w:rFonts w:asciiTheme="minorHAnsi" w:hAnsiTheme="minorHAnsi" w:cstheme="minorHAnsi"/>
          <w:sz w:val="22"/>
          <w:szCs w:val="22"/>
        </w:rPr>
        <w:t>T study groups.</w:t>
      </w:r>
    </w:p>
    <w:p w14:paraId="416F09BC"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7.</w:t>
      </w:r>
      <w:r w:rsidRPr="00647EDE">
        <w:rPr>
          <w:rFonts w:asciiTheme="minorHAnsi" w:hAnsiTheme="minorHAnsi" w:cstheme="minorHAnsi"/>
          <w:b/>
          <w:bCs/>
          <w:sz w:val="22"/>
          <w:szCs w:val="22"/>
        </w:rPr>
        <w:tab/>
        <w:t>Leadership</w:t>
      </w:r>
    </w:p>
    <w:p w14:paraId="5BD55BC5"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stipulations in clause 2.3 of Recommendation ITU-T A.7 apply.</w:t>
      </w:r>
    </w:p>
    <w:p w14:paraId="232E72AE" w14:textId="77777777" w:rsidR="00D508E0" w:rsidRPr="00647EDE" w:rsidRDefault="00D508E0" w:rsidP="00D508E0">
      <w:pPr>
        <w:rPr>
          <w:rFonts w:asciiTheme="minorHAnsi" w:hAnsiTheme="minorHAnsi" w:cstheme="minorHAnsi"/>
          <w:b/>
          <w:bCs/>
          <w:sz w:val="22"/>
          <w:szCs w:val="22"/>
          <w:lang w:val="en-US"/>
        </w:rPr>
      </w:pPr>
      <w:r w:rsidRPr="00647EDE">
        <w:rPr>
          <w:rFonts w:asciiTheme="minorHAnsi" w:hAnsiTheme="minorHAnsi" w:cstheme="minorHAnsi"/>
          <w:b/>
          <w:bCs/>
          <w:sz w:val="22"/>
          <w:szCs w:val="22"/>
          <w:lang w:val="en-US"/>
        </w:rPr>
        <w:t>8.</w:t>
      </w:r>
      <w:r w:rsidRPr="00647EDE">
        <w:rPr>
          <w:rFonts w:asciiTheme="minorHAnsi" w:hAnsiTheme="minorHAnsi" w:cstheme="minorHAnsi"/>
          <w:b/>
          <w:bCs/>
          <w:sz w:val="22"/>
          <w:szCs w:val="22"/>
          <w:lang w:val="en-US"/>
        </w:rPr>
        <w:tab/>
      </w:r>
      <w:r w:rsidRPr="00647EDE">
        <w:rPr>
          <w:rFonts w:asciiTheme="minorHAnsi" w:hAnsiTheme="minorHAnsi" w:cstheme="minorHAnsi"/>
          <w:b/>
          <w:bCs/>
          <w:sz w:val="22"/>
          <w:szCs w:val="22"/>
        </w:rPr>
        <w:t>Participation</w:t>
      </w:r>
    </w:p>
    <w:p w14:paraId="47F23615" w14:textId="77777777" w:rsidR="00D508E0" w:rsidRPr="00647EDE" w:rsidRDefault="00D508E0" w:rsidP="00D508E0">
      <w:pPr>
        <w:jc w:val="both"/>
        <w:rPr>
          <w:rFonts w:asciiTheme="minorHAnsi" w:hAnsiTheme="minorHAnsi" w:cstheme="minorHAnsi"/>
          <w:sz w:val="22"/>
          <w:szCs w:val="22"/>
          <w:lang w:val="en-US"/>
        </w:rPr>
      </w:pPr>
      <w:r w:rsidRPr="00647EDE">
        <w:rPr>
          <w:rFonts w:asciiTheme="minorHAnsi" w:hAnsiTheme="minorHAnsi" w:cstheme="minorHAnsi"/>
          <w:sz w:val="22"/>
          <w:szCs w:val="22"/>
          <w:lang w:val="en-US"/>
        </w:rPr>
        <w:t>See clause 3.1 of Recommendation ITU-T A.7.</w:t>
      </w:r>
    </w:p>
    <w:p w14:paraId="3211984D" w14:textId="77777777" w:rsidR="00D508E0" w:rsidRPr="00647EDE" w:rsidRDefault="00D508E0" w:rsidP="00D508E0">
      <w:pPr>
        <w:jc w:val="both"/>
        <w:rPr>
          <w:rFonts w:asciiTheme="minorHAnsi" w:hAnsiTheme="minorHAnsi" w:cstheme="minorHAnsi"/>
          <w:sz w:val="22"/>
          <w:szCs w:val="22"/>
          <w:lang w:val="en-US"/>
        </w:rPr>
      </w:pPr>
      <w:r w:rsidRPr="00647EDE">
        <w:rPr>
          <w:rFonts w:asciiTheme="minorHAnsi" w:hAnsiTheme="minorHAnsi" w:cstheme="minorHAnsi"/>
          <w:sz w:val="22"/>
          <w:szCs w:val="22"/>
          <w:lang w:val="en-US"/>
        </w:rPr>
        <w:t>Any individual from a country that is a member of ITU and who is willing to contribute actively to the work may participate in the focus group. This includes individuals who are also members of international, regional and national organizations.</w:t>
      </w:r>
    </w:p>
    <w:p w14:paraId="680C7F30"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 xml:space="preserve">A list of participants will be maintained for reference purposes and reported to the parent group. </w:t>
      </w:r>
    </w:p>
    <w:p w14:paraId="42783DA3"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 xml:space="preserve">All participants are strongly encouraged to contribute to the FG’s activities. </w:t>
      </w:r>
    </w:p>
    <w:p w14:paraId="19E170F5"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9.</w:t>
      </w:r>
      <w:r w:rsidRPr="00647EDE">
        <w:rPr>
          <w:rFonts w:asciiTheme="minorHAnsi" w:hAnsiTheme="minorHAnsi" w:cstheme="minorHAnsi"/>
          <w:b/>
          <w:bCs/>
          <w:sz w:val="22"/>
          <w:szCs w:val="22"/>
        </w:rPr>
        <w:tab/>
        <w:t>Administrative support</w:t>
      </w:r>
    </w:p>
    <w:p w14:paraId="78B71934"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stipulations in clause 5 of Recommendation ITU-T A.7 apply.</w:t>
      </w:r>
    </w:p>
    <w:p w14:paraId="234ED48E"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10.</w:t>
      </w:r>
      <w:r w:rsidRPr="00647EDE">
        <w:rPr>
          <w:rFonts w:asciiTheme="minorHAnsi" w:hAnsiTheme="minorHAnsi" w:cstheme="minorHAnsi"/>
          <w:b/>
          <w:bCs/>
          <w:sz w:val="22"/>
          <w:szCs w:val="22"/>
        </w:rPr>
        <w:tab/>
        <w:t>General financing</w:t>
      </w:r>
    </w:p>
    <w:p w14:paraId="223D1E62"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FG-TBFxG will follow the guidance in clause 4 of Recommendation ITU-T A.7 with regard to financing of focus groups and their meetings and clause 10.2 of Recommendation ITU-T A.7 with regard to printing and distribution of deliverables.</w:t>
      </w:r>
    </w:p>
    <w:p w14:paraId="1DC3646E"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11.</w:t>
      </w:r>
      <w:r w:rsidRPr="00647EDE">
        <w:rPr>
          <w:rFonts w:asciiTheme="minorHAnsi" w:hAnsiTheme="minorHAnsi" w:cstheme="minorHAnsi"/>
          <w:b/>
          <w:bCs/>
          <w:sz w:val="22"/>
          <w:szCs w:val="22"/>
        </w:rPr>
        <w:tab/>
        <w:t>Meetings</w:t>
      </w:r>
    </w:p>
    <w:p w14:paraId="6BF086BB"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frequency and locations of meetings will be determined by the Focus Group management. The overall meetings plan will be announced after the approval of the terms of reference. The Focus Group will use remote collaboration tools to the maximum extent, and collocation with ITU-T SG11 meetings is encouraged.</w:t>
      </w:r>
    </w:p>
    <w:p w14:paraId="056DABAC"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meeting dates will be announced by electronic means (e.g., e-mail and website, etc.) at least six weeks in advance.</w:t>
      </w:r>
    </w:p>
    <w:p w14:paraId="5B5FA326"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12.</w:t>
      </w:r>
      <w:r w:rsidRPr="00647EDE">
        <w:rPr>
          <w:rFonts w:asciiTheme="minorHAnsi" w:hAnsiTheme="minorHAnsi" w:cstheme="minorHAnsi"/>
          <w:b/>
          <w:bCs/>
          <w:sz w:val="22"/>
          <w:szCs w:val="22"/>
        </w:rPr>
        <w:tab/>
        <w:t>Technical contributions</w:t>
      </w:r>
    </w:p>
    <w:p w14:paraId="7F02D572"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lastRenderedPageBreak/>
        <w:t>See clause 8 of Recommendation ITU-T A.7.</w:t>
      </w:r>
    </w:p>
    <w:p w14:paraId="2AC38527"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Any participant may submit a technical contribution directly to FG-TBFxG, in accordance with the time schedule adopted. A template for contributions can be found on the ITU-T website. Electronic document transfer methods should be used whenever possible.</w:t>
      </w:r>
    </w:p>
    <w:p w14:paraId="29D8040F"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Deadline for contributions will be announced by FG Chairman for each particular meeting.</w:t>
      </w:r>
    </w:p>
    <w:p w14:paraId="5F207396"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13.</w:t>
      </w:r>
      <w:r w:rsidRPr="00647EDE">
        <w:rPr>
          <w:rFonts w:asciiTheme="minorHAnsi" w:hAnsiTheme="minorHAnsi" w:cstheme="minorHAnsi"/>
          <w:b/>
          <w:bCs/>
          <w:sz w:val="22"/>
          <w:szCs w:val="22"/>
        </w:rPr>
        <w:tab/>
        <w:t>Working language</w:t>
      </w:r>
    </w:p>
    <w:p w14:paraId="7AFF2DE9"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working language is English.</w:t>
      </w:r>
    </w:p>
    <w:p w14:paraId="2A913D7B"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14.</w:t>
      </w:r>
      <w:r w:rsidRPr="00647EDE">
        <w:rPr>
          <w:rFonts w:asciiTheme="minorHAnsi" w:hAnsiTheme="minorHAnsi" w:cstheme="minorHAnsi"/>
          <w:b/>
          <w:bCs/>
          <w:sz w:val="22"/>
          <w:szCs w:val="22"/>
        </w:rPr>
        <w:tab/>
        <w:t>Approval of deliverables</w:t>
      </w:r>
    </w:p>
    <w:p w14:paraId="20F058A6"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Approval of deliverables shall be taken by consensus.</w:t>
      </w:r>
    </w:p>
    <w:p w14:paraId="3F859E4A"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15.</w:t>
      </w:r>
      <w:r w:rsidRPr="00647EDE">
        <w:rPr>
          <w:rFonts w:asciiTheme="minorHAnsi" w:hAnsiTheme="minorHAnsi" w:cstheme="minorHAnsi"/>
          <w:b/>
          <w:bCs/>
          <w:sz w:val="22"/>
          <w:szCs w:val="22"/>
        </w:rPr>
        <w:tab/>
        <w:t>Working guidelines</w:t>
      </w:r>
    </w:p>
    <w:p w14:paraId="04164963"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Working procedures shall follow the procedures of Rapporteur group meetings.</w:t>
      </w:r>
    </w:p>
    <w:p w14:paraId="660A1FE6"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FG-TBFxG will exchange draft deliverables and other outcomes on a regular basis with its parent group, to ensure efficient transfer of deliverables to streamline future activities (see ITU-T A.7 Appendix I).</w:t>
      </w:r>
    </w:p>
    <w:p w14:paraId="2D769897"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No additional working guidelines are defined.</w:t>
      </w:r>
    </w:p>
    <w:p w14:paraId="39C8B11F"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16.</w:t>
      </w:r>
      <w:r w:rsidRPr="00647EDE">
        <w:rPr>
          <w:rFonts w:asciiTheme="minorHAnsi" w:hAnsiTheme="minorHAnsi" w:cstheme="minorHAnsi"/>
          <w:b/>
          <w:bCs/>
          <w:sz w:val="22"/>
          <w:szCs w:val="22"/>
        </w:rPr>
        <w:tab/>
        <w:t>Progress reports</w:t>
      </w:r>
    </w:p>
    <w:p w14:paraId="633FCB0D"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Regular progress reports will be provided at each meeting of the parent group, as per the guidance in clause 11 of Recommendation ITU-T A.7.</w:t>
      </w:r>
    </w:p>
    <w:p w14:paraId="215D94EE"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17.</w:t>
      </w:r>
      <w:r w:rsidRPr="00647EDE">
        <w:rPr>
          <w:rFonts w:asciiTheme="minorHAnsi" w:hAnsiTheme="minorHAnsi" w:cstheme="minorHAnsi"/>
          <w:b/>
          <w:bCs/>
          <w:sz w:val="22"/>
          <w:szCs w:val="22"/>
        </w:rPr>
        <w:tab/>
        <w:t>Announcement of Focus Group formation</w:t>
      </w:r>
    </w:p>
    <w:p w14:paraId="1E2734D2"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 xml:space="preserve">The creation of the FG-TBFxG will be announced via TSB Circular to all ITU membership. ITU-T </w:t>
      </w:r>
      <w:proofErr w:type="spellStart"/>
      <w:r w:rsidRPr="00647EDE">
        <w:rPr>
          <w:rFonts w:asciiTheme="minorHAnsi" w:hAnsiTheme="minorHAnsi" w:cstheme="minorHAnsi"/>
          <w:sz w:val="22"/>
          <w:szCs w:val="22"/>
        </w:rPr>
        <w:t>Newslog</w:t>
      </w:r>
      <w:proofErr w:type="spellEnd"/>
      <w:r w:rsidRPr="00647EDE">
        <w:rPr>
          <w:rFonts w:asciiTheme="minorHAnsi" w:hAnsiTheme="minorHAnsi" w:cstheme="minorHAnsi"/>
          <w:sz w:val="22"/>
          <w:szCs w:val="22"/>
        </w:rPr>
        <w:t>, press releases and other means, including communication with other involved organizations could be utilized.</w:t>
      </w:r>
    </w:p>
    <w:p w14:paraId="61222544" w14:textId="77777777" w:rsidR="00D508E0" w:rsidRPr="00647EDE" w:rsidRDefault="00D508E0" w:rsidP="00D508E0">
      <w:pPr>
        <w:rPr>
          <w:rFonts w:asciiTheme="minorHAnsi" w:hAnsiTheme="minorHAnsi" w:cstheme="minorHAnsi"/>
          <w:b/>
          <w:bCs/>
          <w:sz w:val="22"/>
          <w:szCs w:val="22"/>
        </w:rPr>
      </w:pPr>
      <w:r w:rsidRPr="00647EDE">
        <w:rPr>
          <w:rFonts w:asciiTheme="minorHAnsi" w:hAnsiTheme="minorHAnsi" w:cstheme="minorHAnsi"/>
          <w:b/>
          <w:bCs/>
          <w:sz w:val="22"/>
          <w:szCs w:val="22"/>
        </w:rPr>
        <w:t>18.</w:t>
      </w:r>
      <w:r w:rsidRPr="00647EDE">
        <w:rPr>
          <w:rFonts w:asciiTheme="minorHAnsi" w:hAnsiTheme="minorHAnsi" w:cstheme="minorHAnsi"/>
          <w:b/>
          <w:bCs/>
          <w:sz w:val="22"/>
          <w:szCs w:val="22"/>
        </w:rPr>
        <w:tab/>
        <w:t>Milestones and duration of the Focus Group</w:t>
      </w:r>
    </w:p>
    <w:p w14:paraId="75FC9EC1"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The Focus Group lifetime is set for one year from the first meeting (see ITU-T A.7, clause 2.2), with the possibility for a further year subject to the agreement of the parent study group.</w:t>
      </w:r>
    </w:p>
    <w:p w14:paraId="77635862" w14:textId="77777777" w:rsidR="00D508E0" w:rsidRPr="00647EDE" w:rsidRDefault="00D508E0" w:rsidP="00D508E0">
      <w:pPr>
        <w:jc w:val="both"/>
        <w:rPr>
          <w:rFonts w:asciiTheme="minorHAnsi" w:hAnsiTheme="minorHAnsi" w:cstheme="minorHAnsi"/>
          <w:b/>
          <w:bCs/>
          <w:sz w:val="22"/>
          <w:szCs w:val="22"/>
        </w:rPr>
      </w:pPr>
      <w:r w:rsidRPr="00647EDE">
        <w:rPr>
          <w:rFonts w:asciiTheme="minorHAnsi" w:hAnsiTheme="minorHAnsi" w:cstheme="minorHAnsi"/>
          <w:b/>
          <w:bCs/>
          <w:sz w:val="22"/>
          <w:szCs w:val="22"/>
        </w:rPr>
        <w:t>19.</w:t>
      </w:r>
      <w:r w:rsidRPr="00647EDE">
        <w:rPr>
          <w:rFonts w:asciiTheme="minorHAnsi" w:hAnsiTheme="minorHAnsi" w:cstheme="minorHAnsi"/>
          <w:b/>
          <w:bCs/>
          <w:sz w:val="22"/>
          <w:szCs w:val="22"/>
        </w:rPr>
        <w:tab/>
        <w:t>Patent policy</w:t>
      </w:r>
    </w:p>
    <w:p w14:paraId="3942949F" w14:textId="77777777" w:rsidR="00D508E0" w:rsidRPr="00647EDE" w:rsidRDefault="00D508E0" w:rsidP="00D508E0">
      <w:pPr>
        <w:jc w:val="both"/>
        <w:rPr>
          <w:rFonts w:asciiTheme="minorHAnsi" w:hAnsiTheme="minorHAnsi" w:cstheme="minorHAnsi"/>
          <w:sz w:val="22"/>
          <w:szCs w:val="22"/>
        </w:rPr>
      </w:pPr>
      <w:r w:rsidRPr="00647EDE">
        <w:rPr>
          <w:rFonts w:asciiTheme="minorHAnsi" w:hAnsiTheme="minorHAnsi" w:cstheme="minorHAnsi"/>
          <w:sz w:val="22"/>
          <w:szCs w:val="22"/>
        </w:rPr>
        <w:t>See clause 9 of Recommendation ITU-T A.7.</w:t>
      </w:r>
    </w:p>
    <w:p w14:paraId="2ABD4FC5" w14:textId="692F1947" w:rsidR="00D62702" w:rsidRPr="00647EDE" w:rsidRDefault="00D508E0" w:rsidP="00647EDE">
      <w:pPr>
        <w:spacing w:after="160" w:line="259" w:lineRule="auto"/>
        <w:jc w:val="center"/>
        <w:rPr>
          <w:rFonts w:asciiTheme="minorHAnsi" w:hAnsiTheme="minorHAnsi" w:cstheme="minorHAnsi"/>
          <w:sz w:val="22"/>
          <w:szCs w:val="22"/>
        </w:rPr>
      </w:pPr>
      <w:r w:rsidRPr="00647EDE">
        <w:rPr>
          <w:rFonts w:asciiTheme="minorHAnsi" w:hAnsiTheme="minorHAnsi" w:cstheme="minorHAnsi"/>
          <w:sz w:val="22"/>
          <w:szCs w:val="22"/>
        </w:rPr>
        <w:t>___________________</w:t>
      </w:r>
    </w:p>
    <w:sectPr w:rsidR="00D62702" w:rsidRPr="00647EDE" w:rsidSect="00C24502">
      <w:headerReference w:type="default" r:id="rId25"/>
      <w:footerReference w:type="first" r:id="rId26"/>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DC53" w14:textId="77777777" w:rsidR="001654AD" w:rsidRDefault="001654AD">
      <w:r>
        <w:separator/>
      </w:r>
    </w:p>
  </w:endnote>
  <w:endnote w:type="continuationSeparator" w:id="0">
    <w:p w14:paraId="440CDB63" w14:textId="77777777" w:rsidR="001654AD" w:rsidRDefault="0016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FA46A0" w:rsidRPr="00C24502" w:rsidRDefault="00B61012">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941B" w14:textId="77777777" w:rsidR="001654AD" w:rsidRDefault="001654AD">
      <w:r>
        <w:t>____________________</w:t>
      </w:r>
    </w:p>
  </w:footnote>
  <w:footnote w:type="continuationSeparator" w:id="0">
    <w:p w14:paraId="7D65D6B7" w14:textId="77777777" w:rsidR="001654AD" w:rsidRDefault="0016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413B56EB" w:rsidR="00FA46A0" w:rsidRDefault="00B61012" w:rsidP="00C24502">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647EDE">
      <w:rPr>
        <w:noProof/>
      </w:rPr>
      <w:t>367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22E6B"/>
    <w:rsid w:val="00031A43"/>
    <w:rsid w:val="00051C08"/>
    <w:rsid w:val="0007363C"/>
    <w:rsid w:val="000A4047"/>
    <w:rsid w:val="000B15C8"/>
    <w:rsid w:val="000C3303"/>
    <w:rsid w:val="001018E1"/>
    <w:rsid w:val="00112F37"/>
    <w:rsid w:val="001355F7"/>
    <w:rsid w:val="0014323D"/>
    <w:rsid w:val="001638EC"/>
    <w:rsid w:val="001654AD"/>
    <w:rsid w:val="001870DF"/>
    <w:rsid w:val="001A1E39"/>
    <w:rsid w:val="001A34EC"/>
    <w:rsid w:val="001B4AFE"/>
    <w:rsid w:val="001C7C93"/>
    <w:rsid w:val="001E692B"/>
    <w:rsid w:val="0020219A"/>
    <w:rsid w:val="00246FFB"/>
    <w:rsid w:val="0026401A"/>
    <w:rsid w:val="002666A4"/>
    <w:rsid w:val="002A3122"/>
    <w:rsid w:val="002B52D9"/>
    <w:rsid w:val="002C3404"/>
    <w:rsid w:val="002D08FF"/>
    <w:rsid w:val="002D1621"/>
    <w:rsid w:val="002F7968"/>
    <w:rsid w:val="003119FD"/>
    <w:rsid w:val="003326F9"/>
    <w:rsid w:val="003329CF"/>
    <w:rsid w:val="00345F16"/>
    <w:rsid w:val="00356B73"/>
    <w:rsid w:val="003746A5"/>
    <w:rsid w:val="003D4690"/>
    <w:rsid w:val="00453CEA"/>
    <w:rsid w:val="00482C4F"/>
    <w:rsid w:val="00487330"/>
    <w:rsid w:val="004D22D2"/>
    <w:rsid w:val="00503ADB"/>
    <w:rsid w:val="00560258"/>
    <w:rsid w:val="00561B34"/>
    <w:rsid w:val="00570306"/>
    <w:rsid w:val="00584CF0"/>
    <w:rsid w:val="005A1DCC"/>
    <w:rsid w:val="005D2448"/>
    <w:rsid w:val="005E003C"/>
    <w:rsid w:val="0060287C"/>
    <w:rsid w:val="0064254B"/>
    <w:rsid w:val="00647EDE"/>
    <w:rsid w:val="006662ED"/>
    <w:rsid w:val="006C43F0"/>
    <w:rsid w:val="006D619C"/>
    <w:rsid w:val="00711652"/>
    <w:rsid w:val="00724F2A"/>
    <w:rsid w:val="00730A58"/>
    <w:rsid w:val="00762AC2"/>
    <w:rsid w:val="00780A32"/>
    <w:rsid w:val="007834A9"/>
    <w:rsid w:val="0079763E"/>
    <w:rsid w:val="007A65E8"/>
    <w:rsid w:val="007D75E4"/>
    <w:rsid w:val="0089255F"/>
    <w:rsid w:val="008A3F05"/>
    <w:rsid w:val="008F35A1"/>
    <w:rsid w:val="00913638"/>
    <w:rsid w:val="009167B2"/>
    <w:rsid w:val="00927387"/>
    <w:rsid w:val="009545D6"/>
    <w:rsid w:val="00963900"/>
    <w:rsid w:val="009747C5"/>
    <w:rsid w:val="0099315F"/>
    <w:rsid w:val="00997FEC"/>
    <w:rsid w:val="009A0665"/>
    <w:rsid w:val="009B2EB5"/>
    <w:rsid w:val="00A532C8"/>
    <w:rsid w:val="00A72C30"/>
    <w:rsid w:val="00A7490A"/>
    <w:rsid w:val="00A75EF3"/>
    <w:rsid w:val="00AC6DEB"/>
    <w:rsid w:val="00AF646D"/>
    <w:rsid w:val="00B2488F"/>
    <w:rsid w:val="00B45565"/>
    <w:rsid w:val="00B4669D"/>
    <w:rsid w:val="00B61012"/>
    <w:rsid w:val="00B61F82"/>
    <w:rsid w:val="00BC7342"/>
    <w:rsid w:val="00BD20EE"/>
    <w:rsid w:val="00BE6735"/>
    <w:rsid w:val="00C06AC4"/>
    <w:rsid w:val="00C24502"/>
    <w:rsid w:val="00C851D5"/>
    <w:rsid w:val="00C938C1"/>
    <w:rsid w:val="00C95BF6"/>
    <w:rsid w:val="00CB388D"/>
    <w:rsid w:val="00D33594"/>
    <w:rsid w:val="00D417C0"/>
    <w:rsid w:val="00D508E0"/>
    <w:rsid w:val="00D551ED"/>
    <w:rsid w:val="00D57525"/>
    <w:rsid w:val="00D62702"/>
    <w:rsid w:val="00DA727B"/>
    <w:rsid w:val="00DB19E7"/>
    <w:rsid w:val="00DC725F"/>
    <w:rsid w:val="00E53AE7"/>
    <w:rsid w:val="00E86A41"/>
    <w:rsid w:val="00EA2114"/>
    <w:rsid w:val="00EA273A"/>
    <w:rsid w:val="00EC15F4"/>
    <w:rsid w:val="00EE0811"/>
    <w:rsid w:val="00EE0F23"/>
    <w:rsid w:val="00EF4D59"/>
    <w:rsid w:val="00EF79EC"/>
    <w:rsid w:val="00F13385"/>
    <w:rsid w:val="00F22314"/>
    <w:rsid w:val="00F351C7"/>
    <w:rsid w:val="00F872CC"/>
    <w:rsid w:val="00FA46A0"/>
    <w:rsid w:val="00FC1C19"/>
    <w:rsid w:val="00FE4E07"/>
    <w:rsid w:val="00FF0BBC"/>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E68624F3-72F3-4A26-8605-C315B633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styleId="UnresolvedMention">
    <w:name w:val="Unresolved Mention"/>
    <w:basedOn w:val="DefaultParagraphFont"/>
    <w:uiPriority w:val="99"/>
    <w:semiHidden/>
    <w:unhideWhenUsed/>
    <w:rsid w:val="00482C4F"/>
    <w:rPr>
      <w:color w:val="605E5C"/>
      <w:shd w:val="clear" w:color="auto" w:fill="E1DFDD"/>
    </w:rPr>
  </w:style>
  <w:style w:type="paragraph" w:styleId="Revision">
    <w:name w:val="Revision"/>
    <w:hidden/>
    <w:semiHidden/>
    <w:rsid w:val="00D417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655">
      <w:bodyDiv w:val="1"/>
      <w:marLeft w:val="0"/>
      <w:marRight w:val="0"/>
      <w:marTop w:val="0"/>
      <w:marBottom w:val="0"/>
      <w:divBdr>
        <w:top w:val="none" w:sz="0" w:space="0" w:color="auto"/>
        <w:left w:val="none" w:sz="0" w:space="0" w:color="auto"/>
        <w:bottom w:val="none" w:sz="0" w:space="0" w:color="auto"/>
        <w:right w:val="none" w:sz="0" w:space="0" w:color="auto"/>
      </w:divBdr>
    </w:div>
    <w:div w:id="60110571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tbf@itu.int" TargetMode="External"/><Relationship Id="rId13" Type="http://schemas.openxmlformats.org/officeDocument/2006/relationships/hyperlink" Target="mailto:tsbfgtbf@itu.int" TargetMode="External"/><Relationship Id="rId18" Type="http://schemas.openxmlformats.org/officeDocument/2006/relationships/hyperlink" Target="mailto:tsbfgtbf@itu.i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www.itu.int/rec/T-REC-A.7" TargetMode="External"/><Relationship Id="rId17" Type="http://schemas.openxmlformats.org/officeDocument/2006/relationships/hyperlink" Target="http://www.itu.int/go/fgtb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go/fgtb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fgtbf" TargetMode="External"/><Relationship Id="rId24" Type="http://schemas.openxmlformats.org/officeDocument/2006/relationships/hyperlink" Target="http://www.itu.int/go/BTF4-5G" TargetMode="External"/><Relationship Id="rId5" Type="http://schemas.openxmlformats.org/officeDocument/2006/relationships/footnotes" Target="footnotes.xml"/><Relationship Id="rId15" Type="http://schemas.openxmlformats.org/officeDocument/2006/relationships/hyperlink" Target="http://www.itu.int/go/fgtbf" TargetMode="External"/><Relationship Id="rId23" Type="http://schemas.openxmlformats.org/officeDocument/2006/relationships/hyperlink" Target="http://www.itu.int/go/BTF4-5G" TargetMode="External"/><Relationship Id="rId28" Type="http://schemas.openxmlformats.org/officeDocument/2006/relationships/theme" Target="theme/theme1.xml"/><Relationship Id="rId10" Type="http://schemas.openxmlformats.org/officeDocument/2006/relationships/hyperlink" Target="mailto:fgtbf@lists.itu.int" TargetMode="External"/><Relationship Id="rId19" Type="http://schemas.openxmlformats.org/officeDocument/2006/relationships/hyperlink" Target="http://www.itu.int/go/fgtbf" TargetMode="External"/><Relationship Id="rId4" Type="http://schemas.openxmlformats.org/officeDocument/2006/relationships/webSettings" Target="webSettings.xml"/><Relationship Id="rId9" Type="http://schemas.openxmlformats.org/officeDocument/2006/relationships/hyperlink" Target="https://www.itu.int/ITU-T/recommendations/rec.aspx?rec=14765" TargetMode="External"/><Relationship Id="rId14" Type="http://schemas.openxmlformats.org/officeDocument/2006/relationships/hyperlink" Target="http://www.itu.int/go/fgtbf" TargetMode="External"/><Relationship Id="rId22" Type="http://schemas.openxmlformats.org/officeDocument/2006/relationships/hyperlink" Target="https://www.itu.int/md/meetingdoc.asp?lang=en&amp;parent=T17-SG11-211201-TD-GEN-1804"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198</TotalTime>
  <Pages>7</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82</cp:revision>
  <cp:lastPrinted>2022-01-14T10:27:00Z</cp:lastPrinted>
  <dcterms:created xsi:type="dcterms:W3CDTF">2021-01-14T10:38:00Z</dcterms:created>
  <dcterms:modified xsi:type="dcterms:W3CDTF">2022-01-14T10:29:00Z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