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1162"/>
        <w:gridCol w:w="248"/>
        <w:gridCol w:w="567"/>
        <w:gridCol w:w="2835"/>
        <w:gridCol w:w="2977"/>
        <w:gridCol w:w="2126"/>
        <w:gridCol w:w="8"/>
      </w:tblGrid>
      <w:tr w:rsidR="00036F4F" w:rsidRPr="00170D27" w14:paraId="164D9DA4" w14:textId="77777777" w:rsidTr="00E77F9C">
        <w:trPr>
          <w:gridAfter w:val="1"/>
          <w:wAfter w:w="8" w:type="dxa"/>
          <w:cantSplit/>
          <w:jc w:val="center"/>
        </w:trPr>
        <w:tc>
          <w:tcPr>
            <w:tcW w:w="1418" w:type="dxa"/>
            <w:gridSpan w:val="3"/>
            <w:vAlign w:val="center"/>
          </w:tcPr>
          <w:p w14:paraId="138F5AAF" w14:textId="77777777" w:rsidR="00036F4F" w:rsidRPr="00170D27" w:rsidRDefault="00036F4F" w:rsidP="00E77F9C">
            <w:pPr>
              <w:tabs>
                <w:tab w:val="right" w:pos="8732"/>
              </w:tabs>
              <w:spacing w:before="0"/>
              <w:rPr>
                <w:b/>
                <w:bCs/>
                <w:iCs/>
                <w:color w:val="FFFFFF"/>
                <w:sz w:val="30"/>
                <w:szCs w:val="30"/>
                <w:lang w:val="fr-CH"/>
              </w:rPr>
            </w:pPr>
            <w:r w:rsidRPr="00F1238A">
              <w:rPr>
                <w:noProof/>
                <w:lang w:val="en-US"/>
              </w:rPr>
              <w:drawing>
                <wp:inline distT="0" distB="0" distL="0" distR="0" wp14:anchorId="055EA479" wp14:editId="1AD86D7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7D969E99" w14:textId="77777777" w:rsidR="00036F4F" w:rsidRPr="00170D27" w:rsidRDefault="00036F4F" w:rsidP="00E77F9C">
            <w:pPr>
              <w:spacing w:before="0"/>
              <w:rPr>
                <w:rFonts w:cs="Times New Roman Bold"/>
                <w:b/>
                <w:bCs/>
                <w:iCs/>
                <w:smallCaps/>
                <w:sz w:val="34"/>
                <w:szCs w:val="34"/>
                <w:lang w:val="fr-CH"/>
              </w:rPr>
            </w:pPr>
            <w:r w:rsidRPr="00170D27">
              <w:rPr>
                <w:rFonts w:cs="Times New Roman Bold"/>
                <w:b/>
                <w:bCs/>
                <w:iCs/>
                <w:smallCaps/>
                <w:sz w:val="34"/>
                <w:szCs w:val="34"/>
                <w:lang w:val="fr-CH"/>
              </w:rPr>
              <w:t>Union internationale des télécommunications</w:t>
            </w:r>
          </w:p>
          <w:p w14:paraId="164F482C" w14:textId="77777777" w:rsidR="00036F4F" w:rsidRPr="00170D27" w:rsidRDefault="00036F4F" w:rsidP="00E77F9C">
            <w:pPr>
              <w:tabs>
                <w:tab w:val="right" w:pos="8732"/>
              </w:tabs>
              <w:spacing w:before="0"/>
              <w:rPr>
                <w:b/>
                <w:bCs/>
                <w:iCs/>
                <w:color w:val="FFFFFF"/>
                <w:sz w:val="30"/>
                <w:szCs w:val="30"/>
                <w:lang w:val="fr-CH"/>
              </w:rPr>
            </w:pPr>
            <w:r w:rsidRPr="00170D27">
              <w:rPr>
                <w:rFonts w:cs="Times New Roman Bold"/>
                <w:b/>
                <w:bCs/>
                <w:iCs/>
                <w:smallCaps/>
                <w:sz w:val="28"/>
                <w:szCs w:val="28"/>
                <w:lang w:val="fr-CH"/>
              </w:rPr>
              <w:t>B</w:t>
            </w:r>
            <w:r w:rsidRPr="00170D27">
              <w:rPr>
                <w:b/>
                <w:bCs/>
                <w:iCs/>
                <w:smallCaps/>
                <w:sz w:val="28"/>
                <w:szCs w:val="28"/>
                <w:lang w:val="fr-CH"/>
              </w:rPr>
              <w:t>ureau de la Normalisation des Télécommunications</w:t>
            </w:r>
          </w:p>
        </w:tc>
        <w:tc>
          <w:tcPr>
            <w:tcW w:w="2126" w:type="dxa"/>
            <w:vAlign w:val="center"/>
          </w:tcPr>
          <w:p w14:paraId="7A908BBC" w14:textId="77777777" w:rsidR="00036F4F" w:rsidRPr="00170D27" w:rsidRDefault="00036F4F" w:rsidP="00E77F9C">
            <w:pPr>
              <w:spacing w:before="0"/>
              <w:jc w:val="right"/>
              <w:rPr>
                <w:color w:val="FFFFFF"/>
                <w:sz w:val="26"/>
                <w:szCs w:val="26"/>
                <w:lang w:val="fr-CH"/>
              </w:rPr>
            </w:pPr>
          </w:p>
        </w:tc>
      </w:tr>
      <w:tr w:rsidR="00036F4F" w:rsidRPr="00042514" w14:paraId="021ACF6B" w14:textId="77777777" w:rsidTr="00E77F9C">
        <w:trPr>
          <w:gridBefore w:val="1"/>
          <w:wBefore w:w="8" w:type="dxa"/>
          <w:cantSplit/>
          <w:jc w:val="center"/>
        </w:trPr>
        <w:tc>
          <w:tcPr>
            <w:tcW w:w="1977" w:type="dxa"/>
            <w:gridSpan w:val="3"/>
          </w:tcPr>
          <w:p w14:paraId="3AA5573F" w14:textId="77777777" w:rsidR="00036F4F" w:rsidRPr="00042514" w:rsidRDefault="00036F4F" w:rsidP="00E77F9C">
            <w:pPr>
              <w:tabs>
                <w:tab w:val="left" w:pos="4111"/>
              </w:tabs>
              <w:spacing w:before="10"/>
              <w:ind w:left="57"/>
              <w:rPr>
                <w:sz w:val="22"/>
                <w:szCs w:val="18"/>
              </w:rPr>
            </w:pPr>
          </w:p>
        </w:tc>
        <w:tc>
          <w:tcPr>
            <w:tcW w:w="2835" w:type="dxa"/>
          </w:tcPr>
          <w:p w14:paraId="7410EE57" w14:textId="77777777" w:rsidR="00036F4F" w:rsidRPr="00042514" w:rsidRDefault="00036F4F" w:rsidP="00E77F9C">
            <w:pPr>
              <w:tabs>
                <w:tab w:val="left" w:pos="4111"/>
              </w:tabs>
              <w:spacing w:before="10"/>
              <w:ind w:left="57"/>
              <w:rPr>
                <w:b/>
                <w:sz w:val="22"/>
                <w:szCs w:val="18"/>
              </w:rPr>
            </w:pPr>
          </w:p>
        </w:tc>
        <w:tc>
          <w:tcPr>
            <w:tcW w:w="5111" w:type="dxa"/>
            <w:gridSpan w:val="3"/>
          </w:tcPr>
          <w:p w14:paraId="4894735F" w14:textId="27A045F3" w:rsidR="00036F4F" w:rsidRPr="00042514" w:rsidRDefault="00036F4F" w:rsidP="00E77F9C">
            <w:pPr>
              <w:tabs>
                <w:tab w:val="clear" w:pos="794"/>
                <w:tab w:val="clear" w:pos="1191"/>
                <w:tab w:val="clear" w:pos="1588"/>
                <w:tab w:val="clear" w:pos="1985"/>
                <w:tab w:val="left" w:pos="284"/>
              </w:tabs>
              <w:spacing w:after="120"/>
              <w:ind w:left="284" w:hanging="227"/>
              <w:rPr>
                <w:sz w:val="22"/>
                <w:szCs w:val="18"/>
              </w:rPr>
            </w:pPr>
            <w:r w:rsidRPr="00042514">
              <w:rPr>
                <w:sz w:val="22"/>
                <w:szCs w:val="18"/>
              </w:rPr>
              <w:t>Genève, le</w:t>
            </w:r>
            <w:r w:rsidR="006A0259" w:rsidRPr="00042514">
              <w:rPr>
                <w:sz w:val="22"/>
                <w:szCs w:val="18"/>
              </w:rPr>
              <w:t xml:space="preserve"> 14 janvier 2022</w:t>
            </w:r>
          </w:p>
        </w:tc>
      </w:tr>
      <w:tr w:rsidR="006A0259" w:rsidRPr="00042514" w14:paraId="50F1BE86" w14:textId="77777777" w:rsidTr="00E77F9C">
        <w:trPr>
          <w:gridBefore w:val="1"/>
          <w:wBefore w:w="8" w:type="dxa"/>
          <w:cantSplit/>
          <w:trHeight w:val="340"/>
          <w:jc w:val="center"/>
        </w:trPr>
        <w:tc>
          <w:tcPr>
            <w:tcW w:w="1162" w:type="dxa"/>
          </w:tcPr>
          <w:p w14:paraId="5993EF6C" w14:textId="77777777" w:rsidR="006A0259" w:rsidRPr="00042514" w:rsidRDefault="006A0259" w:rsidP="00E77F9C">
            <w:pPr>
              <w:tabs>
                <w:tab w:val="left" w:pos="4111"/>
              </w:tabs>
              <w:spacing w:before="10"/>
              <w:ind w:left="57"/>
              <w:rPr>
                <w:b/>
                <w:bCs/>
                <w:sz w:val="22"/>
                <w:szCs w:val="18"/>
              </w:rPr>
            </w:pPr>
            <w:r w:rsidRPr="00042514">
              <w:rPr>
                <w:b/>
                <w:bCs/>
                <w:sz w:val="22"/>
                <w:szCs w:val="18"/>
              </w:rPr>
              <w:t>Réf.:</w:t>
            </w:r>
          </w:p>
          <w:p w14:paraId="1B54DAE1" w14:textId="77777777" w:rsidR="006A0259" w:rsidRPr="00042514" w:rsidRDefault="006A0259" w:rsidP="00E77F9C">
            <w:pPr>
              <w:tabs>
                <w:tab w:val="left" w:pos="4111"/>
              </w:tabs>
              <w:spacing w:before="10"/>
              <w:ind w:left="57"/>
              <w:rPr>
                <w:b/>
                <w:bCs/>
                <w:sz w:val="22"/>
                <w:szCs w:val="18"/>
              </w:rPr>
            </w:pPr>
          </w:p>
        </w:tc>
        <w:tc>
          <w:tcPr>
            <w:tcW w:w="3650" w:type="dxa"/>
            <w:gridSpan w:val="3"/>
          </w:tcPr>
          <w:p w14:paraId="215DAFA6" w14:textId="4D90BBFF" w:rsidR="006A0259" w:rsidRPr="00042514" w:rsidRDefault="006A0259" w:rsidP="00E77F9C">
            <w:pPr>
              <w:tabs>
                <w:tab w:val="left" w:pos="4111"/>
              </w:tabs>
              <w:spacing w:before="10"/>
              <w:ind w:left="57"/>
              <w:rPr>
                <w:b/>
                <w:sz w:val="22"/>
                <w:szCs w:val="18"/>
              </w:rPr>
            </w:pPr>
            <w:r w:rsidRPr="00042514">
              <w:rPr>
                <w:b/>
                <w:sz w:val="22"/>
                <w:szCs w:val="18"/>
              </w:rPr>
              <w:t>Circulaire TSB 367</w:t>
            </w:r>
          </w:p>
          <w:p w14:paraId="222838D7" w14:textId="7800536B" w:rsidR="006A0259" w:rsidRPr="00042514" w:rsidRDefault="006A0259" w:rsidP="00E77F9C">
            <w:pPr>
              <w:tabs>
                <w:tab w:val="left" w:pos="4111"/>
              </w:tabs>
              <w:spacing w:before="10"/>
              <w:ind w:left="57"/>
              <w:rPr>
                <w:b/>
                <w:sz w:val="22"/>
                <w:szCs w:val="18"/>
              </w:rPr>
            </w:pPr>
            <w:r w:rsidRPr="00042514">
              <w:rPr>
                <w:b/>
                <w:sz w:val="22"/>
                <w:szCs w:val="18"/>
              </w:rPr>
              <w:t>FG-TBFxG/DA</w:t>
            </w:r>
          </w:p>
        </w:tc>
        <w:tc>
          <w:tcPr>
            <w:tcW w:w="5111" w:type="dxa"/>
            <w:gridSpan w:val="3"/>
            <w:vMerge w:val="restart"/>
          </w:tcPr>
          <w:p w14:paraId="076803E3" w14:textId="7C8707B7" w:rsidR="006A0259" w:rsidRPr="00042514" w:rsidRDefault="006A0259" w:rsidP="00E77F9C">
            <w:pPr>
              <w:tabs>
                <w:tab w:val="clear" w:pos="794"/>
                <w:tab w:val="clear" w:pos="1191"/>
                <w:tab w:val="clear" w:pos="1588"/>
                <w:tab w:val="clear" w:pos="1985"/>
                <w:tab w:val="left" w:pos="284"/>
              </w:tabs>
              <w:spacing w:before="0"/>
              <w:ind w:left="284" w:hanging="227"/>
              <w:rPr>
                <w:sz w:val="22"/>
                <w:szCs w:val="18"/>
              </w:rPr>
            </w:pPr>
            <w:bookmarkStart w:id="0" w:name="Addressee_F"/>
            <w:bookmarkEnd w:id="0"/>
            <w:r w:rsidRPr="00042514">
              <w:rPr>
                <w:sz w:val="22"/>
                <w:szCs w:val="18"/>
              </w:rPr>
              <w:t>-</w:t>
            </w:r>
            <w:r w:rsidRPr="00042514">
              <w:rPr>
                <w:sz w:val="22"/>
                <w:szCs w:val="18"/>
              </w:rPr>
              <w:tab/>
              <w:t>Aux Administrations des États Membres de l</w:t>
            </w:r>
            <w:r w:rsidR="00A77751" w:rsidRPr="00042514">
              <w:rPr>
                <w:sz w:val="22"/>
                <w:szCs w:val="18"/>
              </w:rPr>
              <w:t>'</w:t>
            </w:r>
            <w:r w:rsidRPr="00042514">
              <w:rPr>
                <w:sz w:val="22"/>
                <w:szCs w:val="18"/>
              </w:rPr>
              <w:t>Union;</w:t>
            </w:r>
          </w:p>
          <w:p w14:paraId="3C69CE44" w14:textId="77777777" w:rsidR="006A0259" w:rsidRPr="00042514" w:rsidRDefault="006A0259" w:rsidP="00E77F9C">
            <w:pPr>
              <w:tabs>
                <w:tab w:val="clear" w:pos="794"/>
                <w:tab w:val="clear" w:pos="1191"/>
                <w:tab w:val="clear" w:pos="1588"/>
                <w:tab w:val="clear" w:pos="1985"/>
                <w:tab w:val="left" w:pos="284"/>
              </w:tabs>
              <w:spacing w:before="0"/>
              <w:ind w:left="284" w:hanging="227"/>
              <w:rPr>
                <w:sz w:val="22"/>
                <w:szCs w:val="18"/>
              </w:rPr>
            </w:pPr>
            <w:r w:rsidRPr="00042514">
              <w:rPr>
                <w:sz w:val="22"/>
                <w:szCs w:val="18"/>
              </w:rPr>
              <w:t>-</w:t>
            </w:r>
            <w:r w:rsidRPr="00042514">
              <w:rPr>
                <w:sz w:val="22"/>
                <w:szCs w:val="18"/>
              </w:rPr>
              <w:tab/>
              <w:t>Aux Membres du Secteur UIT-T;</w:t>
            </w:r>
          </w:p>
          <w:p w14:paraId="421AE663" w14:textId="2963D702" w:rsidR="006A0259" w:rsidRPr="00042514" w:rsidRDefault="006A0259" w:rsidP="00E77F9C">
            <w:pPr>
              <w:tabs>
                <w:tab w:val="clear" w:pos="794"/>
                <w:tab w:val="clear" w:pos="1191"/>
                <w:tab w:val="clear" w:pos="1588"/>
                <w:tab w:val="clear" w:pos="1985"/>
                <w:tab w:val="left" w:pos="284"/>
              </w:tabs>
              <w:spacing w:before="0"/>
              <w:ind w:left="284" w:hanging="227"/>
              <w:rPr>
                <w:sz w:val="22"/>
                <w:szCs w:val="18"/>
              </w:rPr>
            </w:pPr>
            <w:r w:rsidRPr="00042514">
              <w:rPr>
                <w:sz w:val="22"/>
                <w:szCs w:val="18"/>
              </w:rPr>
              <w:t>-</w:t>
            </w:r>
            <w:r w:rsidRPr="00042514">
              <w:rPr>
                <w:sz w:val="22"/>
                <w:szCs w:val="18"/>
              </w:rPr>
              <w:tab/>
              <w:t>Aux Associés de l</w:t>
            </w:r>
            <w:r w:rsidR="00A77751" w:rsidRPr="00042514">
              <w:rPr>
                <w:sz w:val="22"/>
                <w:szCs w:val="18"/>
              </w:rPr>
              <w:t>'</w:t>
            </w:r>
            <w:r w:rsidRPr="00042514">
              <w:rPr>
                <w:sz w:val="22"/>
                <w:szCs w:val="18"/>
              </w:rPr>
              <w:t>UIT-T;</w:t>
            </w:r>
          </w:p>
          <w:p w14:paraId="737E578D" w14:textId="7E30E5ED" w:rsidR="006A0259" w:rsidRPr="00042514" w:rsidRDefault="006A0259" w:rsidP="00E77F9C">
            <w:pPr>
              <w:tabs>
                <w:tab w:val="clear" w:pos="794"/>
                <w:tab w:val="clear" w:pos="1191"/>
                <w:tab w:val="clear" w:pos="1588"/>
                <w:tab w:val="clear" w:pos="1985"/>
                <w:tab w:val="left" w:pos="284"/>
              </w:tabs>
              <w:spacing w:before="0"/>
              <w:ind w:left="284" w:hanging="227"/>
              <w:rPr>
                <w:sz w:val="22"/>
                <w:szCs w:val="18"/>
              </w:rPr>
            </w:pPr>
            <w:r w:rsidRPr="00042514">
              <w:rPr>
                <w:sz w:val="22"/>
                <w:szCs w:val="18"/>
              </w:rPr>
              <w:t>-</w:t>
            </w:r>
            <w:r w:rsidRPr="00042514">
              <w:rPr>
                <w:sz w:val="22"/>
                <w:szCs w:val="18"/>
              </w:rPr>
              <w:tab/>
              <w:t>Aux établissements universitaires participant aux travaux de l</w:t>
            </w:r>
            <w:r w:rsidR="00A77751" w:rsidRPr="00042514">
              <w:rPr>
                <w:sz w:val="22"/>
                <w:szCs w:val="18"/>
              </w:rPr>
              <w:t>'</w:t>
            </w:r>
            <w:r w:rsidRPr="00042514">
              <w:rPr>
                <w:sz w:val="22"/>
                <w:szCs w:val="18"/>
              </w:rPr>
              <w:t>UIT</w:t>
            </w:r>
          </w:p>
        </w:tc>
      </w:tr>
      <w:tr w:rsidR="006A0259" w:rsidRPr="00042514" w14:paraId="3182DD39" w14:textId="77777777" w:rsidTr="00E77F9C">
        <w:trPr>
          <w:gridBefore w:val="1"/>
          <w:wBefore w:w="8" w:type="dxa"/>
          <w:cantSplit/>
          <w:jc w:val="center"/>
        </w:trPr>
        <w:tc>
          <w:tcPr>
            <w:tcW w:w="1162" w:type="dxa"/>
          </w:tcPr>
          <w:p w14:paraId="6526EFB9" w14:textId="77777777" w:rsidR="006A0259" w:rsidRPr="00042514" w:rsidRDefault="006A0259" w:rsidP="00E77F9C">
            <w:pPr>
              <w:tabs>
                <w:tab w:val="left" w:pos="4111"/>
              </w:tabs>
              <w:spacing w:before="10"/>
              <w:ind w:left="57"/>
              <w:rPr>
                <w:b/>
                <w:bCs/>
                <w:sz w:val="18"/>
                <w:szCs w:val="18"/>
              </w:rPr>
            </w:pPr>
            <w:r w:rsidRPr="00042514">
              <w:rPr>
                <w:b/>
                <w:bCs/>
                <w:sz w:val="22"/>
                <w:szCs w:val="18"/>
              </w:rPr>
              <w:t>Tél.:</w:t>
            </w:r>
          </w:p>
        </w:tc>
        <w:tc>
          <w:tcPr>
            <w:tcW w:w="3650" w:type="dxa"/>
            <w:gridSpan w:val="3"/>
          </w:tcPr>
          <w:p w14:paraId="21C76C44" w14:textId="7008BB75" w:rsidR="006A0259" w:rsidRPr="00042514" w:rsidRDefault="006A0259" w:rsidP="00E77F9C">
            <w:pPr>
              <w:tabs>
                <w:tab w:val="left" w:pos="4111"/>
              </w:tabs>
              <w:spacing w:before="0"/>
              <w:ind w:left="57"/>
              <w:rPr>
                <w:sz w:val="22"/>
                <w:szCs w:val="18"/>
              </w:rPr>
            </w:pPr>
            <w:r w:rsidRPr="00042514">
              <w:rPr>
                <w:sz w:val="22"/>
                <w:szCs w:val="18"/>
              </w:rPr>
              <w:t>+41 22 730</w:t>
            </w:r>
            <w:r w:rsidR="003D7102" w:rsidRPr="00042514">
              <w:rPr>
                <w:sz w:val="22"/>
                <w:szCs w:val="18"/>
              </w:rPr>
              <w:t xml:space="preserve"> 5780</w:t>
            </w:r>
          </w:p>
        </w:tc>
        <w:tc>
          <w:tcPr>
            <w:tcW w:w="5111" w:type="dxa"/>
            <w:gridSpan w:val="3"/>
            <w:vMerge/>
          </w:tcPr>
          <w:p w14:paraId="7A91414B" w14:textId="77777777" w:rsidR="006A0259" w:rsidRPr="00042514" w:rsidRDefault="006A0259" w:rsidP="00E77F9C">
            <w:pPr>
              <w:tabs>
                <w:tab w:val="left" w:pos="4111"/>
              </w:tabs>
              <w:spacing w:before="0"/>
              <w:rPr>
                <w:b/>
                <w:sz w:val="22"/>
                <w:szCs w:val="18"/>
              </w:rPr>
            </w:pPr>
          </w:p>
        </w:tc>
      </w:tr>
      <w:tr w:rsidR="006A0259" w:rsidRPr="00042514" w14:paraId="772C0C4F" w14:textId="77777777" w:rsidTr="00E77F9C">
        <w:trPr>
          <w:gridBefore w:val="1"/>
          <w:wBefore w:w="8" w:type="dxa"/>
          <w:cantSplit/>
          <w:jc w:val="center"/>
        </w:trPr>
        <w:tc>
          <w:tcPr>
            <w:tcW w:w="1162" w:type="dxa"/>
          </w:tcPr>
          <w:p w14:paraId="046D9AAB" w14:textId="2958E6C2" w:rsidR="006A0259" w:rsidRPr="00042514" w:rsidRDefault="00E57400" w:rsidP="00E77F9C">
            <w:pPr>
              <w:tabs>
                <w:tab w:val="left" w:pos="4111"/>
              </w:tabs>
              <w:spacing w:before="10"/>
              <w:ind w:left="57"/>
              <w:rPr>
                <w:b/>
                <w:bCs/>
                <w:sz w:val="18"/>
                <w:szCs w:val="18"/>
              </w:rPr>
            </w:pPr>
            <w:r w:rsidRPr="00042514">
              <w:rPr>
                <w:b/>
                <w:bCs/>
                <w:sz w:val="22"/>
                <w:szCs w:val="18"/>
              </w:rPr>
              <w:t>Télécopie</w:t>
            </w:r>
            <w:r w:rsidR="006A0259" w:rsidRPr="00042514">
              <w:rPr>
                <w:b/>
                <w:bCs/>
                <w:sz w:val="22"/>
                <w:szCs w:val="18"/>
              </w:rPr>
              <w:t>:</w:t>
            </w:r>
          </w:p>
        </w:tc>
        <w:tc>
          <w:tcPr>
            <w:tcW w:w="3650" w:type="dxa"/>
            <w:gridSpan w:val="3"/>
          </w:tcPr>
          <w:p w14:paraId="7BD3461E" w14:textId="77777777" w:rsidR="006A0259" w:rsidRPr="00042514" w:rsidRDefault="006A0259" w:rsidP="00E77F9C">
            <w:pPr>
              <w:tabs>
                <w:tab w:val="left" w:pos="4111"/>
              </w:tabs>
              <w:spacing w:before="0"/>
              <w:ind w:left="57"/>
              <w:rPr>
                <w:sz w:val="22"/>
                <w:szCs w:val="18"/>
              </w:rPr>
            </w:pPr>
            <w:r w:rsidRPr="00042514">
              <w:rPr>
                <w:sz w:val="22"/>
                <w:szCs w:val="18"/>
              </w:rPr>
              <w:t>+41 22 730 5853</w:t>
            </w:r>
          </w:p>
        </w:tc>
        <w:tc>
          <w:tcPr>
            <w:tcW w:w="5111" w:type="dxa"/>
            <w:gridSpan w:val="3"/>
            <w:vMerge/>
          </w:tcPr>
          <w:p w14:paraId="7335EF59" w14:textId="77777777" w:rsidR="006A0259" w:rsidRPr="00042514" w:rsidRDefault="006A0259" w:rsidP="00E77F9C">
            <w:pPr>
              <w:tabs>
                <w:tab w:val="left" w:pos="4111"/>
              </w:tabs>
              <w:spacing w:before="0"/>
              <w:rPr>
                <w:b/>
                <w:sz w:val="22"/>
                <w:szCs w:val="18"/>
              </w:rPr>
            </w:pPr>
          </w:p>
        </w:tc>
      </w:tr>
      <w:tr w:rsidR="006A0259" w:rsidRPr="00042514" w14:paraId="109425D5" w14:textId="77777777" w:rsidTr="00E77F9C">
        <w:trPr>
          <w:gridBefore w:val="1"/>
          <w:wBefore w:w="8" w:type="dxa"/>
          <w:cantSplit/>
          <w:jc w:val="center"/>
        </w:trPr>
        <w:tc>
          <w:tcPr>
            <w:tcW w:w="1162" w:type="dxa"/>
          </w:tcPr>
          <w:p w14:paraId="6FE130F3" w14:textId="7DF0CEBE" w:rsidR="006A0259" w:rsidRPr="00042514" w:rsidRDefault="00E57400" w:rsidP="00E77F9C">
            <w:pPr>
              <w:tabs>
                <w:tab w:val="left" w:pos="4111"/>
              </w:tabs>
              <w:spacing w:before="10"/>
              <w:ind w:left="57"/>
              <w:rPr>
                <w:b/>
                <w:bCs/>
                <w:sz w:val="18"/>
                <w:szCs w:val="18"/>
              </w:rPr>
            </w:pPr>
            <w:r w:rsidRPr="00042514">
              <w:rPr>
                <w:b/>
                <w:bCs/>
                <w:sz w:val="22"/>
                <w:szCs w:val="18"/>
              </w:rPr>
              <w:t>Courriel</w:t>
            </w:r>
            <w:r w:rsidR="006A0259" w:rsidRPr="00042514">
              <w:rPr>
                <w:b/>
                <w:bCs/>
                <w:sz w:val="22"/>
                <w:szCs w:val="18"/>
              </w:rPr>
              <w:t>:</w:t>
            </w:r>
          </w:p>
        </w:tc>
        <w:tc>
          <w:tcPr>
            <w:tcW w:w="3650" w:type="dxa"/>
            <w:gridSpan w:val="3"/>
          </w:tcPr>
          <w:p w14:paraId="2D1FDD07" w14:textId="1A75D79E" w:rsidR="006A0259" w:rsidRPr="00042514" w:rsidRDefault="00C66B61" w:rsidP="00E77F9C">
            <w:pPr>
              <w:tabs>
                <w:tab w:val="left" w:pos="4111"/>
              </w:tabs>
              <w:spacing w:before="0"/>
              <w:ind w:left="57"/>
              <w:rPr>
                <w:sz w:val="22"/>
                <w:szCs w:val="18"/>
              </w:rPr>
            </w:pPr>
            <w:hyperlink r:id="rId9" w:history="1">
              <w:bookmarkStart w:id="1" w:name="lt_pId040"/>
              <w:r w:rsidR="003D7102" w:rsidRPr="00042514">
                <w:rPr>
                  <w:rStyle w:val="Hyperlink"/>
                  <w:sz w:val="22"/>
                  <w:szCs w:val="18"/>
                  <w:lang w:val="en-US"/>
                </w:rPr>
                <w:t>tsbfgtbf@itu.int</w:t>
              </w:r>
              <w:bookmarkEnd w:id="1"/>
            </w:hyperlink>
          </w:p>
        </w:tc>
        <w:tc>
          <w:tcPr>
            <w:tcW w:w="5111" w:type="dxa"/>
            <w:gridSpan w:val="3"/>
          </w:tcPr>
          <w:p w14:paraId="37F1A622" w14:textId="77777777" w:rsidR="006A0259" w:rsidRPr="00042514" w:rsidRDefault="006A0259" w:rsidP="00E77F9C">
            <w:pPr>
              <w:tabs>
                <w:tab w:val="left" w:pos="4111"/>
              </w:tabs>
              <w:spacing w:before="0"/>
              <w:rPr>
                <w:sz w:val="22"/>
                <w:szCs w:val="18"/>
              </w:rPr>
            </w:pPr>
            <w:r w:rsidRPr="00042514">
              <w:rPr>
                <w:b/>
                <w:sz w:val="22"/>
                <w:szCs w:val="18"/>
              </w:rPr>
              <w:t>Copie</w:t>
            </w:r>
            <w:r w:rsidRPr="00042514">
              <w:rPr>
                <w:sz w:val="22"/>
                <w:szCs w:val="18"/>
              </w:rPr>
              <w:t>:</w:t>
            </w:r>
          </w:p>
          <w:p w14:paraId="4C7F2C1C" w14:textId="66241C03" w:rsidR="006A0259" w:rsidRPr="00042514" w:rsidRDefault="006A0259" w:rsidP="00E77F9C">
            <w:pPr>
              <w:tabs>
                <w:tab w:val="clear" w:pos="794"/>
                <w:tab w:val="left" w:pos="226"/>
                <w:tab w:val="left" w:pos="4111"/>
              </w:tabs>
              <w:spacing w:before="0"/>
              <w:ind w:left="226" w:hanging="226"/>
              <w:rPr>
                <w:sz w:val="22"/>
                <w:szCs w:val="18"/>
              </w:rPr>
            </w:pPr>
            <w:r w:rsidRPr="00042514">
              <w:rPr>
                <w:sz w:val="22"/>
                <w:szCs w:val="18"/>
              </w:rPr>
              <w:t>-</w:t>
            </w:r>
            <w:r w:rsidRPr="00042514">
              <w:rPr>
                <w:sz w:val="22"/>
                <w:szCs w:val="18"/>
              </w:rPr>
              <w:tab/>
              <w:t xml:space="preserve">Aux Présidents et Vice-Présidents des </w:t>
            </w:r>
            <w:r w:rsidR="00E77F9C" w:rsidRPr="00042514">
              <w:rPr>
                <w:sz w:val="22"/>
                <w:szCs w:val="18"/>
              </w:rPr>
              <w:t>C</w:t>
            </w:r>
            <w:r w:rsidR="00D93B8E" w:rsidRPr="00042514">
              <w:rPr>
                <w:sz w:val="22"/>
                <w:szCs w:val="18"/>
              </w:rPr>
              <w:t xml:space="preserve">ommissions </w:t>
            </w:r>
            <w:r w:rsidRPr="00042514">
              <w:rPr>
                <w:sz w:val="22"/>
                <w:szCs w:val="18"/>
              </w:rPr>
              <w:t>d</w:t>
            </w:r>
            <w:r w:rsidR="00A77751" w:rsidRPr="00042514">
              <w:rPr>
                <w:sz w:val="22"/>
                <w:szCs w:val="18"/>
              </w:rPr>
              <w:t>'</w:t>
            </w:r>
            <w:r w:rsidRPr="00042514">
              <w:rPr>
                <w:sz w:val="22"/>
                <w:szCs w:val="18"/>
              </w:rPr>
              <w:t>études de l</w:t>
            </w:r>
            <w:r w:rsidR="00A77751" w:rsidRPr="00042514">
              <w:rPr>
                <w:sz w:val="22"/>
                <w:szCs w:val="18"/>
              </w:rPr>
              <w:t>'</w:t>
            </w:r>
            <w:r w:rsidRPr="00042514">
              <w:rPr>
                <w:sz w:val="22"/>
                <w:szCs w:val="18"/>
              </w:rPr>
              <w:t>UIT-T;</w:t>
            </w:r>
          </w:p>
          <w:p w14:paraId="45CC0C22" w14:textId="77777777" w:rsidR="006A0259" w:rsidRPr="00042514" w:rsidRDefault="006A0259" w:rsidP="00E77F9C">
            <w:pPr>
              <w:tabs>
                <w:tab w:val="clear" w:pos="794"/>
                <w:tab w:val="left" w:pos="226"/>
                <w:tab w:val="left" w:pos="4111"/>
              </w:tabs>
              <w:spacing w:before="0"/>
              <w:ind w:left="226" w:hanging="226"/>
              <w:rPr>
                <w:sz w:val="22"/>
                <w:szCs w:val="18"/>
              </w:rPr>
            </w:pPr>
            <w:r w:rsidRPr="00042514">
              <w:rPr>
                <w:sz w:val="22"/>
                <w:szCs w:val="18"/>
              </w:rPr>
              <w:t>-</w:t>
            </w:r>
            <w:r w:rsidRPr="00042514">
              <w:rPr>
                <w:sz w:val="22"/>
                <w:szCs w:val="18"/>
              </w:rPr>
              <w:tab/>
              <w:t>À la Directrice du Bureau de développement des télécommunications;</w:t>
            </w:r>
          </w:p>
          <w:p w14:paraId="45A2C609" w14:textId="3FFA45A6" w:rsidR="006A0259" w:rsidRPr="00042514" w:rsidRDefault="006A0259" w:rsidP="00E77F9C">
            <w:pPr>
              <w:tabs>
                <w:tab w:val="clear" w:pos="794"/>
                <w:tab w:val="left" w:pos="226"/>
                <w:tab w:val="left" w:pos="4111"/>
              </w:tabs>
              <w:spacing w:before="0"/>
              <w:ind w:left="226" w:hanging="226"/>
              <w:rPr>
                <w:sz w:val="22"/>
                <w:szCs w:val="18"/>
              </w:rPr>
            </w:pPr>
            <w:r w:rsidRPr="00042514">
              <w:rPr>
                <w:sz w:val="22"/>
                <w:szCs w:val="18"/>
              </w:rPr>
              <w:t>-</w:t>
            </w:r>
            <w:r w:rsidRPr="00042514">
              <w:rPr>
                <w:sz w:val="22"/>
                <w:szCs w:val="18"/>
              </w:rPr>
              <w:tab/>
              <w:t>Au Directeur du Bureau des radiocommunications</w:t>
            </w:r>
          </w:p>
        </w:tc>
      </w:tr>
      <w:tr w:rsidR="00517A03" w:rsidRPr="00042514" w14:paraId="4CCB7DEC" w14:textId="77777777" w:rsidTr="00E77F9C">
        <w:trPr>
          <w:gridBefore w:val="1"/>
          <w:gridAfter w:val="1"/>
          <w:wBefore w:w="8" w:type="dxa"/>
          <w:wAfter w:w="8" w:type="dxa"/>
          <w:cantSplit/>
          <w:trHeight w:val="680"/>
          <w:jc w:val="center"/>
        </w:trPr>
        <w:tc>
          <w:tcPr>
            <w:tcW w:w="1162" w:type="dxa"/>
          </w:tcPr>
          <w:p w14:paraId="1E7C18B3" w14:textId="77777777" w:rsidR="00517A03" w:rsidRPr="00042514" w:rsidRDefault="00517A03" w:rsidP="00E77F9C">
            <w:pPr>
              <w:tabs>
                <w:tab w:val="left" w:pos="4111"/>
              </w:tabs>
              <w:spacing w:before="240"/>
              <w:ind w:left="57"/>
              <w:rPr>
                <w:b/>
                <w:bCs/>
                <w:sz w:val="22"/>
              </w:rPr>
            </w:pPr>
            <w:r w:rsidRPr="00042514">
              <w:rPr>
                <w:b/>
                <w:bCs/>
                <w:sz w:val="22"/>
              </w:rPr>
              <w:t>Objet:</w:t>
            </w:r>
          </w:p>
        </w:tc>
        <w:tc>
          <w:tcPr>
            <w:tcW w:w="8753" w:type="dxa"/>
            <w:gridSpan w:val="5"/>
          </w:tcPr>
          <w:p w14:paraId="19CC46F9" w14:textId="38B93F77" w:rsidR="00517A03" w:rsidRPr="00042514" w:rsidRDefault="00E57400" w:rsidP="00E77F9C">
            <w:pPr>
              <w:tabs>
                <w:tab w:val="left" w:pos="4111"/>
              </w:tabs>
              <w:spacing w:before="240" w:after="120"/>
              <w:ind w:left="57"/>
              <w:rPr>
                <w:b/>
                <w:bCs/>
                <w:sz w:val="22"/>
              </w:rPr>
            </w:pPr>
            <w:r w:rsidRPr="00042514">
              <w:rPr>
                <w:b/>
                <w:bCs/>
                <w:sz w:val="22"/>
              </w:rPr>
              <w:t>Création d</w:t>
            </w:r>
            <w:r w:rsidR="00A77751" w:rsidRPr="00042514">
              <w:rPr>
                <w:b/>
                <w:bCs/>
                <w:sz w:val="22"/>
              </w:rPr>
              <w:t>'</w:t>
            </w:r>
            <w:r w:rsidRPr="00042514">
              <w:rPr>
                <w:b/>
                <w:bCs/>
                <w:sz w:val="22"/>
              </w:rPr>
              <w:t>un nouveau G</w:t>
            </w:r>
            <w:r w:rsidR="006A0259" w:rsidRPr="00042514">
              <w:rPr>
                <w:b/>
                <w:bCs/>
                <w:sz w:val="22"/>
              </w:rPr>
              <w:t>roupe spécialisé de l</w:t>
            </w:r>
            <w:r w:rsidR="00A77751" w:rsidRPr="00042514">
              <w:rPr>
                <w:b/>
                <w:bCs/>
                <w:sz w:val="22"/>
              </w:rPr>
              <w:t>'</w:t>
            </w:r>
            <w:r w:rsidR="006A0259" w:rsidRPr="00042514">
              <w:rPr>
                <w:b/>
                <w:bCs/>
                <w:sz w:val="22"/>
              </w:rPr>
              <w:t>UIT</w:t>
            </w:r>
            <w:r w:rsidRPr="00042514">
              <w:rPr>
                <w:b/>
                <w:bCs/>
                <w:sz w:val="22"/>
              </w:rPr>
              <w:t>-T</w:t>
            </w:r>
            <w:r w:rsidR="006A0259" w:rsidRPr="00042514">
              <w:rPr>
                <w:b/>
                <w:bCs/>
                <w:sz w:val="22"/>
              </w:rPr>
              <w:t xml:space="preserve"> sur les fédérations de bancs d</w:t>
            </w:r>
            <w:r w:rsidR="00A77751" w:rsidRPr="00042514">
              <w:rPr>
                <w:b/>
                <w:bCs/>
                <w:sz w:val="22"/>
              </w:rPr>
              <w:t>'</w:t>
            </w:r>
            <w:r w:rsidR="006A0259" w:rsidRPr="00042514">
              <w:rPr>
                <w:b/>
                <w:bCs/>
                <w:sz w:val="22"/>
              </w:rPr>
              <w:t>essai pour les IMT</w:t>
            </w:r>
            <w:r w:rsidR="006A0259" w:rsidRPr="00042514">
              <w:rPr>
                <w:b/>
                <w:bCs/>
                <w:sz w:val="22"/>
              </w:rPr>
              <w:noBreakHyphen/>
              <w:t xml:space="preserve">2020 et les systèmes ultérieurs (FG-TBFxG) et </w:t>
            </w:r>
            <w:r w:rsidRPr="00042514">
              <w:rPr>
                <w:b/>
                <w:bCs/>
                <w:sz w:val="22"/>
              </w:rPr>
              <w:t xml:space="preserve">première réunion de ce Groupe: </w:t>
            </w:r>
            <w:r w:rsidR="00D93B8E" w:rsidRPr="00042514">
              <w:rPr>
                <w:b/>
                <w:bCs/>
                <w:sz w:val="22"/>
              </w:rPr>
              <w:t xml:space="preserve">réunion </w:t>
            </w:r>
            <w:r w:rsidR="006A0259" w:rsidRPr="00042514">
              <w:rPr>
                <w:b/>
                <w:bCs/>
                <w:sz w:val="22"/>
              </w:rPr>
              <w:t>virtuelle, 4-7 avril 2022</w:t>
            </w:r>
          </w:p>
        </w:tc>
      </w:tr>
    </w:tbl>
    <w:p w14:paraId="35AA9ACE" w14:textId="77777777" w:rsidR="00517A03" w:rsidRPr="00042514" w:rsidRDefault="00517A03" w:rsidP="00E77F9C">
      <w:pPr>
        <w:spacing w:before="360"/>
        <w:rPr>
          <w:sz w:val="22"/>
          <w:szCs w:val="18"/>
        </w:rPr>
      </w:pPr>
      <w:bookmarkStart w:id="2" w:name="StartTyping_F"/>
      <w:bookmarkEnd w:id="2"/>
      <w:r w:rsidRPr="00042514">
        <w:rPr>
          <w:sz w:val="22"/>
          <w:szCs w:val="18"/>
        </w:rPr>
        <w:t>Madame, Monsieur,</w:t>
      </w:r>
    </w:p>
    <w:p w14:paraId="12802663" w14:textId="20A02CAD" w:rsidR="006A0259" w:rsidRPr="00042514" w:rsidRDefault="006A0259" w:rsidP="00E77F9C">
      <w:pPr>
        <w:rPr>
          <w:bCs/>
          <w:sz w:val="22"/>
          <w:szCs w:val="18"/>
        </w:rPr>
      </w:pPr>
      <w:r w:rsidRPr="00042514">
        <w:rPr>
          <w:bCs/>
          <w:sz w:val="22"/>
          <w:szCs w:val="18"/>
        </w:rPr>
        <w:t>1</w:t>
      </w:r>
      <w:r w:rsidRPr="00042514">
        <w:rPr>
          <w:bCs/>
          <w:sz w:val="22"/>
          <w:szCs w:val="18"/>
        </w:rPr>
        <w:tab/>
        <w:t>À la suite de l</w:t>
      </w:r>
      <w:r w:rsidR="00A77751" w:rsidRPr="00042514">
        <w:rPr>
          <w:bCs/>
          <w:sz w:val="22"/>
          <w:szCs w:val="18"/>
        </w:rPr>
        <w:t>'</w:t>
      </w:r>
      <w:r w:rsidRPr="00042514">
        <w:rPr>
          <w:bCs/>
          <w:sz w:val="22"/>
          <w:szCs w:val="18"/>
        </w:rPr>
        <w:t>accord donné par la Commission d</w:t>
      </w:r>
      <w:r w:rsidR="00A77751" w:rsidRPr="00042514">
        <w:rPr>
          <w:bCs/>
          <w:sz w:val="22"/>
          <w:szCs w:val="18"/>
        </w:rPr>
        <w:t>'</w:t>
      </w:r>
      <w:r w:rsidRPr="00042514">
        <w:rPr>
          <w:bCs/>
          <w:sz w:val="22"/>
          <w:szCs w:val="18"/>
        </w:rPr>
        <w:t>études 11 de l</w:t>
      </w:r>
      <w:r w:rsidR="00A77751" w:rsidRPr="00042514">
        <w:rPr>
          <w:bCs/>
          <w:sz w:val="22"/>
          <w:szCs w:val="18"/>
        </w:rPr>
        <w:t>'</w:t>
      </w:r>
      <w:r w:rsidRPr="00042514">
        <w:rPr>
          <w:bCs/>
          <w:sz w:val="22"/>
          <w:szCs w:val="18"/>
        </w:rPr>
        <w:t xml:space="preserve">UIT-T à la séance plénière </w:t>
      </w:r>
      <w:r w:rsidR="00E57400" w:rsidRPr="00042514">
        <w:rPr>
          <w:bCs/>
          <w:sz w:val="22"/>
          <w:szCs w:val="18"/>
        </w:rPr>
        <w:t>virtuelle</w:t>
      </w:r>
      <w:r w:rsidRPr="00042514">
        <w:rPr>
          <w:bCs/>
          <w:sz w:val="22"/>
          <w:szCs w:val="18"/>
        </w:rPr>
        <w:t xml:space="preserve"> qu</w:t>
      </w:r>
      <w:r w:rsidR="00A77751" w:rsidRPr="00042514">
        <w:rPr>
          <w:bCs/>
          <w:sz w:val="22"/>
          <w:szCs w:val="18"/>
        </w:rPr>
        <w:t>'</w:t>
      </w:r>
      <w:r w:rsidRPr="00042514">
        <w:rPr>
          <w:bCs/>
          <w:sz w:val="22"/>
          <w:szCs w:val="18"/>
        </w:rPr>
        <w:t>elle a tenue le 10 décembre 2021, j</w:t>
      </w:r>
      <w:r w:rsidR="00A77751" w:rsidRPr="00042514">
        <w:rPr>
          <w:bCs/>
          <w:sz w:val="22"/>
          <w:szCs w:val="18"/>
        </w:rPr>
        <w:t>'</w:t>
      </w:r>
      <w:r w:rsidRPr="00042514">
        <w:rPr>
          <w:bCs/>
          <w:sz w:val="22"/>
          <w:szCs w:val="18"/>
        </w:rPr>
        <w:t>ai l</w:t>
      </w:r>
      <w:r w:rsidR="00A77751" w:rsidRPr="00042514">
        <w:rPr>
          <w:bCs/>
          <w:sz w:val="22"/>
          <w:szCs w:val="18"/>
        </w:rPr>
        <w:t>'</w:t>
      </w:r>
      <w:r w:rsidRPr="00042514">
        <w:rPr>
          <w:bCs/>
          <w:sz w:val="22"/>
          <w:szCs w:val="18"/>
        </w:rPr>
        <w:t>honneur de vous annoncer la création d</w:t>
      </w:r>
      <w:r w:rsidR="00A77751" w:rsidRPr="00042514">
        <w:rPr>
          <w:bCs/>
          <w:sz w:val="22"/>
          <w:szCs w:val="18"/>
        </w:rPr>
        <w:t>'</w:t>
      </w:r>
      <w:r w:rsidRPr="00042514">
        <w:rPr>
          <w:bCs/>
          <w:sz w:val="22"/>
          <w:szCs w:val="18"/>
        </w:rPr>
        <w:t xml:space="preserve">un nouveau </w:t>
      </w:r>
      <w:r w:rsidRPr="00042514">
        <w:rPr>
          <w:b/>
          <w:bCs/>
          <w:sz w:val="22"/>
          <w:szCs w:val="18"/>
        </w:rPr>
        <w:t>Groupe spécialisé</w:t>
      </w:r>
      <w:r w:rsidRPr="00042514">
        <w:rPr>
          <w:bCs/>
          <w:sz w:val="22"/>
          <w:szCs w:val="18"/>
        </w:rPr>
        <w:t xml:space="preserve"> </w:t>
      </w:r>
      <w:r w:rsidR="00E57400" w:rsidRPr="00042514">
        <w:rPr>
          <w:b/>
          <w:bCs/>
          <w:sz w:val="22"/>
          <w:szCs w:val="18"/>
        </w:rPr>
        <w:t>sur les fédérations de bancs d</w:t>
      </w:r>
      <w:r w:rsidR="00A77751" w:rsidRPr="00042514">
        <w:rPr>
          <w:b/>
          <w:bCs/>
          <w:sz w:val="22"/>
          <w:szCs w:val="18"/>
        </w:rPr>
        <w:t>'</w:t>
      </w:r>
      <w:r w:rsidR="00E57400" w:rsidRPr="00042514">
        <w:rPr>
          <w:b/>
          <w:bCs/>
          <w:sz w:val="22"/>
          <w:szCs w:val="18"/>
        </w:rPr>
        <w:t>essai pour les IMT</w:t>
      </w:r>
      <w:r w:rsidR="00E57400" w:rsidRPr="00042514">
        <w:rPr>
          <w:b/>
          <w:bCs/>
          <w:sz w:val="22"/>
          <w:szCs w:val="18"/>
        </w:rPr>
        <w:noBreakHyphen/>
        <w:t>2020 et les systèmes ultérieurs (FG-TBFxG)</w:t>
      </w:r>
      <w:r w:rsidRPr="00042514">
        <w:rPr>
          <w:bCs/>
          <w:sz w:val="22"/>
          <w:szCs w:val="18"/>
        </w:rPr>
        <w:t xml:space="preserve">. </w:t>
      </w:r>
      <w:r w:rsidR="00D93B8E" w:rsidRPr="00042514">
        <w:rPr>
          <w:bCs/>
          <w:sz w:val="22"/>
          <w:szCs w:val="18"/>
        </w:rPr>
        <w:t xml:space="preserve">Ce </w:t>
      </w:r>
      <w:r w:rsidRPr="00042514">
        <w:rPr>
          <w:bCs/>
          <w:sz w:val="22"/>
          <w:szCs w:val="18"/>
        </w:rPr>
        <w:t>Groupe spécialisé</w:t>
      </w:r>
      <w:r w:rsidR="00E77F9C" w:rsidRPr="00042514">
        <w:rPr>
          <w:bCs/>
          <w:sz w:val="22"/>
          <w:szCs w:val="18"/>
        </w:rPr>
        <w:t xml:space="preserve"> </w:t>
      </w:r>
      <w:r w:rsidR="00D93B8E" w:rsidRPr="00042514">
        <w:rPr>
          <w:bCs/>
          <w:sz w:val="22"/>
          <w:szCs w:val="18"/>
        </w:rPr>
        <w:t xml:space="preserve">tiendra </w:t>
      </w:r>
      <w:r w:rsidRPr="00042514">
        <w:rPr>
          <w:bCs/>
          <w:sz w:val="22"/>
          <w:szCs w:val="18"/>
        </w:rPr>
        <w:t>sa première réunion du 4 au 7 avril 2022.</w:t>
      </w:r>
    </w:p>
    <w:p w14:paraId="4674E81E" w14:textId="138D54B2" w:rsidR="006A0259" w:rsidRPr="00042514" w:rsidRDefault="006A0259" w:rsidP="00E77F9C">
      <w:pPr>
        <w:rPr>
          <w:bCs/>
          <w:sz w:val="22"/>
          <w:szCs w:val="18"/>
        </w:rPr>
      </w:pPr>
      <w:r w:rsidRPr="00042514">
        <w:rPr>
          <w:bCs/>
          <w:sz w:val="22"/>
          <w:szCs w:val="18"/>
        </w:rPr>
        <w:t>2</w:t>
      </w:r>
      <w:r w:rsidRPr="00042514">
        <w:rPr>
          <w:bCs/>
          <w:sz w:val="22"/>
          <w:szCs w:val="18"/>
        </w:rPr>
        <w:tab/>
      </w:r>
      <w:bookmarkStart w:id="3" w:name="lt_pId058"/>
      <w:r w:rsidR="00D93B8E" w:rsidRPr="00042514">
        <w:rPr>
          <w:bCs/>
          <w:sz w:val="22"/>
          <w:szCs w:val="18"/>
        </w:rPr>
        <w:t xml:space="preserve">Le Groupe </w:t>
      </w:r>
      <w:r w:rsidR="00E77F9C" w:rsidRPr="00042514">
        <w:rPr>
          <w:bCs/>
          <w:sz w:val="22"/>
          <w:szCs w:val="18"/>
        </w:rPr>
        <w:t>FG-TBFxG</w:t>
      </w:r>
      <w:r w:rsidR="00D93B8E" w:rsidRPr="00042514">
        <w:rPr>
          <w:bCs/>
          <w:sz w:val="22"/>
          <w:szCs w:val="18"/>
        </w:rPr>
        <w:t xml:space="preserve">, présidé </w:t>
      </w:r>
      <w:r w:rsidR="009960F2" w:rsidRPr="00042514">
        <w:rPr>
          <w:bCs/>
          <w:sz w:val="22"/>
          <w:szCs w:val="18"/>
        </w:rPr>
        <w:t xml:space="preserve">par M. Giulio Maggiore (Telecom Italia, Italie), offre un cadre </w:t>
      </w:r>
      <w:r w:rsidR="00D93B8E" w:rsidRPr="00042514">
        <w:rPr>
          <w:bCs/>
          <w:sz w:val="22"/>
          <w:szCs w:val="18"/>
        </w:rPr>
        <w:t>destiné à</w:t>
      </w:r>
      <w:r w:rsidR="00E77F9C" w:rsidRPr="00042514">
        <w:rPr>
          <w:bCs/>
          <w:sz w:val="22"/>
          <w:szCs w:val="18"/>
        </w:rPr>
        <w:t xml:space="preserve"> </w:t>
      </w:r>
      <w:r w:rsidR="00D93B8E" w:rsidRPr="00042514">
        <w:rPr>
          <w:bCs/>
          <w:sz w:val="22"/>
          <w:szCs w:val="18"/>
        </w:rPr>
        <w:t xml:space="preserve">harmoniser </w:t>
      </w:r>
      <w:r w:rsidR="009960F2" w:rsidRPr="00042514">
        <w:rPr>
          <w:bCs/>
          <w:sz w:val="22"/>
          <w:szCs w:val="18"/>
        </w:rPr>
        <w:t>les spécifications relatives aux bancs d</w:t>
      </w:r>
      <w:r w:rsidR="00A77751" w:rsidRPr="00042514">
        <w:rPr>
          <w:bCs/>
          <w:sz w:val="22"/>
          <w:szCs w:val="18"/>
        </w:rPr>
        <w:t>'</w:t>
      </w:r>
      <w:r w:rsidR="009960F2" w:rsidRPr="00042514">
        <w:rPr>
          <w:bCs/>
          <w:sz w:val="22"/>
          <w:szCs w:val="18"/>
        </w:rPr>
        <w:t xml:space="preserve">essai </w:t>
      </w:r>
      <w:r w:rsidR="00D93B8E" w:rsidRPr="00042514">
        <w:rPr>
          <w:bCs/>
          <w:sz w:val="22"/>
          <w:szCs w:val="18"/>
        </w:rPr>
        <w:t>au sein des</w:t>
      </w:r>
      <w:r w:rsidR="009960F2" w:rsidRPr="00042514">
        <w:rPr>
          <w:bCs/>
          <w:sz w:val="22"/>
          <w:szCs w:val="18"/>
        </w:rPr>
        <w:t xml:space="preserve"> organismes/forums de normalisation. </w:t>
      </w:r>
      <w:r w:rsidR="00D93B8E" w:rsidRPr="00042514">
        <w:rPr>
          <w:bCs/>
          <w:sz w:val="22"/>
          <w:szCs w:val="18"/>
        </w:rPr>
        <w:t>Il</w:t>
      </w:r>
      <w:r w:rsidR="00E77F9C" w:rsidRPr="00042514">
        <w:rPr>
          <w:bCs/>
          <w:sz w:val="22"/>
          <w:szCs w:val="18"/>
        </w:rPr>
        <w:t xml:space="preserve"> </w:t>
      </w:r>
      <w:r w:rsidR="009960F2" w:rsidRPr="00042514">
        <w:rPr>
          <w:bCs/>
          <w:sz w:val="22"/>
          <w:szCs w:val="18"/>
        </w:rPr>
        <w:t>concevra les interfaces de programmation d</w:t>
      </w:r>
      <w:r w:rsidR="00A77751" w:rsidRPr="00042514">
        <w:rPr>
          <w:bCs/>
          <w:sz w:val="22"/>
          <w:szCs w:val="18"/>
        </w:rPr>
        <w:t>'</w:t>
      </w:r>
      <w:r w:rsidR="009960F2" w:rsidRPr="00042514">
        <w:rPr>
          <w:bCs/>
          <w:sz w:val="22"/>
          <w:szCs w:val="18"/>
        </w:rPr>
        <w:t>application (API) requises conformément au modèle de référence sur les fédérations de bancs d</w:t>
      </w:r>
      <w:r w:rsidR="00A77751" w:rsidRPr="00042514">
        <w:rPr>
          <w:bCs/>
          <w:sz w:val="22"/>
          <w:szCs w:val="18"/>
        </w:rPr>
        <w:t>'</w:t>
      </w:r>
      <w:r w:rsidR="009960F2" w:rsidRPr="00042514">
        <w:rPr>
          <w:bCs/>
          <w:sz w:val="22"/>
          <w:szCs w:val="18"/>
        </w:rPr>
        <w:t xml:space="preserve">essai défini dans la Recommandation </w:t>
      </w:r>
      <w:hyperlink r:id="rId10" w:history="1">
        <w:r w:rsidR="009960F2" w:rsidRPr="00042514">
          <w:rPr>
            <w:rStyle w:val="Hyperlink"/>
            <w:bCs/>
            <w:sz w:val="22"/>
            <w:szCs w:val="18"/>
          </w:rPr>
          <w:t>UIT-T Q.4068</w:t>
        </w:r>
      </w:hyperlink>
      <w:r w:rsidR="009960F2" w:rsidRPr="00042514">
        <w:rPr>
          <w:bCs/>
          <w:sz w:val="22"/>
          <w:szCs w:val="18"/>
        </w:rPr>
        <w:t xml:space="preserve">, élaboré en collaboration avec </w:t>
      </w:r>
      <w:r w:rsidR="00D93B8E" w:rsidRPr="00042514">
        <w:rPr>
          <w:color w:val="000000"/>
          <w:sz w:val="22"/>
          <w:szCs w:val="18"/>
        </w:rPr>
        <w:t>le Comité technique de l</w:t>
      </w:r>
      <w:r w:rsidR="00A77751" w:rsidRPr="00042514">
        <w:rPr>
          <w:color w:val="000000"/>
          <w:sz w:val="22"/>
          <w:szCs w:val="18"/>
        </w:rPr>
        <w:t>'</w:t>
      </w:r>
      <w:r w:rsidR="00D93B8E" w:rsidRPr="00042514">
        <w:rPr>
          <w:color w:val="000000"/>
          <w:sz w:val="22"/>
          <w:szCs w:val="18"/>
        </w:rPr>
        <w:t>ETSI sur les réseaux centraux et l</w:t>
      </w:r>
      <w:r w:rsidR="00A77751" w:rsidRPr="00042514">
        <w:rPr>
          <w:color w:val="000000"/>
          <w:sz w:val="22"/>
          <w:szCs w:val="18"/>
        </w:rPr>
        <w:t>'</w:t>
      </w:r>
      <w:r w:rsidR="00D93B8E" w:rsidRPr="00042514">
        <w:rPr>
          <w:color w:val="000000"/>
          <w:sz w:val="22"/>
          <w:szCs w:val="18"/>
        </w:rPr>
        <w:t>interopérabilité (ETSI TC INT)</w:t>
      </w:r>
      <w:r w:rsidR="009960F2" w:rsidRPr="00042514">
        <w:rPr>
          <w:bCs/>
          <w:sz w:val="22"/>
          <w:szCs w:val="18"/>
        </w:rPr>
        <w:t>, et définira un ensemble de cas d</w:t>
      </w:r>
      <w:r w:rsidR="00A77751" w:rsidRPr="00042514">
        <w:rPr>
          <w:bCs/>
          <w:sz w:val="22"/>
          <w:szCs w:val="18"/>
        </w:rPr>
        <w:t>'</w:t>
      </w:r>
      <w:r w:rsidR="009960F2" w:rsidRPr="00042514">
        <w:rPr>
          <w:bCs/>
          <w:sz w:val="22"/>
          <w:szCs w:val="18"/>
        </w:rPr>
        <w:t>utilisation pour les fédérations de bancs d</w:t>
      </w:r>
      <w:r w:rsidR="00A77751" w:rsidRPr="00042514">
        <w:rPr>
          <w:bCs/>
          <w:sz w:val="22"/>
          <w:szCs w:val="18"/>
        </w:rPr>
        <w:t>'</w:t>
      </w:r>
      <w:r w:rsidR="009960F2" w:rsidRPr="00042514">
        <w:rPr>
          <w:bCs/>
          <w:sz w:val="22"/>
          <w:szCs w:val="18"/>
        </w:rPr>
        <w:t>essai et les interfaces API</w:t>
      </w:r>
      <w:r w:rsidRPr="00042514">
        <w:rPr>
          <w:bCs/>
          <w:sz w:val="22"/>
          <w:szCs w:val="18"/>
        </w:rPr>
        <w:t>.</w:t>
      </w:r>
      <w:bookmarkEnd w:id="3"/>
    </w:p>
    <w:p w14:paraId="0DF9A802" w14:textId="424A7E0B" w:rsidR="006A0259" w:rsidRPr="00042514" w:rsidRDefault="009960F2" w:rsidP="00E77F9C">
      <w:pPr>
        <w:rPr>
          <w:bCs/>
          <w:sz w:val="22"/>
          <w:szCs w:val="18"/>
        </w:rPr>
      </w:pPr>
      <w:bookmarkStart w:id="4" w:name="lt_pId059"/>
      <w:r w:rsidRPr="00042514">
        <w:rPr>
          <w:bCs/>
          <w:sz w:val="22"/>
          <w:szCs w:val="18"/>
        </w:rPr>
        <w:t>Le Groupe FG-TBFxG</w:t>
      </w:r>
      <w:r w:rsidR="00E77F9C" w:rsidRPr="00042514">
        <w:rPr>
          <w:bCs/>
          <w:sz w:val="22"/>
          <w:szCs w:val="18"/>
        </w:rPr>
        <w:t xml:space="preserve"> </w:t>
      </w:r>
      <w:r w:rsidR="00E307B6" w:rsidRPr="00042514">
        <w:rPr>
          <w:bCs/>
          <w:sz w:val="22"/>
          <w:szCs w:val="18"/>
        </w:rPr>
        <w:t xml:space="preserve">encourage </w:t>
      </w:r>
      <w:r w:rsidRPr="00042514">
        <w:rPr>
          <w:bCs/>
          <w:sz w:val="22"/>
          <w:szCs w:val="18"/>
        </w:rPr>
        <w:t>toutes les parties prenantes</w:t>
      </w:r>
      <w:r w:rsidR="00E307B6" w:rsidRPr="00042514">
        <w:rPr>
          <w:bCs/>
          <w:sz w:val="22"/>
          <w:szCs w:val="18"/>
        </w:rPr>
        <w:t xml:space="preserve"> et tous les </w:t>
      </w:r>
      <w:r w:rsidRPr="00042514">
        <w:rPr>
          <w:bCs/>
          <w:sz w:val="22"/>
          <w:szCs w:val="18"/>
        </w:rPr>
        <w:t>organismes et forums de normalisation concernés à participer à ses activités et à</w:t>
      </w:r>
      <w:r w:rsidR="006A0259" w:rsidRPr="00042514">
        <w:rPr>
          <w:bCs/>
          <w:sz w:val="22"/>
          <w:szCs w:val="18"/>
        </w:rPr>
        <w:t>:</w:t>
      </w:r>
      <w:bookmarkEnd w:id="4"/>
    </w:p>
    <w:p w14:paraId="6D01A308" w14:textId="30BFE68A" w:rsidR="00036F4F" w:rsidRPr="00042514" w:rsidRDefault="006A0259" w:rsidP="00E77F9C">
      <w:pPr>
        <w:pStyle w:val="enumlev1"/>
        <w:rPr>
          <w:sz w:val="22"/>
          <w:szCs w:val="18"/>
        </w:rPr>
      </w:pPr>
      <w:r w:rsidRPr="00042514">
        <w:rPr>
          <w:sz w:val="22"/>
          <w:szCs w:val="18"/>
        </w:rPr>
        <w:t>–</w:t>
      </w:r>
      <w:r w:rsidRPr="00042514">
        <w:rPr>
          <w:sz w:val="22"/>
          <w:szCs w:val="18"/>
        </w:rPr>
        <w:tab/>
      </w:r>
      <w:bookmarkStart w:id="5" w:name="lt_pId061"/>
      <w:r w:rsidR="009960F2" w:rsidRPr="00042514">
        <w:rPr>
          <w:sz w:val="22"/>
          <w:szCs w:val="18"/>
        </w:rPr>
        <w:t>contribuer à la conception des interfaces API</w:t>
      </w:r>
      <w:r w:rsidR="00E77F9C" w:rsidRPr="00042514">
        <w:rPr>
          <w:sz w:val="22"/>
          <w:szCs w:val="18"/>
        </w:rPr>
        <w:t xml:space="preserve"> </w:t>
      </w:r>
      <w:r w:rsidR="00E307B6" w:rsidRPr="00042514">
        <w:rPr>
          <w:sz w:val="22"/>
          <w:szCs w:val="18"/>
        </w:rPr>
        <w:t>prescrites</w:t>
      </w:r>
      <w:r w:rsidR="00E77F9C" w:rsidRPr="00042514">
        <w:rPr>
          <w:sz w:val="22"/>
          <w:szCs w:val="18"/>
        </w:rPr>
        <w:t xml:space="preserve"> </w:t>
      </w:r>
      <w:r w:rsidR="009960F2" w:rsidRPr="00042514">
        <w:rPr>
          <w:sz w:val="22"/>
          <w:szCs w:val="18"/>
        </w:rPr>
        <w:t>dans le modèle de référence sur les fédérations de bancs d</w:t>
      </w:r>
      <w:r w:rsidR="00A77751" w:rsidRPr="00042514">
        <w:rPr>
          <w:sz w:val="22"/>
          <w:szCs w:val="18"/>
        </w:rPr>
        <w:t>'</w:t>
      </w:r>
      <w:r w:rsidR="009960F2" w:rsidRPr="00042514">
        <w:rPr>
          <w:sz w:val="22"/>
          <w:szCs w:val="18"/>
        </w:rPr>
        <w:t>essai</w:t>
      </w:r>
      <w:r w:rsidRPr="00042514">
        <w:rPr>
          <w:sz w:val="22"/>
          <w:szCs w:val="18"/>
        </w:rPr>
        <w:t>;</w:t>
      </w:r>
      <w:bookmarkEnd w:id="5"/>
    </w:p>
    <w:p w14:paraId="35567B4F" w14:textId="39426A85" w:rsidR="006743F0" w:rsidRPr="00042514" w:rsidRDefault="006743F0" w:rsidP="00E77F9C">
      <w:pPr>
        <w:pStyle w:val="enumlev1"/>
        <w:rPr>
          <w:sz w:val="22"/>
          <w:szCs w:val="18"/>
        </w:rPr>
      </w:pPr>
      <w:r w:rsidRPr="00042514">
        <w:rPr>
          <w:sz w:val="22"/>
          <w:szCs w:val="18"/>
        </w:rPr>
        <w:t>–</w:t>
      </w:r>
      <w:r w:rsidRPr="00042514">
        <w:rPr>
          <w:sz w:val="22"/>
          <w:szCs w:val="18"/>
        </w:rPr>
        <w:tab/>
        <w:t>se partager les tâches en ce qui concerne</w:t>
      </w:r>
      <w:r w:rsidR="009960F2" w:rsidRPr="00042514">
        <w:rPr>
          <w:sz w:val="22"/>
          <w:szCs w:val="18"/>
        </w:rPr>
        <w:t xml:space="preserve"> l</w:t>
      </w:r>
      <w:r w:rsidR="00A77751" w:rsidRPr="00042514">
        <w:rPr>
          <w:sz w:val="22"/>
          <w:szCs w:val="18"/>
        </w:rPr>
        <w:t>'</w:t>
      </w:r>
      <w:r w:rsidR="009960F2" w:rsidRPr="00042514">
        <w:rPr>
          <w:sz w:val="22"/>
          <w:szCs w:val="18"/>
        </w:rPr>
        <w:t>établissement des spécifications d</w:t>
      </w:r>
      <w:r w:rsidR="00A77751" w:rsidRPr="00042514">
        <w:rPr>
          <w:sz w:val="22"/>
          <w:szCs w:val="18"/>
        </w:rPr>
        <w:t>'</w:t>
      </w:r>
      <w:r w:rsidR="009960F2" w:rsidRPr="00042514">
        <w:rPr>
          <w:sz w:val="22"/>
          <w:szCs w:val="18"/>
        </w:rPr>
        <w:t>interface API,</w:t>
      </w:r>
      <w:r w:rsidRPr="00042514">
        <w:rPr>
          <w:sz w:val="22"/>
          <w:szCs w:val="18"/>
        </w:rPr>
        <w:t xml:space="preserve"> la normalisation des interfaces API et </w:t>
      </w:r>
      <w:r w:rsidR="00E307B6" w:rsidRPr="00042514">
        <w:rPr>
          <w:sz w:val="22"/>
          <w:szCs w:val="18"/>
        </w:rPr>
        <w:t>l</w:t>
      </w:r>
      <w:r w:rsidR="00A77751" w:rsidRPr="00042514">
        <w:rPr>
          <w:sz w:val="22"/>
          <w:szCs w:val="18"/>
        </w:rPr>
        <w:t>'</w:t>
      </w:r>
      <w:r w:rsidR="00E307B6" w:rsidRPr="00042514">
        <w:rPr>
          <w:sz w:val="22"/>
          <w:szCs w:val="18"/>
        </w:rPr>
        <w:t xml:space="preserve">élaboration </w:t>
      </w:r>
      <w:r w:rsidRPr="00042514">
        <w:rPr>
          <w:sz w:val="22"/>
          <w:szCs w:val="18"/>
        </w:rPr>
        <w:t xml:space="preserve">de feuilles de route </w:t>
      </w:r>
      <w:r w:rsidR="00425628" w:rsidRPr="00042514">
        <w:rPr>
          <w:sz w:val="22"/>
          <w:szCs w:val="18"/>
        </w:rPr>
        <w:t>d</w:t>
      </w:r>
      <w:r w:rsidR="00A77751" w:rsidRPr="00042514">
        <w:rPr>
          <w:sz w:val="22"/>
          <w:szCs w:val="18"/>
        </w:rPr>
        <w:t>'</w:t>
      </w:r>
      <w:r w:rsidR="00425628" w:rsidRPr="00042514">
        <w:rPr>
          <w:sz w:val="22"/>
          <w:szCs w:val="18"/>
        </w:rPr>
        <w:t xml:space="preserve">une façon harmonisée et </w:t>
      </w:r>
      <w:r w:rsidRPr="00042514">
        <w:rPr>
          <w:sz w:val="22"/>
          <w:szCs w:val="18"/>
        </w:rPr>
        <w:t>dans un esprit</w:t>
      </w:r>
      <w:r w:rsidR="00E77F9C" w:rsidRPr="00042514">
        <w:rPr>
          <w:sz w:val="22"/>
          <w:szCs w:val="18"/>
        </w:rPr>
        <w:t xml:space="preserve"> </w:t>
      </w:r>
      <w:r w:rsidRPr="00042514">
        <w:rPr>
          <w:sz w:val="22"/>
          <w:szCs w:val="18"/>
        </w:rPr>
        <w:t>de collaboration;</w:t>
      </w:r>
    </w:p>
    <w:p w14:paraId="5523A77E" w14:textId="4BBBBB2C" w:rsidR="006743F0" w:rsidRPr="00042514" w:rsidRDefault="006743F0" w:rsidP="00E77F9C">
      <w:pPr>
        <w:pStyle w:val="enumlev1"/>
        <w:rPr>
          <w:sz w:val="22"/>
          <w:szCs w:val="18"/>
        </w:rPr>
      </w:pPr>
      <w:r w:rsidRPr="00042514">
        <w:rPr>
          <w:sz w:val="22"/>
          <w:szCs w:val="18"/>
        </w:rPr>
        <w:t>–</w:t>
      </w:r>
      <w:r w:rsidRPr="00042514">
        <w:rPr>
          <w:sz w:val="22"/>
          <w:szCs w:val="18"/>
        </w:rPr>
        <w:tab/>
      </w:r>
      <w:r w:rsidR="009960F2" w:rsidRPr="00042514">
        <w:rPr>
          <w:sz w:val="22"/>
          <w:szCs w:val="18"/>
        </w:rPr>
        <w:t>mettre au point de nouveaux cas d</w:t>
      </w:r>
      <w:r w:rsidR="00A77751" w:rsidRPr="00042514">
        <w:rPr>
          <w:sz w:val="22"/>
          <w:szCs w:val="18"/>
        </w:rPr>
        <w:t>'</w:t>
      </w:r>
      <w:r w:rsidR="009960F2" w:rsidRPr="00042514">
        <w:rPr>
          <w:sz w:val="22"/>
          <w:szCs w:val="18"/>
        </w:rPr>
        <w:t>utilisation et de nouveaux services</w:t>
      </w:r>
      <w:r w:rsidRPr="00042514">
        <w:rPr>
          <w:sz w:val="22"/>
          <w:szCs w:val="18"/>
        </w:rPr>
        <w:t xml:space="preserve"> pour les fournisseurs de bancs d</w:t>
      </w:r>
      <w:r w:rsidR="00A77751" w:rsidRPr="00042514">
        <w:rPr>
          <w:sz w:val="22"/>
          <w:szCs w:val="18"/>
        </w:rPr>
        <w:t>'</w:t>
      </w:r>
      <w:r w:rsidRPr="00042514">
        <w:rPr>
          <w:sz w:val="22"/>
          <w:szCs w:val="18"/>
        </w:rPr>
        <w:t>essai inspirés du modèle de référence sur les fédérations de bancs d</w:t>
      </w:r>
      <w:r w:rsidR="00A77751" w:rsidRPr="00042514">
        <w:rPr>
          <w:sz w:val="22"/>
          <w:szCs w:val="18"/>
        </w:rPr>
        <w:t>'</w:t>
      </w:r>
      <w:r w:rsidRPr="00042514">
        <w:rPr>
          <w:sz w:val="22"/>
          <w:szCs w:val="18"/>
        </w:rPr>
        <w:t>essai</w:t>
      </w:r>
      <w:r w:rsidR="00F26EEA" w:rsidRPr="00042514">
        <w:rPr>
          <w:sz w:val="22"/>
          <w:szCs w:val="18"/>
        </w:rPr>
        <w:t xml:space="preserve"> et les interfaces API associées</w:t>
      </w:r>
      <w:r w:rsidR="009960F2" w:rsidRPr="00042514">
        <w:rPr>
          <w:sz w:val="22"/>
          <w:szCs w:val="18"/>
        </w:rPr>
        <w:t>, tels que le "banc d</w:t>
      </w:r>
      <w:r w:rsidR="00A77751" w:rsidRPr="00042514">
        <w:rPr>
          <w:sz w:val="22"/>
          <w:szCs w:val="18"/>
        </w:rPr>
        <w:t>'</w:t>
      </w:r>
      <w:r w:rsidR="009960F2" w:rsidRPr="00042514">
        <w:rPr>
          <w:sz w:val="22"/>
          <w:szCs w:val="18"/>
        </w:rPr>
        <w:t>essai en tant que service"</w:t>
      </w:r>
      <w:r w:rsidRPr="00042514">
        <w:rPr>
          <w:sz w:val="22"/>
          <w:szCs w:val="18"/>
        </w:rPr>
        <w:t>.</w:t>
      </w:r>
    </w:p>
    <w:p w14:paraId="5671132C" w14:textId="2ADD0DE3" w:rsidR="00EB7CBC" w:rsidRPr="00042514" w:rsidRDefault="000C1C70" w:rsidP="00E77F9C">
      <w:pPr>
        <w:rPr>
          <w:bCs/>
          <w:sz w:val="22"/>
          <w:szCs w:val="18"/>
        </w:rPr>
      </w:pPr>
      <w:r w:rsidRPr="00042514">
        <w:rPr>
          <w:bCs/>
          <w:sz w:val="22"/>
          <w:szCs w:val="18"/>
        </w:rPr>
        <w:t>3</w:t>
      </w:r>
      <w:r w:rsidRPr="00042514">
        <w:rPr>
          <w:bCs/>
          <w:sz w:val="22"/>
          <w:szCs w:val="18"/>
        </w:rPr>
        <w:tab/>
      </w:r>
      <w:r w:rsidR="00217018" w:rsidRPr="00042514">
        <w:rPr>
          <w:bCs/>
          <w:sz w:val="22"/>
          <w:szCs w:val="18"/>
        </w:rPr>
        <w:t>L</w:t>
      </w:r>
      <w:r w:rsidRPr="00042514">
        <w:rPr>
          <w:bCs/>
          <w:sz w:val="22"/>
          <w:szCs w:val="18"/>
          <w:lang w:val="fr-CH"/>
        </w:rPr>
        <w:t xml:space="preserve">e Groupe spécialisé sera </w:t>
      </w:r>
      <w:r w:rsidR="00E410E0" w:rsidRPr="00042514">
        <w:rPr>
          <w:bCs/>
          <w:sz w:val="22"/>
          <w:szCs w:val="18"/>
          <w:lang w:val="fr-CH"/>
        </w:rPr>
        <w:t xml:space="preserve">appelé </w:t>
      </w:r>
      <w:r w:rsidRPr="00042514">
        <w:rPr>
          <w:bCs/>
          <w:sz w:val="22"/>
          <w:szCs w:val="18"/>
          <w:lang w:val="fr-CH"/>
        </w:rPr>
        <w:t>à jouer un rôle déterminant</w:t>
      </w:r>
      <w:r w:rsidR="00E410E0" w:rsidRPr="00042514">
        <w:rPr>
          <w:bCs/>
          <w:sz w:val="22"/>
          <w:szCs w:val="18"/>
          <w:lang w:val="fr-CH"/>
        </w:rPr>
        <w:t>,</w:t>
      </w:r>
      <w:r w:rsidRPr="00042514">
        <w:rPr>
          <w:bCs/>
          <w:sz w:val="22"/>
          <w:szCs w:val="18"/>
          <w:lang w:val="fr-CH"/>
        </w:rPr>
        <w:t xml:space="preserve"> en offrant u</w:t>
      </w:r>
      <w:r w:rsidR="00EB7CBC" w:rsidRPr="00042514">
        <w:rPr>
          <w:bCs/>
          <w:sz w:val="22"/>
          <w:szCs w:val="18"/>
          <w:lang w:val="fr-CH"/>
        </w:rPr>
        <w:t>n cadre pour l</w:t>
      </w:r>
      <w:r w:rsidR="00A77751" w:rsidRPr="00042514">
        <w:rPr>
          <w:bCs/>
          <w:sz w:val="22"/>
          <w:szCs w:val="18"/>
          <w:lang w:val="fr-CH"/>
        </w:rPr>
        <w:t>'</w:t>
      </w:r>
      <w:r w:rsidR="00EB7CBC" w:rsidRPr="00042514">
        <w:rPr>
          <w:bCs/>
          <w:sz w:val="22"/>
          <w:szCs w:val="18"/>
          <w:lang w:val="fr-CH"/>
        </w:rPr>
        <w:t xml:space="preserve">échange de vues et </w:t>
      </w:r>
      <w:r w:rsidRPr="00042514">
        <w:rPr>
          <w:bCs/>
          <w:sz w:val="22"/>
          <w:szCs w:val="18"/>
          <w:lang w:val="fr-CH"/>
        </w:rPr>
        <w:t>l</w:t>
      </w:r>
      <w:r w:rsidR="00A77751" w:rsidRPr="00042514">
        <w:rPr>
          <w:bCs/>
          <w:sz w:val="22"/>
          <w:szCs w:val="18"/>
          <w:lang w:val="fr-CH"/>
        </w:rPr>
        <w:t>'</w:t>
      </w:r>
      <w:r w:rsidRPr="00042514">
        <w:rPr>
          <w:bCs/>
          <w:sz w:val="22"/>
          <w:szCs w:val="18"/>
          <w:lang w:val="fr-CH"/>
        </w:rPr>
        <w:t>élaboration d</w:t>
      </w:r>
      <w:r w:rsidR="00A77751" w:rsidRPr="00042514">
        <w:rPr>
          <w:bCs/>
          <w:sz w:val="22"/>
          <w:szCs w:val="18"/>
          <w:lang w:val="fr-CH"/>
        </w:rPr>
        <w:t>'</w:t>
      </w:r>
      <w:r w:rsidRPr="00042514">
        <w:rPr>
          <w:bCs/>
          <w:sz w:val="22"/>
          <w:szCs w:val="18"/>
          <w:lang w:val="fr-CH"/>
        </w:rPr>
        <w:t>une série de résultats</w:t>
      </w:r>
      <w:r w:rsidR="00EB7CBC" w:rsidRPr="00042514">
        <w:rPr>
          <w:bCs/>
          <w:sz w:val="22"/>
          <w:szCs w:val="18"/>
          <w:lang w:val="fr-CH"/>
        </w:rPr>
        <w:t>. Il permettra également aux différentes parties prenantes de présenter leurs initiatives et leurs projets</w:t>
      </w:r>
      <w:r w:rsidRPr="00042514">
        <w:rPr>
          <w:bCs/>
          <w:sz w:val="22"/>
          <w:szCs w:val="18"/>
          <w:lang w:val="fr-CH"/>
        </w:rPr>
        <w:t xml:space="preserve"> </w:t>
      </w:r>
      <w:r w:rsidR="00EB7CBC" w:rsidRPr="00042514">
        <w:rPr>
          <w:bCs/>
          <w:sz w:val="22"/>
          <w:szCs w:val="18"/>
          <w:lang w:val="fr-CH"/>
        </w:rPr>
        <w:t>compatibles avec la vision décrite et l</w:t>
      </w:r>
      <w:r w:rsidR="00A77751" w:rsidRPr="00042514">
        <w:rPr>
          <w:bCs/>
          <w:sz w:val="22"/>
          <w:szCs w:val="18"/>
          <w:lang w:val="fr-CH"/>
        </w:rPr>
        <w:t>'</w:t>
      </w:r>
      <w:r w:rsidR="00EB7CBC" w:rsidRPr="00042514">
        <w:rPr>
          <w:bCs/>
          <w:sz w:val="22"/>
          <w:szCs w:val="18"/>
          <w:lang w:val="fr-CH"/>
        </w:rPr>
        <w:t>écosystème de fédérations de bancs d</w:t>
      </w:r>
      <w:r w:rsidR="00A77751" w:rsidRPr="00042514">
        <w:rPr>
          <w:bCs/>
          <w:sz w:val="22"/>
          <w:szCs w:val="18"/>
          <w:lang w:val="fr-CH"/>
        </w:rPr>
        <w:t>'</w:t>
      </w:r>
      <w:r w:rsidR="00EB7CBC" w:rsidRPr="00042514">
        <w:rPr>
          <w:bCs/>
          <w:sz w:val="22"/>
          <w:szCs w:val="18"/>
          <w:lang w:val="fr-CH"/>
        </w:rPr>
        <w:t>essai souhaité</w:t>
      </w:r>
      <w:r w:rsidRPr="00042514">
        <w:rPr>
          <w:bCs/>
          <w:sz w:val="22"/>
          <w:szCs w:val="18"/>
          <w:lang w:val="fr-CH"/>
        </w:rPr>
        <w:t xml:space="preserve">. </w:t>
      </w:r>
      <w:bookmarkStart w:id="6" w:name="lt_pId068"/>
      <w:r w:rsidR="00EB7CBC" w:rsidRPr="00042514">
        <w:rPr>
          <w:bCs/>
          <w:sz w:val="22"/>
          <w:szCs w:val="18"/>
        </w:rPr>
        <w:t xml:space="preserve">Le Groupe spécialisé élaborera des spécifications techniques qui </w:t>
      </w:r>
      <w:r w:rsidR="0055577C" w:rsidRPr="00042514">
        <w:rPr>
          <w:bCs/>
          <w:sz w:val="22"/>
          <w:szCs w:val="18"/>
        </w:rPr>
        <w:t>pourr</w:t>
      </w:r>
      <w:r w:rsidR="00E410E0" w:rsidRPr="00042514">
        <w:rPr>
          <w:bCs/>
          <w:sz w:val="22"/>
          <w:szCs w:val="18"/>
        </w:rPr>
        <w:t>o</w:t>
      </w:r>
      <w:r w:rsidR="0055577C" w:rsidRPr="00042514">
        <w:rPr>
          <w:bCs/>
          <w:sz w:val="22"/>
          <w:szCs w:val="18"/>
        </w:rPr>
        <w:t>nt</w:t>
      </w:r>
      <w:r w:rsidR="00EB7CBC" w:rsidRPr="00042514">
        <w:rPr>
          <w:bCs/>
          <w:sz w:val="22"/>
          <w:szCs w:val="18"/>
        </w:rPr>
        <w:t xml:space="preserve"> servir de base </w:t>
      </w:r>
      <w:r w:rsidR="00E410E0" w:rsidRPr="00042514">
        <w:rPr>
          <w:bCs/>
          <w:sz w:val="22"/>
          <w:szCs w:val="18"/>
        </w:rPr>
        <w:t>aux</w:t>
      </w:r>
      <w:r w:rsidR="00EB7CBC" w:rsidRPr="00042514">
        <w:rPr>
          <w:bCs/>
          <w:sz w:val="22"/>
          <w:szCs w:val="18"/>
        </w:rPr>
        <w:t xml:space="preserve"> travaux </w:t>
      </w:r>
      <w:r w:rsidR="00E410E0" w:rsidRPr="00042514">
        <w:rPr>
          <w:bCs/>
          <w:sz w:val="22"/>
          <w:szCs w:val="18"/>
        </w:rPr>
        <w:t xml:space="preserve">futurs </w:t>
      </w:r>
      <w:r w:rsidR="00EB7CBC" w:rsidRPr="00042514">
        <w:rPr>
          <w:bCs/>
          <w:sz w:val="22"/>
          <w:szCs w:val="18"/>
        </w:rPr>
        <w:t>de normalisation concernant les fédérations de bancs d</w:t>
      </w:r>
      <w:r w:rsidR="00A77751" w:rsidRPr="00042514">
        <w:rPr>
          <w:bCs/>
          <w:sz w:val="22"/>
          <w:szCs w:val="18"/>
        </w:rPr>
        <w:t>'</w:t>
      </w:r>
      <w:r w:rsidR="00EB7CBC" w:rsidRPr="00042514">
        <w:rPr>
          <w:bCs/>
          <w:sz w:val="22"/>
          <w:szCs w:val="18"/>
        </w:rPr>
        <w:t>essai.</w:t>
      </w:r>
    </w:p>
    <w:bookmarkEnd w:id="6"/>
    <w:p w14:paraId="7A482ABE" w14:textId="18EF6F88" w:rsidR="000C1C70" w:rsidRPr="00042514" w:rsidRDefault="007C656D" w:rsidP="00E77F9C">
      <w:pPr>
        <w:rPr>
          <w:bCs/>
          <w:sz w:val="22"/>
          <w:szCs w:val="18"/>
        </w:rPr>
      </w:pPr>
      <w:r w:rsidRPr="00042514">
        <w:rPr>
          <w:bCs/>
          <w:sz w:val="22"/>
          <w:szCs w:val="18"/>
        </w:rPr>
        <w:lastRenderedPageBreak/>
        <w:t>4</w:t>
      </w:r>
      <w:r w:rsidRPr="00042514">
        <w:rPr>
          <w:bCs/>
          <w:sz w:val="22"/>
          <w:szCs w:val="18"/>
        </w:rPr>
        <w:tab/>
        <w:t>La p</w:t>
      </w:r>
      <w:r w:rsidR="000C1C70" w:rsidRPr="00042514">
        <w:rPr>
          <w:bCs/>
          <w:sz w:val="22"/>
          <w:szCs w:val="18"/>
        </w:rPr>
        <w:t xml:space="preserve">articipation </w:t>
      </w:r>
      <w:r w:rsidRPr="00042514">
        <w:rPr>
          <w:bCs/>
          <w:sz w:val="22"/>
          <w:szCs w:val="18"/>
        </w:rPr>
        <w:t>aux travaux du Groupe</w:t>
      </w:r>
      <w:r w:rsidR="000C1C70" w:rsidRPr="00042514">
        <w:rPr>
          <w:bCs/>
          <w:sz w:val="22"/>
          <w:szCs w:val="18"/>
        </w:rPr>
        <w:t xml:space="preserve"> FG-TBFxG </w:t>
      </w:r>
      <w:r w:rsidRPr="00042514">
        <w:rPr>
          <w:bCs/>
          <w:sz w:val="22"/>
          <w:szCs w:val="18"/>
        </w:rPr>
        <w:t>est gratuite et ouverte à</w:t>
      </w:r>
      <w:r w:rsidR="000C1C70" w:rsidRPr="00042514">
        <w:rPr>
          <w:bCs/>
          <w:sz w:val="22"/>
          <w:szCs w:val="18"/>
        </w:rPr>
        <w:t xml:space="preserve"> </w:t>
      </w:r>
      <w:r w:rsidRPr="00042514">
        <w:rPr>
          <w:bCs/>
          <w:sz w:val="22"/>
          <w:szCs w:val="18"/>
        </w:rPr>
        <w:t>t</w:t>
      </w:r>
      <w:r w:rsidR="000C1C70" w:rsidRPr="00042514">
        <w:rPr>
          <w:bCs/>
          <w:sz w:val="22"/>
          <w:szCs w:val="18"/>
        </w:rPr>
        <w:t>oute personne issue d</w:t>
      </w:r>
      <w:r w:rsidR="00A77751" w:rsidRPr="00042514">
        <w:rPr>
          <w:bCs/>
          <w:sz w:val="22"/>
          <w:szCs w:val="18"/>
        </w:rPr>
        <w:t>'</w:t>
      </w:r>
      <w:r w:rsidR="000C1C70" w:rsidRPr="00042514">
        <w:rPr>
          <w:bCs/>
          <w:sz w:val="22"/>
          <w:szCs w:val="18"/>
        </w:rPr>
        <w:t>un pays membre de l</w:t>
      </w:r>
      <w:r w:rsidR="00A77751" w:rsidRPr="00042514">
        <w:rPr>
          <w:bCs/>
          <w:sz w:val="22"/>
          <w:szCs w:val="18"/>
        </w:rPr>
        <w:t>'</w:t>
      </w:r>
      <w:r w:rsidR="000C1C70" w:rsidRPr="00042514">
        <w:rPr>
          <w:bCs/>
          <w:sz w:val="22"/>
          <w:szCs w:val="18"/>
        </w:rPr>
        <w:t>UIT et qui souhaite con</w:t>
      </w:r>
      <w:r w:rsidRPr="00042514">
        <w:rPr>
          <w:bCs/>
          <w:sz w:val="22"/>
          <w:szCs w:val="18"/>
        </w:rPr>
        <w:t>tribuer activement aux travaux</w:t>
      </w:r>
      <w:r w:rsidR="000C1C70" w:rsidRPr="00042514">
        <w:rPr>
          <w:bCs/>
          <w:sz w:val="22"/>
          <w:szCs w:val="18"/>
        </w:rPr>
        <w:t>. Il peut s</w:t>
      </w:r>
      <w:r w:rsidR="00A77751" w:rsidRPr="00042514">
        <w:rPr>
          <w:bCs/>
          <w:sz w:val="22"/>
          <w:szCs w:val="18"/>
        </w:rPr>
        <w:t>'</w:t>
      </w:r>
      <w:r w:rsidR="000C1C70" w:rsidRPr="00042514">
        <w:rPr>
          <w:bCs/>
          <w:sz w:val="22"/>
          <w:szCs w:val="18"/>
        </w:rPr>
        <w:t>agir de personnes qui sont aussi membres d</w:t>
      </w:r>
      <w:r w:rsidR="00A77751" w:rsidRPr="00042514">
        <w:rPr>
          <w:bCs/>
          <w:sz w:val="22"/>
          <w:szCs w:val="18"/>
        </w:rPr>
        <w:t>'</w:t>
      </w:r>
      <w:r w:rsidR="000C1C70" w:rsidRPr="00042514">
        <w:rPr>
          <w:bCs/>
          <w:sz w:val="22"/>
          <w:szCs w:val="18"/>
        </w:rPr>
        <w:t xml:space="preserve">organisations internationales, régionales ou nationales. </w:t>
      </w:r>
      <w:r w:rsidR="00093AF6" w:rsidRPr="00042514">
        <w:rPr>
          <w:bCs/>
          <w:sz w:val="22"/>
          <w:szCs w:val="18"/>
        </w:rPr>
        <w:t>Le Groupe FG-TBFxG encourage la collaboration avec</w:t>
      </w:r>
      <w:r w:rsidR="000C1C70" w:rsidRPr="00042514">
        <w:rPr>
          <w:bCs/>
          <w:sz w:val="22"/>
          <w:szCs w:val="18"/>
        </w:rPr>
        <w:t xml:space="preserve"> les organismes/forums de normalisation, les milieux de la recherche, les chercheurs qui travaillent sur les </w:t>
      </w:r>
      <w:r w:rsidRPr="00042514">
        <w:rPr>
          <w:bCs/>
          <w:sz w:val="22"/>
          <w:szCs w:val="18"/>
        </w:rPr>
        <w:t xml:space="preserve">IMT-2020 </w:t>
      </w:r>
      <w:r w:rsidR="000C1C70" w:rsidRPr="00042514">
        <w:rPr>
          <w:bCs/>
          <w:sz w:val="22"/>
          <w:szCs w:val="18"/>
        </w:rPr>
        <w:t xml:space="preserve">et les </w:t>
      </w:r>
      <w:r w:rsidRPr="00042514">
        <w:rPr>
          <w:bCs/>
          <w:sz w:val="22"/>
          <w:szCs w:val="18"/>
        </w:rPr>
        <w:t>systèmes</w:t>
      </w:r>
      <w:r w:rsidR="000C1C70" w:rsidRPr="00042514">
        <w:rPr>
          <w:bCs/>
          <w:sz w:val="22"/>
          <w:szCs w:val="18"/>
        </w:rPr>
        <w:t xml:space="preserve"> ultérieurs, les entreprises utilisant les bancs d</w:t>
      </w:r>
      <w:r w:rsidR="00A77751" w:rsidRPr="00042514">
        <w:rPr>
          <w:bCs/>
          <w:sz w:val="22"/>
          <w:szCs w:val="18"/>
        </w:rPr>
        <w:t>'</w:t>
      </w:r>
      <w:r w:rsidR="000C1C70" w:rsidRPr="00042514">
        <w:rPr>
          <w:bCs/>
          <w:sz w:val="22"/>
          <w:szCs w:val="18"/>
        </w:rPr>
        <w:t>essai, les fournisseurs de bancs d</w:t>
      </w:r>
      <w:r w:rsidR="00A77751" w:rsidRPr="00042514">
        <w:rPr>
          <w:bCs/>
          <w:sz w:val="22"/>
          <w:szCs w:val="18"/>
        </w:rPr>
        <w:t>'</w:t>
      </w:r>
      <w:r w:rsidR="000C1C70" w:rsidRPr="00042514">
        <w:rPr>
          <w:bCs/>
          <w:sz w:val="22"/>
          <w:szCs w:val="18"/>
        </w:rPr>
        <w:t>essai</w:t>
      </w:r>
      <w:r w:rsidR="00E410E0" w:rsidRPr="00042514">
        <w:rPr>
          <w:bCs/>
          <w:sz w:val="22"/>
          <w:szCs w:val="18"/>
        </w:rPr>
        <w:t>,</w:t>
      </w:r>
      <w:r w:rsidR="00A77751" w:rsidRPr="00042514">
        <w:rPr>
          <w:bCs/>
          <w:sz w:val="22"/>
          <w:szCs w:val="18"/>
        </w:rPr>
        <w:t xml:space="preserve"> notamment pour les </w:t>
      </w:r>
      <w:r w:rsidRPr="00042514">
        <w:rPr>
          <w:bCs/>
          <w:sz w:val="22"/>
          <w:szCs w:val="18"/>
        </w:rPr>
        <w:t>IMT-2020</w:t>
      </w:r>
      <w:r w:rsidR="000C1C70" w:rsidRPr="00042514">
        <w:rPr>
          <w:bCs/>
          <w:sz w:val="22"/>
          <w:szCs w:val="18"/>
        </w:rPr>
        <w:t>, les fournisseurs de services de communication</w:t>
      </w:r>
      <w:r w:rsidR="00E410E0" w:rsidRPr="00042514">
        <w:rPr>
          <w:bCs/>
          <w:sz w:val="22"/>
          <w:szCs w:val="18"/>
        </w:rPr>
        <w:t xml:space="preserve"> (CSP)</w:t>
      </w:r>
      <w:r w:rsidR="000C1C70" w:rsidRPr="00042514">
        <w:rPr>
          <w:bCs/>
          <w:sz w:val="22"/>
          <w:szCs w:val="18"/>
        </w:rPr>
        <w:t xml:space="preserve">, </w:t>
      </w:r>
      <w:r w:rsidRPr="00042514">
        <w:rPr>
          <w:bCs/>
          <w:sz w:val="22"/>
          <w:szCs w:val="18"/>
        </w:rPr>
        <w:t xml:space="preserve">les opérateurs de réseau, </w:t>
      </w:r>
      <w:r w:rsidR="000C1C70" w:rsidRPr="00042514">
        <w:rPr>
          <w:bCs/>
          <w:sz w:val="22"/>
          <w:szCs w:val="18"/>
        </w:rPr>
        <w:t>les fournisseurs/prestataires d</w:t>
      </w:r>
      <w:r w:rsidR="00A77751" w:rsidRPr="00042514">
        <w:rPr>
          <w:bCs/>
          <w:sz w:val="22"/>
          <w:szCs w:val="18"/>
        </w:rPr>
        <w:t>'</w:t>
      </w:r>
      <w:r w:rsidR="000C1C70" w:rsidRPr="00042514">
        <w:rPr>
          <w:bCs/>
          <w:sz w:val="22"/>
          <w:szCs w:val="18"/>
        </w:rPr>
        <w:t>infrastructures pour les TIC et les secteurs verticaux, les projets faisant intervenir des logiciels à code source ouvert et des maté</w:t>
      </w:r>
      <w:r w:rsidRPr="00042514">
        <w:rPr>
          <w:bCs/>
          <w:sz w:val="22"/>
          <w:szCs w:val="18"/>
        </w:rPr>
        <w:t>riels libres et les régulateurs</w:t>
      </w:r>
      <w:r w:rsidR="000C1C70" w:rsidRPr="00042514">
        <w:rPr>
          <w:bCs/>
          <w:sz w:val="22"/>
          <w:szCs w:val="18"/>
        </w:rPr>
        <w:t>.</w:t>
      </w:r>
    </w:p>
    <w:p w14:paraId="7EBAB72A" w14:textId="53D05C90" w:rsidR="000C1C70" w:rsidRPr="00042514" w:rsidRDefault="000C1C70" w:rsidP="00E77F9C">
      <w:pPr>
        <w:rPr>
          <w:bCs/>
          <w:sz w:val="22"/>
          <w:szCs w:val="18"/>
        </w:rPr>
      </w:pPr>
      <w:r w:rsidRPr="00042514">
        <w:rPr>
          <w:bCs/>
          <w:sz w:val="22"/>
          <w:szCs w:val="18"/>
        </w:rPr>
        <w:t>Les personnes qui souhaitent suivre ces travaux ou y participer sont invitées à s</w:t>
      </w:r>
      <w:r w:rsidR="00A77751" w:rsidRPr="00042514">
        <w:rPr>
          <w:bCs/>
          <w:sz w:val="22"/>
          <w:szCs w:val="18"/>
        </w:rPr>
        <w:t>'</w:t>
      </w:r>
      <w:r w:rsidRPr="00042514">
        <w:rPr>
          <w:bCs/>
          <w:sz w:val="22"/>
          <w:szCs w:val="18"/>
        </w:rPr>
        <w:t xml:space="preserve">inscrire sur </w:t>
      </w:r>
      <w:r w:rsidR="00117307" w:rsidRPr="00042514">
        <w:rPr>
          <w:bCs/>
          <w:sz w:val="22"/>
          <w:szCs w:val="18"/>
        </w:rPr>
        <w:t>la</w:t>
      </w:r>
      <w:r w:rsidRPr="00042514">
        <w:rPr>
          <w:bCs/>
          <w:sz w:val="22"/>
          <w:szCs w:val="18"/>
        </w:rPr>
        <w:t xml:space="preserve"> liste de diffusion </w:t>
      </w:r>
      <w:r w:rsidR="00E34329" w:rsidRPr="00042514">
        <w:rPr>
          <w:bCs/>
          <w:sz w:val="22"/>
          <w:szCs w:val="18"/>
        </w:rPr>
        <w:t>du</w:t>
      </w:r>
      <w:r w:rsidR="00117307" w:rsidRPr="00042514">
        <w:rPr>
          <w:bCs/>
          <w:sz w:val="22"/>
          <w:szCs w:val="18"/>
        </w:rPr>
        <w:t xml:space="preserve"> Groupe spécialisé</w:t>
      </w:r>
      <w:r w:rsidRPr="00042514">
        <w:rPr>
          <w:bCs/>
          <w:sz w:val="22"/>
          <w:szCs w:val="18"/>
        </w:rPr>
        <w:t xml:space="preserve"> </w:t>
      </w:r>
      <w:hyperlink r:id="rId11" w:history="1">
        <w:r w:rsidRPr="00042514">
          <w:rPr>
            <w:rStyle w:val="Hyperlink"/>
            <w:bCs/>
            <w:sz w:val="22"/>
            <w:szCs w:val="18"/>
          </w:rPr>
          <w:t>fgtbf@lists.itu.int</w:t>
        </w:r>
      </w:hyperlink>
      <w:r w:rsidRPr="00042514">
        <w:rPr>
          <w:bCs/>
          <w:sz w:val="22"/>
          <w:szCs w:val="18"/>
        </w:rPr>
        <w:t>; des précisions sur les modalités d</w:t>
      </w:r>
      <w:r w:rsidR="00A77751" w:rsidRPr="00042514">
        <w:rPr>
          <w:bCs/>
          <w:sz w:val="22"/>
          <w:szCs w:val="18"/>
        </w:rPr>
        <w:t>'</w:t>
      </w:r>
      <w:r w:rsidRPr="00042514">
        <w:rPr>
          <w:bCs/>
          <w:sz w:val="22"/>
          <w:szCs w:val="18"/>
        </w:rPr>
        <w:t>inscription sont disponibles à l</w:t>
      </w:r>
      <w:r w:rsidR="00A77751" w:rsidRPr="00042514">
        <w:rPr>
          <w:bCs/>
          <w:sz w:val="22"/>
          <w:szCs w:val="18"/>
        </w:rPr>
        <w:t>'</w:t>
      </w:r>
      <w:r w:rsidRPr="00042514">
        <w:rPr>
          <w:bCs/>
          <w:sz w:val="22"/>
          <w:szCs w:val="18"/>
        </w:rPr>
        <w:t xml:space="preserve">adresse: </w:t>
      </w:r>
      <w:hyperlink r:id="rId12" w:history="1">
        <w:r w:rsidRPr="00042514">
          <w:rPr>
            <w:rStyle w:val="Hyperlink"/>
            <w:bCs/>
            <w:sz w:val="22"/>
            <w:szCs w:val="18"/>
          </w:rPr>
          <w:t>www.itu.int/go/fgtbf</w:t>
        </w:r>
      </w:hyperlink>
      <w:r w:rsidRPr="00042514">
        <w:rPr>
          <w:bCs/>
          <w:sz w:val="22"/>
          <w:szCs w:val="18"/>
        </w:rPr>
        <w:t>.</w:t>
      </w:r>
    </w:p>
    <w:p w14:paraId="2FD23BCE" w14:textId="430CD0EA" w:rsidR="000C1C70" w:rsidRPr="00042514" w:rsidRDefault="000C1C70" w:rsidP="00E77F9C">
      <w:pPr>
        <w:rPr>
          <w:bCs/>
          <w:sz w:val="22"/>
          <w:szCs w:val="18"/>
        </w:rPr>
      </w:pPr>
      <w:r w:rsidRPr="00042514">
        <w:rPr>
          <w:bCs/>
          <w:sz w:val="22"/>
          <w:szCs w:val="18"/>
        </w:rPr>
        <w:t>5</w:t>
      </w:r>
      <w:r w:rsidRPr="00042514">
        <w:rPr>
          <w:bCs/>
          <w:sz w:val="22"/>
          <w:szCs w:val="18"/>
        </w:rPr>
        <w:tab/>
        <w:t xml:space="preserve">Le Groupe exercera ses activités conformément aux procédures exposées dans la </w:t>
      </w:r>
      <w:hyperlink r:id="rId13" w:history="1">
        <w:r w:rsidRPr="00042514">
          <w:rPr>
            <w:rStyle w:val="Hyperlink"/>
            <w:bCs/>
            <w:sz w:val="22"/>
            <w:szCs w:val="18"/>
          </w:rPr>
          <w:t>Recommandation UIT-T A.7</w:t>
        </w:r>
      </w:hyperlink>
      <w:r w:rsidRPr="00042514">
        <w:rPr>
          <w:bCs/>
          <w:sz w:val="22"/>
          <w:szCs w:val="18"/>
        </w:rPr>
        <w:t xml:space="preserve"> et dans le cadre du mandat approuvé reproduit </w:t>
      </w:r>
      <w:r w:rsidR="00BC2C1C" w:rsidRPr="00042514">
        <w:rPr>
          <w:bCs/>
          <w:sz w:val="22"/>
          <w:szCs w:val="18"/>
        </w:rPr>
        <w:t>dans</w:t>
      </w:r>
      <w:r w:rsidR="00E77F9C" w:rsidRPr="00042514">
        <w:rPr>
          <w:bCs/>
          <w:sz w:val="22"/>
          <w:szCs w:val="18"/>
        </w:rPr>
        <w:t xml:space="preserve"> </w:t>
      </w:r>
      <w:r w:rsidRPr="00042514">
        <w:rPr>
          <w:bCs/>
          <w:sz w:val="22"/>
          <w:szCs w:val="18"/>
        </w:rPr>
        <w:t>l</w:t>
      </w:r>
      <w:r w:rsidR="00A77751" w:rsidRPr="00042514">
        <w:rPr>
          <w:bCs/>
          <w:sz w:val="22"/>
          <w:szCs w:val="18"/>
        </w:rPr>
        <w:t>'</w:t>
      </w:r>
      <w:r w:rsidRPr="00042514">
        <w:rPr>
          <w:b/>
          <w:sz w:val="22"/>
          <w:szCs w:val="18"/>
        </w:rPr>
        <w:t>Annexe 1</w:t>
      </w:r>
      <w:r w:rsidRPr="00042514">
        <w:rPr>
          <w:bCs/>
          <w:sz w:val="22"/>
          <w:szCs w:val="18"/>
        </w:rPr>
        <w:t>. La durée du mandat du Groupe spécialisé est d</w:t>
      </w:r>
      <w:r w:rsidR="00A77751" w:rsidRPr="00042514">
        <w:rPr>
          <w:bCs/>
          <w:sz w:val="22"/>
          <w:szCs w:val="18"/>
        </w:rPr>
        <w:t>'</w:t>
      </w:r>
      <w:r w:rsidRPr="00042514">
        <w:rPr>
          <w:bCs/>
          <w:sz w:val="22"/>
          <w:szCs w:val="18"/>
        </w:rPr>
        <w:t xml:space="preserve">un an à compter de la première réunion du Groupe, </w:t>
      </w:r>
      <w:r w:rsidR="00BC2C1C" w:rsidRPr="00042514">
        <w:rPr>
          <w:bCs/>
          <w:sz w:val="22"/>
          <w:szCs w:val="18"/>
        </w:rPr>
        <w:t>et pourra être prorogée</w:t>
      </w:r>
      <w:r w:rsidRPr="00042514">
        <w:rPr>
          <w:bCs/>
          <w:sz w:val="22"/>
          <w:szCs w:val="18"/>
        </w:rPr>
        <w:t xml:space="preserve"> </w:t>
      </w:r>
      <w:r w:rsidR="00BC2C1C" w:rsidRPr="00042514">
        <w:rPr>
          <w:bCs/>
          <w:sz w:val="22"/>
          <w:szCs w:val="18"/>
        </w:rPr>
        <w:t>d</w:t>
      </w:r>
      <w:r w:rsidR="00A77751" w:rsidRPr="00042514">
        <w:rPr>
          <w:bCs/>
          <w:sz w:val="22"/>
          <w:szCs w:val="18"/>
        </w:rPr>
        <w:t>'</w:t>
      </w:r>
      <w:r w:rsidR="00BC2C1C" w:rsidRPr="00042514">
        <w:rPr>
          <w:bCs/>
          <w:sz w:val="22"/>
          <w:szCs w:val="18"/>
        </w:rPr>
        <w:t>un</w:t>
      </w:r>
      <w:r w:rsidR="00E77F9C" w:rsidRPr="00042514">
        <w:rPr>
          <w:bCs/>
          <w:sz w:val="22"/>
          <w:szCs w:val="18"/>
        </w:rPr>
        <w:t xml:space="preserve"> </w:t>
      </w:r>
      <w:r w:rsidR="00BC2C1C" w:rsidRPr="00042514">
        <w:rPr>
          <w:bCs/>
          <w:sz w:val="22"/>
          <w:szCs w:val="18"/>
        </w:rPr>
        <w:t>an</w:t>
      </w:r>
      <w:r w:rsidR="00E77F9C" w:rsidRPr="00042514">
        <w:rPr>
          <w:bCs/>
          <w:sz w:val="22"/>
          <w:szCs w:val="18"/>
        </w:rPr>
        <w:t xml:space="preserve"> </w:t>
      </w:r>
      <w:r w:rsidRPr="00042514">
        <w:rPr>
          <w:bCs/>
          <w:sz w:val="22"/>
          <w:szCs w:val="18"/>
        </w:rPr>
        <w:t>sous réserve de l</w:t>
      </w:r>
      <w:r w:rsidR="00A77751" w:rsidRPr="00042514">
        <w:rPr>
          <w:bCs/>
          <w:sz w:val="22"/>
          <w:szCs w:val="18"/>
        </w:rPr>
        <w:t>'</w:t>
      </w:r>
      <w:r w:rsidRPr="00042514">
        <w:rPr>
          <w:bCs/>
          <w:sz w:val="22"/>
          <w:szCs w:val="18"/>
        </w:rPr>
        <w:t xml:space="preserve">accord de </w:t>
      </w:r>
      <w:r w:rsidR="00BC2C1C" w:rsidRPr="00042514">
        <w:rPr>
          <w:bCs/>
          <w:sz w:val="22"/>
          <w:szCs w:val="18"/>
        </w:rPr>
        <w:t>la commission d</w:t>
      </w:r>
      <w:r w:rsidR="00A77751" w:rsidRPr="00042514">
        <w:rPr>
          <w:bCs/>
          <w:sz w:val="22"/>
          <w:szCs w:val="18"/>
        </w:rPr>
        <w:t>'</w:t>
      </w:r>
      <w:r w:rsidR="00BC2C1C" w:rsidRPr="00042514">
        <w:rPr>
          <w:bCs/>
          <w:sz w:val="22"/>
          <w:szCs w:val="18"/>
        </w:rPr>
        <w:t xml:space="preserve">études </w:t>
      </w:r>
      <w:r w:rsidRPr="00042514">
        <w:rPr>
          <w:bCs/>
          <w:sz w:val="22"/>
          <w:szCs w:val="18"/>
        </w:rPr>
        <w:t xml:space="preserve">de rattachement, </w:t>
      </w:r>
      <w:r w:rsidR="005054A9" w:rsidRPr="00042514">
        <w:rPr>
          <w:bCs/>
          <w:sz w:val="22"/>
          <w:szCs w:val="18"/>
        </w:rPr>
        <w:t xml:space="preserve">à savoir </w:t>
      </w:r>
      <w:r w:rsidRPr="00042514">
        <w:rPr>
          <w:bCs/>
          <w:sz w:val="22"/>
          <w:szCs w:val="18"/>
        </w:rPr>
        <w:t>la Commission d</w:t>
      </w:r>
      <w:r w:rsidR="00A77751" w:rsidRPr="00042514">
        <w:rPr>
          <w:bCs/>
          <w:sz w:val="22"/>
          <w:szCs w:val="18"/>
        </w:rPr>
        <w:t>'</w:t>
      </w:r>
      <w:r w:rsidRPr="00042514">
        <w:rPr>
          <w:bCs/>
          <w:sz w:val="22"/>
          <w:szCs w:val="18"/>
        </w:rPr>
        <w:t>études 11 de l</w:t>
      </w:r>
      <w:r w:rsidR="00A77751" w:rsidRPr="00042514">
        <w:rPr>
          <w:bCs/>
          <w:sz w:val="22"/>
          <w:szCs w:val="18"/>
        </w:rPr>
        <w:t>'</w:t>
      </w:r>
      <w:r w:rsidRPr="00042514">
        <w:rPr>
          <w:bCs/>
          <w:sz w:val="22"/>
          <w:szCs w:val="18"/>
        </w:rPr>
        <w:t>UIT</w:t>
      </w:r>
      <w:r w:rsidRPr="00042514">
        <w:rPr>
          <w:bCs/>
          <w:sz w:val="22"/>
          <w:szCs w:val="18"/>
        </w:rPr>
        <w:noBreakHyphen/>
        <w:t>T.</w:t>
      </w:r>
    </w:p>
    <w:p w14:paraId="2D670B4B" w14:textId="7624AB25" w:rsidR="000C1C70" w:rsidRPr="00042514" w:rsidRDefault="000C1C70" w:rsidP="00E77F9C">
      <w:pPr>
        <w:rPr>
          <w:bCs/>
          <w:sz w:val="22"/>
          <w:szCs w:val="18"/>
        </w:rPr>
      </w:pPr>
      <w:r w:rsidRPr="00042514">
        <w:rPr>
          <w:bCs/>
          <w:sz w:val="22"/>
          <w:szCs w:val="18"/>
        </w:rPr>
        <w:t>6</w:t>
      </w:r>
      <w:r w:rsidRPr="00042514">
        <w:rPr>
          <w:bCs/>
          <w:sz w:val="22"/>
          <w:szCs w:val="18"/>
        </w:rPr>
        <w:tab/>
        <w:t>La première réunion du Groupe FG-TBFxG se tiendra de manière virtuelle du 4 au 7 avril 2022 (de 12 h 00 à 17 h 00, heure de Genève). Les objectifs de la première réunion sont les suivants:</w:t>
      </w:r>
    </w:p>
    <w:p w14:paraId="769336C9" w14:textId="13A7BD68" w:rsidR="000C1C70" w:rsidRPr="00042514" w:rsidRDefault="000C1C70" w:rsidP="00E77F9C">
      <w:pPr>
        <w:pStyle w:val="enumlev1"/>
        <w:rPr>
          <w:sz w:val="22"/>
          <w:szCs w:val="18"/>
        </w:rPr>
      </w:pPr>
      <w:bookmarkStart w:id="7" w:name="_Hlk90297781"/>
      <w:r w:rsidRPr="00042514">
        <w:rPr>
          <w:sz w:val="22"/>
          <w:szCs w:val="18"/>
        </w:rPr>
        <w:t>–</w:t>
      </w:r>
      <w:r w:rsidRPr="00042514">
        <w:rPr>
          <w:sz w:val="22"/>
          <w:szCs w:val="18"/>
        </w:rPr>
        <w:tab/>
      </w:r>
      <w:bookmarkStart w:id="8" w:name="lt_pId083"/>
      <w:bookmarkEnd w:id="7"/>
      <w:r w:rsidR="00A77751" w:rsidRPr="00042514">
        <w:rPr>
          <w:sz w:val="22"/>
          <w:szCs w:val="18"/>
        </w:rPr>
        <w:t>P</w:t>
      </w:r>
      <w:r w:rsidR="007D28A5" w:rsidRPr="00042514">
        <w:rPr>
          <w:sz w:val="22"/>
          <w:szCs w:val="18"/>
        </w:rPr>
        <w:t xml:space="preserve">résentation du domaine </w:t>
      </w:r>
      <w:r w:rsidR="00EC1AEA" w:rsidRPr="00042514">
        <w:rPr>
          <w:color w:val="000000"/>
          <w:sz w:val="22"/>
          <w:szCs w:val="18"/>
        </w:rPr>
        <w:t>d</w:t>
      </w:r>
      <w:r w:rsidR="00A77751" w:rsidRPr="00042514">
        <w:rPr>
          <w:color w:val="000000"/>
          <w:sz w:val="22"/>
          <w:szCs w:val="18"/>
        </w:rPr>
        <w:t>'</w:t>
      </w:r>
      <w:r w:rsidR="00EC1AEA" w:rsidRPr="00042514">
        <w:rPr>
          <w:color w:val="000000"/>
          <w:sz w:val="22"/>
          <w:szCs w:val="18"/>
        </w:rPr>
        <w:t>activité</w:t>
      </w:r>
      <w:r w:rsidR="00E77F9C" w:rsidRPr="00042514">
        <w:rPr>
          <w:sz w:val="22"/>
          <w:szCs w:val="18"/>
        </w:rPr>
        <w:t xml:space="preserve"> </w:t>
      </w:r>
      <w:r w:rsidR="007D28A5" w:rsidRPr="00042514">
        <w:rPr>
          <w:sz w:val="22"/>
          <w:szCs w:val="18"/>
        </w:rPr>
        <w:t>du Groupe FG-TBFxG</w:t>
      </w:r>
      <w:bookmarkEnd w:id="8"/>
      <w:r w:rsidR="00A77751" w:rsidRPr="00042514">
        <w:rPr>
          <w:sz w:val="22"/>
          <w:szCs w:val="18"/>
        </w:rPr>
        <w:t>.</w:t>
      </w:r>
    </w:p>
    <w:p w14:paraId="08A9B189" w14:textId="024F4282" w:rsidR="000C1C70" w:rsidRPr="00042514" w:rsidRDefault="000C1C70" w:rsidP="00E77F9C">
      <w:pPr>
        <w:pStyle w:val="enumlev1"/>
        <w:rPr>
          <w:sz w:val="22"/>
          <w:szCs w:val="18"/>
        </w:rPr>
      </w:pPr>
      <w:r w:rsidRPr="00042514">
        <w:rPr>
          <w:sz w:val="22"/>
          <w:szCs w:val="18"/>
        </w:rPr>
        <w:t>–</w:t>
      </w:r>
      <w:r w:rsidRPr="00042514">
        <w:rPr>
          <w:sz w:val="22"/>
          <w:szCs w:val="18"/>
        </w:rPr>
        <w:tab/>
      </w:r>
      <w:bookmarkStart w:id="9" w:name="lt_pId085"/>
      <w:r w:rsidR="00A77751" w:rsidRPr="00042514">
        <w:rPr>
          <w:sz w:val="22"/>
          <w:szCs w:val="18"/>
        </w:rPr>
        <w:t>C</w:t>
      </w:r>
      <w:r w:rsidR="007D28A5" w:rsidRPr="00042514">
        <w:rPr>
          <w:sz w:val="22"/>
          <w:szCs w:val="18"/>
        </w:rPr>
        <w:t xml:space="preserve">réation de groupes de travail (GT) </w:t>
      </w:r>
      <w:r w:rsidR="00EC1AEA" w:rsidRPr="00042514">
        <w:rPr>
          <w:sz w:val="22"/>
          <w:szCs w:val="18"/>
        </w:rPr>
        <w:t xml:space="preserve">relevant </w:t>
      </w:r>
      <w:r w:rsidR="007D28A5" w:rsidRPr="00042514">
        <w:rPr>
          <w:sz w:val="22"/>
          <w:szCs w:val="18"/>
        </w:rPr>
        <w:t>du Groupe FG-TBFxG</w:t>
      </w:r>
      <w:bookmarkEnd w:id="9"/>
      <w:r w:rsidR="00A77751" w:rsidRPr="00042514">
        <w:rPr>
          <w:sz w:val="22"/>
          <w:szCs w:val="18"/>
        </w:rPr>
        <w:t>.</w:t>
      </w:r>
    </w:p>
    <w:p w14:paraId="710C99A0" w14:textId="1AF07EB5" w:rsidR="000C1C70" w:rsidRPr="00042514" w:rsidRDefault="000C1C70" w:rsidP="00E77F9C">
      <w:pPr>
        <w:pStyle w:val="enumlev1"/>
        <w:rPr>
          <w:sz w:val="22"/>
          <w:szCs w:val="18"/>
        </w:rPr>
      </w:pPr>
      <w:r w:rsidRPr="00042514">
        <w:rPr>
          <w:sz w:val="22"/>
          <w:szCs w:val="18"/>
        </w:rPr>
        <w:t>–</w:t>
      </w:r>
      <w:r w:rsidRPr="00042514">
        <w:rPr>
          <w:sz w:val="22"/>
          <w:szCs w:val="18"/>
        </w:rPr>
        <w:tab/>
      </w:r>
      <w:bookmarkStart w:id="10" w:name="lt_pId087"/>
      <w:r w:rsidR="00A77751" w:rsidRPr="00042514">
        <w:rPr>
          <w:sz w:val="22"/>
          <w:szCs w:val="18"/>
        </w:rPr>
        <w:t>N</w:t>
      </w:r>
      <w:r w:rsidR="007D28A5" w:rsidRPr="00042514">
        <w:rPr>
          <w:sz w:val="22"/>
          <w:szCs w:val="18"/>
        </w:rPr>
        <w:t>omination</w:t>
      </w:r>
      <w:r w:rsidR="00E77F9C" w:rsidRPr="00042514">
        <w:rPr>
          <w:sz w:val="22"/>
          <w:szCs w:val="18"/>
        </w:rPr>
        <w:t xml:space="preserve"> </w:t>
      </w:r>
      <w:r w:rsidR="007D28A5" w:rsidRPr="00042514">
        <w:rPr>
          <w:sz w:val="22"/>
          <w:szCs w:val="18"/>
        </w:rPr>
        <w:t>de</w:t>
      </w:r>
      <w:r w:rsidR="00EC1AEA" w:rsidRPr="00042514">
        <w:rPr>
          <w:color w:val="000000"/>
          <w:sz w:val="22"/>
          <w:szCs w:val="18"/>
        </w:rPr>
        <w:t xml:space="preserve"> l</w:t>
      </w:r>
      <w:r w:rsidR="00A77751" w:rsidRPr="00042514">
        <w:rPr>
          <w:color w:val="000000"/>
          <w:sz w:val="22"/>
          <w:szCs w:val="18"/>
        </w:rPr>
        <w:t>'</w:t>
      </w:r>
      <w:r w:rsidR="00EC1AEA" w:rsidRPr="00042514">
        <w:rPr>
          <w:color w:val="000000"/>
          <w:sz w:val="22"/>
          <w:szCs w:val="18"/>
        </w:rPr>
        <w:t xml:space="preserve">équipe de </w:t>
      </w:r>
      <w:r w:rsidR="007D28A5" w:rsidRPr="00042514">
        <w:rPr>
          <w:sz w:val="22"/>
          <w:szCs w:val="18"/>
        </w:rPr>
        <w:t xml:space="preserve">direction du Groupe FG-TBFxG, </w:t>
      </w:r>
      <w:r w:rsidR="00EC1AEA" w:rsidRPr="00042514">
        <w:rPr>
          <w:sz w:val="22"/>
          <w:szCs w:val="18"/>
        </w:rPr>
        <w:t xml:space="preserve">y compris </w:t>
      </w:r>
      <w:r w:rsidR="007D28A5" w:rsidRPr="00042514">
        <w:rPr>
          <w:sz w:val="22"/>
          <w:szCs w:val="18"/>
        </w:rPr>
        <w:t>des vice-présidents et des présidents des groupes de travail</w:t>
      </w:r>
      <w:bookmarkEnd w:id="10"/>
      <w:r w:rsidR="00A77751" w:rsidRPr="00042514">
        <w:rPr>
          <w:sz w:val="22"/>
          <w:szCs w:val="18"/>
        </w:rPr>
        <w:t>.</w:t>
      </w:r>
    </w:p>
    <w:p w14:paraId="375828CB" w14:textId="206415EE" w:rsidR="000C1C70" w:rsidRPr="00042514" w:rsidRDefault="007D28A5" w:rsidP="00E77F9C">
      <w:pPr>
        <w:pStyle w:val="enumlev1"/>
        <w:rPr>
          <w:sz w:val="22"/>
          <w:szCs w:val="18"/>
        </w:rPr>
      </w:pPr>
      <w:r w:rsidRPr="00042514">
        <w:rPr>
          <w:sz w:val="22"/>
          <w:szCs w:val="18"/>
        </w:rPr>
        <w:t>–</w:t>
      </w:r>
      <w:r w:rsidRPr="00042514">
        <w:rPr>
          <w:sz w:val="22"/>
          <w:szCs w:val="18"/>
        </w:rPr>
        <w:tab/>
      </w:r>
      <w:r w:rsidR="00A77751" w:rsidRPr="00042514">
        <w:rPr>
          <w:sz w:val="22"/>
          <w:szCs w:val="18"/>
        </w:rPr>
        <w:t>A</w:t>
      </w:r>
      <w:r w:rsidR="000C1C70" w:rsidRPr="00042514">
        <w:rPr>
          <w:sz w:val="22"/>
          <w:szCs w:val="18"/>
        </w:rPr>
        <w:t>pprobation d</w:t>
      </w:r>
      <w:r w:rsidR="00A77751" w:rsidRPr="00042514">
        <w:rPr>
          <w:sz w:val="22"/>
          <w:szCs w:val="18"/>
        </w:rPr>
        <w:t>'</w:t>
      </w:r>
      <w:r w:rsidR="000C1C70" w:rsidRPr="00042514">
        <w:rPr>
          <w:sz w:val="22"/>
          <w:szCs w:val="18"/>
        </w:rPr>
        <w:t xml:space="preserve">une feuille de route du Groupe FG-TBFxG, </w:t>
      </w:r>
      <w:r w:rsidR="00EC1AEA" w:rsidRPr="00042514">
        <w:rPr>
          <w:sz w:val="22"/>
          <w:szCs w:val="18"/>
        </w:rPr>
        <w:t xml:space="preserve">comportant </w:t>
      </w:r>
      <w:r w:rsidR="000C1C70" w:rsidRPr="00042514">
        <w:rPr>
          <w:sz w:val="22"/>
          <w:szCs w:val="18"/>
        </w:rPr>
        <w:t>les produits finals attendus, le calendrier, le domaine de compétence et les éditeurs, ainsi que l</w:t>
      </w:r>
      <w:r w:rsidR="00A77751" w:rsidRPr="00042514">
        <w:rPr>
          <w:sz w:val="22"/>
          <w:szCs w:val="18"/>
        </w:rPr>
        <w:t>'</w:t>
      </w:r>
      <w:r w:rsidR="000C1C70" w:rsidRPr="00042514">
        <w:rPr>
          <w:sz w:val="22"/>
          <w:szCs w:val="18"/>
        </w:rPr>
        <w:t xml:space="preserve">attribution des responsabilités aux différents </w:t>
      </w:r>
      <w:r w:rsidRPr="00042514">
        <w:rPr>
          <w:sz w:val="22"/>
          <w:szCs w:val="18"/>
        </w:rPr>
        <w:t>groupes de travail</w:t>
      </w:r>
      <w:r w:rsidR="00A77751" w:rsidRPr="00042514">
        <w:rPr>
          <w:sz w:val="22"/>
          <w:szCs w:val="18"/>
        </w:rPr>
        <w:t>.</w:t>
      </w:r>
    </w:p>
    <w:p w14:paraId="4C21B396" w14:textId="458FCA65" w:rsidR="000C1C70" w:rsidRPr="00042514" w:rsidRDefault="007D28A5" w:rsidP="00E77F9C">
      <w:pPr>
        <w:pStyle w:val="enumlev1"/>
        <w:rPr>
          <w:sz w:val="22"/>
          <w:szCs w:val="18"/>
        </w:rPr>
      </w:pPr>
      <w:r w:rsidRPr="00042514">
        <w:rPr>
          <w:sz w:val="22"/>
          <w:szCs w:val="18"/>
        </w:rPr>
        <w:t>–</w:t>
      </w:r>
      <w:r w:rsidRPr="00042514">
        <w:rPr>
          <w:sz w:val="22"/>
          <w:szCs w:val="18"/>
        </w:rPr>
        <w:tab/>
      </w:r>
      <w:r w:rsidR="00A77751" w:rsidRPr="00042514">
        <w:rPr>
          <w:sz w:val="22"/>
          <w:szCs w:val="18"/>
        </w:rPr>
        <w:t>A</w:t>
      </w:r>
      <w:r w:rsidR="000C1C70" w:rsidRPr="00042514">
        <w:rPr>
          <w:sz w:val="22"/>
          <w:szCs w:val="18"/>
        </w:rPr>
        <w:t>pprobation des méthodes de travail du Groupe FG-TBFxG, sur la base</w:t>
      </w:r>
      <w:r w:rsidRPr="00042514">
        <w:rPr>
          <w:sz w:val="22"/>
          <w:szCs w:val="18"/>
        </w:rPr>
        <w:t xml:space="preserve"> de la Recommandation UIT-T A.7</w:t>
      </w:r>
      <w:r w:rsidR="00A77751" w:rsidRPr="00042514">
        <w:rPr>
          <w:sz w:val="22"/>
          <w:szCs w:val="18"/>
        </w:rPr>
        <w:t>.</w:t>
      </w:r>
    </w:p>
    <w:p w14:paraId="43F3520A" w14:textId="6F19192D" w:rsidR="000C1C70" w:rsidRPr="00042514" w:rsidRDefault="007D28A5" w:rsidP="00E77F9C">
      <w:pPr>
        <w:pStyle w:val="enumlev1"/>
        <w:rPr>
          <w:sz w:val="22"/>
          <w:szCs w:val="18"/>
        </w:rPr>
      </w:pPr>
      <w:r w:rsidRPr="00042514">
        <w:rPr>
          <w:sz w:val="22"/>
          <w:szCs w:val="18"/>
        </w:rPr>
        <w:t>–</w:t>
      </w:r>
      <w:r w:rsidRPr="00042514">
        <w:rPr>
          <w:sz w:val="22"/>
          <w:szCs w:val="18"/>
        </w:rPr>
        <w:tab/>
      </w:r>
      <w:r w:rsidR="00A77751" w:rsidRPr="00042514">
        <w:rPr>
          <w:sz w:val="22"/>
          <w:szCs w:val="18"/>
        </w:rPr>
        <w:t>A</w:t>
      </w:r>
      <w:r w:rsidR="000C1C70" w:rsidRPr="00042514">
        <w:rPr>
          <w:sz w:val="22"/>
          <w:szCs w:val="18"/>
        </w:rPr>
        <w:t>pprobation du programme des futures réunions du Groupe FG-TBFxG, y compris la fréquence des réun</w:t>
      </w:r>
      <w:r w:rsidRPr="00042514">
        <w:rPr>
          <w:sz w:val="22"/>
          <w:szCs w:val="18"/>
        </w:rPr>
        <w:t>ions</w:t>
      </w:r>
      <w:r w:rsidR="00A77751" w:rsidRPr="00042514">
        <w:rPr>
          <w:sz w:val="22"/>
          <w:szCs w:val="18"/>
        </w:rPr>
        <w:t>.</w:t>
      </w:r>
    </w:p>
    <w:p w14:paraId="689F2D96" w14:textId="21957F8B" w:rsidR="000C1C70" w:rsidRPr="00042514" w:rsidRDefault="007D28A5" w:rsidP="00E77F9C">
      <w:pPr>
        <w:pStyle w:val="enumlev1"/>
        <w:rPr>
          <w:sz w:val="22"/>
          <w:szCs w:val="18"/>
        </w:rPr>
      </w:pPr>
      <w:r w:rsidRPr="00042514">
        <w:rPr>
          <w:sz w:val="22"/>
          <w:szCs w:val="18"/>
        </w:rPr>
        <w:t>–</w:t>
      </w:r>
      <w:r w:rsidRPr="00042514">
        <w:rPr>
          <w:sz w:val="22"/>
          <w:szCs w:val="18"/>
        </w:rPr>
        <w:tab/>
      </w:r>
      <w:r w:rsidR="00A77751" w:rsidRPr="00042514">
        <w:rPr>
          <w:sz w:val="22"/>
          <w:szCs w:val="18"/>
        </w:rPr>
        <w:t>E</w:t>
      </w:r>
      <w:r w:rsidR="000C1C70" w:rsidRPr="00042514">
        <w:rPr>
          <w:sz w:val="22"/>
          <w:szCs w:val="18"/>
        </w:rPr>
        <w:t>xamen des contributions écrites et élaboration d</w:t>
      </w:r>
      <w:r w:rsidR="00A77751" w:rsidRPr="00042514">
        <w:rPr>
          <w:sz w:val="22"/>
          <w:szCs w:val="18"/>
        </w:rPr>
        <w:t>'</w:t>
      </w:r>
      <w:r w:rsidR="000C1C70" w:rsidRPr="00042514">
        <w:rPr>
          <w:sz w:val="22"/>
          <w:szCs w:val="18"/>
        </w:rPr>
        <w:t>une première version du contenu des produits finals.</w:t>
      </w:r>
    </w:p>
    <w:p w14:paraId="2609ECBB" w14:textId="20011B68" w:rsidR="000C1C70" w:rsidRPr="00042514" w:rsidRDefault="000C1C70" w:rsidP="00E77F9C">
      <w:pPr>
        <w:rPr>
          <w:bCs/>
          <w:sz w:val="22"/>
          <w:szCs w:val="18"/>
        </w:rPr>
      </w:pPr>
      <w:r w:rsidRPr="00042514">
        <w:rPr>
          <w:bCs/>
          <w:sz w:val="22"/>
          <w:szCs w:val="18"/>
        </w:rPr>
        <w:t>7</w:t>
      </w:r>
      <w:r w:rsidRPr="00042514">
        <w:rPr>
          <w:bCs/>
          <w:sz w:val="22"/>
          <w:szCs w:val="18"/>
        </w:rPr>
        <w:tab/>
        <w:t xml:space="preserve">Des contributions écrites sont essentielles pour permettre au Groupe spécialisé de mener à bien ses travaux – et sont vivement sollicitées conformément au mandat défini </w:t>
      </w:r>
      <w:r w:rsidR="00EC1AEA" w:rsidRPr="00042514">
        <w:rPr>
          <w:bCs/>
          <w:sz w:val="22"/>
          <w:szCs w:val="18"/>
        </w:rPr>
        <w:t>dans</w:t>
      </w:r>
      <w:r w:rsidR="00E77F9C" w:rsidRPr="00042514">
        <w:rPr>
          <w:bCs/>
          <w:sz w:val="22"/>
          <w:szCs w:val="18"/>
        </w:rPr>
        <w:t xml:space="preserve"> </w:t>
      </w:r>
      <w:r w:rsidRPr="00042514">
        <w:rPr>
          <w:bCs/>
          <w:sz w:val="22"/>
          <w:szCs w:val="18"/>
        </w:rPr>
        <w:t>l</w:t>
      </w:r>
      <w:r w:rsidR="00A77751" w:rsidRPr="00042514">
        <w:rPr>
          <w:bCs/>
          <w:sz w:val="22"/>
          <w:szCs w:val="18"/>
        </w:rPr>
        <w:t>'</w:t>
      </w:r>
      <w:r w:rsidRPr="00042514">
        <w:rPr>
          <w:b/>
          <w:sz w:val="22"/>
          <w:szCs w:val="18"/>
        </w:rPr>
        <w:t>Annexe 1</w:t>
      </w:r>
      <w:r w:rsidRPr="00042514">
        <w:rPr>
          <w:bCs/>
          <w:sz w:val="22"/>
          <w:szCs w:val="18"/>
        </w:rPr>
        <w:t xml:space="preserve"> – ainsi que pour remplir les objectifs présentés ci-dessus et permettre d</w:t>
      </w:r>
      <w:r w:rsidR="00A77751" w:rsidRPr="00042514">
        <w:rPr>
          <w:bCs/>
          <w:sz w:val="22"/>
          <w:szCs w:val="18"/>
        </w:rPr>
        <w:t>'</w:t>
      </w:r>
      <w:r w:rsidRPr="00042514">
        <w:rPr>
          <w:bCs/>
          <w:sz w:val="22"/>
          <w:szCs w:val="18"/>
        </w:rPr>
        <w:t>établir un premier calendrier d</w:t>
      </w:r>
      <w:r w:rsidR="00A77751" w:rsidRPr="00042514">
        <w:rPr>
          <w:bCs/>
          <w:sz w:val="22"/>
          <w:szCs w:val="18"/>
        </w:rPr>
        <w:t>'</w:t>
      </w:r>
      <w:r w:rsidRPr="00042514">
        <w:rPr>
          <w:bCs/>
          <w:sz w:val="22"/>
          <w:szCs w:val="18"/>
        </w:rPr>
        <w:t xml:space="preserve">élaboration des produits finals. </w:t>
      </w:r>
    </w:p>
    <w:p w14:paraId="62B3F66C" w14:textId="7D5E04CA" w:rsidR="000C1C70" w:rsidRPr="00042514" w:rsidRDefault="000C1C70" w:rsidP="00E77F9C">
      <w:pPr>
        <w:rPr>
          <w:bCs/>
          <w:sz w:val="22"/>
          <w:szCs w:val="18"/>
        </w:rPr>
      </w:pPr>
      <w:r w:rsidRPr="00042514">
        <w:rPr>
          <w:bCs/>
          <w:sz w:val="22"/>
          <w:szCs w:val="18"/>
        </w:rPr>
        <w:t>Les contributions écrites doivent être soumises au secrétariat (</w:t>
      </w:r>
      <w:hyperlink r:id="rId14" w:history="1">
        <w:r w:rsidRPr="00042514">
          <w:rPr>
            <w:rStyle w:val="Hyperlink"/>
            <w:sz w:val="22"/>
            <w:szCs w:val="18"/>
          </w:rPr>
          <w:t>tsbfgtbf@itu.int</w:t>
        </w:r>
      </w:hyperlink>
      <w:r w:rsidRPr="00042514">
        <w:rPr>
          <w:bCs/>
          <w:sz w:val="22"/>
          <w:szCs w:val="18"/>
        </w:rPr>
        <w:t xml:space="preserve">) sous forme électronique en utilisant les gabarits disponibles sur la </w:t>
      </w:r>
      <w:r w:rsidR="002B1FDE" w:rsidRPr="00042514">
        <w:rPr>
          <w:bCs/>
          <w:sz w:val="22"/>
          <w:szCs w:val="18"/>
        </w:rPr>
        <w:t>page d</w:t>
      </w:r>
      <w:r w:rsidR="00A77751" w:rsidRPr="00042514">
        <w:rPr>
          <w:bCs/>
          <w:sz w:val="22"/>
          <w:szCs w:val="18"/>
        </w:rPr>
        <w:t>'</w:t>
      </w:r>
      <w:r w:rsidR="002B1FDE" w:rsidRPr="00042514">
        <w:rPr>
          <w:bCs/>
          <w:sz w:val="22"/>
          <w:szCs w:val="18"/>
        </w:rPr>
        <w:t xml:space="preserve">accueil du Groupe </w:t>
      </w:r>
      <w:r w:rsidR="002B1FDE" w:rsidRPr="00042514">
        <w:rPr>
          <w:sz w:val="22"/>
          <w:szCs w:val="18"/>
        </w:rPr>
        <w:t>FG-TBFxG (</w:t>
      </w:r>
      <w:hyperlink r:id="rId15" w:history="1">
        <w:r w:rsidR="002B1FDE" w:rsidRPr="00042514">
          <w:rPr>
            <w:rStyle w:val="Hyperlink"/>
            <w:sz w:val="22"/>
            <w:szCs w:val="18"/>
          </w:rPr>
          <w:t>www.itu.int/go/fgtbf</w:t>
        </w:r>
      </w:hyperlink>
      <w:r w:rsidR="002B1FDE" w:rsidRPr="00042514">
        <w:rPr>
          <w:sz w:val="22"/>
          <w:szCs w:val="18"/>
        </w:rPr>
        <w:t>)</w:t>
      </w:r>
      <w:r w:rsidRPr="00042514">
        <w:rPr>
          <w:bCs/>
          <w:sz w:val="22"/>
          <w:szCs w:val="18"/>
        </w:rPr>
        <w:t xml:space="preserve">. </w:t>
      </w:r>
      <w:r w:rsidRPr="00042514">
        <w:rPr>
          <w:b/>
          <w:sz w:val="22"/>
          <w:szCs w:val="18"/>
        </w:rPr>
        <w:t xml:space="preserve">La date limite de soumission des contributions à la première réunion est le </w:t>
      </w:r>
      <w:r w:rsidR="007D28A5" w:rsidRPr="00042514">
        <w:rPr>
          <w:b/>
          <w:sz w:val="22"/>
          <w:szCs w:val="18"/>
        </w:rPr>
        <w:t>28 mars 2022</w:t>
      </w:r>
      <w:r w:rsidRPr="00042514">
        <w:rPr>
          <w:bCs/>
          <w:sz w:val="22"/>
          <w:szCs w:val="18"/>
        </w:rPr>
        <w:t>.</w:t>
      </w:r>
    </w:p>
    <w:p w14:paraId="6A1BF42E" w14:textId="32CB787D" w:rsidR="00042514" w:rsidRDefault="000C1C70" w:rsidP="00E77F9C">
      <w:pPr>
        <w:rPr>
          <w:sz w:val="22"/>
          <w:szCs w:val="18"/>
        </w:rPr>
      </w:pPr>
      <w:r w:rsidRPr="00042514">
        <w:rPr>
          <w:sz w:val="22"/>
          <w:szCs w:val="18"/>
        </w:rPr>
        <w:t>8</w:t>
      </w:r>
      <w:r w:rsidRPr="00042514">
        <w:rPr>
          <w:sz w:val="22"/>
          <w:szCs w:val="18"/>
        </w:rPr>
        <w:tab/>
        <w:t>L</w:t>
      </w:r>
      <w:r w:rsidR="00024FBC" w:rsidRPr="00042514">
        <w:rPr>
          <w:sz w:val="22"/>
          <w:szCs w:val="18"/>
        </w:rPr>
        <w:t>e projet d</w:t>
      </w:r>
      <w:r w:rsidR="00A77751" w:rsidRPr="00042514">
        <w:rPr>
          <w:sz w:val="22"/>
          <w:szCs w:val="18"/>
        </w:rPr>
        <w:t>'</w:t>
      </w:r>
      <w:r w:rsidRPr="00042514">
        <w:rPr>
          <w:sz w:val="22"/>
          <w:szCs w:val="18"/>
        </w:rPr>
        <w:t>ordre du jour de la réunion, les documents et d</w:t>
      </w:r>
      <w:r w:rsidR="00A77751" w:rsidRPr="00042514">
        <w:rPr>
          <w:sz w:val="22"/>
          <w:szCs w:val="18"/>
        </w:rPr>
        <w:t>'</w:t>
      </w:r>
      <w:r w:rsidRPr="00042514">
        <w:rPr>
          <w:sz w:val="22"/>
          <w:szCs w:val="18"/>
        </w:rPr>
        <w:t xml:space="preserve">autres informations pratiques seront disponibles sur </w:t>
      </w:r>
      <w:r w:rsidR="007D28A5" w:rsidRPr="00042514">
        <w:rPr>
          <w:sz w:val="22"/>
          <w:szCs w:val="18"/>
        </w:rPr>
        <w:t xml:space="preserve">la </w:t>
      </w:r>
      <w:hyperlink r:id="rId16" w:history="1">
        <w:r w:rsidR="007D28A5" w:rsidRPr="00042514">
          <w:rPr>
            <w:rStyle w:val="Hyperlink"/>
            <w:sz w:val="22"/>
            <w:szCs w:val="18"/>
          </w:rPr>
          <w:t>page d</w:t>
        </w:r>
        <w:r w:rsidR="00A77751" w:rsidRPr="00042514">
          <w:rPr>
            <w:rStyle w:val="Hyperlink"/>
            <w:sz w:val="22"/>
            <w:szCs w:val="18"/>
          </w:rPr>
          <w:t>'</w:t>
        </w:r>
        <w:r w:rsidR="007D28A5" w:rsidRPr="00042514">
          <w:rPr>
            <w:rStyle w:val="Hyperlink"/>
            <w:sz w:val="22"/>
            <w:szCs w:val="18"/>
          </w:rPr>
          <w:t>accueil du Groupe FG-TBFxG</w:t>
        </w:r>
      </w:hyperlink>
      <w:r w:rsidR="00EC4C4A" w:rsidRPr="00042514">
        <w:rPr>
          <w:sz w:val="22"/>
          <w:szCs w:val="18"/>
        </w:rPr>
        <w:t xml:space="preserve"> </w:t>
      </w:r>
      <w:r w:rsidR="007D28A5" w:rsidRPr="00042514">
        <w:rPr>
          <w:sz w:val="22"/>
          <w:szCs w:val="18"/>
        </w:rPr>
        <w:t>avant la réunion</w:t>
      </w:r>
      <w:r w:rsidRPr="00042514">
        <w:rPr>
          <w:sz w:val="22"/>
          <w:szCs w:val="18"/>
        </w:rPr>
        <w:t xml:space="preserve">. Les débats se dérouleront en anglais </w:t>
      </w:r>
      <w:r w:rsidR="00EC4C4A" w:rsidRPr="00042514">
        <w:rPr>
          <w:sz w:val="22"/>
          <w:szCs w:val="18"/>
        </w:rPr>
        <w:t>uniquement</w:t>
      </w:r>
      <w:r w:rsidRPr="00042514">
        <w:rPr>
          <w:sz w:val="22"/>
          <w:szCs w:val="18"/>
        </w:rPr>
        <w:t xml:space="preserve">. </w:t>
      </w:r>
      <w:r w:rsidR="00024FBC" w:rsidRPr="00042514">
        <w:rPr>
          <w:sz w:val="22"/>
          <w:szCs w:val="18"/>
        </w:rPr>
        <w:t>Des</w:t>
      </w:r>
      <w:r w:rsidR="00E77F9C" w:rsidRPr="00042514">
        <w:rPr>
          <w:sz w:val="22"/>
          <w:szCs w:val="18"/>
        </w:rPr>
        <w:t xml:space="preserve"> </w:t>
      </w:r>
      <w:r w:rsidRPr="00042514">
        <w:rPr>
          <w:sz w:val="22"/>
          <w:szCs w:val="18"/>
        </w:rPr>
        <w:t>informations sur</w:t>
      </w:r>
      <w:r w:rsidR="00E77F9C" w:rsidRPr="00042514">
        <w:rPr>
          <w:sz w:val="22"/>
          <w:szCs w:val="18"/>
        </w:rPr>
        <w:t xml:space="preserve"> </w:t>
      </w:r>
      <w:r w:rsidR="00024FBC" w:rsidRPr="00042514">
        <w:rPr>
          <w:sz w:val="22"/>
          <w:szCs w:val="18"/>
        </w:rPr>
        <w:t>les modalités de</w:t>
      </w:r>
      <w:r w:rsidR="00E77F9C" w:rsidRPr="00042514">
        <w:rPr>
          <w:sz w:val="22"/>
          <w:szCs w:val="18"/>
        </w:rPr>
        <w:t xml:space="preserve"> </w:t>
      </w:r>
      <w:r w:rsidRPr="00042514">
        <w:rPr>
          <w:sz w:val="22"/>
          <w:szCs w:val="18"/>
        </w:rPr>
        <w:t>participation à distance seront disponibles sur la page web du Groupe spécialisé</w:t>
      </w:r>
      <w:r w:rsidR="00EC4C4A" w:rsidRPr="00042514">
        <w:rPr>
          <w:sz w:val="22"/>
          <w:szCs w:val="18"/>
        </w:rPr>
        <w:t xml:space="preserve"> (</w:t>
      </w:r>
      <w:hyperlink r:id="rId17" w:history="1">
        <w:r w:rsidR="00EC4C4A" w:rsidRPr="00042514">
          <w:rPr>
            <w:rStyle w:val="Hyperlink"/>
            <w:sz w:val="22"/>
            <w:szCs w:val="18"/>
          </w:rPr>
          <w:t>www.itu.int/go/fgtbf</w:t>
        </w:r>
      </w:hyperlink>
      <w:r w:rsidR="00EC4C4A" w:rsidRPr="00042514">
        <w:rPr>
          <w:sz w:val="22"/>
          <w:szCs w:val="18"/>
        </w:rPr>
        <w:t>)</w:t>
      </w:r>
      <w:r w:rsidRPr="00042514">
        <w:rPr>
          <w:sz w:val="22"/>
          <w:szCs w:val="18"/>
        </w:rPr>
        <w:t xml:space="preserve">. </w:t>
      </w:r>
    </w:p>
    <w:p w14:paraId="42DA2FA6" w14:textId="77777777" w:rsidR="00042514" w:rsidRDefault="00042514">
      <w:pPr>
        <w:tabs>
          <w:tab w:val="clear" w:pos="794"/>
          <w:tab w:val="clear" w:pos="1191"/>
          <w:tab w:val="clear" w:pos="1588"/>
          <w:tab w:val="clear" w:pos="1985"/>
        </w:tabs>
        <w:overflowPunct/>
        <w:autoSpaceDE/>
        <w:autoSpaceDN/>
        <w:adjustRightInd/>
        <w:spacing w:before="0"/>
        <w:textAlignment w:val="auto"/>
        <w:rPr>
          <w:sz w:val="22"/>
          <w:szCs w:val="18"/>
        </w:rPr>
      </w:pPr>
      <w:r>
        <w:rPr>
          <w:sz w:val="22"/>
          <w:szCs w:val="18"/>
        </w:rPr>
        <w:br w:type="page"/>
      </w:r>
    </w:p>
    <w:p w14:paraId="6CD74C27" w14:textId="5DF6B619" w:rsidR="000C1C70" w:rsidRPr="00042514" w:rsidRDefault="00EC4C4A" w:rsidP="00A77751">
      <w:pPr>
        <w:spacing w:after="240"/>
        <w:rPr>
          <w:bCs/>
          <w:sz w:val="22"/>
          <w:szCs w:val="18"/>
        </w:rPr>
      </w:pPr>
      <w:r w:rsidRPr="00042514">
        <w:rPr>
          <w:bCs/>
          <w:sz w:val="22"/>
          <w:szCs w:val="18"/>
        </w:rPr>
        <w:lastRenderedPageBreak/>
        <w:t>9</w:t>
      </w:r>
      <w:r w:rsidRPr="00042514">
        <w:rPr>
          <w:bCs/>
          <w:sz w:val="22"/>
          <w:szCs w:val="18"/>
        </w:rPr>
        <w:tab/>
      </w:r>
      <w:r w:rsidR="000C1C70" w:rsidRPr="00042514">
        <w:rPr>
          <w:bCs/>
          <w:sz w:val="22"/>
          <w:szCs w:val="18"/>
        </w:rPr>
        <w:t>Les participants sont invités à s</w:t>
      </w:r>
      <w:r w:rsidR="00A77751" w:rsidRPr="00042514">
        <w:rPr>
          <w:bCs/>
          <w:sz w:val="22"/>
          <w:szCs w:val="18"/>
        </w:rPr>
        <w:t>'</w:t>
      </w:r>
      <w:r w:rsidR="000C1C70" w:rsidRPr="00042514">
        <w:rPr>
          <w:bCs/>
          <w:sz w:val="22"/>
          <w:szCs w:val="18"/>
        </w:rPr>
        <w:t xml:space="preserve">inscrire en ligne </w:t>
      </w:r>
      <w:r w:rsidR="00024FBC" w:rsidRPr="00042514">
        <w:rPr>
          <w:bCs/>
          <w:sz w:val="22"/>
          <w:szCs w:val="18"/>
        </w:rPr>
        <w:t xml:space="preserve">dès que possible </w:t>
      </w:r>
      <w:r w:rsidR="000C1C70" w:rsidRPr="00042514">
        <w:rPr>
          <w:bCs/>
          <w:sz w:val="22"/>
          <w:szCs w:val="18"/>
        </w:rPr>
        <w:t xml:space="preserve">sur la </w:t>
      </w:r>
      <w:hyperlink r:id="rId18" w:history="1">
        <w:r w:rsidRPr="00042514">
          <w:rPr>
            <w:rStyle w:val="Hyperlink"/>
            <w:bCs/>
            <w:sz w:val="22"/>
            <w:szCs w:val="18"/>
          </w:rPr>
          <w:t>page d</w:t>
        </w:r>
        <w:r w:rsidR="00A77751" w:rsidRPr="00042514">
          <w:rPr>
            <w:rStyle w:val="Hyperlink"/>
            <w:bCs/>
            <w:sz w:val="22"/>
            <w:szCs w:val="18"/>
          </w:rPr>
          <w:t>'</w:t>
        </w:r>
        <w:r w:rsidRPr="00042514">
          <w:rPr>
            <w:rStyle w:val="Hyperlink"/>
            <w:bCs/>
            <w:sz w:val="22"/>
            <w:szCs w:val="18"/>
          </w:rPr>
          <w:t>accueil du Groupe FG-TBFxG</w:t>
        </w:r>
      </w:hyperlink>
      <w:r w:rsidR="000C1C70" w:rsidRPr="00042514">
        <w:rPr>
          <w:bCs/>
          <w:sz w:val="22"/>
          <w:szCs w:val="18"/>
        </w:rPr>
        <w:t xml:space="preserve">. </w:t>
      </w:r>
      <w:r w:rsidRPr="00042514">
        <w:rPr>
          <w:b/>
          <w:bCs/>
          <w:sz w:val="22"/>
          <w:szCs w:val="18"/>
          <w:u w:val="single"/>
        </w:rPr>
        <w:t>L</w:t>
      </w:r>
      <w:r w:rsidR="00A77751" w:rsidRPr="00042514">
        <w:rPr>
          <w:b/>
          <w:bCs/>
          <w:sz w:val="22"/>
          <w:szCs w:val="18"/>
          <w:u w:val="single"/>
        </w:rPr>
        <w:t>'</w:t>
      </w:r>
      <w:r w:rsidR="000C1C70" w:rsidRPr="00042514">
        <w:rPr>
          <w:b/>
          <w:bCs/>
          <w:sz w:val="22"/>
          <w:szCs w:val="18"/>
          <w:u w:val="single"/>
        </w:rPr>
        <w:t>inscription est obligatoire pour participer à la réunion</w:t>
      </w:r>
      <w:r w:rsidR="00717E75" w:rsidRPr="00042514">
        <w:rPr>
          <w:b/>
          <w:bCs/>
          <w:sz w:val="22"/>
          <w:szCs w:val="18"/>
          <w:u w:val="single"/>
        </w:rPr>
        <w:t xml:space="preserve"> virtuelle</w:t>
      </w:r>
      <w:r w:rsidR="000C1C70" w:rsidRPr="00042514">
        <w:rPr>
          <w:bCs/>
          <w:sz w:val="22"/>
          <w:szCs w:val="18"/>
        </w:rPr>
        <w:t>.</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886"/>
      </w:tblGrid>
      <w:tr w:rsidR="003D7102" w:rsidRPr="00042514" w14:paraId="3A64D1FF" w14:textId="77777777" w:rsidTr="00A77751">
        <w:tc>
          <w:tcPr>
            <w:tcW w:w="1838" w:type="dxa"/>
            <w:shd w:val="clear" w:color="auto" w:fill="auto"/>
          </w:tcPr>
          <w:p w14:paraId="1BC76BF6" w14:textId="2F889471" w:rsidR="003D7102" w:rsidRPr="00042514" w:rsidRDefault="003D7102" w:rsidP="00461FF7">
            <w:pPr>
              <w:pStyle w:val="TableText"/>
              <w:spacing w:before="120" w:after="0"/>
            </w:pPr>
            <w:r w:rsidRPr="00042514">
              <w:t>28 mars 2022</w:t>
            </w:r>
          </w:p>
        </w:tc>
        <w:tc>
          <w:tcPr>
            <w:tcW w:w="7886" w:type="dxa"/>
            <w:shd w:val="clear" w:color="auto" w:fill="auto"/>
          </w:tcPr>
          <w:p w14:paraId="4C858C51" w14:textId="1BDA4D69" w:rsidR="003D7102" w:rsidRPr="00042514" w:rsidRDefault="003D7102" w:rsidP="00461FF7">
            <w:pPr>
              <w:pStyle w:val="TableText"/>
              <w:spacing w:before="120" w:after="0"/>
              <w:ind w:left="284" w:hanging="284"/>
            </w:pPr>
            <w:r w:rsidRPr="00042514">
              <w:t>–</w:t>
            </w:r>
            <w:r w:rsidRPr="00042514">
              <w:tab/>
              <w:t>Soumission des contributions écrites (par courrier électronique à l</w:t>
            </w:r>
            <w:r w:rsidR="00A77751" w:rsidRPr="00042514">
              <w:t>'</w:t>
            </w:r>
            <w:r w:rsidRPr="00042514">
              <w:t xml:space="preserve">adresse </w:t>
            </w:r>
            <w:hyperlink r:id="rId19" w:history="1">
              <w:r w:rsidRPr="00042514">
                <w:rPr>
                  <w:rStyle w:val="Hyperlink"/>
                </w:rPr>
                <w:t>tsbfgtbf@itu.int</w:t>
              </w:r>
            </w:hyperlink>
            <w:r w:rsidRPr="00042514">
              <w:t>)</w:t>
            </w:r>
          </w:p>
        </w:tc>
      </w:tr>
      <w:tr w:rsidR="003D7102" w:rsidRPr="00042514" w14:paraId="47043643" w14:textId="77777777" w:rsidTr="00A77751">
        <w:tc>
          <w:tcPr>
            <w:tcW w:w="1838" w:type="dxa"/>
            <w:shd w:val="clear" w:color="auto" w:fill="auto"/>
          </w:tcPr>
          <w:p w14:paraId="48D903EB" w14:textId="4AD45B62" w:rsidR="003D7102" w:rsidRPr="00042514" w:rsidRDefault="003D7102" w:rsidP="00461FF7">
            <w:pPr>
              <w:pStyle w:val="TableText"/>
              <w:spacing w:before="120" w:after="0"/>
            </w:pPr>
            <w:r w:rsidRPr="00042514">
              <w:t>3 avril 2022</w:t>
            </w:r>
          </w:p>
        </w:tc>
        <w:tc>
          <w:tcPr>
            <w:tcW w:w="7886" w:type="dxa"/>
            <w:shd w:val="clear" w:color="auto" w:fill="auto"/>
          </w:tcPr>
          <w:p w14:paraId="487837DF" w14:textId="2F38FB2C" w:rsidR="003D7102" w:rsidRPr="00042514" w:rsidRDefault="003D7102" w:rsidP="00461FF7">
            <w:pPr>
              <w:pStyle w:val="TableText"/>
              <w:spacing w:before="120" w:after="0"/>
              <w:ind w:left="284" w:hanging="284"/>
            </w:pPr>
            <w:r w:rsidRPr="00042514">
              <w:t>–</w:t>
            </w:r>
            <w:r w:rsidRPr="00042514">
              <w:tab/>
            </w:r>
            <w:bookmarkStart w:id="11" w:name="lt_pId112"/>
            <w:r w:rsidR="006E4E06" w:rsidRPr="00042514">
              <w:t>Inscription préalable possible depuis la page web du Groupe spécialisé</w:t>
            </w:r>
            <w:r w:rsidRPr="00042514">
              <w:t xml:space="preserve">, </w:t>
            </w:r>
            <w:hyperlink r:id="rId20" w:history="1">
              <w:r w:rsidRPr="00042514">
                <w:rPr>
                  <w:rStyle w:val="Hyperlink"/>
                </w:rPr>
                <w:t>www.itu.int/go/fgtbf</w:t>
              </w:r>
            </w:hyperlink>
            <w:bookmarkEnd w:id="11"/>
          </w:p>
        </w:tc>
      </w:tr>
    </w:tbl>
    <w:p w14:paraId="63162A3A" w14:textId="0DD1B4B7" w:rsidR="003D7102" w:rsidRPr="00042514" w:rsidRDefault="003D7102" w:rsidP="00A77751">
      <w:pPr>
        <w:spacing w:before="240"/>
        <w:rPr>
          <w:bCs/>
          <w:sz w:val="22"/>
          <w:szCs w:val="18"/>
        </w:rPr>
      </w:pPr>
      <w:r w:rsidRPr="00042514">
        <w:rPr>
          <w:bCs/>
          <w:sz w:val="22"/>
          <w:szCs w:val="18"/>
        </w:rPr>
        <w:t xml:space="preserve">Je vous souhaite une </w:t>
      </w:r>
      <w:r w:rsidR="00DE6CA1" w:rsidRPr="00042514">
        <w:rPr>
          <w:bCs/>
          <w:sz w:val="22"/>
          <w:szCs w:val="18"/>
        </w:rPr>
        <w:t>réunion</w:t>
      </w:r>
      <w:r w:rsidRPr="00042514">
        <w:rPr>
          <w:bCs/>
          <w:sz w:val="22"/>
          <w:szCs w:val="18"/>
        </w:rPr>
        <w:t xml:space="preserve"> constructive et agréable.</w:t>
      </w:r>
    </w:p>
    <w:p w14:paraId="6F2A16DB" w14:textId="64185357" w:rsidR="00BD6ECF" w:rsidRPr="00042514" w:rsidRDefault="00517A03" w:rsidP="00A77751">
      <w:pPr>
        <w:spacing w:after="120"/>
        <w:rPr>
          <w:sz w:val="22"/>
          <w:szCs w:val="18"/>
        </w:rPr>
      </w:pPr>
      <w:r w:rsidRPr="00042514">
        <w:rPr>
          <w:sz w:val="22"/>
          <w:szCs w:val="18"/>
        </w:rPr>
        <w:t>Veuillez agréer, Madame, Monsieur, l</w:t>
      </w:r>
      <w:r w:rsidR="00A77751" w:rsidRPr="00042514">
        <w:rPr>
          <w:sz w:val="22"/>
          <w:szCs w:val="18"/>
        </w:rPr>
        <w:t>'</w:t>
      </w:r>
      <w:r w:rsidRPr="00042514">
        <w:rPr>
          <w:sz w:val="22"/>
          <w:szCs w:val="18"/>
        </w:rPr>
        <w:t>assurance de ma considération</w:t>
      </w:r>
      <w:r w:rsidR="00D53750" w:rsidRPr="00042514">
        <w:rPr>
          <w:sz w:val="22"/>
          <w:szCs w:val="18"/>
        </w:rPr>
        <w:t xml:space="preserve"> distinguée</w:t>
      </w:r>
      <w:r w:rsidRPr="00042514">
        <w:rPr>
          <w:sz w:val="22"/>
          <w:szCs w:val="18"/>
        </w:rPr>
        <w:t>.</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305"/>
      </w:tblGrid>
      <w:tr w:rsidR="003D7102" w:rsidRPr="00042514" w14:paraId="77DFB5C5" w14:textId="77777777" w:rsidTr="00885552">
        <w:trPr>
          <w:trHeight w:val="1955"/>
        </w:trPr>
        <w:tc>
          <w:tcPr>
            <w:tcW w:w="6618" w:type="dxa"/>
            <w:tcBorders>
              <w:right w:val="single" w:sz="4" w:space="0" w:color="auto"/>
            </w:tcBorders>
            <w:tcMar>
              <w:left w:w="0" w:type="dxa"/>
              <w:right w:w="0" w:type="dxa"/>
            </w:tcMar>
          </w:tcPr>
          <w:p w14:paraId="3BD517E7" w14:textId="14421397" w:rsidR="003D7102" w:rsidRPr="00042514" w:rsidRDefault="00C66B61" w:rsidP="00E77F9C">
            <w:pPr>
              <w:spacing w:before="960"/>
              <w:rPr>
                <w:sz w:val="22"/>
                <w:szCs w:val="22"/>
              </w:rPr>
            </w:pPr>
            <w:r>
              <w:rPr>
                <w:noProof/>
                <w:sz w:val="22"/>
                <w:szCs w:val="18"/>
              </w:rPr>
              <w:drawing>
                <wp:anchor distT="0" distB="0" distL="114300" distR="114300" simplePos="0" relativeHeight="251658240" behindDoc="1" locked="0" layoutInCell="1" allowOverlap="1" wp14:anchorId="77D717F2" wp14:editId="2DE48CEA">
                  <wp:simplePos x="0" y="0"/>
                  <wp:positionH relativeFrom="column">
                    <wp:posOffset>635</wp:posOffset>
                  </wp:positionH>
                  <wp:positionV relativeFrom="paragraph">
                    <wp:posOffset>86995</wp:posOffset>
                  </wp:positionV>
                  <wp:extent cx="552450" cy="414338"/>
                  <wp:effectExtent l="0" t="0" r="0" b="508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52450" cy="414338"/>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3D7102" w:rsidRPr="00042514">
              <w:rPr>
                <w:sz w:val="22"/>
                <w:szCs w:val="22"/>
              </w:rPr>
              <w:t>Chaesub</w:t>
            </w:r>
            <w:proofErr w:type="spellEnd"/>
            <w:r w:rsidR="003D7102" w:rsidRPr="00042514">
              <w:rPr>
                <w:sz w:val="22"/>
                <w:szCs w:val="22"/>
              </w:rPr>
              <w:t xml:space="preserve"> Lee</w:t>
            </w:r>
            <w:r w:rsidR="003D7102" w:rsidRPr="00042514">
              <w:rPr>
                <w:sz w:val="22"/>
                <w:szCs w:val="22"/>
              </w:rPr>
              <w:br/>
              <w:t xml:space="preserve">Directeur du Bureau de la normalisation </w:t>
            </w:r>
            <w:r w:rsidR="003D7102" w:rsidRPr="00042514">
              <w:rPr>
                <w:sz w:val="22"/>
                <w:szCs w:val="22"/>
              </w:rPr>
              <w:br/>
              <w:t xml:space="preserve">des télécommunications </w:t>
            </w:r>
          </w:p>
        </w:tc>
        <w:tc>
          <w:tcPr>
            <w:tcW w:w="3305" w:type="dxa"/>
            <w:tcBorders>
              <w:top w:val="single" w:sz="4" w:space="0" w:color="auto"/>
              <w:left w:val="single" w:sz="4" w:space="0" w:color="auto"/>
              <w:bottom w:val="single" w:sz="4" w:space="0" w:color="auto"/>
              <w:right w:val="single" w:sz="4" w:space="0" w:color="auto"/>
            </w:tcBorders>
            <w:vAlign w:val="center"/>
          </w:tcPr>
          <w:p w14:paraId="7902BF46" w14:textId="6AF9C179" w:rsidR="003D7102" w:rsidRPr="00042514" w:rsidRDefault="00A77751" w:rsidP="00E77F9C">
            <w:pPr>
              <w:spacing w:before="0"/>
              <w:jc w:val="center"/>
              <w:rPr>
                <w:sz w:val="20"/>
                <w:highlight w:val="yellow"/>
              </w:rPr>
            </w:pPr>
            <w:r w:rsidRPr="00042514">
              <w:rPr>
                <w:noProof/>
                <w:sz w:val="20"/>
                <w:lang w:val="en-US"/>
              </w:rPr>
              <w:drawing>
                <wp:inline distT="0" distB="0" distL="0" distR="0" wp14:anchorId="0A803725" wp14:editId="73D04767">
                  <wp:extent cx="1470211" cy="146583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81390" cy="1476981"/>
                          </a:xfrm>
                          <a:prstGeom prst="rect">
                            <a:avLst/>
                          </a:prstGeom>
                        </pic:spPr>
                      </pic:pic>
                    </a:graphicData>
                  </a:graphic>
                </wp:inline>
              </w:drawing>
            </w:r>
          </w:p>
          <w:p w14:paraId="7970CFC5" w14:textId="0568A58E" w:rsidR="003D7102" w:rsidRPr="00042514" w:rsidRDefault="003D7102" w:rsidP="00E77F9C">
            <w:pPr>
              <w:spacing w:before="0"/>
              <w:jc w:val="center"/>
              <w:rPr>
                <w:sz w:val="20"/>
              </w:rPr>
            </w:pPr>
          </w:p>
        </w:tc>
      </w:tr>
    </w:tbl>
    <w:p w14:paraId="380CD79F" w14:textId="5FB8AFDF" w:rsidR="003D7102" w:rsidRPr="00042514" w:rsidRDefault="003D7102" w:rsidP="00042514">
      <w:pPr>
        <w:spacing w:before="480"/>
        <w:rPr>
          <w:sz w:val="22"/>
          <w:szCs w:val="18"/>
          <w:lang w:val="en-US"/>
        </w:rPr>
      </w:pPr>
      <w:r w:rsidRPr="00042514">
        <w:rPr>
          <w:b/>
          <w:bCs/>
          <w:sz w:val="22"/>
          <w:szCs w:val="18"/>
          <w:lang w:val="en-US"/>
        </w:rPr>
        <w:t>Annexe</w:t>
      </w:r>
      <w:r w:rsidRPr="00042514">
        <w:rPr>
          <w:sz w:val="22"/>
          <w:szCs w:val="18"/>
          <w:lang w:val="en-US"/>
        </w:rPr>
        <w:t>: 1</w:t>
      </w:r>
    </w:p>
    <w:p w14:paraId="3B67F7B7" w14:textId="48A68A1A" w:rsidR="003D7102" w:rsidRPr="00042514" w:rsidRDefault="003D7102" w:rsidP="00E77F9C">
      <w:pPr>
        <w:rPr>
          <w:lang w:val="en-US"/>
        </w:rPr>
      </w:pPr>
      <w:r w:rsidRPr="00042514">
        <w:rPr>
          <w:lang w:val="en-US"/>
        </w:rPr>
        <w:br w:type="page"/>
      </w:r>
    </w:p>
    <w:p w14:paraId="1C475190" w14:textId="77777777" w:rsidR="003D7102" w:rsidRPr="00042514" w:rsidRDefault="003D7102" w:rsidP="00E77F9C">
      <w:pPr>
        <w:pStyle w:val="AnnexNo"/>
        <w:rPr>
          <w:rFonts w:asciiTheme="minorHAnsi" w:hAnsiTheme="minorHAnsi" w:cstheme="minorHAnsi"/>
          <w:b/>
          <w:bCs/>
        </w:rPr>
      </w:pPr>
      <w:r w:rsidRPr="00042514">
        <w:rPr>
          <w:rFonts w:asciiTheme="minorHAnsi" w:hAnsiTheme="minorHAnsi" w:cstheme="minorHAnsi"/>
          <w:b/>
          <w:bCs/>
        </w:rPr>
        <w:lastRenderedPageBreak/>
        <w:t>ANNEX 1</w:t>
      </w:r>
    </w:p>
    <w:p w14:paraId="7710BC0E" w14:textId="77777777" w:rsidR="003D7102" w:rsidRPr="00042514" w:rsidRDefault="003D7102" w:rsidP="00E77F9C">
      <w:pPr>
        <w:spacing w:before="240"/>
        <w:rPr>
          <w:rFonts w:cstheme="minorHAnsi"/>
          <w:sz w:val="22"/>
          <w:szCs w:val="22"/>
          <w:lang w:val="en-US"/>
        </w:rPr>
      </w:pPr>
      <w:r w:rsidRPr="00042514">
        <w:rPr>
          <w:rFonts w:cstheme="minorHAnsi"/>
          <w:b/>
          <w:bCs/>
          <w:sz w:val="22"/>
          <w:szCs w:val="22"/>
          <w:lang w:val="en-US"/>
        </w:rPr>
        <w:t>Source:</w:t>
      </w:r>
      <w:r w:rsidRPr="00042514">
        <w:rPr>
          <w:rFonts w:cstheme="minorHAnsi"/>
          <w:sz w:val="22"/>
          <w:szCs w:val="22"/>
          <w:lang w:val="en-US"/>
        </w:rPr>
        <w:t xml:space="preserve"> </w:t>
      </w:r>
      <w:hyperlink r:id="rId23" w:history="1">
        <w:r w:rsidRPr="00042514">
          <w:rPr>
            <w:rStyle w:val="Hyperlink"/>
            <w:rFonts w:cstheme="minorHAnsi"/>
            <w:sz w:val="22"/>
            <w:szCs w:val="22"/>
            <w:lang w:val="en-US"/>
          </w:rPr>
          <w:t>SG11-TD1804-R1/GEN</w:t>
        </w:r>
      </w:hyperlink>
    </w:p>
    <w:p w14:paraId="580B4E82" w14:textId="77777777" w:rsidR="003D7102" w:rsidRPr="00042514" w:rsidRDefault="003D7102" w:rsidP="00E77F9C">
      <w:pPr>
        <w:keepNext/>
        <w:keepLines/>
        <w:spacing w:before="240"/>
        <w:jc w:val="center"/>
        <w:rPr>
          <w:rFonts w:cstheme="minorHAnsi"/>
          <w:b/>
          <w:sz w:val="22"/>
          <w:szCs w:val="22"/>
          <w:lang w:val="en-US"/>
        </w:rPr>
      </w:pPr>
      <w:r w:rsidRPr="00042514">
        <w:rPr>
          <w:rFonts w:cstheme="minorHAnsi"/>
          <w:b/>
          <w:sz w:val="22"/>
          <w:szCs w:val="22"/>
          <w:lang w:val="en-US"/>
        </w:rPr>
        <w:t xml:space="preserve">Terms of Reference for the ITU-T Focus Group on </w:t>
      </w:r>
      <w:r w:rsidRPr="00042514">
        <w:rPr>
          <w:rFonts w:cstheme="minorHAnsi"/>
          <w:b/>
          <w:sz w:val="22"/>
          <w:szCs w:val="22"/>
          <w:lang w:val="en-US"/>
        </w:rPr>
        <w:br/>
        <w:t>“Testbeds Federations for IMT-2020 and beyond”</w:t>
      </w:r>
      <w:r w:rsidRPr="00042514">
        <w:rPr>
          <w:rFonts w:cstheme="minorHAnsi"/>
          <w:b/>
          <w:sz w:val="22"/>
          <w:szCs w:val="22"/>
          <w:lang w:val="en-US"/>
        </w:rPr>
        <w:br/>
        <w:t>(FG-TBFxG)</w:t>
      </w:r>
    </w:p>
    <w:p w14:paraId="44CFC0F2" w14:textId="77777777" w:rsidR="003D7102" w:rsidRPr="00042514" w:rsidRDefault="003D7102" w:rsidP="00E77F9C">
      <w:pPr>
        <w:spacing w:before="360"/>
        <w:rPr>
          <w:rFonts w:cstheme="minorHAnsi"/>
          <w:b/>
          <w:bCs/>
          <w:sz w:val="22"/>
          <w:szCs w:val="22"/>
          <w:lang w:val="en-US"/>
        </w:rPr>
      </w:pPr>
      <w:r w:rsidRPr="00042514">
        <w:rPr>
          <w:rFonts w:cstheme="minorHAnsi"/>
          <w:b/>
          <w:bCs/>
          <w:sz w:val="22"/>
          <w:szCs w:val="22"/>
          <w:lang w:val="en-US"/>
        </w:rPr>
        <w:t>1.</w:t>
      </w:r>
      <w:r w:rsidRPr="00042514">
        <w:rPr>
          <w:rFonts w:cstheme="minorHAnsi"/>
          <w:b/>
          <w:bCs/>
          <w:sz w:val="22"/>
          <w:szCs w:val="22"/>
          <w:lang w:val="en-US"/>
        </w:rPr>
        <w:tab/>
        <w:t>Rationale and Scope</w:t>
      </w:r>
    </w:p>
    <w:p w14:paraId="7129D715"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Over the years, ICT Research Communities (including publicly funded R&amp;D Projects in US, Europe, China, Japan, South Korea, and in many other parts of the world), together with the Industry, have been working on various topics on building and implementing Testbeds for various purposes, including ICT Testbeds and Testbeds for industrial sectors (such as certain applications in the areas of transportation, finance &amp; banking, healthcare, automotive, manufacturing, production plants, retail, entertainment &amp; broadcasting, etc., that leverage ICT technologies and infrastructures).</w:t>
      </w:r>
    </w:p>
    <w:p w14:paraId="6D2D324B"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 xml:space="preserve">Today, there are many Testbeds available for Research purposes and many Testbeds continue to be built by the Research Communities and by the </w:t>
      </w:r>
      <w:proofErr w:type="gramStart"/>
      <w:r w:rsidRPr="00042514">
        <w:rPr>
          <w:rFonts w:cstheme="minorHAnsi"/>
          <w:sz w:val="22"/>
          <w:szCs w:val="22"/>
          <w:lang w:val="en-US"/>
        </w:rPr>
        <w:t>Industry</w:t>
      </w:r>
      <w:proofErr w:type="gramEnd"/>
      <w:r w:rsidRPr="00042514">
        <w:rPr>
          <w:rFonts w:cstheme="minorHAnsi"/>
          <w:sz w:val="22"/>
          <w:szCs w:val="22"/>
          <w:lang w:val="en-US"/>
        </w:rPr>
        <w:t xml:space="preserve"> as well. The </w:t>
      </w:r>
      <w:proofErr w:type="gramStart"/>
      <w:r w:rsidRPr="00042514">
        <w:rPr>
          <w:rFonts w:cstheme="minorHAnsi"/>
          <w:sz w:val="22"/>
          <w:szCs w:val="22"/>
          <w:lang w:val="en-US"/>
        </w:rPr>
        <w:t>Industry</w:t>
      </w:r>
      <w:proofErr w:type="gramEnd"/>
      <w:r w:rsidRPr="00042514">
        <w:rPr>
          <w:rFonts w:cstheme="minorHAnsi"/>
          <w:sz w:val="22"/>
          <w:szCs w:val="22"/>
          <w:lang w:val="en-US"/>
        </w:rPr>
        <w:t xml:space="preserve"> continues to build its own Testbeds that are used internally within organizations such as Network Operators (or Communications Service Providers) or Vendors, and in some cases some industrial Testbeds are useable to multiple organizations based on certain collaboration agreements that are closed only to the partners.</w:t>
      </w:r>
    </w:p>
    <w:p w14:paraId="79EF5636"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Over the years it has increasingly been experienced that singly isolated standalone Testbeds are not sufficient to test and trial out certain technology use cases because the use cases rather require the use of components and resources located in various Testbeds (due to the varying capabilities of the different Testbeds that need to be used, and due to the fact that it is more sustainable when the burden of investing in Testbed facilities is shared among various potential Testbed suppliers/providers). New ICT Technologies, Networks and Industry-oriented Applications are becoming increasingly complex to test using Standalone Testbeds. Hence, Federated Testbeds bring sustainability in fostering environments for quick innovations and testing of complex technologies and use cases, and for enabling quicker time to market for products and services.</w:t>
      </w:r>
    </w:p>
    <w:p w14:paraId="6DCB5644"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In this regard, federated testbeds may bring a lot of value to “research use-cases” and “industry real technology deployment use cases”. In general, there is an urgent need to build an Ecosystem for enabling Sustainable Testbeds Development, Evolutions, and Federations. This becomes important for the whole ICT Industry and different domains, especially in this era of automation and consideration of emerging impacts of pandemics like COVID-19 on products developments and lifecycle management.</w:t>
      </w:r>
    </w:p>
    <w:p w14:paraId="2CB96A43"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ITU-T SG11 in close collaboration with ETSI TC INT developed draft Recommendation ITU-T Q.4068 “Open APIs for interoperable testbed federations” which defines a generic Reference Model for Testbeds Federations and describes the main elements of this Reference Model.</w:t>
      </w:r>
    </w:p>
    <w:p w14:paraId="602E540B" w14:textId="27669D7E" w:rsidR="003D7102" w:rsidRPr="00042514" w:rsidRDefault="003D7102" w:rsidP="00E77F9C">
      <w:pPr>
        <w:jc w:val="both"/>
        <w:rPr>
          <w:rFonts w:cstheme="minorHAnsi"/>
          <w:sz w:val="22"/>
          <w:szCs w:val="22"/>
          <w:lang w:val="en-US"/>
        </w:rPr>
      </w:pPr>
      <w:r w:rsidRPr="00042514">
        <w:rPr>
          <w:rFonts w:cstheme="minorHAnsi"/>
          <w:sz w:val="22"/>
          <w:szCs w:val="22"/>
          <w:lang w:val="en-US"/>
        </w:rPr>
        <w:t>In addition, ITU-T SG11, ETSI TC INT and IEEE co-organized Joint SDOs Brainstorming Workshop on Testbeds Federations for 5G and Beyond: Interoperability, Standardization, Reference Model and APIs which was held fully virtual on 15-16 March 2021 (</w:t>
      </w:r>
      <w:hyperlink r:id="rId24" w:history="1">
        <w:r w:rsidRPr="00042514">
          <w:rPr>
            <w:rFonts w:cstheme="minorHAnsi"/>
            <w:color w:val="0000FF"/>
            <w:sz w:val="22"/>
            <w:szCs w:val="22"/>
            <w:u w:val="single"/>
            <w:lang w:val="en-US"/>
          </w:rPr>
          <w:t>www.itu.int/go/BTF4-5G</w:t>
        </w:r>
      </w:hyperlink>
      <w:r w:rsidRPr="00042514">
        <w:rPr>
          <w:rFonts w:cstheme="minorHAnsi"/>
          <w:sz w:val="22"/>
          <w:szCs w:val="22"/>
          <w:lang w:val="en-US"/>
        </w:rPr>
        <w:t>). It was noted that Research Communities and the Industry (Solutions vendors/suppliers, CSPs, Enterprises, and Standards Development Organizations (SDOs)/Fora) all have roles to play in this desired Ecosystem that should be built around the Testbeds Federations Reference Model now and into the future, in this era of “</w:t>
      </w:r>
      <w:r w:rsidRPr="00042514">
        <w:rPr>
          <w:rFonts w:cstheme="minorHAnsi"/>
          <w:i/>
          <w:sz w:val="22"/>
          <w:szCs w:val="22"/>
          <w:lang w:val="en-US"/>
        </w:rPr>
        <w:t>Software</w:t>
      </w:r>
      <w:r w:rsidR="00A77751" w:rsidRPr="00042514">
        <w:rPr>
          <w:rFonts w:cstheme="minorHAnsi"/>
          <w:i/>
          <w:sz w:val="22"/>
          <w:szCs w:val="22"/>
          <w:lang w:val="en-US"/>
        </w:rPr>
        <w:t>'</w:t>
      </w:r>
      <w:r w:rsidRPr="00042514">
        <w:rPr>
          <w:rFonts w:cstheme="minorHAnsi"/>
          <w:i/>
          <w:sz w:val="22"/>
          <w:szCs w:val="22"/>
          <w:lang w:val="en-US"/>
        </w:rPr>
        <w:t>rization</w:t>
      </w:r>
      <w:r w:rsidRPr="00042514">
        <w:rPr>
          <w:rFonts w:cstheme="minorHAnsi"/>
          <w:sz w:val="22"/>
          <w:szCs w:val="22"/>
          <w:lang w:val="en-US"/>
        </w:rPr>
        <w:t xml:space="preserve">” and </w:t>
      </w:r>
      <w:r w:rsidRPr="00042514">
        <w:rPr>
          <w:rFonts w:cstheme="minorHAnsi"/>
          <w:i/>
          <w:iCs/>
          <w:sz w:val="22"/>
          <w:szCs w:val="22"/>
          <w:lang w:val="en-US"/>
        </w:rPr>
        <w:t>Disaggregation</w:t>
      </w:r>
      <w:r w:rsidRPr="00042514">
        <w:rPr>
          <w:rFonts w:cstheme="minorHAnsi"/>
          <w:sz w:val="22"/>
          <w:szCs w:val="22"/>
          <w:lang w:val="en-US"/>
        </w:rPr>
        <w:t xml:space="preserve"> of ICT Networks, IMT-2020 and beyond.</w:t>
      </w:r>
    </w:p>
    <w:p w14:paraId="6C5B23AD" w14:textId="77777777" w:rsidR="003D7102" w:rsidRPr="00042514" w:rsidRDefault="003D7102" w:rsidP="00E77F9C">
      <w:pPr>
        <w:jc w:val="both"/>
        <w:rPr>
          <w:rFonts w:cstheme="minorHAnsi"/>
          <w:sz w:val="22"/>
          <w:szCs w:val="22"/>
          <w:lang w:val="en-US"/>
        </w:rPr>
      </w:pPr>
      <w:proofErr w:type="gramStart"/>
      <w:r w:rsidRPr="00042514">
        <w:rPr>
          <w:rFonts w:cstheme="minorHAnsi"/>
          <w:sz w:val="22"/>
          <w:szCs w:val="22"/>
          <w:lang w:val="en-US"/>
        </w:rPr>
        <w:t>Taking into account</w:t>
      </w:r>
      <w:proofErr w:type="gramEnd"/>
      <w:r w:rsidRPr="00042514">
        <w:rPr>
          <w:rFonts w:cstheme="minorHAnsi"/>
          <w:sz w:val="22"/>
          <w:szCs w:val="22"/>
          <w:lang w:val="en-US"/>
        </w:rPr>
        <w:t xml:space="preserve"> the importance of the desired Ecosystem, including APIs for the Testbed Federations that affect various stakeholders, this Focus Group on “Testbeds Federations for IMT-2020 and beyond” (FG-TBFxG) would play a role in providing a platform to share views, to develop a series of deliverables, and showcasing initiatives, projects, and standards activities linked to Testbed Federations.</w:t>
      </w:r>
    </w:p>
    <w:p w14:paraId="7F74A372" w14:textId="77777777" w:rsidR="003D7102" w:rsidRPr="00042514" w:rsidRDefault="003D7102" w:rsidP="00E77F9C">
      <w:pPr>
        <w:jc w:val="both"/>
        <w:rPr>
          <w:rFonts w:cstheme="minorHAnsi"/>
          <w:sz w:val="22"/>
          <w:szCs w:val="22"/>
        </w:rPr>
      </w:pPr>
      <w:r w:rsidRPr="00042514">
        <w:rPr>
          <w:rFonts w:cstheme="minorHAnsi"/>
          <w:sz w:val="22"/>
          <w:szCs w:val="22"/>
          <w:lang w:val="en-US"/>
        </w:rPr>
        <w:t xml:space="preserve">The FG-TBFxG will serve as a platform to help bring about Harmonization of Testbeds specifications across SDOs/Fora. The FG-TBFxG will leverage and align with the Testbeds Federations Reference Model being </w:t>
      </w:r>
      <w:r w:rsidRPr="00042514">
        <w:rPr>
          <w:rFonts w:cstheme="minorHAnsi"/>
          <w:sz w:val="22"/>
          <w:szCs w:val="22"/>
          <w:lang w:val="en-US"/>
        </w:rPr>
        <w:lastRenderedPageBreak/>
        <w:t xml:space="preserve">standardized jointly by ETSI TC INT and ITU-T SG11 in researching, developing and specifying the required APIs, and defining a set of use cases for Federated Testbeds and use of the APIs. </w:t>
      </w:r>
      <w:r w:rsidRPr="00042514">
        <w:rPr>
          <w:rFonts w:cstheme="minorHAnsi"/>
          <w:sz w:val="22"/>
          <w:szCs w:val="22"/>
        </w:rPr>
        <w:t>FG-TBFxG encourages all Stakeholders, SDOs/Fora, to:</w:t>
      </w:r>
    </w:p>
    <w:p w14:paraId="38AF5981" w14:textId="77777777" w:rsidR="003D7102" w:rsidRPr="00042514" w:rsidRDefault="003D7102" w:rsidP="00E77F9C">
      <w:pPr>
        <w:numPr>
          <w:ilvl w:val="0"/>
          <w:numId w:val="7"/>
        </w:numPr>
        <w:contextualSpacing/>
        <w:jc w:val="both"/>
        <w:rPr>
          <w:rFonts w:cstheme="minorHAnsi"/>
          <w:sz w:val="22"/>
          <w:szCs w:val="22"/>
          <w:lang w:val="en-US"/>
        </w:rPr>
      </w:pPr>
      <w:r w:rsidRPr="00042514">
        <w:rPr>
          <w:rFonts w:cstheme="minorHAnsi"/>
          <w:sz w:val="22"/>
          <w:szCs w:val="22"/>
          <w:lang w:val="en-US"/>
        </w:rPr>
        <w:t>Contribute to the development of the APIs being prescribed by the Testbeds Federations Reference Model;</w:t>
      </w:r>
    </w:p>
    <w:p w14:paraId="3A0984E7" w14:textId="77777777" w:rsidR="003D7102" w:rsidRPr="00042514" w:rsidRDefault="003D7102" w:rsidP="00E77F9C">
      <w:pPr>
        <w:numPr>
          <w:ilvl w:val="0"/>
          <w:numId w:val="7"/>
        </w:numPr>
        <w:contextualSpacing/>
        <w:jc w:val="both"/>
        <w:rPr>
          <w:rFonts w:cstheme="minorHAnsi"/>
          <w:sz w:val="22"/>
          <w:szCs w:val="22"/>
          <w:lang w:val="en-US"/>
        </w:rPr>
      </w:pPr>
      <w:r w:rsidRPr="00042514">
        <w:rPr>
          <w:rFonts w:cstheme="minorHAnsi"/>
          <w:sz w:val="22"/>
          <w:szCs w:val="22"/>
          <w:lang w:val="en-US"/>
        </w:rPr>
        <w:t>Share the burden on APIs Specifications and Standardization and on Roadmaps in a harmonized and collaborative way;</w:t>
      </w:r>
    </w:p>
    <w:p w14:paraId="1A3C5FFF" w14:textId="77777777" w:rsidR="003D7102" w:rsidRPr="00042514" w:rsidRDefault="003D7102" w:rsidP="00E77F9C">
      <w:pPr>
        <w:numPr>
          <w:ilvl w:val="0"/>
          <w:numId w:val="7"/>
        </w:numPr>
        <w:contextualSpacing/>
        <w:jc w:val="both"/>
        <w:rPr>
          <w:rFonts w:cstheme="minorHAnsi"/>
          <w:sz w:val="22"/>
          <w:szCs w:val="22"/>
          <w:lang w:val="en-US"/>
        </w:rPr>
      </w:pPr>
      <w:r w:rsidRPr="00042514">
        <w:rPr>
          <w:rFonts w:cstheme="minorHAnsi"/>
          <w:sz w:val="22"/>
          <w:szCs w:val="22"/>
          <w:lang w:val="en-US"/>
        </w:rPr>
        <w:t xml:space="preserve">Develop New use cases and services for Testbeds Suppliers that derive from the Testbeds Federations Reference Model and associated APIs, such as “Testbed-as-a Service” (TaaS). </w:t>
      </w:r>
    </w:p>
    <w:p w14:paraId="193B7775"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NOTE: Among the expected Stakeholders are: SDOs/Fora, Research Communities, Researchers on IMT-2020 and beyond, Industry Users of Testbeds, Testbeds Suppliers for IMT-2020 Testbeds and other Testbeds, CSPs (Communications Service Providers), Network Operators, Infrastructure Vendors/Suppliers for ICT and Verticals, Open Source &amp; Open Hardware Projects, Regulators.</w:t>
      </w:r>
    </w:p>
    <w:p w14:paraId="1962715D"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 xml:space="preserve">The Focus Group will also seek to elucidate the roles that can be played by the various Stakeholders in the Ecosystem for Testbeds Federations Standards and Use Cases. For that the FG-TBFxG will play a role in providing a platform to share views, to develop a series of deliverables associated with the topics above, and it will also offer a platform to players that may like to showcase initiatives and projects that align with the outlined vision and the desired Ecosystem on Testbeds Federations. The Focus Group will develop Specifications that may become a basis for further Standardization </w:t>
      </w:r>
      <w:proofErr w:type="gramStart"/>
      <w:r w:rsidRPr="00042514">
        <w:rPr>
          <w:rFonts w:cstheme="minorHAnsi"/>
          <w:sz w:val="22"/>
          <w:szCs w:val="22"/>
          <w:lang w:val="en-US"/>
        </w:rPr>
        <w:t>in the area of</w:t>
      </w:r>
      <w:proofErr w:type="gramEnd"/>
      <w:r w:rsidRPr="00042514">
        <w:rPr>
          <w:rFonts w:cstheme="minorHAnsi"/>
          <w:sz w:val="22"/>
          <w:szCs w:val="22"/>
          <w:lang w:val="en-US"/>
        </w:rPr>
        <w:t xml:space="preserve"> Testbeds Federations. It will invite non ITU-T members to participate in this work.</w:t>
      </w:r>
    </w:p>
    <w:p w14:paraId="70A3B68D" w14:textId="77777777" w:rsidR="003D7102" w:rsidRPr="00042514" w:rsidRDefault="003D7102" w:rsidP="00E77F9C">
      <w:pPr>
        <w:keepNext/>
        <w:keepLines/>
        <w:rPr>
          <w:rFonts w:cstheme="minorHAnsi"/>
          <w:b/>
          <w:bCs/>
          <w:sz w:val="22"/>
          <w:szCs w:val="22"/>
          <w:lang w:val="en-US"/>
        </w:rPr>
      </w:pPr>
      <w:r w:rsidRPr="00042514">
        <w:rPr>
          <w:rFonts w:cstheme="minorHAnsi"/>
          <w:b/>
          <w:bCs/>
          <w:sz w:val="22"/>
          <w:szCs w:val="22"/>
          <w:lang w:val="en-US"/>
        </w:rPr>
        <w:t>2.</w:t>
      </w:r>
      <w:r w:rsidRPr="00042514">
        <w:rPr>
          <w:rFonts w:cstheme="minorHAnsi"/>
          <w:b/>
          <w:bCs/>
          <w:sz w:val="22"/>
          <w:szCs w:val="22"/>
          <w:lang w:val="en-US"/>
        </w:rPr>
        <w:tab/>
        <w:t>Objectives of the FG-TBFxG</w:t>
      </w:r>
    </w:p>
    <w:p w14:paraId="539F4126"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FG-TBFxG will have the following objectives:</w:t>
      </w:r>
    </w:p>
    <w:p w14:paraId="1F932772" w14:textId="77777777" w:rsidR="003D7102" w:rsidRPr="00042514" w:rsidRDefault="003D7102" w:rsidP="00E77F9C">
      <w:pPr>
        <w:numPr>
          <w:ilvl w:val="0"/>
          <w:numId w:val="6"/>
        </w:numPr>
        <w:jc w:val="both"/>
        <w:rPr>
          <w:rFonts w:cstheme="minorHAnsi"/>
          <w:sz w:val="22"/>
          <w:szCs w:val="22"/>
          <w:lang w:val="en-US"/>
        </w:rPr>
      </w:pPr>
      <w:r w:rsidRPr="00042514">
        <w:rPr>
          <w:rFonts w:cstheme="minorHAnsi"/>
          <w:sz w:val="22"/>
          <w:szCs w:val="22"/>
          <w:lang w:val="en-US"/>
        </w:rPr>
        <w:t>To define a set of APIs definitions that complement the ongoing ITU-T SG11 study activities related to Testbed Federations and APIs of the Testbeds Federations Reference Model;</w:t>
      </w:r>
    </w:p>
    <w:p w14:paraId="6B5D15AE" w14:textId="77777777" w:rsidR="003D7102" w:rsidRPr="00042514" w:rsidRDefault="003D7102" w:rsidP="00E77F9C">
      <w:pPr>
        <w:numPr>
          <w:ilvl w:val="0"/>
          <w:numId w:val="6"/>
        </w:numPr>
        <w:jc w:val="both"/>
        <w:rPr>
          <w:rFonts w:cstheme="minorHAnsi"/>
          <w:sz w:val="22"/>
          <w:szCs w:val="22"/>
          <w:lang w:val="en-US"/>
        </w:rPr>
      </w:pPr>
      <w:r w:rsidRPr="00042514">
        <w:rPr>
          <w:rFonts w:cstheme="minorHAnsi"/>
          <w:sz w:val="22"/>
          <w:szCs w:val="22"/>
          <w:lang w:val="en-US"/>
        </w:rPr>
        <w:t>To collect Use Cases for Testbeds Federations of relevance to IMT-2020 and beyond;</w:t>
      </w:r>
    </w:p>
    <w:p w14:paraId="6D15A92C" w14:textId="77777777" w:rsidR="003D7102" w:rsidRPr="00042514" w:rsidRDefault="003D7102" w:rsidP="00E77F9C">
      <w:pPr>
        <w:numPr>
          <w:ilvl w:val="0"/>
          <w:numId w:val="6"/>
        </w:numPr>
        <w:jc w:val="both"/>
        <w:rPr>
          <w:rFonts w:cstheme="minorHAnsi"/>
          <w:sz w:val="22"/>
          <w:szCs w:val="22"/>
          <w:lang w:val="en-US"/>
        </w:rPr>
      </w:pPr>
      <w:bookmarkStart w:id="12" w:name="_Hlk69648726"/>
      <w:r w:rsidRPr="00042514">
        <w:rPr>
          <w:rFonts w:cstheme="minorHAnsi"/>
          <w:sz w:val="22"/>
          <w:szCs w:val="22"/>
          <w:lang w:val="en-US"/>
        </w:rPr>
        <w:t>To identify use cases and services based on Testbed Federations reference model that should be considered for various types of Stakeholders on the benefits of them joining the ecosystem around Testbeds Federations for IMT-2020 and beyond;</w:t>
      </w:r>
    </w:p>
    <w:bookmarkEnd w:id="12"/>
    <w:p w14:paraId="7307EBA7" w14:textId="77777777" w:rsidR="003D7102" w:rsidRPr="00042514" w:rsidRDefault="003D7102" w:rsidP="00E77F9C">
      <w:pPr>
        <w:numPr>
          <w:ilvl w:val="0"/>
          <w:numId w:val="6"/>
        </w:numPr>
        <w:jc w:val="both"/>
        <w:rPr>
          <w:rFonts w:cstheme="minorHAnsi"/>
          <w:sz w:val="22"/>
          <w:szCs w:val="22"/>
          <w:lang w:val="en-US"/>
        </w:rPr>
      </w:pPr>
      <w:r w:rsidRPr="00042514">
        <w:rPr>
          <w:rFonts w:cstheme="minorHAnsi"/>
          <w:sz w:val="22"/>
          <w:szCs w:val="22"/>
          <w:lang w:val="en-US"/>
        </w:rPr>
        <w:t>To study the various Topics/Points compiled in the Key Takeaways from the ITU-T, ETSI, IEEE Joint SDOs Brainstorming Workshop on Testbeds Federations for 5G &amp; Beyond (</w:t>
      </w:r>
      <w:hyperlink r:id="rId25" w:history="1">
        <w:r w:rsidRPr="00042514">
          <w:rPr>
            <w:rFonts w:cstheme="minorHAnsi"/>
            <w:color w:val="0000FF"/>
            <w:sz w:val="22"/>
            <w:szCs w:val="22"/>
            <w:u w:val="single"/>
            <w:lang w:val="en-US"/>
          </w:rPr>
          <w:t>www.itu.int/go/BTF4-5G</w:t>
        </w:r>
      </w:hyperlink>
      <w:r w:rsidRPr="00042514">
        <w:rPr>
          <w:rFonts w:cstheme="minorHAnsi"/>
          <w:sz w:val="22"/>
          <w:szCs w:val="22"/>
          <w:lang w:val="en-US"/>
        </w:rPr>
        <w:t xml:space="preserve">) in order to take them into consideration in the work of the Focus </w:t>
      </w:r>
      <w:proofErr w:type="gramStart"/>
      <w:r w:rsidRPr="00042514">
        <w:rPr>
          <w:rFonts w:cstheme="minorHAnsi"/>
          <w:sz w:val="22"/>
          <w:szCs w:val="22"/>
          <w:lang w:val="en-US"/>
        </w:rPr>
        <w:t>Group;</w:t>
      </w:r>
      <w:proofErr w:type="gramEnd"/>
    </w:p>
    <w:p w14:paraId="11E84A73" w14:textId="77777777" w:rsidR="003D7102" w:rsidRPr="00042514" w:rsidRDefault="003D7102" w:rsidP="00E77F9C">
      <w:pPr>
        <w:numPr>
          <w:ilvl w:val="0"/>
          <w:numId w:val="6"/>
        </w:numPr>
        <w:jc w:val="both"/>
        <w:rPr>
          <w:rFonts w:cstheme="minorHAnsi"/>
          <w:sz w:val="22"/>
          <w:szCs w:val="22"/>
          <w:lang w:val="en-US"/>
        </w:rPr>
      </w:pPr>
      <w:r w:rsidRPr="00042514">
        <w:rPr>
          <w:rFonts w:cstheme="minorHAnsi"/>
          <w:sz w:val="22"/>
          <w:szCs w:val="22"/>
          <w:lang w:val="en-US"/>
        </w:rPr>
        <w:t>To identify Metrics/Key Performance Indicators (KPIs) of relevance to Use Cases for Testbed Federations per and across ICT industry sectors in different domains (verticals); and propose methods/mappings by which E2E relationships among various metrics (</w:t>
      </w:r>
      <w:proofErr w:type="gramStart"/>
      <w:r w:rsidRPr="00042514">
        <w:rPr>
          <w:rFonts w:cstheme="minorHAnsi"/>
          <w:sz w:val="22"/>
          <w:szCs w:val="22"/>
          <w:lang w:val="en-US"/>
        </w:rPr>
        <w:t>e.g.</w:t>
      </w:r>
      <w:proofErr w:type="gramEnd"/>
      <w:r w:rsidRPr="00042514">
        <w:rPr>
          <w:rFonts w:cstheme="minorHAnsi"/>
          <w:sz w:val="22"/>
          <w:szCs w:val="22"/>
          <w:lang w:val="en-US"/>
        </w:rPr>
        <w:t xml:space="preserve"> KPIs) across Testbeds can be defined (see NOTE below):</w:t>
      </w:r>
    </w:p>
    <w:p w14:paraId="177CDD18" w14:textId="77777777" w:rsidR="003D7102" w:rsidRPr="00042514" w:rsidRDefault="003D7102" w:rsidP="00E77F9C">
      <w:pPr>
        <w:ind w:left="1560"/>
        <w:rPr>
          <w:rFonts w:cstheme="minorHAnsi"/>
          <w:sz w:val="22"/>
          <w:szCs w:val="22"/>
          <w:lang w:val="en-US"/>
        </w:rPr>
      </w:pPr>
      <w:r w:rsidRPr="00042514">
        <w:rPr>
          <w:rFonts w:cstheme="minorHAnsi"/>
          <w:sz w:val="22"/>
          <w:szCs w:val="22"/>
          <w:lang w:val="en-US"/>
        </w:rPr>
        <w:t>NOTE: Among KPIs for Testbed Federations are:</w:t>
      </w:r>
      <w:r w:rsidRPr="00042514">
        <w:rPr>
          <w:rFonts w:cstheme="minorHAnsi"/>
          <w:sz w:val="22"/>
          <w:szCs w:val="22"/>
          <w:lang w:val="en-US"/>
        </w:rPr>
        <w:br/>
      </w:r>
      <w:r w:rsidRPr="00042514">
        <w:rPr>
          <w:rFonts w:cstheme="minorHAnsi"/>
          <w:b/>
          <w:bCs/>
          <w:sz w:val="22"/>
          <w:szCs w:val="22"/>
          <w:lang w:val="en-US"/>
        </w:rPr>
        <w:t>(1)</w:t>
      </w:r>
      <w:r w:rsidRPr="00042514">
        <w:rPr>
          <w:rFonts w:cstheme="minorHAnsi"/>
          <w:sz w:val="22"/>
          <w:szCs w:val="22"/>
          <w:lang w:val="en-US"/>
        </w:rPr>
        <w:t xml:space="preserve"> KPIs of relevance to a Technology or combined Technologies that are being Tested using Federated Testbeds such that the measured KPIs help in the Test Cases verdicts setting;</w:t>
      </w:r>
      <w:r w:rsidRPr="00042514">
        <w:rPr>
          <w:rFonts w:cstheme="minorHAnsi"/>
          <w:sz w:val="22"/>
          <w:szCs w:val="22"/>
          <w:lang w:val="en-US"/>
        </w:rPr>
        <w:br/>
      </w:r>
      <w:r w:rsidRPr="00042514">
        <w:rPr>
          <w:rFonts w:cstheme="minorHAnsi"/>
          <w:b/>
          <w:bCs/>
          <w:sz w:val="22"/>
          <w:szCs w:val="22"/>
          <w:lang w:val="en-US"/>
        </w:rPr>
        <w:t>(2)</w:t>
      </w:r>
      <w:r w:rsidRPr="00042514">
        <w:rPr>
          <w:rFonts w:cstheme="minorHAnsi"/>
          <w:sz w:val="22"/>
          <w:szCs w:val="22"/>
          <w:lang w:val="en-US"/>
        </w:rPr>
        <w:t xml:space="preserve"> KPIs of relevance to utilization, availability, capabilities, customer-experience (satisfaction) of the Testbeds and their resources being consumed or can be consumed in Testbed usage in a Test Scenario;</w:t>
      </w:r>
      <w:r w:rsidRPr="00042514">
        <w:rPr>
          <w:rFonts w:cstheme="minorHAnsi"/>
          <w:sz w:val="22"/>
          <w:szCs w:val="22"/>
          <w:lang w:val="en-US"/>
        </w:rPr>
        <w:br/>
      </w:r>
      <w:r w:rsidRPr="00042514">
        <w:rPr>
          <w:rFonts w:cstheme="minorHAnsi"/>
          <w:b/>
          <w:bCs/>
          <w:sz w:val="22"/>
          <w:szCs w:val="22"/>
          <w:lang w:val="en-US"/>
        </w:rPr>
        <w:t>(3)</w:t>
      </w:r>
      <w:r w:rsidRPr="00042514">
        <w:rPr>
          <w:rFonts w:cstheme="minorHAnsi"/>
          <w:sz w:val="22"/>
          <w:szCs w:val="22"/>
          <w:lang w:val="en-US"/>
        </w:rPr>
        <w:t xml:space="preserve"> Non-technical KPIs that relate to Testbed Service Offerings and Consumption </w:t>
      </w:r>
    </w:p>
    <w:p w14:paraId="2C3AA7DA" w14:textId="77777777" w:rsidR="003D7102" w:rsidRPr="00042514" w:rsidRDefault="003D7102" w:rsidP="00E77F9C">
      <w:pPr>
        <w:numPr>
          <w:ilvl w:val="0"/>
          <w:numId w:val="6"/>
        </w:numPr>
        <w:jc w:val="both"/>
        <w:rPr>
          <w:rFonts w:cstheme="minorHAnsi"/>
          <w:sz w:val="22"/>
          <w:szCs w:val="22"/>
          <w:lang w:val="en-US"/>
        </w:rPr>
      </w:pPr>
      <w:r w:rsidRPr="00042514">
        <w:rPr>
          <w:rFonts w:cstheme="minorHAnsi"/>
          <w:sz w:val="22"/>
          <w:szCs w:val="22"/>
          <w:lang w:val="en-US"/>
        </w:rPr>
        <w:t xml:space="preserve">To develop guidance to Research and Industry communities working on IMT-2020and beyond on how to use the Testbeds Reference Model to contribute to the development of the APIs being prescribed by the Testbeds Reference Model, </w:t>
      </w:r>
      <w:proofErr w:type="gramStart"/>
      <w:r w:rsidRPr="00042514">
        <w:rPr>
          <w:rFonts w:cstheme="minorHAnsi"/>
          <w:sz w:val="22"/>
          <w:szCs w:val="22"/>
          <w:lang w:val="en-US"/>
        </w:rPr>
        <w:t>and also</w:t>
      </w:r>
      <w:proofErr w:type="gramEnd"/>
      <w:r w:rsidRPr="00042514">
        <w:rPr>
          <w:rFonts w:cstheme="minorHAnsi"/>
          <w:sz w:val="22"/>
          <w:szCs w:val="22"/>
          <w:lang w:val="en-US"/>
        </w:rPr>
        <w:t xml:space="preserve"> contribute to various instantiations cases of the Reference Model</w:t>
      </w:r>
    </w:p>
    <w:p w14:paraId="614630A2" w14:textId="77777777" w:rsidR="003D7102" w:rsidRPr="00042514" w:rsidRDefault="003D7102" w:rsidP="00E77F9C">
      <w:pPr>
        <w:numPr>
          <w:ilvl w:val="0"/>
          <w:numId w:val="6"/>
        </w:numPr>
        <w:jc w:val="both"/>
        <w:rPr>
          <w:rFonts w:cstheme="minorHAnsi"/>
          <w:sz w:val="22"/>
          <w:szCs w:val="22"/>
          <w:lang w:val="en-US"/>
        </w:rPr>
      </w:pPr>
      <w:r w:rsidRPr="00042514">
        <w:rPr>
          <w:rFonts w:cstheme="minorHAnsi"/>
          <w:sz w:val="22"/>
          <w:szCs w:val="22"/>
          <w:lang w:val="en-US"/>
        </w:rPr>
        <w:lastRenderedPageBreak/>
        <w:t xml:space="preserve">To facilitate discussions by which various SDOs/Fora can share ideas on how they can potentially share the burden on APIs Specifications and Standardization and on Roadmaps in a harmonized and collaborative way, based on the Testbeds Federations Reference Model, and produce a matrix that maps SDOs/Fora and other Stakeholders to </w:t>
      </w:r>
      <w:proofErr w:type="gramStart"/>
      <w:r w:rsidRPr="00042514">
        <w:rPr>
          <w:rFonts w:cstheme="minorHAnsi"/>
          <w:sz w:val="22"/>
          <w:szCs w:val="22"/>
          <w:lang w:val="en-US"/>
        </w:rPr>
        <w:t>APIs</w:t>
      </w:r>
      <w:proofErr w:type="gramEnd"/>
      <w:r w:rsidRPr="00042514">
        <w:rPr>
          <w:rFonts w:cstheme="minorHAnsi"/>
          <w:sz w:val="22"/>
          <w:szCs w:val="22"/>
          <w:lang w:val="en-US"/>
        </w:rPr>
        <w:t xml:space="preserve"> types they will be addressing or have interest to address;</w:t>
      </w:r>
    </w:p>
    <w:p w14:paraId="5CC499E8" w14:textId="77777777" w:rsidR="003D7102" w:rsidRPr="00042514" w:rsidRDefault="003D7102" w:rsidP="00E77F9C">
      <w:pPr>
        <w:numPr>
          <w:ilvl w:val="0"/>
          <w:numId w:val="6"/>
        </w:numPr>
        <w:jc w:val="both"/>
        <w:rPr>
          <w:rFonts w:cstheme="minorHAnsi"/>
          <w:sz w:val="22"/>
          <w:szCs w:val="22"/>
          <w:lang w:val="en-US"/>
        </w:rPr>
      </w:pPr>
      <w:r w:rsidRPr="00042514">
        <w:rPr>
          <w:rFonts w:cstheme="minorHAnsi"/>
          <w:sz w:val="22"/>
          <w:szCs w:val="22"/>
          <w:lang w:val="en-US"/>
        </w:rPr>
        <w:t>To define Potential New use cases and services for Testbeds Suppliers that derive from the Testbeds Federations Reference Model and associated APIs, such as “Testbed-as-a Service” (TaaS);</w:t>
      </w:r>
    </w:p>
    <w:p w14:paraId="7D513810" w14:textId="77777777" w:rsidR="003D7102" w:rsidRPr="00042514" w:rsidRDefault="003D7102" w:rsidP="00E77F9C">
      <w:pPr>
        <w:numPr>
          <w:ilvl w:val="0"/>
          <w:numId w:val="6"/>
        </w:numPr>
        <w:jc w:val="both"/>
        <w:rPr>
          <w:rFonts w:cstheme="minorHAnsi"/>
          <w:sz w:val="22"/>
          <w:szCs w:val="22"/>
          <w:lang w:val="en-US"/>
        </w:rPr>
      </w:pPr>
      <w:bookmarkStart w:id="13" w:name="_Hlk69590261"/>
      <w:r w:rsidRPr="00042514">
        <w:rPr>
          <w:rFonts w:cstheme="minorHAnsi"/>
          <w:sz w:val="22"/>
          <w:szCs w:val="22"/>
          <w:lang w:val="en-US"/>
        </w:rPr>
        <w:t xml:space="preserve">To </w:t>
      </w:r>
      <w:bookmarkEnd w:id="13"/>
      <w:r w:rsidRPr="00042514">
        <w:rPr>
          <w:rFonts w:cstheme="minorHAnsi"/>
          <w:sz w:val="22"/>
          <w:szCs w:val="22"/>
          <w:lang w:val="en-US"/>
        </w:rPr>
        <w:t>develop guidelines to Owners of Existing Testbeds and Platforms for IMT-2020 and beyond on how they could embark on Transformation or Evolution of existing Testbeds (Industry-grade, and potential Research Testbeds as well) and their Federation APIs to meet the requirements of the Testbeds Federation reference model (ITU-T Q.4068);</w:t>
      </w:r>
    </w:p>
    <w:p w14:paraId="2FE0B566" w14:textId="77777777" w:rsidR="003D7102" w:rsidRPr="00042514" w:rsidRDefault="003D7102" w:rsidP="00E77F9C">
      <w:pPr>
        <w:numPr>
          <w:ilvl w:val="0"/>
          <w:numId w:val="6"/>
        </w:numPr>
        <w:jc w:val="both"/>
        <w:rPr>
          <w:rFonts w:cstheme="minorHAnsi"/>
          <w:sz w:val="22"/>
          <w:szCs w:val="22"/>
          <w:lang w:val="en-US"/>
        </w:rPr>
      </w:pPr>
      <w:r w:rsidRPr="00042514">
        <w:rPr>
          <w:rFonts w:cstheme="minorHAnsi"/>
          <w:sz w:val="22"/>
          <w:szCs w:val="22"/>
          <w:lang w:val="en-US"/>
        </w:rPr>
        <w:t xml:space="preserve">To develop guidelines to the </w:t>
      </w:r>
      <w:proofErr w:type="gramStart"/>
      <w:r w:rsidRPr="00042514">
        <w:rPr>
          <w:rFonts w:cstheme="minorHAnsi"/>
          <w:sz w:val="22"/>
          <w:szCs w:val="22"/>
          <w:lang w:val="en-US"/>
        </w:rPr>
        <w:t>Industry</w:t>
      </w:r>
      <w:proofErr w:type="gramEnd"/>
      <w:r w:rsidRPr="00042514">
        <w:rPr>
          <w:rFonts w:cstheme="minorHAnsi"/>
          <w:sz w:val="22"/>
          <w:szCs w:val="22"/>
          <w:lang w:val="en-US"/>
        </w:rPr>
        <w:t xml:space="preserve"> on how to address the Challenges that need to be addressed as guided by the Reference Model and APIs for Testbeds Federations for IMT-2020 and beyond;</w:t>
      </w:r>
    </w:p>
    <w:p w14:paraId="5A9BDFFF" w14:textId="77777777" w:rsidR="003D7102" w:rsidRPr="00042514" w:rsidRDefault="003D7102" w:rsidP="00E77F9C">
      <w:pPr>
        <w:numPr>
          <w:ilvl w:val="0"/>
          <w:numId w:val="6"/>
        </w:numPr>
        <w:jc w:val="both"/>
        <w:rPr>
          <w:rFonts w:cstheme="minorHAnsi"/>
          <w:bCs/>
          <w:sz w:val="22"/>
          <w:szCs w:val="22"/>
          <w:lang w:val="en-US"/>
        </w:rPr>
      </w:pPr>
      <w:r w:rsidRPr="00042514">
        <w:rPr>
          <w:rFonts w:cstheme="minorHAnsi"/>
          <w:sz w:val="22"/>
          <w:szCs w:val="22"/>
          <w:lang w:val="en-US"/>
        </w:rPr>
        <w:t xml:space="preserve">To </w:t>
      </w:r>
      <w:bookmarkStart w:id="14" w:name="_Hlk69942617"/>
      <w:r w:rsidRPr="00042514">
        <w:rPr>
          <w:rFonts w:cstheme="minorHAnsi"/>
          <w:sz w:val="22"/>
          <w:szCs w:val="22"/>
          <w:lang w:val="en-US"/>
        </w:rPr>
        <w:t xml:space="preserve">identify any </w:t>
      </w:r>
      <w:r w:rsidRPr="00042514">
        <w:rPr>
          <w:rFonts w:cstheme="minorHAnsi"/>
          <w:bCs/>
          <w:sz w:val="22"/>
          <w:szCs w:val="22"/>
          <w:lang w:val="en-US"/>
        </w:rPr>
        <w:t>Regulatory requirements and other aspects of relevance to Testbeds Federations and engage the relevant Stakeholders on how such aspects can be addressed;</w:t>
      </w:r>
    </w:p>
    <w:bookmarkEnd w:id="14"/>
    <w:p w14:paraId="28ED2097" w14:textId="77777777" w:rsidR="003D7102" w:rsidRPr="00042514" w:rsidRDefault="003D7102" w:rsidP="00E77F9C">
      <w:pPr>
        <w:numPr>
          <w:ilvl w:val="0"/>
          <w:numId w:val="6"/>
        </w:numPr>
        <w:jc w:val="both"/>
        <w:rPr>
          <w:rFonts w:cstheme="minorHAnsi"/>
          <w:bCs/>
          <w:sz w:val="22"/>
          <w:szCs w:val="22"/>
          <w:lang w:val="en-US"/>
        </w:rPr>
      </w:pPr>
      <w:r w:rsidRPr="00042514">
        <w:rPr>
          <w:rFonts w:cstheme="minorHAnsi"/>
          <w:sz w:val="22"/>
          <w:szCs w:val="22"/>
          <w:lang w:val="en-US"/>
        </w:rPr>
        <w:t>To</w:t>
      </w:r>
      <w:r w:rsidRPr="00042514">
        <w:rPr>
          <w:rFonts w:cstheme="minorHAnsi"/>
          <w:bCs/>
          <w:sz w:val="22"/>
          <w:szCs w:val="22"/>
          <w:lang w:val="en-US"/>
        </w:rPr>
        <w:t xml:space="preserve"> define steps that can be pursued by the Industry towards Developing and Maintaining ONPs (Open Networking Platforms) for IMT-2020 and beyond, and the Use of the Testbeds Federations Reference Model and APIs to build ONPs;</w:t>
      </w:r>
    </w:p>
    <w:p w14:paraId="2C080A5D" w14:textId="77777777" w:rsidR="003D7102" w:rsidRPr="00042514" w:rsidRDefault="003D7102" w:rsidP="00E77F9C">
      <w:pPr>
        <w:numPr>
          <w:ilvl w:val="0"/>
          <w:numId w:val="6"/>
        </w:numPr>
        <w:jc w:val="both"/>
        <w:rPr>
          <w:rFonts w:cstheme="minorHAnsi"/>
          <w:bCs/>
          <w:sz w:val="22"/>
          <w:szCs w:val="22"/>
          <w:lang w:val="en-US"/>
        </w:rPr>
      </w:pPr>
      <w:r w:rsidRPr="00042514">
        <w:rPr>
          <w:rFonts w:cstheme="minorHAnsi"/>
          <w:bCs/>
          <w:sz w:val="22"/>
          <w:szCs w:val="22"/>
          <w:lang w:val="en-US"/>
        </w:rPr>
        <w:t>To develop reports of the FG activities on reference model and APIs for testbeds federation after the FG finished its work;</w:t>
      </w:r>
    </w:p>
    <w:p w14:paraId="4B824C87" w14:textId="77777777" w:rsidR="003D7102" w:rsidRPr="00042514" w:rsidRDefault="003D7102" w:rsidP="00E77F9C">
      <w:pPr>
        <w:numPr>
          <w:ilvl w:val="0"/>
          <w:numId w:val="6"/>
        </w:numPr>
        <w:jc w:val="both"/>
        <w:rPr>
          <w:rFonts w:cstheme="minorHAnsi"/>
          <w:sz w:val="22"/>
          <w:szCs w:val="22"/>
          <w:lang w:val="en-US"/>
        </w:rPr>
      </w:pPr>
      <w:r w:rsidRPr="00042514">
        <w:rPr>
          <w:rFonts w:cstheme="minorHAnsi"/>
          <w:sz w:val="22"/>
          <w:szCs w:val="22"/>
          <w:lang w:val="en-US"/>
        </w:rPr>
        <w:t xml:space="preserve">To encourage participation from various projects and fora in the activities of the </w:t>
      </w:r>
      <w:r w:rsidRPr="00042514">
        <w:rPr>
          <w:rFonts w:cstheme="minorHAnsi"/>
          <w:bCs/>
          <w:sz w:val="22"/>
          <w:szCs w:val="22"/>
          <w:lang w:val="en-US"/>
        </w:rPr>
        <w:t>FG-TBFxG</w:t>
      </w:r>
      <w:r w:rsidRPr="00042514">
        <w:rPr>
          <w:rFonts w:cstheme="minorHAnsi"/>
          <w:sz w:val="22"/>
          <w:szCs w:val="22"/>
          <w:lang w:val="en-US"/>
        </w:rPr>
        <w:t>.</w:t>
      </w:r>
    </w:p>
    <w:p w14:paraId="60BEC077" w14:textId="77777777" w:rsidR="003D7102" w:rsidRPr="00042514" w:rsidRDefault="003D7102" w:rsidP="00E77F9C">
      <w:pPr>
        <w:rPr>
          <w:rFonts w:cstheme="minorHAnsi"/>
          <w:b/>
          <w:bCs/>
          <w:sz w:val="22"/>
          <w:szCs w:val="22"/>
          <w:lang w:val="en-US"/>
        </w:rPr>
      </w:pPr>
      <w:r w:rsidRPr="00042514">
        <w:rPr>
          <w:rFonts w:cstheme="minorHAnsi"/>
          <w:b/>
          <w:bCs/>
          <w:sz w:val="22"/>
          <w:szCs w:val="22"/>
          <w:lang w:val="en-US"/>
        </w:rPr>
        <w:t>3.</w:t>
      </w:r>
      <w:r w:rsidRPr="00042514">
        <w:rPr>
          <w:rFonts w:cstheme="minorHAnsi"/>
          <w:b/>
          <w:bCs/>
          <w:sz w:val="22"/>
          <w:szCs w:val="22"/>
          <w:lang w:val="en-US"/>
        </w:rPr>
        <w:tab/>
        <w:t>Structure</w:t>
      </w:r>
    </w:p>
    <w:p w14:paraId="10EA84E0"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The FG-TBFxG may establish sub-groups as needed. To coordinate operations and provide guidance to subgroups, there will be a chair and vice-chairs.</w:t>
      </w:r>
    </w:p>
    <w:p w14:paraId="0FF85195" w14:textId="77777777" w:rsidR="003D7102" w:rsidRPr="00042514" w:rsidRDefault="003D7102" w:rsidP="00E77F9C">
      <w:pPr>
        <w:rPr>
          <w:rFonts w:cstheme="minorHAnsi"/>
          <w:b/>
          <w:bCs/>
          <w:sz w:val="22"/>
          <w:szCs w:val="22"/>
          <w:lang w:val="en-US"/>
        </w:rPr>
      </w:pPr>
      <w:r w:rsidRPr="00042514">
        <w:rPr>
          <w:rFonts w:cstheme="minorHAnsi"/>
          <w:b/>
          <w:bCs/>
          <w:sz w:val="22"/>
          <w:szCs w:val="22"/>
          <w:lang w:val="en-US"/>
        </w:rPr>
        <w:t>4.</w:t>
      </w:r>
      <w:r w:rsidRPr="00042514">
        <w:rPr>
          <w:rFonts w:cstheme="minorHAnsi"/>
          <w:b/>
          <w:bCs/>
          <w:sz w:val="22"/>
          <w:szCs w:val="22"/>
          <w:lang w:val="en-US"/>
        </w:rPr>
        <w:tab/>
        <w:t>Specific Tasks and Deliverables</w:t>
      </w:r>
    </w:p>
    <w:p w14:paraId="445E6A31" w14:textId="77777777" w:rsidR="003D7102" w:rsidRPr="00042514" w:rsidRDefault="003D7102" w:rsidP="00E77F9C">
      <w:pPr>
        <w:spacing w:before="80"/>
        <w:ind w:left="794" w:hanging="794"/>
        <w:jc w:val="both"/>
        <w:rPr>
          <w:rFonts w:cstheme="minorHAnsi"/>
          <w:sz w:val="22"/>
          <w:szCs w:val="22"/>
          <w:lang w:val="en-US"/>
        </w:rPr>
      </w:pPr>
      <w:r w:rsidRPr="00042514">
        <w:rPr>
          <w:rFonts w:cstheme="minorHAnsi"/>
          <w:sz w:val="22"/>
          <w:szCs w:val="22"/>
          <w:lang w:val="en-US"/>
        </w:rPr>
        <w:t>Tasks and deliverables developed by FG-TBFxG may include the following:</w:t>
      </w:r>
    </w:p>
    <w:p w14:paraId="751CA1F4" w14:textId="77777777" w:rsidR="003D7102" w:rsidRPr="00042514" w:rsidRDefault="003D7102" w:rsidP="00E77F9C">
      <w:pPr>
        <w:numPr>
          <w:ilvl w:val="0"/>
          <w:numId w:val="5"/>
        </w:numPr>
        <w:spacing w:before="80"/>
        <w:jc w:val="both"/>
        <w:rPr>
          <w:rFonts w:cstheme="minorHAnsi"/>
          <w:sz w:val="22"/>
          <w:szCs w:val="22"/>
          <w:lang w:val="en-US"/>
        </w:rPr>
      </w:pPr>
      <w:r w:rsidRPr="00042514">
        <w:rPr>
          <w:rFonts w:cstheme="minorHAnsi"/>
          <w:sz w:val="22"/>
          <w:szCs w:val="22"/>
          <w:lang w:val="en-US"/>
        </w:rPr>
        <w:t>Gathering information about ongoing standardization initiatives on Testbed Federations and related APIs being standardized by SDOs/Fora (</w:t>
      </w:r>
      <w:proofErr w:type="gramStart"/>
      <w:r w:rsidRPr="00042514">
        <w:rPr>
          <w:rFonts w:cstheme="minorHAnsi"/>
          <w:sz w:val="22"/>
          <w:szCs w:val="22"/>
          <w:lang w:val="en-US"/>
        </w:rPr>
        <w:t>e.g.</w:t>
      </w:r>
      <w:proofErr w:type="gramEnd"/>
      <w:r w:rsidRPr="00042514">
        <w:rPr>
          <w:rFonts w:cstheme="minorHAnsi"/>
          <w:sz w:val="22"/>
          <w:szCs w:val="22"/>
          <w:lang w:val="en-US"/>
        </w:rPr>
        <w:t xml:space="preserve"> ITU-T SG11, IEEE INGR, ETSI TC INT, TM Forum, BroadBand Forum (BBF)). The aim of this task is to amend the ongoing SG11 standardization work on this subject matter;</w:t>
      </w:r>
    </w:p>
    <w:p w14:paraId="667E0AC5" w14:textId="77777777" w:rsidR="003D7102" w:rsidRPr="00042514" w:rsidRDefault="003D7102" w:rsidP="00E77F9C">
      <w:pPr>
        <w:numPr>
          <w:ilvl w:val="0"/>
          <w:numId w:val="5"/>
        </w:numPr>
        <w:spacing w:before="80"/>
        <w:jc w:val="both"/>
        <w:rPr>
          <w:rFonts w:cstheme="minorHAnsi"/>
          <w:sz w:val="22"/>
          <w:szCs w:val="22"/>
          <w:lang w:val="en-US"/>
        </w:rPr>
      </w:pPr>
      <w:r w:rsidRPr="00042514">
        <w:rPr>
          <w:rFonts w:cstheme="minorHAnsi"/>
          <w:sz w:val="22"/>
          <w:szCs w:val="22"/>
          <w:lang w:val="en-US"/>
        </w:rPr>
        <w:t xml:space="preserve">Developing an APIs Invocations Framework as part of the Testbeds Federations Reference Model being standardized by ITU-T SG11, by which Generic APIs invoke Testbed-specific specialized APIs in specific </w:t>
      </w:r>
      <w:proofErr w:type="gramStart"/>
      <w:r w:rsidRPr="00042514">
        <w:rPr>
          <w:rFonts w:cstheme="minorHAnsi"/>
          <w:sz w:val="22"/>
          <w:szCs w:val="22"/>
          <w:lang w:val="en-US"/>
        </w:rPr>
        <w:t>Testbeds</w:t>
      </w:r>
      <w:proofErr w:type="gramEnd"/>
      <w:r w:rsidRPr="00042514">
        <w:rPr>
          <w:rFonts w:cstheme="minorHAnsi"/>
          <w:sz w:val="22"/>
          <w:szCs w:val="22"/>
          <w:lang w:val="en-US"/>
        </w:rPr>
        <w:t xml:space="preserve"> Types during execution of Use Cases for Testbeds and Testbeds Federations;</w:t>
      </w:r>
    </w:p>
    <w:p w14:paraId="0C700E99" w14:textId="77777777" w:rsidR="003D7102" w:rsidRPr="00042514" w:rsidRDefault="003D7102" w:rsidP="00E77F9C">
      <w:pPr>
        <w:numPr>
          <w:ilvl w:val="0"/>
          <w:numId w:val="5"/>
        </w:numPr>
        <w:spacing w:before="80"/>
        <w:jc w:val="both"/>
        <w:rPr>
          <w:rFonts w:cstheme="minorHAnsi"/>
          <w:sz w:val="22"/>
          <w:szCs w:val="22"/>
          <w:lang w:val="en-US"/>
        </w:rPr>
      </w:pPr>
      <w:r w:rsidRPr="00042514">
        <w:rPr>
          <w:rFonts w:cstheme="minorHAnsi"/>
          <w:sz w:val="22"/>
          <w:szCs w:val="22"/>
          <w:lang w:val="en-US"/>
        </w:rPr>
        <w:t>Defining use cases for Testbeds Federations of relevance to IMT-2020 and beyond for different ICT industrial sectors based on the Testbeds Federations Reference Model and solicitations of inputs from relevant players in different domains (verticals) (</w:t>
      </w:r>
      <w:proofErr w:type="gramStart"/>
      <w:r w:rsidRPr="00042514">
        <w:rPr>
          <w:rFonts w:cstheme="minorHAnsi"/>
          <w:sz w:val="22"/>
          <w:szCs w:val="22"/>
          <w:lang w:val="en-US"/>
        </w:rPr>
        <w:t>e.g.</w:t>
      </w:r>
      <w:proofErr w:type="gramEnd"/>
      <w:r w:rsidRPr="00042514">
        <w:rPr>
          <w:rFonts w:cstheme="minorHAnsi"/>
          <w:sz w:val="22"/>
          <w:szCs w:val="22"/>
          <w:lang w:val="en-US"/>
        </w:rPr>
        <w:t xml:space="preserve"> IoT, Autonomic/Autonomous Networks (ANs);</w:t>
      </w:r>
    </w:p>
    <w:p w14:paraId="41ECADB1" w14:textId="77777777" w:rsidR="003D7102" w:rsidRPr="00042514" w:rsidRDefault="003D7102" w:rsidP="00E77F9C">
      <w:pPr>
        <w:numPr>
          <w:ilvl w:val="0"/>
          <w:numId w:val="5"/>
        </w:numPr>
        <w:spacing w:before="80"/>
        <w:jc w:val="both"/>
        <w:rPr>
          <w:rFonts w:cstheme="minorHAnsi"/>
          <w:sz w:val="22"/>
          <w:szCs w:val="22"/>
          <w:lang w:val="en-US"/>
        </w:rPr>
      </w:pPr>
      <w:r w:rsidRPr="00042514">
        <w:rPr>
          <w:rFonts w:cstheme="minorHAnsi"/>
          <w:sz w:val="22"/>
          <w:szCs w:val="22"/>
          <w:lang w:val="en-US"/>
        </w:rPr>
        <w:t xml:space="preserve">Studying existing and ongoing Initiatives in Research and Industry on IMT-2020 and beyond, on APIs of relevance to the Testbeds Federations Reference </w:t>
      </w:r>
      <w:proofErr w:type="gramStart"/>
      <w:r w:rsidRPr="00042514">
        <w:rPr>
          <w:rFonts w:cstheme="minorHAnsi"/>
          <w:sz w:val="22"/>
          <w:szCs w:val="22"/>
          <w:lang w:val="en-US"/>
        </w:rPr>
        <w:t>Model(</w:t>
      </w:r>
      <w:proofErr w:type="gramEnd"/>
      <w:r w:rsidRPr="00042514">
        <w:rPr>
          <w:rFonts w:cstheme="minorHAnsi"/>
          <w:sz w:val="22"/>
          <w:szCs w:val="22"/>
          <w:lang w:val="en-US"/>
        </w:rPr>
        <w:t>ITU-T Q.4068), and provide guidelines on how the stakeholders can implement the standardized Testbeds Federations Reference Model or its Instantiations for various types of Testbeds;</w:t>
      </w:r>
    </w:p>
    <w:p w14:paraId="2FD03C4A" w14:textId="77777777" w:rsidR="003D7102" w:rsidRPr="00042514" w:rsidRDefault="003D7102" w:rsidP="00E77F9C">
      <w:pPr>
        <w:numPr>
          <w:ilvl w:val="0"/>
          <w:numId w:val="5"/>
        </w:numPr>
        <w:contextualSpacing/>
        <w:rPr>
          <w:rFonts w:cstheme="minorHAnsi"/>
          <w:sz w:val="22"/>
          <w:szCs w:val="22"/>
          <w:lang w:val="en-US"/>
        </w:rPr>
      </w:pPr>
      <w:r w:rsidRPr="00042514">
        <w:rPr>
          <w:rFonts w:cstheme="minorHAnsi"/>
          <w:sz w:val="22"/>
          <w:szCs w:val="22"/>
          <w:lang w:val="en-US"/>
        </w:rPr>
        <w:t>Providing a Framework on how transformations or enhancements/evolutions may be pursued by the community to make existing IMT-2020 related Testbeds APIs fit to the Reference Model and its APIs Invocations Framework;</w:t>
      </w:r>
    </w:p>
    <w:p w14:paraId="62A5A651" w14:textId="77777777" w:rsidR="003D7102" w:rsidRPr="00042514" w:rsidRDefault="003D7102" w:rsidP="00E77F9C">
      <w:pPr>
        <w:numPr>
          <w:ilvl w:val="0"/>
          <w:numId w:val="5"/>
        </w:numPr>
        <w:spacing w:before="80"/>
        <w:jc w:val="both"/>
        <w:rPr>
          <w:rFonts w:cstheme="minorHAnsi"/>
          <w:sz w:val="22"/>
          <w:szCs w:val="22"/>
          <w:lang w:val="en-US"/>
        </w:rPr>
      </w:pPr>
      <w:r w:rsidRPr="00042514">
        <w:rPr>
          <w:rFonts w:cstheme="minorHAnsi"/>
          <w:sz w:val="22"/>
          <w:szCs w:val="22"/>
          <w:lang w:val="en-US"/>
        </w:rPr>
        <w:t>Defining Potential New use cases and services for Testbeds Suppliers or Owners that derive from the Testbeds Federations Reference Model and associated APIs, such as “Testbed-as-a Service” (TaaS);</w:t>
      </w:r>
    </w:p>
    <w:p w14:paraId="07EA5D8D" w14:textId="77777777" w:rsidR="003D7102" w:rsidRPr="00042514" w:rsidRDefault="003D7102" w:rsidP="00E77F9C">
      <w:pPr>
        <w:numPr>
          <w:ilvl w:val="0"/>
          <w:numId w:val="5"/>
        </w:numPr>
        <w:spacing w:before="80"/>
        <w:jc w:val="both"/>
        <w:rPr>
          <w:rFonts w:cstheme="minorHAnsi"/>
          <w:bCs/>
          <w:sz w:val="22"/>
          <w:szCs w:val="22"/>
          <w:lang w:val="en-US"/>
        </w:rPr>
      </w:pPr>
      <w:r w:rsidRPr="00042514">
        <w:rPr>
          <w:rFonts w:cstheme="minorHAnsi"/>
          <w:sz w:val="22"/>
          <w:szCs w:val="22"/>
          <w:lang w:val="en-US"/>
        </w:rPr>
        <w:lastRenderedPageBreak/>
        <w:t>Organising thematic workshops and forums on Testbeds Federations for IMT-2020 and beyond. These workshops and forums are expected to bring together all stakeholders including policy makers, ICT sector members, national telecommunication authorities, academia, SDOs/Fora, UN agencies to discuss various aspects related</w:t>
      </w:r>
      <w:r w:rsidRPr="00042514">
        <w:rPr>
          <w:rFonts w:cstheme="minorHAnsi"/>
          <w:bCs/>
          <w:sz w:val="22"/>
          <w:szCs w:val="22"/>
          <w:lang w:val="en-US"/>
        </w:rPr>
        <w:t xml:space="preserve"> to Testbeds Federations for IMT-2020 and beyond;</w:t>
      </w:r>
    </w:p>
    <w:p w14:paraId="4513A1D2" w14:textId="7B3BC281" w:rsidR="003D7102" w:rsidRPr="00042514" w:rsidRDefault="003D7102" w:rsidP="00E77F9C">
      <w:pPr>
        <w:numPr>
          <w:ilvl w:val="0"/>
          <w:numId w:val="5"/>
        </w:numPr>
        <w:spacing w:before="80"/>
        <w:jc w:val="both"/>
        <w:rPr>
          <w:rFonts w:cstheme="minorHAnsi"/>
          <w:bCs/>
          <w:sz w:val="22"/>
          <w:szCs w:val="22"/>
          <w:lang w:val="en-US"/>
        </w:rPr>
      </w:pPr>
      <w:r w:rsidRPr="00042514">
        <w:rPr>
          <w:rFonts w:cstheme="minorHAnsi"/>
          <w:bCs/>
          <w:sz w:val="22"/>
          <w:szCs w:val="22"/>
          <w:lang w:val="en-US"/>
        </w:rPr>
        <w:t xml:space="preserve">Identifying and selecting relevant </w:t>
      </w:r>
      <w:r w:rsidRPr="00042514">
        <w:rPr>
          <w:rFonts w:cstheme="minorHAnsi"/>
          <w:sz w:val="22"/>
          <w:szCs w:val="22"/>
          <w:lang w:val="en-US"/>
        </w:rPr>
        <w:t xml:space="preserve">projects and fora </w:t>
      </w:r>
      <w:r w:rsidRPr="00042514">
        <w:rPr>
          <w:rFonts w:cstheme="minorHAnsi"/>
          <w:bCs/>
          <w:sz w:val="22"/>
          <w:szCs w:val="22"/>
          <w:lang w:val="en-US"/>
        </w:rPr>
        <w:t>that can be used in Testbed Federations for IMT-2020 and beyond that conform to the SG11</w:t>
      </w:r>
      <w:r w:rsidR="00A77751" w:rsidRPr="00042514">
        <w:rPr>
          <w:rFonts w:cstheme="minorHAnsi"/>
          <w:bCs/>
          <w:sz w:val="22"/>
          <w:szCs w:val="22"/>
          <w:lang w:val="en-US"/>
        </w:rPr>
        <w:t>'</w:t>
      </w:r>
      <w:r w:rsidRPr="00042514">
        <w:rPr>
          <w:rFonts w:cstheme="minorHAnsi"/>
          <w:bCs/>
          <w:sz w:val="22"/>
          <w:szCs w:val="22"/>
          <w:lang w:val="en-US"/>
        </w:rPr>
        <w:t>s Reference Model for Testbeds Federations and its APIs; and promote the vision to the relevant Open Source/Hardware Projects/Forums;</w:t>
      </w:r>
    </w:p>
    <w:p w14:paraId="1D33C697" w14:textId="77777777" w:rsidR="003D7102" w:rsidRPr="00042514" w:rsidRDefault="003D7102" w:rsidP="00E77F9C">
      <w:pPr>
        <w:numPr>
          <w:ilvl w:val="0"/>
          <w:numId w:val="5"/>
        </w:numPr>
        <w:spacing w:before="80"/>
        <w:jc w:val="both"/>
        <w:rPr>
          <w:rFonts w:cstheme="minorHAnsi"/>
          <w:sz w:val="22"/>
          <w:szCs w:val="22"/>
          <w:lang w:val="en-US"/>
        </w:rPr>
      </w:pPr>
      <w:r w:rsidRPr="00042514">
        <w:rPr>
          <w:rFonts w:cstheme="minorHAnsi"/>
          <w:sz w:val="22"/>
          <w:szCs w:val="22"/>
          <w:lang w:val="en-US"/>
        </w:rPr>
        <w:t>Developing Technical Reports and Specifications which address the outlined items such as APIs and Frameworks, while also identifying future standardization work for ITU-T study groups in the area of Federated Testbeds for IMT-2020 and beyond (as described in the objectives</w:t>
      </w:r>
      <w:proofErr w:type="gramStart"/>
      <w:r w:rsidRPr="00042514">
        <w:rPr>
          <w:rFonts w:cstheme="minorHAnsi"/>
          <w:sz w:val="22"/>
          <w:szCs w:val="22"/>
          <w:lang w:val="en-US"/>
        </w:rPr>
        <w:t>);</w:t>
      </w:r>
      <w:proofErr w:type="gramEnd"/>
    </w:p>
    <w:p w14:paraId="66564567" w14:textId="5EB46664" w:rsidR="003D7102" w:rsidRPr="00042514" w:rsidRDefault="003D7102" w:rsidP="00E77F9C">
      <w:pPr>
        <w:numPr>
          <w:ilvl w:val="0"/>
          <w:numId w:val="5"/>
        </w:numPr>
        <w:spacing w:before="80"/>
        <w:jc w:val="both"/>
        <w:rPr>
          <w:rFonts w:cstheme="minorHAnsi"/>
          <w:sz w:val="22"/>
          <w:szCs w:val="22"/>
          <w:lang w:val="en-US"/>
        </w:rPr>
      </w:pPr>
      <w:r w:rsidRPr="00042514">
        <w:rPr>
          <w:rFonts w:cstheme="minorHAnsi"/>
          <w:sz w:val="22"/>
          <w:szCs w:val="22"/>
          <w:lang w:val="en-US"/>
        </w:rPr>
        <w:t>Communicating the final list of deliverables to SG11, at least four calendar weeks before the parent group</w:t>
      </w:r>
      <w:r w:rsidR="00A77751" w:rsidRPr="00042514">
        <w:rPr>
          <w:rFonts w:cstheme="minorHAnsi"/>
          <w:sz w:val="22"/>
          <w:szCs w:val="22"/>
          <w:lang w:val="en-US"/>
        </w:rPr>
        <w:t>'</w:t>
      </w:r>
      <w:r w:rsidRPr="00042514">
        <w:rPr>
          <w:rFonts w:cstheme="minorHAnsi"/>
          <w:sz w:val="22"/>
          <w:szCs w:val="22"/>
          <w:lang w:val="en-US"/>
        </w:rPr>
        <w:t>s next meeting.</w:t>
      </w:r>
    </w:p>
    <w:p w14:paraId="16B16340" w14:textId="77777777" w:rsidR="003D7102" w:rsidRPr="00042514" w:rsidRDefault="003D7102" w:rsidP="00E77F9C">
      <w:pPr>
        <w:rPr>
          <w:rFonts w:cstheme="minorHAnsi"/>
          <w:b/>
          <w:bCs/>
          <w:sz w:val="22"/>
          <w:szCs w:val="22"/>
          <w:lang w:val="en-US"/>
        </w:rPr>
      </w:pPr>
      <w:r w:rsidRPr="00042514">
        <w:rPr>
          <w:rFonts w:cstheme="minorHAnsi"/>
          <w:b/>
          <w:bCs/>
          <w:sz w:val="22"/>
          <w:szCs w:val="22"/>
          <w:lang w:val="en-US"/>
        </w:rPr>
        <w:t>5.</w:t>
      </w:r>
      <w:r w:rsidRPr="00042514">
        <w:rPr>
          <w:rFonts w:cstheme="minorHAnsi"/>
          <w:b/>
          <w:bCs/>
          <w:sz w:val="22"/>
          <w:szCs w:val="22"/>
          <w:lang w:val="en-US"/>
        </w:rPr>
        <w:tab/>
        <w:t>Relationships</w:t>
      </w:r>
    </w:p>
    <w:p w14:paraId="2E395821"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 xml:space="preserve">This Focus Group will work closely with SG11 through collocated meetings where and when possible and will work in close coordination with all ITU-T Study Groups as appropriate. </w:t>
      </w:r>
    </w:p>
    <w:p w14:paraId="68F6C792"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This FG–TBF5G will also collaborate (as required) with other relevant entities, in accordance with Recommendation ITU-T A.7.</w:t>
      </w:r>
    </w:p>
    <w:p w14:paraId="5E532738"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It will establish close collaboration with other SDOs/Fora (</w:t>
      </w:r>
      <w:proofErr w:type="gramStart"/>
      <w:r w:rsidRPr="00042514">
        <w:rPr>
          <w:rFonts w:cstheme="minorHAnsi"/>
          <w:sz w:val="22"/>
          <w:szCs w:val="22"/>
          <w:lang w:val="en-US"/>
        </w:rPr>
        <w:t>e.g.</w:t>
      </w:r>
      <w:proofErr w:type="gramEnd"/>
      <w:r w:rsidRPr="00042514">
        <w:rPr>
          <w:rFonts w:cstheme="minorHAnsi"/>
          <w:sz w:val="22"/>
          <w:szCs w:val="22"/>
          <w:lang w:val="en-US"/>
        </w:rPr>
        <w:t xml:space="preserve"> IEEE, ETSI, TMForum, BroadBand Forum (BBF), TIP, ORAN, NGMN, 3GPP, etc.), municipalities, non-governmental organizations (NGOs), policy makers, companies, academic institutions, research institutions and other relevant organizations.</w:t>
      </w:r>
    </w:p>
    <w:p w14:paraId="371480DC" w14:textId="77777777" w:rsidR="003D7102" w:rsidRPr="00042514" w:rsidRDefault="003D7102" w:rsidP="00E77F9C">
      <w:pPr>
        <w:rPr>
          <w:rFonts w:cstheme="minorHAnsi"/>
          <w:b/>
          <w:bCs/>
          <w:sz w:val="22"/>
          <w:szCs w:val="22"/>
          <w:lang w:val="en-US"/>
        </w:rPr>
      </w:pPr>
      <w:r w:rsidRPr="00042514">
        <w:rPr>
          <w:rFonts w:cstheme="minorHAnsi"/>
          <w:b/>
          <w:bCs/>
          <w:sz w:val="22"/>
          <w:szCs w:val="22"/>
          <w:lang w:val="en-US"/>
        </w:rPr>
        <w:t>6.</w:t>
      </w:r>
      <w:r w:rsidRPr="00042514">
        <w:rPr>
          <w:rFonts w:cstheme="minorHAnsi"/>
          <w:b/>
          <w:bCs/>
          <w:sz w:val="22"/>
          <w:szCs w:val="22"/>
          <w:lang w:val="en-US"/>
        </w:rPr>
        <w:tab/>
        <w:t>Parent group</w:t>
      </w:r>
    </w:p>
    <w:p w14:paraId="28A058E1"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The parent group of the FG-TBFxG is ITU-T Study Group 11 “Signalling requirements, protocols, test specifications and combating counterfeit products”.</w:t>
      </w:r>
    </w:p>
    <w:p w14:paraId="2A7E8B3A"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Among others, SG11 leads ITU activities on establishing test specifications, conformance and interoperability testing for all types of networks, technologies and services that are the subject of study and standardization by all ITU</w:t>
      </w:r>
      <w:r w:rsidRPr="00042514">
        <w:rPr>
          <w:rFonts w:ascii="Cambria Math" w:hAnsi="Cambria Math" w:cs="Cambria Math"/>
          <w:sz w:val="22"/>
          <w:szCs w:val="22"/>
          <w:lang w:val="en-US"/>
        </w:rPr>
        <w:t>‑</w:t>
      </w:r>
      <w:r w:rsidRPr="00042514">
        <w:rPr>
          <w:rFonts w:cstheme="minorHAnsi"/>
          <w:sz w:val="22"/>
          <w:szCs w:val="22"/>
          <w:lang w:val="en-US"/>
        </w:rPr>
        <w:t>T study groups.</w:t>
      </w:r>
    </w:p>
    <w:p w14:paraId="53B00197" w14:textId="77777777" w:rsidR="003D7102" w:rsidRPr="00042514" w:rsidRDefault="003D7102" w:rsidP="00E77F9C">
      <w:pPr>
        <w:rPr>
          <w:rFonts w:cstheme="minorHAnsi"/>
          <w:b/>
          <w:bCs/>
          <w:sz w:val="22"/>
          <w:szCs w:val="22"/>
          <w:lang w:val="en-US"/>
        </w:rPr>
      </w:pPr>
      <w:r w:rsidRPr="00042514">
        <w:rPr>
          <w:rFonts w:cstheme="minorHAnsi"/>
          <w:b/>
          <w:bCs/>
          <w:sz w:val="22"/>
          <w:szCs w:val="22"/>
          <w:lang w:val="en-US"/>
        </w:rPr>
        <w:t>7.</w:t>
      </w:r>
      <w:r w:rsidRPr="00042514">
        <w:rPr>
          <w:rFonts w:cstheme="minorHAnsi"/>
          <w:b/>
          <w:bCs/>
          <w:sz w:val="22"/>
          <w:szCs w:val="22"/>
          <w:lang w:val="en-US"/>
        </w:rPr>
        <w:tab/>
        <w:t>Leadership</w:t>
      </w:r>
    </w:p>
    <w:p w14:paraId="2239EFAC"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The stipulations in clause 2.3 of Recommendation ITU-T A.7 apply.</w:t>
      </w:r>
    </w:p>
    <w:p w14:paraId="23AC6FF4" w14:textId="77777777" w:rsidR="003D7102" w:rsidRPr="00042514" w:rsidRDefault="003D7102" w:rsidP="00E77F9C">
      <w:pPr>
        <w:rPr>
          <w:rFonts w:cstheme="minorHAnsi"/>
          <w:b/>
          <w:bCs/>
          <w:sz w:val="22"/>
          <w:szCs w:val="22"/>
          <w:lang w:val="en-US"/>
        </w:rPr>
      </w:pPr>
      <w:r w:rsidRPr="00042514">
        <w:rPr>
          <w:rFonts w:cstheme="minorHAnsi"/>
          <w:b/>
          <w:bCs/>
          <w:sz w:val="22"/>
          <w:szCs w:val="22"/>
          <w:lang w:val="en-US"/>
        </w:rPr>
        <w:t>8.</w:t>
      </w:r>
      <w:r w:rsidRPr="00042514">
        <w:rPr>
          <w:rFonts w:cstheme="minorHAnsi"/>
          <w:b/>
          <w:bCs/>
          <w:sz w:val="22"/>
          <w:szCs w:val="22"/>
          <w:lang w:val="en-US"/>
        </w:rPr>
        <w:tab/>
        <w:t>Participation</w:t>
      </w:r>
    </w:p>
    <w:p w14:paraId="294FAEA5"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See clause 3.1 of Recommendation ITU-T A.7.</w:t>
      </w:r>
    </w:p>
    <w:p w14:paraId="70EBC2F6"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Any individual from a country that is a member of ITU and who is willing to contribute actively to the work may participate in the focus group. This includes individuals who are also members of international, regional and national organizations.</w:t>
      </w:r>
    </w:p>
    <w:p w14:paraId="1FA33B19"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 xml:space="preserve">A list of participants will be maintained for reference purposes and reported to the parent group. </w:t>
      </w:r>
    </w:p>
    <w:p w14:paraId="541EFEEE" w14:textId="3AE8F72A" w:rsidR="003D7102" w:rsidRPr="00042514" w:rsidRDefault="003D7102" w:rsidP="00E77F9C">
      <w:pPr>
        <w:jc w:val="both"/>
        <w:rPr>
          <w:rFonts w:cstheme="minorHAnsi"/>
          <w:sz w:val="22"/>
          <w:szCs w:val="22"/>
          <w:lang w:val="en-US"/>
        </w:rPr>
      </w:pPr>
      <w:r w:rsidRPr="00042514">
        <w:rPr>
          <w:rFonts w:cstheme="minorHAnsi"/>
          <w:sz w:val="22"/>
          <w:szCs w:val="22"/>
          <w:lang w:val="en-US"/>
        </w:rPr>
        <w:t>All participants are strongly encouraged to contribute to the FG</w:t>
      </w:r>
      <w:r w:rsidR="00A77751" w:rsidRPr="00042514">
        <w:rPr>
          <w:rFonts w:cstheme="minorHAnsi"/>
          <w:sz w:val="22"/>
          <w:szCs w:val="22"/>
          <w:lang w:val="en-US"/>
        </w:rPr>
        <w:t>'</w:t>
      </w:r>
      <w:r w:rsidRPr="00042514">
        <w:rPr>
          <w:rFonts w:cstheme="minorHAnsi"/>
          <w:sz w:val="22"/>
          <w:szCs w:val="22"/>
          <w:lang w:val="en-US"/>
        </w:rPr>
        <w:t xml:space="preserve">s activities. </w:t>
      </w:r>
    </w:p>
    <w:p w14:paraId="4426C9ED" w14:textId="77777777" w:rsidR="003D7102" w:rsidRPr="00042514" w:rsidRDefault="003D7102" w:rsidP="00E77F9C">
      <w:pPr>
        <w:rPr>
          <w:rFonts w:cstheme="minorHAnsi"/>
          <w:b/>
          <w:bCs/>
          <w:sz w:val="22"/>
          <w:szCs w:val="22"/>
          <w:lang w:val="en-US"/>
        </w:rPr>
      </w:pPr>
      <w:r w:rsidRPr="00042514">
        <w:rPr>
          <w:rFonts w:cstheme="minorHAnsi"/>
          <w:b/>
          <w:bCs/>
          <w:sz w:val="22"/>
          <w:szCs w:val="22"/>
          <w:lang w:val="en-US"/>
        </w:rPr>
        <w:t>9.</w:t>
      </w:r>
      <w:r w:rsidRPr="00042514">
        <w:rPr>
          <w:rFonts w:cstheme="minorHAnsi"/>
          <w:b/>
          <w:bCs/>
          <w:sz w:val="22"/>
          <w:szCs w:val="22"/>
          <w:lang w:val="en-US"/>
        </w:rPr>
        <w:tab/>
        <w:t>Administrative support</w:t>
      </w:r>
    </w:p>
    <w:p w14:paraId="1F1D5E4B"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The stipulations in clause 5 of Recommendation ITU-T A.7 apply.</w:t>
      </w:r>
    </w:p>
    <w:p w14:paraId="44B72AE1" w14:textId="77777777" w:rsidR="003D7102" w:rsidRPr="00042514" w:rsidRDefault="003D7102" w:rsidP="00E77F9C">
      <w:pPr>
        <w:rPr>
          <w:rFonts w:cstheme="minorHAnsi"/>
          <w:b/>
          <w:bCs/>
          <w:sz w:val="22"/>
          <w:szCs w:val="22"/>
          <w:lang w:val="en-US"/>
        </w:rPr>
      </w:pPr>
      <w:r w:rsidRPr="00042514">
        <w:rPr>
          <w:rFonts w:cstheme="minorHAnsi"/>
          <w:b/>
          <w:bCs/>
          <w:sz w:val="22"/>
          <w:szCs w:val="22"/>
          <w:lang w:val="en-US"/>
        </w:rPr>
        <w:t>10.</w:t>
      </w:r>
      <w:r w:rsidRPr="00042514">
        <w:rPr>
          <w:rFonts w:cstheme="minorHAnsi"/>
          <w:b/>
          <w:bCs/>
          <w:sz w:val="22"/>
          <w:szCs w:val="22"/>
          <w:lang w:val="en-US"/>
        </w:rPr>
        <w:tab/>
        <w:t>General financing</w:t>
      </w:r>
    </w:p>
    <w:p w14:paraId="41F4C617"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 xml:space="preserve">FG-TBFxG will follow the guidance in clause 4 of Recommendation ITU-T A.7 </w:t>
      </w:r>
      <w:proofErr w:type="gramStart"/>
      <w:r w:rsidRPr="00042514">
        <w:rPr>
          <w:rFonts w:cstheme="minorHAnsi"/>
          <w:sz w:val="22"/>
          <w:szCs w:val="22"/>
          <w:lang w:val="en-US"/>
        </w:rPr>
        <w:t>with regard to</w:t>
      </w:r>
      <w:proofErr w:type="gramEnd"/>
      <w:r w:rsidRPr="00042514">
        <w:rPr>
          <w:rFonts w:cstheme="minorHAnsi"/>
          <w:sz w:val="22"/>
          <w:szCs w:val="22"/>
          <w:lang w:val="en-US"/>
        </w:rPr>
        <w:t xml:space="preserve"> financing of focus groups and their meetings and clause 10.2 of Recommendation ITU-T A.7 with regard to printing and distribution of deliverables.</w:t>
      </w:r>
    </w:p>
    <w:p w14:paraId="66603DB7" w14:textId="77777777" w:rsidR="003D7102" w:rsidRPr="00042514" w:rsidRDefault="003D7102" w:rsidP="00E77F9C">
      <w:pPr>
        <w:rPr>
          <w:rFonts w:cstheme="minorHAnsi"/>
          <w:b/>
          <w:bCs/>
          <w:sz w:val="22"/>
          <w:szCs w:val="22"/>
          <w:lang w:val="en-US"/>
        </w:rPr>
      </w:pPr>
      <w:r w:rsidRPr="00042514">
        <w:rPr>
          <w:rFonts w:cstheme="minorHAnsi"/>
          <w:b/>
          <w:bCs/>
          <w:sz w:val="22"/>
          <w:szCs w:val="22"/>
          <w:lang w:val="en-US"/>
        </w:rPr>
        <w:t>11.</w:t>
      </w:r>
      <w:r w:rsidRPr="00042514">
        <w:rPr>
          <w:rFonts w:cstheme="minorHAnsi"/>
          <w:b/>
          <w:bCs/>
          <w:sz w:val="22"/>
          <w:szCs w:val="22"/>
          <w:lang w:val="en-US"/>
        </w:rPr>
        <w:tab/>
        <w:t>Meetings</w:t>
      </w:r>
    </w:p>
    <w:p w14:paraId="152C7BC3"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lastRenderedPageBreak/>
        <w:t>The frequency and locations of meetings will be determined by the Focus Group management. The overall meetings plan will be announced after the approval of the terms of reference. The Focus Group will use remote collaboration tools to the maximum extent, and collocation with ITU-T SG11 meetings is encouraged.</w:t>
      </w:r>
    </w:p>
    <w:p w14:paraId="669498FE"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The meeting dates will be announced by electronic means (e.g., e-mail and website, etc.) at least six weeks in advance.</w:t>
      </w:r>
    </w:p>
    <w:p w14:paraId="6DBE281B" w14:textId="77777777" w:rsidR="003D7102" w:rsidRPr="00042514" w:rsidRDefault="003D7102" w:rsidP="00E77F9C">
      <w:pPr>
        <w:rPr>
          <w:rFonts w:cstheme="minorHAnsi"/>
          <w:b/>
          <w:bCs/>
          <w:sz w:val="22"/>
          <w:szCs w:val="22"/>
          <w:lang w:val="en-US"/>
        </w:rPr>
      </w:pPr>
      <w:r w:rsidRPr="00042514">
        <w:rPr>
          <w:rFonts w:cstheme="minorHAnsi"/>
          <w:b/>
          <w:bCs/>
          <w:sz w:val="22"/>
          <w:szCs w:val="22"/>
          <w:lang w:val="en-US"/>
        </w:rPr>
        <w:t>12.</w:t>
      </w:r>
      <w:r w:rsidRPr="00042514">
        <w:rPr>
          <w:rFonts w:cstheme="minorHAnsi"/>
          <w:b/>
          <w:bCs/>
          <w:sz w:val="22"/>
          <w:szCs w:val="22"/>
          <w:lang w:val="en-US"/>
        </w:rPr>
        <w:tab/>
        <w:t>Technical contributions</w:t>
      </w:r>
    </w:p>
    <w:p w14:paraId="331579DD"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See clause 8 of Recommendation ITU-T A.7.</w:t>
      </w:r>
    </w:p>
    <w:p w14:paraId="59F0D60C"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Any participant may submit a technical contribution directly to FG-TBFxG, in accordance with the time schedule adopted. A template for contributions can be found on the ITU-T website. Electronic document transfer methods should be used whenever possible.</w:t>
      </w:r>
    </w:p>
    <w:p w14:paraId="07505E22"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 xml:space="preserve">Deadline for contributions will be announced by FG Chairman for each </w:t>
      </w:r>
      <w:proofErr w:type="gramStart"/>
      <w:r w:rsidRPr="00042514">
        <w:rPr>
          <w:rFonts w:cstheme="minorHAnsi"/>
          <w:sz w:val="22"/>
          <w:szCs w:val="22"/>
          <w:lang w:val="en-US"/>
        </w:rPr>
        <w:t>particular meeting</w:t>
      </w:r>
      <w:proofErr w:type="gramEnd"/>
      <w:r w:rsidRPr="00042514">
        <w:rPr>
          <w:rFonts w:cstheme="minorHAnsi"/>
          <w:sz w:val="22"/>
          <w:szCs w:val="22"/>
          <w:lang w:val="en-US"/>
        </w:rPr>
        <w:t>.</w:t>
      </w:r>
    </w:p>
    <w:p w14:paraId="3137F4AD" w14:textId="77777777" w:rsidR="003D7102" w:rsidRPr="00042514" w:rsidRDefault="003D7102" w:rsidP="00E77F9C">
      <w:pPr>
        <w:rPr>
          <w:rFonts w:cstheme="minorHAnsi"/>
          <w:b/>
          <w:bCs/>
          <w:sz w:val="22"/>
          <w:szCs w:val="22"/>
          <w:lang w:val="en-US"/>
        </w:rPr>
      </w:pPr>
      <w:r w:rsidRPr="00042514">
        <w:rPr>
          <w:rFonts w:cstheme="minorHAnsi"/>
          <w:b/>
          <w:bCs/>
          <w:sz w:val="22"/>
          <w:szCs w:val="22"/>
          <w:lang w:val="en-US"/>
        </w:rPr>
        <w:t>13.</w:t>
      </w:r>
      <w:r w:rsidRPr="00042514">
        <w:rPr>
          <w:rFonts w:cstheme="minorHAnsi"/>
          <w:b/>
          <w:bCs/>
          <w:sz w:val="22"/>
          <w:szCs w:val="22"/>
          <w:lang w:val="en-US"/>
        </w:rPr>
        <w:tab/>
        <w:t>Working language</w:t>
      </w:r>
    </w:p>
    <w:p w14:paraId="4AB25EC6"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The working language is English.</w:t>
      </w:r>
    </w:p>
    <w:p w14:paraId="37EAA82C" w14:textId="77777777" w:rsidR="003D7102" w:rsidRPr="00042514" w:rsidRDefault="003D7102" w:rsidP="00E77F9C">
      <w:pPr>
        <w:rPr>
          <w:rFonts w:cstheme="minorHAnsi"/>
          <w:b/>
          <w:bCs/>
          <w:sz w:val="22"/>
          <w:szCs w:val="22"/>
          <w:lang w:val="en-US"/>
        </w:rPr>
      </w:pPr>
      <w:r w:rsidRPr="00042514">
        <w:rPr>
          <w:rFonts w:cstheme="minorHAnsi"/>
          <w:b/>
          <w:bCs/>
          <w:sz w:val="22"/>
          <w:szCs w:val="22"/>
          <w:lang w:val="en-US"/>
        </w:rPr>
        <w:t>14.</w:t>
      </w:r>
      <w:r w:rsidRPr="00042514">
        <w:rPr>
          <w:rFonts w:cstheme="minorHAnsi"/>
          <w:b/>
          <w:bCs/>
          <w:sz w:val="22"/>
          <w:szCs w:val="22"/>
          <w:lang w:val="en-US"/>
        </w:rPr>
        <w:tab/>
        <w:t>Approval of deliverables</w:t>
      </w:r>
    </w:p>
    <w:p w14:paraId="40427C72"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Approval of deliverables shall be taken by consensus.</w:t>
      </w:r>
    </w:p>
    <w:p w14:paraId="51AD00CC" w14:textId="77777777" w:rsidR="003D7102" w:rsidRPr="00042514" w:rsidRDefault="003D7102" w:rsidP="00E77F9C">
      <w:pPr>
        <w:rPr>
          <w:rFonts w:cstheme="minorHAnsi"/>
          <w:b/>
          <w:bCs/>
          <w:sz w:val="22"/>
          <w:szCs w:val="22"/>
          <w:lang w:val="en-US"/>
        </w:rPr>
      </w:pPr>
      <w:r w:rsidRPr="00042514">
        <w:rPr>
          <w:rFonts w:cstheme="minorHAnsi"/>
          <w:b/>
          <w:bCs/>
          <w:sz w:val="22"/>
          <w:szCs w:val="22"/>
          <w:lang w:val="en-US"/>
        </w:rPr>
        <w:t>15.</w:t>
      </w:r>
      <w:r w:rsidRPr="00042514">
        <w:rPr>
          <w:rFonts w:cstheme="minorHAnsi"/>
          <w:b/>
          <w:bCs/>
          <w:sz w:val="22"/>
          <w:szCs w:val="22"/>
          <w:lang w:val="en-US"/>
        </w:rPr>
        <w:tab/>
        <w:t>Working guidelines</w:t>
      </w:r>
    </w:p>
    <w:p w14:paraId="750474B6"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Working procedures shall follow the procedures of Rapporteur group meetings.</w:t>
      </w:r>
    </w:p>
    <w:p w14:paraId="46FE6BD1"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FG-TBFxG will exchange draft deliverables and other outcomes on a regular basis with its parent group, to ensure efficient transfer of deliverables to streamline future activities (see ITU-T A.7 Appendix I).</w:t>
      </w:r>
    </w:p>
    <w:p w14:paraId="297B1AF3"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No additional working guidelines are defined.</w:t>
      </w:r>
    </w:p>
    <w:p w14:paraId="72C5B6F0" w14:textId="77777777" w:rsidR="003D7102" w:rsidRPr="00042514" w:rsidRDefault="003D7102" w:rsidP="00E77F9C">
      <w:pPr>
        <w:rPr>
          <w:rFonts w:cstheme="minorHAnsi"/>
          <w:b/>
          <w:bCs/>
          <w:sz w:val="22"/>
          <w:szCs w:val="22"/>
          <w:lang w:val="en-US"/>
        </w:rPr>
      </w:pPr>
      <w:r w:rsidRPr="00042514">
        <w:rPr>
          <w:rFonts w:cstheme="minorHAnsi"/>
          <w:b/>
          <w:bCs/>
          <w:sz w:val="22"/>
          <w:szCs w:val="22"/>
          <w:lang w:val="en-US"/>
        </w:rPr>
        <w:t>16.</w:t>
      </w:r>
      <w:r w:rsidRPr="00042514">
        <w:rPr>
          <w:rFonts w:cstheme="minorHAnsi"/>
          <w:b/>
          <w:bCs/>
          <w:sz w:val="22"/>
          <w:szCs w:val="22"/>
          <w:lang w:val="en-US"/>
        </w:rPr>
        <w:tab/>
        <w:t>Progress reports</w:t>
      </w:r>
    </w:p>
    <w:p w14:paraId="26080D26"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Regular progress reports will be provided at each meeting of the parent group, as per the guidance in clause 11 of Recommendation ITU-T A.7.</w:t>
      </w:r>
    </w:p>
    <w:p w14:paraId="1DED3D4E" w14:textId="77777777" w:rsidR="003D7102" w:rsidRPr="00042514" w:rsidRDefault="003D7102" w:rsidP="00E77F9C">
      <w:pPr>
        <w:rPr>
          <w:rFonts w:cstheme="minorHAnsi"/>
          <w:b/>
          <w:bCs/>
          <w:sz w:val="22"/>
          <w:szCs w:val="22"/>
          <w:lang w:val="en-US"/>
        </w:rPr>
      </w:pPr>
      <w:r w:rsidRPr="00042514">
        <w:rPr>
          <w:rFonts w:cstheme="minorHAnsi"/>
          <w:b/>
          <w:bCs/>
          <w:sz w:val="22"/>
          <w:szCs w:val="22"/>
          <w:lang w:val="en-US"/>
        </w:rPr>
        <w:t>17.</w:t>
      </w:r>
      <w:r w:rsidRPr="00042514">
        <w:rPr>
          <w:rFonts w:cstheme="minorHAnsi"/>
          <w:b/>
          <w:bCs/>
          <w:sz w:val="22"/>
          <w:szCs w:val="22"/>
          <w:lang w:val="en-US"/>
        </w:rPr>
        <w:tab/>
        <w:t>Announcement of Focus Group formation</w:t>
      </w:r>
    </w:p>
    <w:p w14:paraId="31558C4A"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The creation of the FG-TBFxG will be announced via TSB Circular to all ITU membership. ITU-T Newslog, press releases and other means, including communication with other involved organizations could be utilized.</w:t>
      </w:r>
    </w:p>
    <w:p w14:paraId="39F3BA24" w14:textId="77777777" w:rsidR="003D7102" w:rsidRPr="00042514" w:rsidRDefault="003D7102" w:rsidP="00E77F9C">
      <w:pPr>
        <w:rPr>
          <w:rFonts w:cstheme="minorHAnsi"/>
          <w:b/>
          <w:bCs/>
          <w:sz w:val="22"/>
          <w:szCs w:val="22"/>
          <w:lang w:val="en-US"/>
        </w:rPr>
      </w:pPr>
      <w:r w:rsidRPr="00042514">
        <w:rPr>
          <w:rFonts w:cstheme="minorHAnsi"/>
          <w:b/>
          <w:bCs/>
          <w:sz w:val="22"/>
          <w:szCs w:val="22"/>
          <w:lang w:val="en-US"/>
        </w:rPr>
        <w:t>18.</w:t>
      </w:r>
      <w:r w:rsidRPr="00042514">
        <w:rPr>
          <w:rFonts w:cstheme="minorHAnsi"/>
          <w:b/>
          <w:bCs/>
          <w:sz w:val="22"/>
          <w:szCs w:val="22"/>
          <w:lang w:val="en-US"/>
        </w:rPr>
        <w:tab/>
        <w:t>Milestones and duration of the Focus Group</w:t>
      </w:r>
    </w:p>
    <w:p w14:paraId="5638C6F3"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The Focus Group lifetime is set for one year from the first meeting (see ITU-T A.7, clause 2.2), with the possibility for a further year subject to the agreement of the parent study group.</w:t>
      </w:r>
    </w:p>
    <w:p w14:paraId="5B354A3E" w14:textId="77777777" w:rsidR="003D7102" w:rsidRPr="00042514" w:rsidRDefault="003D7102" w:rsidP="00E77F9C">
      <w:pPr>
        <w:jc w:val="both"/>
        <w:rPr>
          <w:rFonts w:cstheme="minorHAnsi"/>
          <w:b/>
          <w:bCs/>
          <w:sz w:val="22"/>
          <w:szCs w:val="22"/>
          <w:lang w:val="en-US"/>
        </w:rPr>
      </w:pPr>
      <w:r w:rsidRPr="00042514">
        <w:rPr>
          <w:rFonts w:cstheme="minorHAnsi"/>
          <w:b/>
          <w:bCs/>
          <w:sz w:val="22"/>
          <w:szCs w:val="22"/>
          <w:lang w:val="en-US"/>
        </w:rPr>
        <w:t>19.</w:t>
      </w:r>
      <w:r w:rsidRPr="00042514">
        <w:rPr>
          <w:rFonts w:cstheme="minorHAnsi"/>
          <w:b/>
          <w:bCs/>
          <w:sz w:val="22"/>
          <w:szCs w:val="22"/>
          <w:lang w:val="en-US"/>
        </w:rPr>
        <w:tab/>
        <w:t>Patent policy</w:t>
      </w:r>
    </w:p>
    <w:p w14:paraId="266E10EE" w14:textId="77777777" w:rsidR="003D7102" w:rsidRPr="00042514" w:rsidRDefault="003D7102" w:rsidP="00E77F9C">
      <w:pPr>
        <w:jc w:val="both"/>
        <w:rPr>
          <w:rFonts w:cstheme="minorHAnsi"/>
          <w:sz w:val="22"/>
          <w:szCs w:val="22"/>
          <w:lang w:val="en-US"/>
        </w:rPr>
      </w:pPr>
      <w:r w:rsidRPr="00042514">
        <w:rPr>
          <w:rFonts w:cstheme="minorHAnsi"/>
          <w:sz w:val="22"/>
          <w:szCs w:val="22"/>
          <w:lang w:val="en-US"/>
        </w:rPr>
        <w:t>See clause 9 of Recommendation ITU-T A.7.</w:t>
      </w:r>
    </w:p>
    <w:p w14:paraId="466D471E" w14:textId="77777777" w:rsidR="003D7102" w:rsidRPr="00042514" w:rsidRDefault="003D7102" w:rsidP="00A77751">
      <w:pPr>
        <w:rPr>
          <w:lang w:val="en-GB"/>
        </w:rPr>
      </w:pPr>
    </w:p>
    <w:p w14:paraId="2CE82A01" w14:textId="0151C0B8" w:rsidR="003D7102" w:rsidRPr="00042514" w:rsidRDefault="003D7102" w:rsidP="00690DA1">
      <w:pPr>
        <w:jc w:val="center"/>
        <w:rPr>
          <w:lang w:val="fr-CH"/>
        </w:rPr>
      </w:pPr>
      <w:r w:rsidRPr="00042514">
        <w:t>______________</w:t>
      </w:r>
    </w:p>
    <w:sectPr w:rsidR="003D7102" w:rsidRPr="00042514" w:rsidSect="00A15179">
      <w:headerReference w:type="default" r:id="rId26"/>
      <w:footerReference w:type="first" r:id="rId2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9B9B" w14:textId="77777777" w:rsidR="006A0259" w:rsidRDefault="006A0259">
      <w:r>
        <w:separator/>
      </w:r>
    </w:p>
  </w:endnote>
  <w:endnote w:type="continuationSeparator" w:id="0">
    <w:p w14:paraId="30A965BB" w14:textId="77777777" w:rsidR="006A0259" w:rsidRDefault="006A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4D54"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CD202" w14:textId="77777777" w:rsidR="006A0259" w:rsidRDefault="006A0259">
      <w:r>
        <w:t>____________________</w:t>
      </w:r>
    </w:p>
  </w:footnote>
  <w:footnote w:type="continuationSeparator" w:id="0">
    <w:p w14:paraId="3B5BEDCB" w14:textId="77777777" w:rsidR="006A0259" w:rsidRDefault="006A0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A32" w14:textId="7ABDFC36" w:rsidR="00697BC1" w:rsidRDefault="00C66B61"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F32D18">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3D7102">
      <w:rPr>
        <w:noProof/>
        <w:sz w:val="18"/>
        <w:szCs w:val="16"/>
      </w:rPr>
      <w:br/>
      <w:t>Circulaire TSB 367</w:t>
    </w:r>
  </w:p>
  <w:p w14:paraId="65819A27" w14:textId="77777777" w:rsidR="00042514" w:rsidRPr="00697BC1" w:rsidRDefault="00042514" w:rsidP="00697BC1">
    <w:pPr>
      <w:pStyle w:val="Header"/>
      <w:rPr>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09E11D28"/>
    <w:multiLevelType w:val="hybridMultilevel"/>
    <w:tmpl w:val="642A23D4"/>
    <w:lvl w:ilvl="0" w:tplc="0809000F">
      <w:start w:val="1"/>
      <w:numFmt w:val="decimal"/>
      <w:lvlText w:val="%1."/>
      <w:lvlJc w:val="left"/>
      <w:pPr>
        <w:ind w:left="732" w:hanging="37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581B5878"/>
    <w:multiLevelType w:val="hybridMultilevel"/>
    <w:tmpl w:val="F7C83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4"/>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GrammaticalErrors/>
  <w:activeWritingStyle w:appName="MSWord" w:lang="fr-FR" w:vendorID="64" w:dllVersion="6" w:nlCheck="1" w:checkStyle="0"/>
  <w:activeWritingStyle w:appName="MSWord" w:lang="fr-CH" w:vendorID="64" w:dllVersion="6"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EEE1642-ADA7-43A8-A8CE-6D366773DD8E}"/>
    <w:docVar w:name="dgnword-eventsink" w:val="1794782304000"/>
  </w:docVars>
  <w:rsids>
    <w:rsidRoot w:val="006A0259"/>
    <w:rsid w:val="000039EE"/>
    <w:rsid w:val="00005622"/>
    <w:rsid w:val="00024FBC"/>
    <w:rsid w:val="0002519E"/>
    <w:rsid w:val="00035B43"/>
    <w:rsid w:val="00036F4F"/>
    <w:rsid w:val="00042514"/>
    <w:rsid w:val="000758B3"/>
    <w:rsid w:val="00085F5A"/>
    <w:rsid w:val="00093AF6"/>
    <w:rsid w:val="000B0D96"/>
    <w:rsid w:val="000B59D8"/>
    <w:rsid w:val="000C1C70"/>
    <w:rsid w:val="000C1F6B"/>
    <w:rsid w:val="000C25CC"/>
    <w:rsid w:val="000C56BE"/>
    <w:rsid w:val="001026FD"/>
    <w:rsid w:val="001077FD"/>
    <w:rsid w:val="00115DD7"/>
    <w:rsid w:val="00117307"/>
    <w:rsid w:val="00167472"/>
    <w:rsid w:val="00167F92"/>
    <w:rsid w:val="00173738"/>
    <w:rsid w:val="001B79A3"/>
    <w:rsid w:val="002152A3"/>
    <w:rsid w:val="00217018"/>
    <w:rsid w:val="002B1FDE"/>
    <w:rsid w:val="002E395D"/>
    <w:rsid w:val="003016A2"/>
    <w:rsid w:val="003131F0"/>
    <w:rsid w:val="00333A80"/>
    <w:rsid w:val="00341117"/>
    <w:rsid w:val="00355960"/>
    <w:rsid w:val="00364E95"/>
    <w:rsid w:val="00372875"/>
    <w:rsid w:val="003B1E80"/>
    <w:rsid w:val="003B66E8"/>
    <w:rsid w:val="003D7102"/>
    <w:rsid w:val="003E66AD"/>
    <w:rsid w:val="004033F1"/>
    <w:rsid w:val="00414B0C"/>
    <w:rsid w:val="00423C21"/>
    <w:rsid w:val="00425628"/>
    <w:rsid w:val="004257AC"/>
    <w:rsid w:val="0043711B"/>
    <w:rsid w:val="00447D88"/>
    <w:rsid w:val="00461FF7"/>
    <w:rsid w:val="004977C9"/>
    <w:rsid w:val="004B732E"/>
    <w:rsid w:val="004D51F4"/>
    <w:rsid w:val="004D64E0"/>
    <w:rsid w:val="005054A9"/>
    <w:rsid w:val="005120A2"/>
    <w:rsid w:val="0051210D"/>
    <w:rsid w:val="005136D2"/>
    <w:rsid w:val="00517A03"/>
    <w:rsid w:val="0055577C"/>
    <w:rsid w:val="005A3DD9"/>
    <w:rsid w:val="005B1DFC"/>
    <w:rsid w:val="00601682"/>
    <w:rsid w:val="00603470"/>
    <w:rsid w:val="00625E79"/>
    <w:rsid w:val="006333F7"/>
    <w:rsid w:val="006427A1"/>
    <w:rsid w:val="00644741"/>
    <w:rsid w:val="006743F0"/>
    <w:rsid w:val="00690DA1"/>
    <w:rsid w:val="00697BC1"/>
    <w:rsid w:val="006A0259"/>
    <w:rsid w:val="006A6FFE"/>
    <w:rsid w:val="006C5A91"/>
    <w:rsid w:val="006E4E06"/>
    <w:rsid w:val="00716BBC"/>
    <w:rsid w:val="00717E75"/>
    <w:rsid w:val="007321BC"/>
    <w:rsid w:val="00760063"/>
    <w:rsid w:val="00775E4B"/>
    <w:rsid w:val="0079553B"/>
    <w:rsid w:val="00795679"/>
    <w:rsid w:val="007A40FE"/>
    <w:rsid w:val="007C656D"/>
    <w:rsid w:val="007D28A5"/>
    <w:rsid w:val="00810105"/>
    <w:rsid w:val="008157E0"/>
    <w:rsid w:val="00850477"/>
    <w:rsid w:val="00854E1D"/>
    <w:rsid w:val="00875727"/>
    <w:rsid w:val="00887FA6"/>
    <w:rsid w:val="008C4397"/>
    <w:rsid w:val="008C465A"/>
    <w:rsid w:val="008F2C9B"/>
    <w:rsid w:val="00912669"/>
    <w:rsid w:val="00923CD6"/>
    <w:rsid w:val="00935AA8"/>
    <w:rsid w:val="00971C9A"/>
    <w:rsid w:val="009960F2"/>
    <w:rsid w:val="009D51FA"/>
    <w:rsid w:val="009F1E23"/>
    <w:rsid w:val="00A15179"/>
    <w:rsid w:val="00A51537"/>
    <w:rsid w:val="00A5280F"/>
    <w:rsid w:val="00A5645A"/>
    <w:rsid w:val="00A60FC1"/>
    <w:rsid w:val="00A77751"/>
    <w:rsid w:val="00A97C37"/>
    <w:rsid w:val="00AA131B"/>
    <w:rsid w:val="00AC37B5"/>
    <w:rsid w:val="00AD752F"/>
    <w:rsid w:val="00AF08A4"/>
    <w:rsid w:val="00B27B41"/>
    <w:rsid w:val="00B42659"/>
    <w:rsid w:val="00B8573E"/>
    <w:rsid w:val="00BB24C0"/>
    <w:rsid w:val="00BC2C1C"/>
    <w:rsid w:val="00BD6ECF"/>
    <w:rsid w:val="00C26F2E"/>
    <w:rsid w:val="00C302E3"/>
    <w:rsid w:val="00C45376"/>
    <w:rsid w:val="00C66B61"/>
    <w:rsid w:val="00C9028F"/>
    <w:rsid w:val="00CA0416"/>
    <w:rsid w:val="00CB1125"/>
    <w:rsid w:val="00CD042E"/>
    <w:rsid w:val="00CF2560"/>
    <w:rsid w:val="00CF5B46"/>
    <w:rsid w:val="00D46B68"/>
    <w:rsid w:val="00D53750"/>
    <w:rsid w:val="00D542A5"/>
    <w:rsid w:val="00D93B8E"/>
    <w:rsid w:val="00DC3D47"/>
    <w:rsid w:val="00DD77DA"/>
    <w:rsid w:val="00DE6CA1"/>
    <w:rsid w:val="00E06C61"/>
    <w:rsid w:val="00E13DB3"/>
    <w:rsid w:val="00E2408B"/>
    <w:rsid w:val="00E307B6"/>
    <w:rsid w:val="00E34329"/>
    <w:rsid w:val="00E410E0"/>
    <w:rsid w:val="00E57400"/>
    <w:rsid w:val="00E62CEA"/>
    <w:rsid w:val="00E72AE1"/>
    <w:rsid w:val="00E77F9C"/>
    <w:rsid w:val="00EA3986"/>
    <w:rsid w:val="00EB7CBC"/>
    <w:rsid w:val="00EC1AEA"/>
    <w:rsid w:val="00EC4C4A"/>
    <w:rsid w:val="00ED6A7A"/>
    <w:rsid w:val="00EE4C36"/>
    <w:rsid w:val="00F26EEA"/>
    <w:rsid w:val="00F3138B"/>
    <w:rsid w:val="00F32D18"/>
    <w:rsid w:val="00F346CE"/>
    <w:rsid w:val="00F34F98"/>
    <w:rsid w:val="00F40540"/>
    <w:rsid w:val="00F67402"/>
    <w:rsid w:val="00F766A2"/>
    <w:rsid w:val="00F9451D"/>
    <w:rsid w:val="00FB4FE2"/>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19BF1"/>
  <w15:docId w15:val="{0D41B69E-ED24-4BD9-8619-D3714A81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CEO_Hyperlink,超?级链,Style 58,超????,하이퍼링크2,超链接1"/>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6A0259"/>
    <w:rPr>
      <w:color w:val="605E5C"/>
      <w:shd w:val="clear" w:color="auto" w:fill="E1DFDD"/>
    </w:rPr>
  </w:style>
  <w:style w:type="table" w:styleId="TableGrid">
    <w:name w:val="Table Grid"/>
    <w:basedOn w:val="TableNormal"/>
    <w:rsid w:val="003D7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3D7102"/>
    <w:pPr>
      <w:keepNext/>
      <w:keepLines/>
      <w:spacing w:before="480" w:after="80"/>
      <w:jc w:val="center"/>
    </w:pPr>
    <w:rPr>
      <w:rFonts w:ascii="Calibri" w:hAnsi="Calibri"/>
      <w:caps/>
      <w:sz w:val="28"/>
      <w:lang w:val="en-GB"/>
    </w:rPr>
  </w:style>
  <w:style w:type="paragraph" w:customStyle="1" w:styleId="Reasons">
    <w:name w:val="Reasons"/>
    <w:basedOn w:val="Normal"/>
    <w:qFormat/>
    <w:rsid w:val="003D7102"/>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9960F2"/>
    <w:rPr>
      <w:color w:val="800080" w:themeColor="followedHyperlink"/>
      <w:u w:val="single"/>
    </w:rPr>
  </w:style>
  <w:style w:type="paragraph" w:styleId="Revision">
    <w:name w:val="Revision"/>
    <w:hidden/>
    <w:uiPriority w:val="99"/>
    <w:semiHidden/>
    <w:rsid w:val="00D93B8E"/>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rec/T-REC-A.7" TargetMode="External"/><Relationship Id="rId18" Type="http://schemas.openxmlformats.org/officeDocument/2006/relationships/hyperlink" Target="https://www.itu.int/en/ITU-T/focusgroups/tbfxg/Pages/default.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itu.int/go/fgtbf" TargetMode="External"/><Relationship Id="rId17" Type="http://schemas.openxmlformats.org/officeDocument/2006/relationships/hyperlink" Target="http://www.itu.int/go/fgtbf" TargetMode="External"/><Relationship Id="rId25" Type="http://schemas.openxmlformats.org/officeDocument/2006/relationships/hyperlink" Target="http://www.itu.int/go/BTF4-5G" TargetMode="External"/><Relationship Id="rId2" Type="http://schemas.openxmlformats.org/officeDocument/2006/relationships/numbering" Target="numbering.xml"/><Relationship Id="rId16" Type="http://schemas.openxmlformats.org/officeDocument/2006/relationships/hyperlink" Target="http://www.itu.int/go/fgtbf" TargetMode="External"/><Relationship Id="rId20" Type="http://schemas.openxmlformats.org/officeDocument/2006/relationships/hyperlink" Target="http://www.itu.int/go/fgtb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gtbf@lists.itu.int" TargetMode="External"/><Relationship Id="rId24" Type="http://schemas.openxmlformats.org/officeDocument/2006/relationships/hyperlink" Target="http://www.itu.int/go/BTF4-5G" TargetMode="External"/><Relationship Id="rId5" Type="http://schemas.openxmlformats.org/officeDocument/2006/relationships/webSettings" Target="webSettings.xml"/><Relationship Id="rId15" Type="http://schemas.openxmlformats.org/officeDocument/2006/relationships/hyperlink" Target="http://www.itu.int/go/fgtbf" TargetMode="External"/><Relationship Id="rId23" Type="http://schemas.openxmlformats.org/officeDocument/2006/relationships/hyperlink" Target="https://www.itu.int/md/meetingdoc.asp?lang=en&amp;parent=T17-SG11-211201-TD-GEN-1804" TargetMode="External"/><Relationship Id="rId28" Type="http://schemas.openxmlformats.org/officeDocument/2006/relationships/fontTable" Target="fontTable.xml"/><Relationship Id="rId10" Type="http://schemas.openxmlformats.org/officeDocument/2006/relationships/hyperlink" Target="https://www.itu.int/ITU-T/recommendations/rec.aspx?rec=14765&amp;lang=fr" TargetMode="External"/><Relationship Id="rId19" Type="http://schemas.openxmlformats.org/officeDocument/2006/relationships/hyperlink" Target="mailto:tsbfgtbf@itu.int" TargetMode="External"/><Relationship Id="rId4" Type="http://schemas.openxmlformats.org/officeDocument/2006/relationships/settings" Target="settings.xml"/><Relationship Id="rId9" Type="http://schemas.openxmlformats.org/officeDocument/2006/relationships/hyperlink" Target="mailto:tsbfgtbf@itu.int" TargetMode="External"/><Relationship Id="rId14" Type="http://schemas.openxmlformats.org/officeDocument/2006/relationships/hyperlink" Target="mailto:tsbfgtbf@itu.int" TargetMode="External"/><Relationship Id="rId22" Type="http://schemas.openxmlformats.org/officeDocument/2006/relationships/image" Target="media/image3.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09CFC-9098-485A-B349-22CC9D58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71</TotalTime>
  <Pages>8</Pages>
  <Words>3500</Words>
  <Characters>21086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24537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9</cp:revision>
  <cp:lastPrinted>2022-01-25T14:50:00Z</cp:lastPrinted>
  <dcterms:created xsi:type="dcterms:W3CDTF">2022-01-18T06:37:00Z</dcterms:created>
  <dcterms:modified xsi:type="dcterms:W3CDTF">2022-01-25T14:50:00Z</dcterms:modified>
</cp:coreProperties>
</file>