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00484D" w14:paraId="09746A05" w14:textId="77777777" w:rsidTr="00751BDC">
        <w:trPr>
          <w:cantSplit/>
        </w:trPr>
        <w:tc>
          <w:tcPr>
            <w:tcW w:w="1418" w:type="dxa"/>
            <w:vAlign w:val="center"/>
          </w:tcPr>
          <w:p w14:paraId="1B6F2353" w14:textId="77777777" w:rsidR="00297434" w:rsidRPr="007B29FB" w:rsidRDefault="008526FF" w:rsidP="00297434">
            <w:pPr>
              <w:tabs>
                <w:tab w:val="right" w:pos="8732"/>
              </w:tabs>
              <w:spacing w:before="0"/>
              <w:jc w:val="center"/>
              <w:rPr>
                <w:rFonts w:ascii="Verdana" w:hAnsi="Verdana"/>
                <w:b/>
                <w:bCs/>
                <w:iCs/>
                <w:color w:val="FFFFFF"/>
                <w:sz w:val="26"/>
                <w:szCs w:val="26"/>
                <w:lang w:val="ru-RU"/>
              </w:rPr>
            </w:pPr>
            <w:r w:rsidRPr="007B29FB">
              <w:rPr>
                <w:noProof/>
                <w:lang w:val="ru-RU" w:eastAsia="ru-RU"/>
              </w:rPr>
              <w:drawing>
                <wp:inline distT="0" distB="0" distL="0" distR="0" wp14:anchorId="6D0B3ED1" wp14:editId="6375B7AF">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0" w:type="dxa"/>
            <w:gridSpan w:val="2"/>
            <w:vAlign w:val="center"/>
          </w:tcPr>
          <w:p w14:paraId="11AAECD7" w14:textId="77777777" w:rsidR="00297434" w:rsidRPr="007B29FB" w:rsidRDefault="00297434" w:rsidP="00297434">
            <w:pPr>
              <w:spacing w:before="0"/>
              <w:rPr>
                <w:rFonts w:cs="Times New Roman Bold"/>
                <w:b/>
                <w:bCs/>
                <w:iCs/>
                <w:smallCaps/>
                <w:sz w:val="32"/>
                <w:szCs w:val="32"/>
                <w:lang w:val="ru-RU"/>
              </w:rPr>
            </w:pPr>
            <w:r w:rsidRPr="007B29FB">
              <w:rPr>
                <w:rFonts w:cs="Times New Roman Bold"/>
                <w:b/>
                <w:bCs/>
                <w:iCs/>
                <w:smallCaps/>
                <w:sz w:val="32"/>
                <w:szCs w:val="32"/>
                <w:lang w:val="ru-RU"/>
              </w:rPr>
              <w:t>Международный союз электросвязи</w:t>
            </w:r>
          </w:p>
          <w:p w14:paraId="654CA4BB" w14:textId="77777777" w:rsidR="00297434" w:rsidRPr="007B29FB" w:rsidRDefault="00297434" w:rsidP="00297434">
            <w:pPr>
              <w:tabs>
                <w:tab w:val="right" w:pos="8732"/>
              </w:tabs>
              <w:rPr>
                <w:rFonts w:ascii="Verdana" w:hAnsi="Verdana"/>
                <w:b/>
                <w:bCs/>
                <w:iCs/>
                <w:color w:val="FFFFFF"/>
                <w:sz w:val="26"/>
                <w:szCs w:val="26"/>
                <w:lang w:val="ru-RU"/>
              </w:rPr>
            </w:pPr>
            <w:r w:rsidRPr="007B29FB">
              <w:rPr>
                <w:rFonts w:cs="Times New Roman Bold"/>
                <w:b/>
                <w:bCs/>
                <w:iCs/>
                <w:smallCaps/>
                <w:sz w:val="26"/>
                <w:szCs w:val="26"/>
                <w:lang w:val="ru-RU"/>
              </w:rPr>
              <w:t>Бюро стандартизации электросвязи</w:t>
            </w:r>
          </w:p>
        </w:tc>
        <w:tc>
          <w:tcPr>
            <w:tcW w:w="1843" w:type="dxa"/>
            <w:vAlign w:val="center"/>
          </w:tcPr>
          <w:p w14:paraId="485895B7" w14:textId="77777777" w:rsidR="00297434" w:rsidRPr="007B29FB" w:rsidRDefault="00297434" w:rsidP="00297434">
            <w:pPr>
              <w:spacing w:before="0"/>
              <w:jc w:val="right"/>
              <w:rPr>
                <w:rFonts w:ascii="Verdana" w:hAnsi="Verdana"/>
                <w:color w:val="FFFFFF"/>
                <w:sz w:val="26"/>
                <w:szCs w:val="26"/>
                <w:lang w:val="ru-RU"/>
              </w:rPr>
            </w:pPr>
          </w:p>
        </w:tc>
      </w:tr>
      <w:tr w:rsidR="00297434" w:rsidRPr="0000484D" w14:paraId="6D7C9780" w14:textId="77777777" w:rsidTr="00751BDC">
        <w:trPr>
          <w:cantSplit/>
        </w:trPr>
        <w:tc>
          <w:tcPr>
            <w:tcW w:w="7086" w:type="dxa"/>
            <w:gridSpan w:val="2"/>
            <w:vAlign w:val="center"/>
          </w:tcPr>
          <w:p w14:paraId="521401CE" w14:textId="77777777" w:rsidR="00297434" w:rsidRPr="007B29FB" w:rsidRDefault="00297434" w:rsidP="00297434">
            <w:pPr>
              <w:rPr>
                <w:lang w:val="ru-RU"/>
              </w:rPr>
            </w:pPr>
          </w:p>
        </w:tc>
        <w:tc>
          <w:tcPr>
            <w:tcW w:w="2695" w:type="dxa"/>
            <w:gridSpan w:val="2"/>
            <w:vAlign w:val="center"/>
          </w:tcPr>
          <w:p w14:paraId="64961A52" w14:textId="77777777" w:rsidR="00297434" w:rsidRPr="007B29FB" w:rsidRDefault="00297434" w:rsidP="00297434">
            <w:pPr>
              <w:rPr>
                <w:lang w:val="ru-RU"/>
              </w:rPr>
            </w:pPr>
          </w:p>
        </w:tc>
      </w:tr>
    </w:tbl>
    <w:p w14:paraId="5FCCEFED" w14:textId="55B17598" w:rsidR="001629DC" w:rsidRPr="007B29FB" w:rsidRDefault="001629DC" w:rsidP="003A34E4">
      <w:pPr>
        <w:tabs>
          <w:tab w:val="clear" w:pos="794"/>
          <w:tab w:val="clear" w:pos="1191"/>
          <w:tab w:val="clear" w:pos="1588"/>
          <w:tab w:val="clear" w:pos="1985"/>
          <w:tab w:val="left" w:pos="5529"/>
        </w:tabs>
        <w:spacing w:before="240" w:after="240"/>
        <w:rPr>
          <w:lang w:val="ru-RU"/>
        </w:rPr>
      </w:pPr>
      <w:r w:rsidRPr="007B29FB">
        <w:rPr>
          <w:lang w:val="ru-RU"/>
        </w:rPr>
        <w:tab/>
        <w:t>Женева,</w:t>
      </w:r>
      <w:r w:rsidR="00B54B88" w:rsidRPr="007B29FB">
        <w:rPr>
          <w:lang w:val="ru-RU"/>
        </w:rPr>
        <w:t xml:space="preserve"> </w:t>
      </w:r>
      <w:r w:rsidR="0058613E" w:rsidRPr="007B29FB">
        <w:rPr>
          <w:lang w:val="ru-RU"/>
        </w:rPr>
        <w:t>1</w:t>
      </w:r>
      <w:r w:rsidR="003112FE" w:rsidRPr="007B29FB">
        <w:rPr>
          <w:lang w:val="ru-RU"/>
        </w:rPr>
        <w:t>4</w:t>
      </w:r>
      <w:r w:rsidR="004B1F5D" w:rsidRPr="007B29FB">
        <w:rPr>
          <w:lang w:val="ru-RU"/>
        </w:rPr>
        <w:t xml:space="preserve"> января</w:t>
      </w:r>
      <w:r w:rsidR="00DB6ECD" w:rsidRPr="007B29FB">
        <w:rPr>
          <w:lang w:val="ru-RU"/>
        </w:rPr>
        <w:t xml:space="preserve"> </w:t>
      </w:r>
      <w:r w:rsidR="00CD765A" w:rsidRPr="007B29FB">
        <w:rPr>
          <w:lang w:val="ru-RU"/>
        </w:rPr>
        <w:t>20</w:t>
      </w:r>
      <w:r w:rsidR="00DB6ECD" w:rsidRPr="007B29FB">
        <w:rPr>
          <w:lang w:val="ru-RU"/>
        </w:rPr>
        <w:t>2</w:t>
      </w:r>
      <w:r w:rsidR="0058613E" w:rsidRPr="007B29FB">
        <w:rPr>
          <w:lang w:val="ru-RU"/>
        </w:rPr>
        <w:t>2</w:t>
      </w:r>
      <w:r w:rsidR="007D4F1A" w:rsidRPr="007B29FB">
        <w:rPr>
          <w:lang w:val="ru-RU"/>
        </w:rPr>
        <w:t> </w:t>
      </w:r>
      <w:r w:rsidR="00A32FD5" w:rsidRPr="007B29FB">
        <w:rPr>
          <w:lang w:val="ru-RU"/>
        </w:rPr>
        <w:t>года</w:t>
      </w:r>
    </w:p>
    <w:tbl>
      <w:tblPr>
        <w:tblW w:w="9771" w:type="dxa"/>
        <w:tblLayout w:type="fixed"/>
        <w:tblCellMar>
          <w:left w:w="0" w:type="dxa"/>
          <w:right w:w="0" w:type="dxa"/>
        </w:tblCellMar>
        <w:tblLook w:val="0000" w:firstRow="0" w:lastRow="0" w:firstColumn="0" w:lastColumn="0" w:noHBand="0" w:noVBand="0"/>
      </w:tblPr>
      <w:tblGrid>
        <w:gridCol w:w="1418"/>
        <w:gridCol w:w="3544"/>
        <w:gridCol w:w="4809"/>
      </w:tblGrid>
      <w:tr w:rsidR="00435258" w:rsidRPr="0000484D" w14:paraId="7F7B14CE" w14:textId="77777777" w:rsidTr="00325E68">
        <w:trPr>
          <w:cantSplit/>
          <w:trHeight w:val="2686"/>
        </w:trPr>
        <w:tc>
          <w:tcPr>
            <w:tcW w:w="1418" w:type="dxa"/>
          </w:tcPr>
          <w:p w14:paraId="18F40D53" w14:textId="2BD4726F" w:rsidR="00435258" w:rsidRPr="007B29FB" w:rsidRDefault="00435258" w:rsidP="00867192">
            <w:pPr>
              <w:spacing w:before="0"/>
              <w:rPr>
                <w:lang w:val="ru-RU"/>
              </w:rPr>
            </w:pPr>
            <w:r w:rsidRPr="007B29FB">
              <w:rPr>
                <w:b/>
                <w:bCs/>
                <w:lang w:val="ru-RU"/>
              </w:rPr>
              <w:t>Осн</w:t>
            </w:r>
            <w:r w:rsidRPr="007B29FB">
              <w:rPr>
                <w:lang w:val="ru-RU"/>
              </w:rPr>
              <w:t>.:</w:t>
            </w:r>
          </w:p>
          <w:p w14:paraId="1036D528" w14:textId="229C284A" w:rsidR="00435258" w:rsidRPr="007B29FB" w:rsidRDefault="00435258" w:rsidP="00867192">
            <w:pPr>
              <w:spacing w:before="0"/>
              <w:rPr>
                <w:lang w:val="ru-RU"/>
              </w:rPr>
            </w:pPr>
          </w:p>
          <w:p w14:paraId="5BC260AB" w14:textId="77777777" w:rsidR="00435258" w:rsidRPr="007B29FB" w:rsidRDefault="00435258" w:rsidP="00867192">
            <w:pPr>
              <w:spacing w:before="0"/>
              <w:rPr>
                <w:b/>
                <w:bCs/>
                <w:lang w:val="ru-RU"/>
              </w:rPr>
            </w:pPr>
          </w:p>
          <w:p w14:paraId="541D3CA0" w14:textId="68DB9A45" w:rsidR="00435258" w:rsidRPr="007B29FB" w:rsidRDefault="00435258" w:rsidP="00435258">
            <w:pPr>
              <w:spacing w:before="0"/>
              <w:rPr>
                <w:b/>
                <w:bCs/>
                <w:lang w:val="ru-RU"/>
              </w:rPr>
            </w:pPr>
            <w:r w:rsidRPr="007B29FB">
              <w:rPr>
                <w:lang w:val="ru-RU"/>
              </w:rPr>
              <w:t>Тел.:</w:t>
            </w:r>
            <w:r w:rsidRPr="007B29FB">
              <w:rPr>
                <w:lang w:val="ru-RU"/>
              </w:rPr>
              <w:br/>
              <w:t>Факс:</w:t>
            </w:r>
            <w:r w:rsidRPr="007B29FB">
              <w:rPr>
                <w:lang w:val="ru-RU"/>
              </w:rPr>
              <w:br/>
              <w:t>Эл. почта:</w:t>
            </w:r>
          </w:p>
        </w:tc>
        <w:tc>
          <w:tcPr>
            <w:tcW w:w="3544" w:type="dxa"/>
          </w:tcPr>
          <w:p w14:paraId="1FCA6811" w14:textId="4B036C64" w:rsidR="00435258" w:rsidRPr="007B29FB" w:rsidRDefault="00435258" w:rsidP="00433221">
            <w:pPr>
              <w:spacing w:before="0"/>
              <w:rPr>
                <w:b/>
                <w:bCs/>
                <w:lang w:val="ru-RU"/>
              </w:rPr>
            </w:pPr>
            <w:r w:rsidRPr="007B29FB">
              <w:rPr>
                <w:b/>
                <w:bCs/>
                <w:lang w:val="ru-RU"/>
              </w:rPr>
              <w:t>Циркуляр 367 БСЭ</w:t>
            </w:r>
            <w:r w:rsidRPr="007B29FB">
              <w:rPr>
                <w:b/>
                <w:bCs/>
                <w:lang w:val="ru-RU"/>
              </w:rPr>
              <w:br/>
            </w:r>
            <w:bookmarkStart w:id="0" w:name="lt_pId025"/>
            <w:r w:rsidRPr="007B29FB">
              <w:rPr>
                <w:b/>
                <w:bCs/>
                <w:lang w:val="ru-RU"/>
              </w:rPr>
              <w:t>FG-TBFxG/DA</w:t>
            </w:r>
          </w:p>
          <w:p w14:paraId="5D622439" w14:textId="77777777" w:rsidR="00435258" w:rsidRPr="007B29FB" w:rsidRDefault="00435258" w:rsidP="00433221">
            <w:pPr>
              <w:spacing w:before="0"/>
              <w:rPr>
                <w:lang w:val="ru-RU"/>
              </w:rPr>
            </w:pPr>
          </w:p>
          <w:bookmarkEnd w:id="0"/>
          <w:p w14:paraId="00ABA4B0" w14:textId="0C005F65" w:rsidR="00435258" w:rsidRPr="007B29FB" w:rsidRDefault="00435258" w:rsidP="00435258">
            <w:pPr>
              <w:spacing w:before="0"/>
              <w:rPr>
                <w:lang w:val="ru-RU"/>
              </w:rPr>
            </w:pPr>
            <w:r w:rsidRPr="007B29FB">
              <w:rPr>
                <w:lang w:val="ru-RU"/>
              </w:rPr>
              <w:t>+41 22 730 5780</w:t>
            </w:r>
            <w:r w:rsidRPr="007B29FB">
              <w:rPr>
                <w:lang w:val="ru-RU"/>
              </w:rPr>
              <w:br/>
              <w:t>+41 22 730 5853</w:t>
            </w:r>
            <w:r w:rsidRPr="007B29FB">
              <w:rPr>
                <w:lang w:val="ru-RU"/>
              </w:rPr>
              <w:br/>
            </w:r>
            <w:hyperlink r:id="rId9" w:history="1">
              <w:bookmarkStart w:id="1" w:name="lt_pId040"/>
              <w:r w:rsidR="00F24498" w:rsidRPr="007B29FB">
                <w:rPr>
                  <w:rStyle w:val="Hyperlink"/>
                  <w:lang w:val="ru-RU"/>
                </w:rPr>
                <w:t>tsbfgtbf@itu.int</w:t>
              </w:r>
              <w:bookmarkEnd w:id="1"/>
            </w:hyperlink>
          </w:p>
        </w:tc>
        <w:tc>
          <w:tcPr>
            <w:tcW w:w="4809" w:type="dxa"/>
          </w:tcPr>
          <w:p w14:paraId="53D9B041" w14:textId="77777777" w:rsidR="00435258" w:rsidRPr="007B29FB" w:rsidRDefault="00435258" w:rsidP="00B54B88">
            <w:pPr>
              <w:tabs>
                <w:tab w:val="clear" w:pos="794"/>
                <w:tab w:val="clear" w:pos="1191"/>
                <w:tab w:val="clear" w:pos="1588"/>
                <w:tab w:val="clear" w:pos="1985"/>
                <w:tab w:val="left" w:pos="284"/>
              </w:tabs>
              <w:spacing w:before="0"/>
              <w:ind w:left="284" w:hanging="284"/>
              <w:rPr>
                <w:lang w:val="ru-RU"/>
              </w:rPr>
            </w:pPr>
            <w:r w:rsidRPr="007B29FB">
              <w:rPr>
                <w:b/>
                <w:bCs/>
                <w:lang w:val="ru-RU"/>
              </w:rPr>
              <w:t>Кому</w:t>
            </w:r>
            <w:r w:rsidRPr="007B29FB">
              <w:rPr>
                <w:lang w:val="ru-RU"/>
              </w:rPr>
              <w:t>:</w:t>
            </w:r>
          </w:p>
          <w:p w14:paraId="284F1D4F" w14:textId="77777777" w:rsidR="00435258" w:rsidRPr="007B29FB" w:rsidRDefault="00435258" w:rsidP="003112FE">
            <w:pPr>
              <w:tabs>
                <w:tab w:val="clear" w:pos="794"/>
                <w:tab w:val="clear" w:pos="1191"/>
                <w:tab w:val="clear" w:pos="1588"/>
                <w:tab w:val="clear" w:pos="1985"/>
                <w:tab w:val="left" w:pos="284"/>
              </w:tabs>
              <w:spacing w:before="0"/>
              <w:ind w:left="284" w:hanging="284"/>
              <w:rPr>
                <w:lang w:val="ru-RU"/>
              </w:rPr>
            </w:pPr>
            <w:r w:rsidRPr="007B29FB">
              <w:rPr>
                <w:lang w:val="ru-RU"/>
              </w:rPr>
              <w:t>–</w:t>
            </w:r>
            <w:r w:rsidRPr="007B29FB">
              <w:rPr>
                <w:lang w:val="ru-RU"/>
              </w:rPr>
              <w:tab/>
              <w:t>Администрациям Государств − Членов Союза</w:t>
            </w:r>
          </w:p>
          <w:p w14:paraId="7E241CEA" w14:textId="77777777" w:rsidR="00435258" w:rsidRPr="007B29FB" w:rsidRDefault="00435258" w:rsidP="003112FE">
            <w:pPr>
              <w:tabs>
                <w:tab w:val="clear" w:pos="794"/>
                <w:tab w:val="clear" w:pos="1191"/>
                <w:tab w:val="clear" w:pos="1588"/>
                <w:tab w:val="clear" w:pos="1985"/>
                <w:tab w:val="left" w:pos="284"/>
              </w:tabs>
              <w:spacing w:before="0"/>
              <w:ind w:left="284" w:hanging="284"/>
              <w:rPr>
                <w:lang w:val="ru-RU"/>
              </w:rPr>
            </w:pPr>
            <w:r w:rsidRPr="007B29FB">
              <w:rPr>
                <w:lang w:val="ru-RU"/>
              </w:rPr>
              <w:t>–</w:t>
            </w:r>
            <w:r w:rsidRPr="007B29FB">
              <w:rPr>
                <w:lang w:val="ru-RU"/>
              </w:rPr>
              <w:tab/>
              <w:t>Членам Сектора МСЭ-Т</w:t>
            </w:r>
          </w:p>
          <w:p w14:paraId="4A762635" w14:textId="77777777" w:rsidR="00435258" w:rsidRPr="007B29FB" w:rsidRDefault="00435258" w:rsidP="003112FE">
            <w:pPr>
              <w:tabs>
                <w:tab w:val="clear" w:pos="794"/>
                <w:tab w:val="clear" w:pos="1191"/>
                <w:tab w:val="clear" w:pos="1588"/>
                <w:tab w:val="clear" w:pos="1985"/>
                <w:tab w:val="left" w:pos="284"/>
              </w:tabs>
              <w:spacing w:before="0"/>
              <w:ind w:left="284" w:hanging="284"/>
              <w:rPr>
                <w:lang w:val="ru-RU"/>
              </w:rPr>
            </w:pPr>
            <w:r w:rsidRPr="007B29FB">
              <w:rPr>
                <w:lang w:val="ru-RU"/>
              </w:rPr>
              <w:t>–</w:t>
            </w:r>
            <w:r w:rsidRPr="007B29FB">
              <w:rPr>
                <w:lang w:val="ru-RU"/>
              </w:rPr>
              <w:tab/>
              <w:t>Ассоциированным членам МСЭ</w:t>
            </w:r>
            <w:r w:rsidRPr="007B29FB">
              <w:rPr>
                <w:lang w:val="ru-RU"/>
              </w:rPr>
              <w:noBreakHyphen/>
              <w:t>Т</w:t>
            </w:r>
          </w:p>
          <w:p w14:paraId="4DFDD1A4" w14:textId="77777777" w:rsidR="00435258" w:rsidRPr="007B29FB" w:rsidRDefault="00435258" w:rsidP="00F67E59">
            <w:pPr>
              <w:tabs>
                <w:tab w:val="clear" w:pos="794"/>
                <w:tab w:val="clear" w:pos="1191"/>
                <w:tab w:val="clear" w:pos="1588"/>
                <w:tab w:val="clear" w:pos="1985"/>
                <w:tab w:val="left" w:pos="284"/>
              </w:tabs>
              <w:spacing w:before="0"/>
              <w:ind w:left="284" w:hanging="284"/>
              <w:rPr>
                <w:lang w:val="ru-RU"/>
              </w:rPr>
            </w:pPr>
            <w:r w:rsidRPr="007B29FB">
              <w:rPr>
                <w:lang w:val="ru-RU"/>
              </w:rPr>
              <w:t>–</w:t>
            </w:r>
            <w:r w:rsidRPr="007B29FB">
              <w:rPr>
                <w:lang w:val="ru-RU"/>
              </w:rPr>
              <w:tab/>
              <w:t>Академическим организациям − Членам МСЭ</w:t>
            </w:r>
          </w:p>
          <w:p w14:paraId="1D60716C" w14:textId="77777777" w:rsidR="00435258" w:rsidRPr="007B29FB" w:rsidRDefault="00435258" w:rsidP="00B54B88">
            <w:pPr>
              <w:tabs>
                <w:tab w:val="clear" w:pos="794"/>
                <w:tab w:val="clear" w:pos="1191"/>
                <w:tab w:val="clear" w:pos="1588"/>
                <w:tab w:val="clear" w:pos="1985"/>
                <w:tab w:val="left" w:pos="284"/>
              </w:tabs>
              <w:spacing w:before="0"/>
              <w:ind w:left="284" w:hanging="284"/>
              <w:rPr>
                <w:lang w:val="ru-RU"/>
              </w:rPr>
            </w:pPr>
            <w:r w:rsidRPr="007B29FB">
              <w:rPr>
                <w:b/>
                <w:bCs/>
                <w:lang w:val="ru-RU"/>
              </w:rPr>
              <w:t>Копии</w:t>
            </w:r>
            <w:r w:rsidRPr="007B29FB">
              <w:rPr>
                <w:lang w:val="ru-RU"/>
              </w:rPr>
              <w:t>:</w:t>
            </w:r>
          </w:p>
          <w:p w14:paraId="17EC04D8" w14:textId="77777777" w:rsidR="00435258" w:rsidRPr="007B29FB" w:rsidRDefault="00435258" w:rsidP="003112FE">
            <w:pPr>
              <w:tabs>
                <w:tab w:val="clear" w:pos="794"/>
                <w:tab w:val="clear" w:pos="1191"/>
                <w:tab w:val="clear" w:pos="1588"/>
                <w:tab w:val="clear" w:pos="1985"/>
                <w:tab w:val="left" w:pos="284"/>
              </w:tabs>
              <w:spacing w:before="0"/>
              <w:ind w:left="284" w:hanging="284"/>
              <w:rPr>
                <w:lang w:val="ru-RU"/>
              </w:rPr>
            </w:pPr>
            <w:r w:rsidRPr="007B29FB">
              <w:rPr>
                <w:lang w:val="ru-RU"/>
              </w:rPr>
              <w:t>–</w:t>
            </w:r>
            <w:r w:rsidRPr="007B29FB">
              <w:rPr>
                <w:lang w:val="ru-RU"/>
              </w:rPr>
              <w:tab/>
              <w:t>Председателям и заместителям председателей исследовательских комиссий</w:t>
            </w:r>
          </w:p>
          <w:p w14:paraId="54828651" w14:textId="77777777" w:rsidR="00435258" w:rsidRPr="007B29FB" w:rsidRDefault="00435258" w:rsidP="003112FE">
            <w:pPr>
              <w:tabs>
                <w:tab w:val="clear" w:pos="794"/>
                <w:tab w:val="clear" w:pos="1191"/>
                <w:tab w:val="clear" w:pos="1588"/>
                <w:tab w:val="clear" w:pos="1985"/>
                <w:tab w:val="left" w:pos="284"/>
              </w:tabs>
              <w:spacing w:before="0"/>
              <w:ind w:left="284" w:hanging="284"/>
              <w:rPr>
                <w:lang w:val="ru-RU"/>
              </w:rPr>
            </w:pPr>
            <w:r w:rsidRPr="007B29FB">
              <w:rPr>
                <w:lang w:val="ru-RU"/>
              </w:rPr>
              <w:t>–</w:t>
            </w:r>
            <w:r w:rsidRPr="007B29FB">
              <w:rPr>
                <w:lang w:val="ru-RU"/>
              </w:rPr>
              <w:tab/>
              <w:t>Директору Бюро развития электросвязи</w:t>
            </w:r>
          </w:p>
          <w:p w14:paraId="2ADD1BAA" w14:textId="2E67C5F1" w:rsidR="00435258" w:rsidRPr="007B29FB" w:rsidRDefault="00435258" w:rsidP="003112FE">
            <w:pPr>
              <w:tabs>
                <w:tab w:val="left" w:pos="284"/>
              </w:tabs>
              <w:spacing w:before="0"/>
              <w:ind w:left="284" w:hanging="284"/>
              <w:rPr>
                <w:lang w:val="ru-RU"/>
              </w:rPr>
            </w:pPr>
            <w:r w:rsidRPr="007B29FB">
              <w:rPr>
                <w:lang w:val="ru-RU"/>
              </w:rPr>
              <w:t>–</w:t>
            </w:r>
            <w:r w:rsidRPr="007B29FB">
              <w:rPr>
                <w:lang w:val="ru-RU"/>
              </w:rPr>
              <w:tab/>
              <w:t>Директору Бюро радиосвязи</w:t>
            </w:r>
          </w:p>
        </w:tc>
      </w:tr>
    </w:tbl>
    <w:p w14:paraId="6A87D080" w14:textId="77777777" w:rsidR="001629DC" w:rsidRPr="007B29FB" w:rsidRDefault="001629DC" w:rsidP="00F67E59">
      <w:pPr>
        <w:spacing w:before="0"/>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00484D" w14:paraId="4EE927C7" w14:textId="77777777" w:rsidTr="006555F5">
        <w:trPr>
          <w:cantSplit/>
        </w:trPr>
        <w:tc>
          <w:tcPr>
            <w:tcW w:w="1418" w:type="dxa"/>
          </w:tcPr>
          <w:p w14:paraId="7756A66C" w14:textId="77777777" w:rsidR="001629DC" w:rsidRPr="007B29FB" w:rsidRDefault="001629DC" w:rsidP="00A16F08">
            <w:pPr>
              <w:spacing w:before="0"/>
              <w:ind w:left="-107"/>
              <w:rPr>
                <w:b/>
                <w:bCs/>
                <w:lang w:val="ru-RU"/>
              </w:rPr>
            </w:pPr>
            <w:r w:rsidRPr="007B29FB">
              <w:rPr>
                <w:b/>
                <w:bCs/>
                <w:lang w:val="ru-RU"/>
              </w:rPr>
              <w:t>Предмет</w:t>
            </w:r>
            <w:r w:rsidRPr="007B29FB">
              <w:rPr>
                <w:lang w:val="ru-RU"/>
              </w:rPr>
              <w:t>:</w:t>
            </w:r>
          </w:p>
        </w:tc>
        <w:tc>
          <w:tcPr>
            <w:tcW w:w="8363" w:type="dxa"/>
          </w:tcPr>
          <w:p w14:paraId="523B7AF7" w14:textId="4F7D68A1" w:rsidR="001629DC" w:rsidRPr="007B29FB" w:rsidRDefault="002A5983" w:rsidP="004B28F6">
            <w:pPr>
              <w:tabs>
                <w:tab w:val="clear" w:pos="794"/>
                <w:tab w:val="clear" w:pos="1191"/>
                <w:tab w:val="clear" w:pos="1588"/>
                <w:tab w:val="clear" w:pos="1985"/>
              </w:tabs>
              <w:spacing w:before="0"/>
              <w:ind w:right="89"/>
              <w:rPr>
                <w:b/>
                <w:lang w:val="ru-RU"/>
              </w:rPr>
            </w:pPr>
            <w:r w:rsidRPr="007B29FB">
              <w:rPr>
                <w:b/>
                <w:bCs/>
                <w:lang w:val="ru-RU"/>
              </w:rPr>
              <w:t>Создание</w:t>
            </w:r>
            <w:r w:rsidR="003112FE" w:rsidRPr="007B29FB">
              <w:rPr>
                <w:b/>
                <w:bCs/>
                <w:lang w:val="ru-RU"/>
              </w:rPr>
              <w:t xml:space="preserve"> </w:t>
            </w:r>
            <w:r w:rsidR="00F67E59" w:rsidRPr="007B29FB">
              <w:rPr>
                <w:b/>
                <w:bCs/>
                <w:lang w:val="ru-RU"/>
              </w:rPr>
              <w:t>нов</w:t>
            </w:r>
            <w:r w:rsidRPr="007B29FB">
              <w:rPr>
                <w:b/>
                <w:bCs/>
                <w:lang w:val="ru-RU"/>
              </w:rPr>
              <w:t>ой</w:t>
            </w:r>
            <w:r w:rsidR="00F67E59" w:rsidRPr="007B29FB">
              <w:rPr>
                <w:b/>
                <w:bCs/>
                <w:lang w:val="ru-RU"/>
              </w:rPr>
              <w:t xml:space="preserve"> </w:t>
            </w:r>
            <w:r w:rsidR="00325E68" w:rsidRPr="007B29FB">
              <w:rPr>
                <w:b/>
                <w:bCs/>
                <w:lang w:val="ru-RU"/>
              </w:rPr>
              <w:t>О</w:t>
            </w:r>
            <w:r w:rsidR="00F67E59" w:rsidRPr="007B29FB">
              <w:rPr>
                <w:b/>
                <w:bCs/>
                <w:lang w:val="ru-RU"/>
              </w:rPr>
              <w:t>перативн</w:t>
            </w:r>
            <w:r w:rsidRPr="007B29FB">
              <w:rPr>
                <w:b/>
                <w:bCs/>
                <w:lang w:val="ru-RU"/>
              </w:rPr>
              <w:t>ой</w:t>
            </w:r>
            <w:r w:rsidR="00F67E59" w:rsidRPr="007B29FB">
              <w:rPr>
                <w:b/>
                <w:bCs/>
                <w:lang w:val="ru-RU"/>
              </w:rPr>
              <w:t xml:space="preserve"> групп</w:t>
            </w:r>
            <w:r w:rsidRPr="007B29FB">
              <w:rPr>
                <w:b/>
                <w:bCs/>
                <w:lang w:val="ru-RU"/>
              </w:rPr>
              <w:t>ы</w:t>
            </w:r>
            <w:r w:rsidR="00F67E59" w:rsidRPr="007B29FB">
              <w:rPr>
                <w:b/>
                <w:bCs/>
                <w:lang w:val="ru-RU"/>
              </w:rPr>
              <w:t xml:space="preserve"> МСЭ "Федерации испытательных стендов для </w:t>
            </w:r>
            <w:r w:rsidRPr="007B29FB">
              <w:rPr>
                <w:b/>
                <w:bCs/>
                <w:lang w:val="ru-RU"/>
              </w:rPr>
              <w:t xml:space="preserve">IMT-2020 </w:t>
            </w:r>
            <w:r w:rsidR="00F67E59" w:rsidRPr="007B29FB">
              <w:rPr>
                <w:b/>
                <w:bCs/>
                <w:lang w:val="ru-RU"/>
              </w:rPr>
              <w:t>и последующих систем"</w:t>
            </w:r>
            <w:r w:rsidR="003112FE" w:rsidRPr="007B29FB">
              <w:rPr>
                <w:b/>
                <w:bCs/>
                <w:lang w:val="ru-RU"/>
              </w:rPr>
              <w:t xml:space="preserve"> (</w:t>
            </w:r>
            <w:r w:rsidR="00325E68" w:rsidRPr="007B29FB">
              <w:rPr>
                <w:b/>
                <w:bCs/>
                <w:lang w:val="ru-RU"/>
              </w:rPr>
              <w:t>ОГ</w:t>
            </w:r>
            <w:r w:rsidR="003112FE" w:rsidRPr="007B29FB">
              <w:rPr>
                <w:b/>
                <w:bCs/>
                <w:lang w:val="ru-RU"/>
              </w:rPr>
              <w:t xml:space="preserve">-TBFxG) </w:t>
            </w:r>
            <w:r w:rsidRPr="007B29FB">
              <w:rPr>
                <w:b/>
                <w:bCs/>
                <w:lang w:val="ru-RU"/>
              </w:rPr>
              <w:t>и</w:t>
            </w:r>
            <w:r w:rsidR="003112FE" w:rsidRPr="007B29FB">
              <w:rPr>
                <w:b/>
                <w:bCs/>
                <w:lang w:val="ru-RU"/>
              </w:rPr>
              <w:t xml:space="preserve"> </w:t>
            </w:r>
            <w:r w:rsidR="00F67E59" w:rsidRPr="007B29FB">
              <w:rPr>
                <w:b/>
                <w:bCs/>
                <w:lang w:val="ru-RU"/>
              </w:rPr>
              <w:t>первое собрание</w:t>
            </w:r>
            <w:r w:rsidRPr="007B29FB">
              <w:rPr>
                <w:b/>
                <w:bCs/>
                <w:lang w:val="ru-RU"/>
              </w:rPr>
              <w:t xml:space="preserve"> Группы</w:t>
            </w:r>
            <w:r w:rsidR="003112FE" w:rsidRPr="007B29FB">
              <w:rPr>
                <w:b/>
                <w:bCs/>
                <w:lang w:val="ru-RU"/>
              </w:rPr>
              <w:t xml:space="preserve">: </w:t>
            </w:r>
            <w:r w:rsidRPr="007B29FB">
              <w:rPr>
                <w:b/>
                <w:bCs/>
                <w:lang w:val="ru-RU"/>
              </w:rPr>
              <w:t>виртуальный формат</w:t>
            </w:r>
            <w:r w:rsidR="003112FE" w:rsidRPr="007B29FB">
              <w:rPr>
                <w:b/>
                <w:bCs/>
                <w:lang w:val="ru-RU"/>
              </w:rPr>
              <w:t>, 4</w:t>
            </w:r>
            <w:r w:rsidR="00480AB4" w:rsidRPr="007B29FB">
              <w:rPr>
                <w:b/>
                <w:bCs/>
                <w:lang w:val="ru-RU"/>
              </w:rPr>
              <w:t>−</w:t>
            </w:r>
            <w:r w:rsidR="003112FE" w:rsidRPr="007B29FB">
              <w:rPr>
                <w:b/>
                <w:bCs/>
                <w:lang w:val="ru-RU"/>
              </w:rPr>
              <w:t xml:space="preserve">7 </w:t>
            </w:r>
            <w:r w:rsidR="00480AB4" w:rsidRPr="007B29FB">
              <w:rPr>
                <w:b/>
                <w:bCs/>
                <w:lang w:val="ru-RU"/>
              </w:rPr>
              <w:t>апреля</w:t>
            </w:r>
            <w:r w:rsidR="003112FE" w:rsidRPr="007B29FB">
              <w:rPr>
                <w:b/>
                <w:bCs/>
                <w:lang w:val="ru-RU"/>
              </w:rPr>
              <w:t xml:space="preserve"> 2022</w:t>
            </w:r>
            <w:r w:rsidR="00480AB4" w:rsidRPr="007B29FB">
              <w:rPr>
                <w:b/>
                <w:bCs/>
                <w:lang w:val="ru-RU"/>
              </w:rPr>
              <w:t> года</w:t>
            </w:r>
          </w:p>
        </w:tc>
      </w:tr>
    </w:tbl>
    <w:p w14:paraId="61A7D329" w14:textId="08AED81F" w:rsidR="007D1544" w:rsidRPr="007B29FB" w:rsidRDefault="007D1544" w:rsidP="007E0352">
      <w:pPr>
        <w:pStyle w:val="Normalaftertitle"/>
        <w:spacing w:before="480"/>
        <w:rPr>
          <w:lang w:val="ru-RU"/>
        </w:rPr>
      </w:pPr>
      <w:r w:rsidRPr="007B29FB">
        <w:rPr>
          <w:lang w:val="ru-RU"/>
        </w:rPr>
        <w:t>Уважаемая госпожа,</w:t>
      </w:r>
      <w:r w:rsidRPr="007B29FB">
        <w:rPr>
          <w:lang w:val="ru-RU"/>
        </w:rPr>
        <w:br/>
        <w:t>уважаемый господин,</w:t>
      </w:r>
    </w:p>
    <w:p w14:paraId="7E5CABE0" w14:textId="1D90D707" w:rsidR="0077286C" w:rsidRPr="007B29FB" w:rsidRDefault="007D1544" w:rsidP="00480AB4">
      <w:pPr>
        <w:rPr>
          <w:lang w:val="ru-RU"/>
        </w:rPr>
      </w:pPr>
      <w:r w:rsidRPr="007B29FB">
        <w:rPr>
          <w:lang w:val="ru-RU"/>
        </w:rPr>
        <w:t>1</w:t>
      </w:r>
      <w:r w:rsidRPr="007B29FB">
        <w:rPr>
          <w:lang w:val="ru-RU"/>
        </w:rPr>
        <w:tab/>
      </w:r>
      <w:r w:rsidR="00480AB4" w:rsidRPr="007B29FB">
        <w:rPr>
          <w:lang w:val="ru-RU"/>
        </w:rPr>
        <w:t xml:space="preserve">В соответствии с соглашением, достигнутым </w:t>
      </w:r>
      <w:r w:rsidR="00F67E59" w:rsidRPr="007B29FB">
        <w:rPr>
          <w:lang w:val="ru-RU"/>
        </w:rPr>
        <w:t>11</w:t>
      </w:r>
      <w:r w:rsidR="00480AB4" w:rsidRPr="007B29FB">
        <w:rPr>
          <w:lang w:val="ru-RU"/>
        </w:rPr>
        <w:noBreakHyphen/>
        <w:t xml:space="preserve">й Исследовательской комиссией МСЭ-Т на ее </w:t>
      </w:r>
      <w:r w:rsidR="009D74CF" w:rsidRPr="007B29FB">
        <w:rPr>
          <w:lang w:val="ru-RU"/>
        </w:rPr>
        <w:t>виртуальном</w:t>
      </w:r>
      <w:r w:rsidR="00480AB4" w:rsidRPr="007B29FB">
        <w:rPr>
          <w:lang w:val="ru-RU"/>
        </w:rPr>
        <w:t xml:space="preserve"> пленарном заседании (10 декабря 2021 г.), имею че</w:t>
      </w:r>
      <w:r w:rsidR="00F67E59" w:rsidRPr="007B29FB">
        <w:rPr>
          <w:lang w:val="ru-RU"/>
        </w:rPr>
        <w:t>с</w:t>
      </w:r>
      <w:r w:rsidR="00480AB4" w:rsidRPr="007B29FB">
        <w:rPr>
          <w:lang w:val="ru-RU"/>
        </w:rPr>
        <w:t xml:space="preserve">ть объявить о создании </w:t>
      </w:r>
      <w:r w:rsidR="00480AB4" w:rsidRPr="007B29FB">
        <w:rPr>
          <w:b/>
          <w:bCs/>
          <w:lang w:val="ru-RU"/>
        </w:rPr>
        <w:t>новой</w:t>
      </w:r>
      <w:r w:rsidR="00C23CC1" w:rsidRPr="007B29FB">
        <w:rPr>
          <w:b/>
          <w:bCs/>
          <w:lang w:val="ru-RU"/>
        </w:rPr>
        <w:t xml:space="preserve"> </w:t>
      </w:r>
      <w:r w:rsidR="00325E68" w:rsidRPr="007B29FB">
        <w:rPr>
          <w:rFonts w:cstheme="minorHAnsi"/>
          <w:b/>
          <w:bCs/>
          <w:szCs w:val="22"/>
          <w:lang w:val="ru-RU"/>
        </w:rPr>
        <w:t>О</w:t>
      </w:r>
      <w:r w:rsidR="00C23CC1" w:rsidRPr="007B29FB">
        <w:rPr>
          <w:rFonts w:cstheme="minorHAnsi"/>
          <w:b/>
          <w:bCs/>
          <w:szCs w:val="22"/>
          <w:lang w:val="ru-RU"/>
        </w:rPr>
        <w:t xml:space="preserve">перативной группы МСЭ </w:t>
      </w:r>
      <w:r w:rsidR="00F67E59" w:rsidRPr="007B29FB">
        <w:rPr>
          <w:rFonts w:cstheme="minorHAnsi"/>
          <w:b/>
          <w:bCs/>
          <w:szCs w:val="22"/>
          <w:lang w:val="ru-RU"/>
        </w:rPr>
        <w:t>"</w:t>
      </w:r>
      <w:r w:rsidR="00C23CC1" w:rsidRPr="007B29FB">
        <w:rPr>
          <w:rFonts w:cstheme="minorHAnsi"/>
          <w:b/>
          <w:bCs/>
          <w:szCs w:val="22"/>
          <w:lang w:val="ru-RU"/>
        </w:rPr>
        <w:t xml:space="preserve">Федерации испытательных стендов для </w:t>
      </w:r>
      <w:r w:rsidR="009D74CF" w:rsidRPr="007B29FB">
        <w:rPr>
          <w:rFonts w:cstheme="minorHAnsi"/>
          <w:b/>
          <w:bCs/>
          <w:szCs w:val="22"/>
          <w:lang w:val="ru-RU"/>
        </w:rPr>
        <w:t>IMT-2020</w:t>
      </w:r>
      <w:r w:rsidR="00C23CC1" w:rsidRPr="007B29FB">
        <w:rPr>
          <w:rFonts w:cstheme="minorHAnsi"/>
          <w:b/>
          <w:bCs/>
          <w:szCs w:val="22"/>
          <w:lang w:val="ru-RU"/>
        </w:rPr>
        <w:t xml:space="preserve"> и последующих систем</w:t>
      </w:r>
      <w:r w:rsidR="00F67E59" w:rsidRPr="007B29FB">
        <w:rPr>
          <w:rFonts w:cstheme="minorHAnsi"/>
          <w:b/>
          <w:bCs/>
          <w:szCs w:val="22"/>
          <w:lang w:val="ru-RU"/>
        </w:rPr>
        <w:t>"</w:t>
      </w:r>
      <w:r w:rsidR="00C23CC1" w:rsidRPr="007B29FB">
        <w:rPr>
          <w:b/>
          <w:bCs/>
          <w:lang w:val="ru-RU"/>
        </w:rPr>
        <w:t xml:space="preserve"> </w:t>
      </w:r>
      <w:r w:rsidR="00480AB4" w:rsidRPr="007B29FB">
        <w:rPr>
          <w:b/>
          <w:bCs/>
          <w:lang w:val="ru-RU"/>
        </w:rPr>
        <w:t>(</w:t>
      </w:r>
      <w:r w:rsidR="00AA2ED9" w:rsidRPr="007B29FB">
        <w:rPr>
          <w:b/>
          <w:bCs/>
          <w:lang w:val="ru-RU"/>
        </w:rPr>
        <w:t>ОГ-TBFxG</w:t>
      </w:r>
      <w:r w:rsidR="00480AB4" w:rsidRPr="007B29FB">
        <w:rPr>
          <w:b/>
          <w:bCs/>
          <w:lang w:val="ru-RU"/>
        </w:rPr>
        <w:t>)</w:t>
      </w:r>
      <w:r w:rsidR="00480AB4" w:rsidRPr="007B29FB">
        <w:rPr>
          <w:lang w:val="ru-RU"/>
        </w:rPr>
        <w:t xml:space="preserve">. Оперативная группа проведет </w:t>
      </w:r>
      <w:r w:rsidR="009D74CF" w:rsidRPr="007B29FB">
        <w:rPr>
          <w:lang w:val="ru-RU"/>
        </w:rPr>
        <w:t>свое первое собрание</w:t>
      </w:r>
      <w:r w:rsidR="00480AB4" w:rsidRPr="007B29FB">
        <w:rPr>
          <w:lang w:val="ru-RU"/>
        </w:rPr>
        <w:t xml:space="preserve"> </w:t>
      </w:r>
      <w:proofErr w:type="gramStart"/>
      <w:r w:rsidR="00480AB4" w:rsidRPr="007B29FB">
        <w:rPr>
          <w:lang w:val="ru-RU"/>
        </w:rPr>
        <w:t>4−7</w:t>
      </w:r>
      <w:proofErr w:type="gramEnd"/>
      <w:r w:rsidR="00480AB4" w:rsidRPr="007B29FB">
        <w:rPr>
          <w:lang w:val="ru-RU"/>
        </w:rPr>
        <w:t> апреля 202</w:t>
      </w:r>
      <w:r w:rsidR="00A71976">
        <w:rPr>
          <w:lang w:val="ru-RU"/>
        </w:rPr>
        <w:t>2</w:t>
      </w:r>
      <w:r w:rsidR="00480AB4" w:rsidRPr="007B29FB">
        <w:rPr>
          <w:lang w:val="ru-RU"/>
        </w:rPr>
        <w:t> года.</w:t>
      </w:r>
    </w:p>
    <w:p w14:paraId="65437BB1" w14:textId="102DB273" w:rsidR="006D67B7" w:rsidRPr="007B29FB" w:rsidRDefault="006D67B7" w:rsidP="006D67B7">
      <w:pPr>
        <w:rPr>
          <w:lang w:val="ru-RU"/>
        </w:rPr>
      </w:pPr>
      <w:r w:rsidRPr="007B29FB">
        <w:rPr>
          <w:lang w:val="ru-RU"/>
        </w:rPr>
        <w:t>2</w:t>
      </w:r>
      <w:r w:rsidRPr="007B29FB">
        <w:rPr>
          <w:lang w:val="ru-RU"/>
        </w:rPr>
        <w:tab/>
      </w:r>
      <w:r w:rsidR="00AA2ED9" w:rsidRPr="007B29FB">
        <w:rPr>
          <w:lang w:val="ru-RU"/>
        </w:rPr>
        <w:t>ОГ-TBFxG</w:t>
      </w:r>
      <w:r w:rsidR="0018654F" w:rsidRPr="007B29FB">
        <w:rPr>
          <w:lang w:val="ru-RU"/>
        </w:rPr>
        <w:t xml:space="preserve"> </w:t>
      </w:r>
      <w:r w:rsidR="00E14ECA" w:rsidRPr="007B29FB">
        <w:rPr>
          <w:lang w:val="ru-RU"/>
        </w:rPr>
        <w:t xml:space="preserve">под </w:t>
      </w:r>
      <w:r w:rsidR="000A0116" w:rsidRPr="007B29FB">
        <w:rPr>
          <w:rFonts w:cstheme="minorHAnsi"/>
          <w:szCs w:val="22"/>
          <w:lang w:val="ru-RU"/>
        </w:rPr>
        <w:t>председател</w:t>
      </w:r>
      <w:r w:rsidR="00E14ECA" w:rsidRPr="007B29FB">
        <w:rPr>
          <w:rFonts w:cstheme="minorHAnsi"/>
          <w:szCs w:val="22"/>
          <w:lang w:val="ru-RU"/>
        </w:rPr>
        <w:t>ьством</w:t>
      </w:r>
      <w:r w:rsidR="000A0116" w:rsidRPr="007B29FB">
        <w:rPr>
          <w:rFonts w:cstheme="minorHAnsi"/>
          <w:szCs w:val="22"/>
          <w:lang w:val="ru-RU"/>
        </w:rPr>
        <w:t xml:space="preserve"> г-н</w:t>
      </w:r>
      <w:r w:rsidR="00325E68" w:rsidRPr="007B29FB">
        <w:rPr>
          <w:rFonts w:cstheme="minorHAnsi"/>
          <w:szCs w:val="22"/>
          <w:lang w:val="ru-RU"/>
        </w:rPr>
        <w:t>а </w:t>
      </w:r>
      <w:r w:rsidR="000A0116" w:rsidRPr="007B29FB">
        <w:rPr>
          <w:rFonts w:cstheme="minorHAnsi"/>
          <w:szCs w:val="22"/>
          <w:lang w:val="ru-RU"/>
        </w:rPr>
        <w:t>Джулио Маджоре</w:t>
      </w:r>
      <w:r w:rsidR="000A0116" w:rsidRPr="007B29FB">
        <w:rPr>
          <w:lang w:val="ru-RU"/>
        </w:rPr>
        <w:t xml:space="preserve"> </w:t>
      </w:r>
      <w:r w:rsidRPr="007B29FB">
        <w:rPr>
          <w:lang w:val="ru-RU"/>
        </w:rPr>
        <w:t xml:space="preserve">(Telecom Italia, </w:t>
      </w:r>
      <w:r w:rsidR="000A0116" w:rsidRPr="007B29FB">
        <w:rPr>
          <w:lang w:val="ru-RU"/>
        </w:rPr>
        <w:t>Италия</w:t>
      </w:r>
      <w:r w:rsidRPr="007B29FB">
        <w:rPr>
          <w:lang w:val="ru-RU"/>
        </w:rPr>
        <w:t>)</w:t>
      </w:r>
      <w:r w:rsidR="00E14ECA" w:rsidRPr="007B29FB">
        <w:rPr>
          <w:lang w:val="ru-RU"/>
        </w:rPr>
        <w:t xml:space="preserve"> будет служить платформой для согласования спецификаций испытательных стендов между организациями </w:t>
      </w:r>
      <w:r w:rsidR="00BA4E67" w:rsidRPr="007B29FB">
        <w:rPr>
          <w:lang w:val="ru-RU"/>
        </w:rPr>
        <w:t xml:space="preserve">и форумами </w:t>
      </w:r>
      <w:r w:rsidR="00E14ECA" w:rsidRPr="007B29FB">
        <w:rPr>
          <w:lang w:val="ru-RU"/>
        </w:rPr>
        <w:t>по разработке стандарто</w:t>
      </w:r>
      <w:r w:rsidR="009D3675" w:rsidRPr="007B29FB">
        <w:rPr>
          <w:lang w:val="ru-RU"/>
        </w:rPr>
        <w:t>в</w:t>
      </w:r>
      <w:r w:rsidRPr="007B29FB">
        <w:rPr>
          <w:lang w:val="ru-RU"/>
        </w:rPr>
        <w:t xml:space="preserve">. </w:t>
      </w:r>
      <w:r w:rsidR="00E14ECA" w:rsidRPr="007B29FB">
        <w:rPr>
          <w:lang w:val="ru-RU"/>
        </w:rPr>
        <w:t>ОГ</w:t>
      </w:r>
      <w:r w:rsidRPr="007B29FB">
        <w:rPr>
          <w:lang w:val="ru-RU"/>
        </w:rPr>
        <w:t xml:space="preserve">-TBFxG </w:t>
      </w:r>
      <w:r w:rsidR="009D3675" w:rsidRPr="007B29FB">
        <w:rPr>
          <w:lang w:val="ru-RU"/>
        </w:rPr>
        <w:t xml:space="preserve">разработает необходимые прикладные программные интерфейсы </w:t>
      </w:r>
      <w:r w:rsidRPr="007B29FB">
        <w:rPr>
          <w:lang w:val="ru-RU"/>
        </w:rPr>
        <w:t>(API)</w:t>
      </w:r>
      <w:r w:rsidR="009D3675" w:rsidRPr="007B29FB">
        <w:rPr>
          <w:lang w:val="ru-RU"/>
        </w:rPr>
        <w:t>, согласованные с эталонной моделью</w:t>
      </w:r>
      <w:r w:rsidR="00325E68" w:rsidRPr="007B29FB">
        <w:rPr>
          <w:lang w:val="ru-RU"/>
        </w:rPr>
        <w:t>,</w:t>
      </w:r>
      <w:r w:rsidR="009D3675" w:rsidRPr="007B29FB">
        <w:rPr>
          <w:lang w:val="ru-RU"/>
        </w:rPr>
        <w:t xml:space="preserve"> </w:t>
      </w:r>
      <w:r w:rsidR="00325E68" w:rsidRPr="007B29FB">
        <w:rPr>
          <w:lang w:val="ru-RU"/>
        </w:rPr>
        <w:t xml:space="preserve">которая представлена </w:t>
      </w:r>
      <w:r w:rsidR="009D3675" w:rsidRPr="007B29FB">
        <w:rPr>
          <w:lang w:val="ru-RU"/>
        </w:rPr>
        <w:t>в </w:t>
      </w:r>
      <w:r w:rsidR="00435258" w:rsidRPr="007B29FB">
        <w:rPr>
          <w:lang w:val="ru-RU"/>
        </w:rPr>
        <w:t>Рекомендации </w:t>
      </w:r>
      <w:hyperlink r:id="rId10" w:history="1">
        <w:r w:rsidR="009D3675" w:rsidRPr="007B29FB">
          <w:rPr>
            <w:rStyle w:val="Hyperlink"/>
            <w:lang w:val="ru-RU"/>
          </w:rPr>
          <w:t>МСЭ</w:t>
        </w:r>
        <w:r w:rsidRPr="007B29FB">
          <w:rPr>
            <w:rStyle w:val="Hyperlink"/>
            <w:lang w:val="ru-RU"/>
          </w:rPr>
          <w:t>-T Q.4068</w:t>
        </w:r>
      </w:hyperlink>
      <w:r w:rsidRPr="007B29FB">
        <w:rPr>
          <w:lang w:val="ru-RU"/>
        </w:rPr>
        <w:t xml:space="preserve"> </w:t>
      </w:r>
      <w:r w:rsidR="00325E68" w:rsidRPr="007B29FB">
        <w:rPr>
          <w:lang w:val="ru-RU"/>
        </w:rPr>
        <w:t xml:space="preserve">и </w:t>
      </w:r>
      <w:r w:rsidR="009D3675" w:rsidRPr="007B29FB">
        <w:rPr>
          <w:lang w:val="ru-RU"/>
        </w:rPr>
        <w:t>разработан</w:t>
      </w:r>
      <w:r w:rsidR="00AA2ED9" w:rsidRPr="007B29FB">
        <w:rPr>
          <w:lang w:val="ru-RU"/>
        </w:rPr>
        <w:t>а</w:t>
      </w:r>
      <w:r w:rsidR="009D3675" w:rsidRPr="007B29FB">
        <w:rPr>
          <w:lang w:val="ru-RU"/>
        </w:rPr>
        <w:t xml:space="preserve"> в сотрудничестве с </w:t>
      </w:r>
      <w:r w:rsidR="00AA2ED9" w:rsidRPr="007B29FB">
        <w:rPr>
          <w:lang w:val="ru-RU"/>
        </w:rPr>
        <w:t>Техническим комитетом</w:t>
      </w:r>
      <w:r w:rsidR="009D3675" w:rsidRPr="007B29FB">
        <w:rPr>
          <w:lang w:val="ru-RU"/>
        </w:rPr>
        <w:t xml:space="preserve"> INT ЕТСИ</w:t>
      </w:r>
      <w:r w:rsidR="00AA2ED9" w:rsidRPr="007B29FB">
        <w:rPr>
          <w:lang w:val="ru-RU"/>
        </w:rPr>
        <w:t xml:space="preserve"> (ETSI TC INT)</w:t>
      </w:r>
      <w:r w:rsidRPr="007B29FB">
        <w:rPr>
          <w:lang w:val="ru-RU"/>
        </w:rPr>
        <w:t xml:space="preserve">, </w:t>
      </w:r>
      <w:r w:rsidR="009D3675" w:rsidRPr="007B29FB">
        <w:rPr>
          <w:lang w:val="ru-RU"/>
        </w:rPr>
        <w:t xml:space="preserve">и определит набор сценариев использования </w:t>
      </w:r>
      <w:r w:rsidR="00B106E4" w:rsidRPr="007B29FB">
        <w:rPr>
          <w:lang w:val="ru-RU"/>
        </w:rPr>
        <w:t xml:space="preserve">объединенных в федерацию испытательных стендов и </w:t>
      </w:r>
      <w:r w:rsidRPr="007B29FB">
        <w:rPr>
          <w:lang w:val="ru-RU"/>
        </w:rPr>
        <w:t>API.</w:t>
      </w:r>
    </w:p>
    <w:p w14:paraId="68ED1D00" w14:textId="28CF257A" w:rsidR="006D67B7" w:rsidRPr="007B29FB" w:rsidRDefault="00AA2ED9" w:rsidP="006D67B7">
      <w:pPr>
        <w:rPr>
          <w:lang w:val="ru-RU"/>
        </w:rPr>
      </w:pPr>
      <w:r w:rsidRPr="007B29FB">
        <w:rPr>
          <w:lang w:val="ru-RU"/>
        </w:rPr>
        <w:t>ОГ-TBFxG</w:t>
      </w:r>
      <w:r w:rsidR="006D67B7" w:rsidRPr="007B29FB">
        <w:rPr>
          <w:lang w:val="ru-RU"/>
        </w:rPr>
        <w:t xml:space="preserve"> </w:t>
      </w:r>
      <w:r w:rsidR="00B106E4" w:rsidRPr="007B29FB">
        <w:rPr>
          <w:lang w:val="ru-RU"/>
        </w:rPr>
        <w:t xml:space="preserve">призывает все </w:t>
      </w:r>
      <w:r w:rsidR="00325E68" w:rsidRPr="007B29FB">
        <w:rPr>
          <w:lang w:val="ru-RU"/>
        </w:rPr>
        <w:t>соответствующие</w:t>
      </w:r>
      <w:r w:rsidR="00B106E4" w:rsidRPr="007B29FB">
        <w:rPr>
          <w:lang w:val="ru-RU"/>
        </w:rPr>
        <w:t xml:space="preserve"> заинтересованные стороны, </w:t>
      </w:r>
      <w:r w:rsidR="00BA4E67" w:rsidRPr="007B29FB">
        <w:rPr>
          <w:lang w:val="ru-RU"/>
        </w:rPr>
        <w:t xml:space="preserve">организации и </w:t>
      </w:r>
      <w:r w:rsidR="00B106E4" w:rsidRPr="007B29FB">
        <w:rPr>
          <w:lang w:val="ru-RU"/>
        </w:rPr>
        <w:t xml:space="preserve">форумы </w:t>
      </w:r>
      <w:r w:rsidR="00BA4E67" w:rsidRPr="007B29FB">
        <w:rPr>
          <w:lang w:val="ru-RU"/>
        </w:rPr>
        <w:t xml:space="preserve">по разработке стандартов </w:t>
      </w:r>
      <w:r w:rsidR="00B106E4" w:rsidRPr="007B29FB">
        <w:rPr>
          <w:lang w:val="ru-RU"/>
        </w:rPr>
        <w:t>принять участие в работе Оперативной группы, для того чтобы</w:t>
      </w:r>
      <w:r w:rsidR="006D67B7" w:rsidRPr="007B29FB">
        <w:rPr>
          <w:lang w:val="ru-RU"/>
        </w:rPr>
        <w:t>:</w:t>
      </w:r>
    </w:p>
    <w:p w14:paraId="6B7E7D49" w14:textId="78AAAD92" w:rsidR="006D67B7" w:rsidRPr="007B29FB" w:rsidRDefault="006D67B7" w:rsidP="006D67B7">
      <w:pPr>
        <w:pStyle w:val="enumlev1"/>
        <w:rPr>
          <w:lang w:val="ru-RU"/>
        </w:rPr>
      </w:pPr>
      <w:r w:rsidRPr="007B29FB">
        <w:rPr>
          <w:lang w:val="ru-RU"/>
        </w:rPr>
        <w:t>–</w:t>
      </w:r>
      <w:r w:rsidRPr="007B29FB">
        <w:rPr>
          <w:lang w:val="ru-RU"/>
        </w:rPr>
        <w:tab/>
      </w:r>
      <w:r w:rsidR="00325E68" w:rsidRPr="007B29FB">
        <w:rPr>
          <w:lang w:val="ru-RU"/>
        </w:rPr>
        <w:t>внести</w:t>
      </w:r>
      <w:r w:rsidR="00B106E4" w:rsidRPr="007B29FB">
        <w:rPr>
          <w:lang w:val="ru-RU"/>
        </w:rPr>
        <w:t xml:space="preserve"> вклад в разработку </w:t>
      </w:r>
      <w:r w:rsidRPr="007B29FB">
        <w:rPr>
          <w:lang w:val="ru-RU"/>
        </w:rPr>
        <w:t>API</w:t>
      </w:r>
      <w:r w:rsidR="00B106E4" w:rsidRPr="007B29FB">
        <w:rPr>
          <w:lang w:val="ru-RU"/>
        </w:rPr>
        <w:t>, которые заданы эталонной моделью федерации испытательных стендов</w:t>
      </w:r>
      <w:r w:rsidRPr="007B29FB">
        <w:rPr>
          <w:lang w:val="ru-RU"/>
        </w:rPr>
        <w:t>;</w:t>
      </w:r>
    </w:p>
    <w:p w14:paraId="6E99561F" w14:textId="6ADFFCE9" w:rsidR="006D67B7" w:rsidRPr="007B29FB" w:rsidRDefault="006D67B7" w:rsidP="006D67B7">
      <w:pPr>
        <w:pStyle w:val="enumlev1"/>
        <w:rPr>
          <w:lang w:val="ru-RU"/>
        </w:rPr>
      </w:pPr>
      <w:r w:rsidRPr="007B29FB">
        <w:rPr>
          <w:lang w:val="ru-RU"/>
        </w:rPr>
        <w:t>–</w:t>
      </w:r>
      <w:r w:rsidRPr="007B29FB">
        <w:rPr>
          <w:lang w:val="ru-RU"/>
        </w:rPr>
        <w:tab/>
      </w:r>
      <w:r w:rsidR="000A0116" w:rsidRPr="007B29FB">
        <w:rPr>
          <w:lang w:val="ru-RU"/>
        </w:rPr>
        <w:t xml:space="preserve">разделить </w:t>
      </w:r>
      <w:r w:rsidR="00BA4E67" w:rsidRPr="007B29FB">
        <w:rPr>
          <w:lang w:val="ru-RU"/>
        </w:rPr>
        <w:t>функции</w:t>
      </w:r>
      <w:r w:rsidR="000A0116" w:rsidRPr="007B29FB">
        <w:rPr>
          <w:lang w:val="ru-RU"/>
        </w:rPr>
        <w:t xml:space="preserve"> по </w:t>
      </w:r>
      <w:r w:rsidR="00B106E4" w:rsidRPr="007B29FB">
        <w:rPr>
          <w:lang w:val="ru-RU"/>
        </w:rPr>
        <w:t xml:space="preserve">разработке спецификаций и </w:t>
      </w:r>
      <w:r w:rsidR="000A0116" w:rsidRPr="007B29FB">
        <w:rPr>
          <w:lang w:val="ru-RU"/>
        </w:rPr>
        <w:t>стандартизации API и составлению дорожных карт на основе согласования и сотрудничества;</w:t>
      </w:r>
    </w:p>
    <w:p w14:paraId="0B89E62A" w14:textId="78E3BDD7" w:rsidR="006D67B7" w:rsidRPr="007B29FB" w:rsidRDefault="006D67B7" w:rsidP="006D67B7">
      <w:pPr>
        <w:pStyle w:val="enumlev1"/>
        <w:rPr>
          <w:lang w:val="ru-RU"/>
        </w:rPr>
      </w:pPr>
      <w:r w:rsidRPr="007B29FB">
        <w:rPr>
          <w:lang w:val="ru-RU"/>
        </w:rPr>
        <w:t>–</w:t>
      </w:r>
      <w:r w:rsidRPr="007B29FB">
        <w:rPr>
          <w:lang w:val="ru-RU"/>
        </w:rPr>
        <w:tab/>
      </w:r>
      <w:r w:rsidR="00B106E4" w:rsidRPr="007B29FB">
        <w:rPr>
          <w:lang w:val="ru-RU"/>
        </w:rPr>
        <w:t>разработать новые сценарии использования и услуги для поставщиков испытательных стендов</w:t>
      </w:r>
      <w:r w:rsidR="000A0116" w:rsidRPr="007B29FB">
        <w:rPr>
          <w:lang w:val="ru-RU"/>
        </w:rPr>
        <w:t>, определенные на основе эталонной модели федераций испытательных стендов</w:t>
      </w:r>
      <w:r w:rsidR="00B106E4" w:rsidRPr="007B29FB">
        <w:rPr>
          <w:lang w:val="ru-RU"/>
        </w:rPr>
        <w:t xml:space="preserve"> и соответствующих API, например "Испытательный стенд как услуга"(TaaS)</w:t>
      </w:r>
      <w:r w:rsidRPr="007B29FB">
        <w:rPr>
          <w:lang w:val="ru-RU"/>
        </w:rPr>
        <w:t>.</w:t>
      </w:r>
    </w:p>
    <w:p w14:paraId="444F9952" w14:textId="13A5D429" w:rsidR="006D67B7" w:rsidRPr="007B29FB" w:rsidRDefault="006D67B7" w:rsidP="006D67B7">
      <w:pPr>
        <w:rPr>
          <w:lang w:val="ru-RU"/>
        </w:rPr>
      </w:pPr>
      <w:r w:rsidRPr="007B29FB">
        <w:rPr>
          <w:lang w:val="ru-RU"/>
        </w:rPr>
        <w:t>3</w:t>
      </w:r>
      <w:r w:rsidRPr="007B29FB">
        <w:rPr>
          <w:lang w:val="ru-RU"/>
        </w:rPr>
        <w:tab/>
      </w:r>
      <w:r w:rsidR="000A0116" w:rsidRPr="007B29FB">
        <w:rPr>
          <w:lang w:val="ru-RU"/>
        </w:rPr>
        <w:t xml:space="preserve">Оперативная группа </w:t>
      </w:r>
      <w:r w:rsidR="00BA4E67" w:rsidRPr="007B29FB">
        <w:rPr>
          <w:lang w:val="ru-RU"/>
        </w:rPr>
        <w:t>призвана обеспечить</w:t>
      </w:r>
      <w:r w:rsidR="000A0116" w:rsidRPr="007B29FB">
        <w:rPr>
          <w:lang w:val="ru-RU"/>
        </w:rPr>
        <w:t xml:space="preserve"> платформ</w:t>
      </w:r>
      <w:r w:rsidR="00BA4E67" w:rsidRPr="007B29FB">
        <w:rPr>
          <w:lang w:val="ru-RU"/>
        </w:rPr>
        <w:t>у</w:t>
      </w:r>
      <w:r w:rsidR="000A0116" w:rsidRPr="007B29FB">
        <w:rPr>
          <w:lang w:val="ru-RU"/>
        </w:rPr>
        <w:t xml:space="preserve"> для обмена мнениями, разработки серии итоговых документов</w:t>
      </w:r>
      <w:r w:rsidR="004A60DE" w:rsidRPr="007B29FB">
        <w:rPr>
          <w:lang w:val="ru-RU"/>
        </w:rPr>
        <w:t xml:space="preserve">, а также площадку, на которой различные заинтересованные стороны смогут представить свои инициативы и проекты, соответствующие изложенной концепции и целевой экосистеме федераций испытательных стендов. Оперативная группа разработает технические </w:t>
      </w:r>
      <w:r w:rsidR="004A60DE" w:rsidRPr="007B29FB">
        <w:rPr>
          <w:lang w:val="ru-RU"/>
        </w:rPr>
        <w:lastRenderedPageBreak/>
        <w:t>спецификации, которые могут стать основой для дальнейшей стандартизации в области федераций испытательных стендов</w:t>
      </w:r>
      <w:r w:rsidRPr="007B29FB">
        <w:rPr>
          <w:lang w:val="ru-RU"/>
        </w:rPr>
        <w:t>.</w:t>
      </w:r>
    </w:p>
    <w:p w14:paraId="3CB9C43E" w14:textId="5AC353F6" w:rsidR="006D67B7" w:rsidRPr="007B29FB" w:rsidRDefault="006D67B7" w:rsidP="006D67B7">
      <w:pPr>
        <w:rPr>
          <w:lang w:val="ru-RU"/>
        </w:rPr>
      </w:pPr>
      <w:r w:rsidRPr="007B29FB">
        <w:rPr>
          <w:lang w:val="ru-RU"/>
        </w:rPr>
        <w:t>4</w:t>
      </w:r>
      <w:r w:rsidRPr="007B29FB">
        <w:rPr>
          <w:lang w:val="ru-RU"/>
        </w:rPr>
        <w:tab/>
      </w:r>
      <w:r w:rsidR="00BA4E67" w:rsidRPr="007B29FB">
        <w:rPr>
          <w:lang w:val="ru-RU"/>
        </w:rPr>
        <w:t xml:space="preserve">Участие в </w:t>
      </w:r>
      <w:r w:rsidR="00AA2ED9" w:rsidRPr="007B29FB">
        <w:rPr>
          <w:lang w:val="ru-RU"/>
        </w:rPr>
        <w:t>ОГ-TBFxG</w:t>
      </w:r>
      <w:r w:rsidRPr="007B29FB">
        <w:rPr>
          <w:lang w:val="ru-RU"/>
        </w:rPr>
        <w:t xml:space="preserve"> </w:t>
      </w:r>
      <w:r w:rsidR="00BA4E67" w:rsidRPr="007B29FB">
        <w:rPr>
          <w:lang w:val="ru-RU"/>
        </w:rPr>
        <w:t xml:space="preserve">является бесплатным и открытым для </w:t>
      </w:r>
      <w:r w:rsidR="005C1C24" w:rsidRPr="007B29FB">
        <w:rPr>
          <w:lang w:val="ru-RU"/>
        </w:rPr>
        <w:t>любо</w:t>
      </w:r>
      <w:r w:rsidR="00BA4E67" w:rsidRPr="007B29FB">
        <w:rPr>
          <w:lang w:val="ru-RU"/>
        </w:rPr>
        <w:t>го</w:t>
      </w:r>
      <w:r w:rsidR="005C1C24" w:rsidRPr="007B29FB">
        <w:rPr>
          <w:lang w:val="ru-RU"/>
        </w:rPr>
        <w:t xml:space="preserve"> лиц</w:t>
      </w:r>
      <w:r w:rsidR="00BA4E67" w:rsidRPr="007B29FB">
        <w:rPr>
          <w:lang w:val="ru-RU"/>
        </w:rPr>
        <w:t>а</w:t>
      </w:r>
      <w:r w:rsidR="005C1C24" w:rsidRPr="007B29FB">
        <w:rPr>
          <w:lang w:val="ru-RU"/>
        </w:rPr>
        <w:t xml:space="preserve"> из страны, являющейся Членом МСЭ, </w:t>
      </w:r>
      <w:r w:rsidR="00BA4E67" w:rsidRPr="007B29FB">
        <w:rPr>
          <w:lang w:val="ru-RU"/>
        </w:rPr>
        <w:t xml:space="preserve">которое пожелает </w:t>
      </w:r>
      <w:r w:rsidR="005C1C24" w:rsidRPr="007B29FB">
        <w:rPr>
          <w:lang w:val="ru-RU"/>
        </w:rPr>
        <w:t xml:space="preserve">внести активный вклад в ее работу. </w:t>
      </w:r>
      <w:r w:rsidR="00DB54E6" w:rsidRPr="007B29FB">
        <w:rPr>
          <w:lang w:val="ru-RU"/>
        </w:rPr>
        <w:t xml:space="preserve">К таким лицам относятся также члены международных, региональных и национальных организаций. </w:t>
      </w:r>
      <w:r w:rsidR="00AA2ED9" w:rsidRPr="007B29FB">
        <w:rPr>
          <w:lang w:val="ru-RU"/>
        </w:rPr>
        <w:t>ОГ-TBFxG</w:t>
      </w:r>
      <w:r w:rsidR="005C1C24" w:rsidRPr="007B29FB">
        <w:rPr>
          <w:lang w:val="ru-RU"/>
        </w:rPr>
        <w:t xml:space="preserve"> </w:t>
      </w:r>
      <w:r w:rsidR="00DB54E6" w:rsidRPr="007B29FB">
        <w:rPr>
          <w:lang w:val="ru-RU"/>
        </w:rPr>
        <w:t xml:space="preserve">поощряет сотрудничество с организациями и форумами по разработке стандартов, исследовательскими сообществами, исследователями в области IMT-2020 и последующих систем, отраслевыми пользователями испытательных стендов, поставщиками испытательных стендов, в том числе для IMT-2020, поставщиками услуг связи (CSP), </w:t>
      </w:r>
      <w:r w:rsidR="002D5BBC" w:rsidRPr="007B29FB">
        <w:rPr>
          <w:lang w:val="ru-RU"/>
        </w:rPr>
        <w:t xml:space="preserve">операторами сетей, </w:t>
      </w:r>
      <w:r w:rsidR="00DB54E6" w:rsidRPr="007B29FB">
        <w:rPr>
          <w:lang w:val="ru-RU"/>
        </w:rPr>
        <w:t>продавц</w:t>
      </w:r>
      <w:r w:rsidR="002D5BBC" w:rsidRPr="007B29FB">
        <w:rPr>
          <w:lang w:val="ru-RU"/>
        </w:rPr>
        <w:t>ами</w:t>
      </w:r>
      <w:r w:rsidR="00DB54E6" w:rsidRPr="007B29FB">
        <w:rPr>
          <w:lang w:val="ru-RU"/>
        </w:rPr>
        <w:t>/поставщик</w:t>
      </w:r>
      <w:r w:rsidR="002D5BBC" w:rsidRPr="007B29FB">
        <w:rPr>
          <w:lang w:val="ru-RU"/>
        </w:rPr>
        <w:t>ам</w:t>
      </w:r>
      <w:r w:rsidR="00DB54E6" w:rsidRPr="007B29FB">
        <w:rPr>
          <w:lang w:val="ru-RU"/>
        </w:rPr>
        <w:t>и инфраструктуры для ИКТ и вертикальных секторов, проект</w:t>
      </w:r>
      <w:r w:rsidR="002D5BBC" w:rsidRPr="007B29FB">
        <w:rPr>
          <w:lang w:val="ru-RU"/>
        </w:rPr>
        <w:t>ами</w:t>
      </w:r>
      <w:r w:rsidR="00DB54E6" w:rsidRPr="007B29FB">
        <w:rPr>
          <w:lang w:val="ru-RU"/>
        </w:rPr>
        <w:t xml:space="preserve"> с открытым исходным кодом и открытым аппаратным обеспечением, регуляторны</w:t>
      </w:r>
      <w:r w:rsidR="002D5BBC" w:rsidRPr="007B29FB">
        <w:rPr>
          <w:lang w:val="ru-RU"/>
        </w:rPr>
        <w:t>ми</w:t>
      </w:r>
      <w:r w:rsidR="00DB54E6" w:rsidRPr="007B29FB">
        <w:rPr>
          <w:lang w:val="ru-RU"/>
        </w:rPr>
        <w:t xml:space="preserve"> орган</w:t>
      </w:r>
      <w:r w:rsidR="002D5BBC" w:rsidRPr="007B29FB">
        <w:rPr>
          <w:lang w:val="ru-RU"/>
        </w:rPr>
        <w:t>ами</w:t>
      </w:r>
      <w:r w:rsidR="008E7B26" w:rsidRPr="007B29FB">
        <w:rPr>
          <w:lang w:val="ru-RU"/>
        </w:rPr>
        <w:t xml:space="preserve">. </w:t>
      </w:r>
    </w:p>
    <w:p w14:paraId="3DAA561D" w14:textId="4AB2C568" w:rsidR="006D67B7" w:rsidRPr="007B29FB" w:rsidRDefault="005C1C24" w:rsidP="006D67B7">
      <w:pPr>
        <w:rPr>
          <w:lang w:val="ru-RU"/>
        </w:rPr>
      </w:pPr>
      <w:r w:rsidRPr="007B29FB">
        <w:rPr>
          <w:lang w:val="ru-RU"/>
        </w:rPr>
        <w:t>Всем лицам, которые хотели бы следить за этой работой или участвовать в ней, предлагается зарегистрироваться в специальном списке рассылки</w:t>
      </w:r>
      <w:r w:rsidR="00AD35E0" w:rsidRPr="007B29FB">
        <w:rPr>
          <w:lang w:val="ru-RU"/>
        </w:rPr>
        <w:t xml:space="preserve"> Оперативной группы</w:t>
      </w:r>
      <w:r w:rsidRPr="007B29FB">
        <w:rPr>
          <w:lang w:val="ru-RU"/>
        </w:rPr>
        <w:t xml:space="preserve"> </w:t>
      </w:r>
      <w:hyperlink r:id="rId11" w:history="1">
        <w:r w:rsidR="006D67B7" w:rsidRPr="007B29FB">
          <w:rPr>
            <w:rStyle w:val="Hyperlink"/>
            <w:lang w:val="ru-RU"/>
          </w:rPr>
          <w:t>fgtbf@lists.itu.int</w:t>
        </w:r>
      </w:hyperlink>
      <w:r w:rsidR="006D67B7" w:rsidRPr="007B29FB">
        <w:rPr>
          <w:lang w:val="ru-RU"/>
        </w:rPr>
        <w:t xml:space="preserve">. </w:t>
      </w:r>
      <w:r w:rsidRPr="007B29FB">
        <w:rPr>
          <w:lang w:val="ru-RU"/>
        </w:rPr>
        <w:t>Подробная информация о порядке регистрации размещена по адресу</w:t>
      </w:r>
      <w:r w:rsidR="006D67B7" w:rsidRPr="007B29FB">
        <w:rPr>
          <w:lang w:val="ru-RU"/>
        </w:rPr>
        <w:t xml:space="preserve">: </w:t>
      </w:r>
      <w:hyperlink r:id="rId12" w:history="1">
        <w:r w:rsidR="006D67B7" w:rsidRPr="007B29FB">
          <w:rPr>
            <w:rStyle w:val="Hyperlink"/>
            <w:lang w:val="ru-RU"/>
          </w:rPr>
          <w:t>www.itu.int/go/fgtbf</w:t>
        </w:r>
      </w:hyperlink>
      <w:r w:rsidR="006D67B7" w:rsidRPr="007B29FB">
        <w:rPr>
          <w:lang w:val="ru-RU"/>
        </w:rPr>
        <w:t>.</w:t>
      </w:r>
    </w:p>
    <w:p w14:paraId="4AB67D56" w14:textId="731E94E4" w:rsidR="006D67B7" w:rsidRPr="007B29FB" w:rsidRDefault="006D67B7" w:rsidP="006D67B7">
      <w:pPr>
        <w:rPr>
          <w:lang w:val="ru-RU"/>
        </w:rPr>
      </w:pPr>
      <w:r w:rsidRPr="007B29FB">
        <w:rPr>
          <w:lang w:val="ru-RU"/>
        </w:rPr>
        <w:t>5</w:t>
      </w:r>
      <w:r w:rsidRPr="007B29FB">
        <w:rPr>
          <w:lang w:val="ru-RU"/>
        </w:rPr>
        <w:tab/>
      </w:r>
      <w:r w:rsidR="006B2D94" w:rsidRPr="007B29FB">
        <w:rPr>
          <w:lang w:val="ru-RU"/>
        </w:rPr>
        <w:t xml:space="preserve">Группа будет работать в соответствии с процедурами, </w:t>
      </w:r>
      <w:r w:rsidR="00AD35E0" w:rsidRPr="007B29FB">
        <w:rPr>
          <w:lang w:val="ru-RU"/>
        </w:rPr>
        <w:t>определенными</w:t>
      </w:r>
      <w:r w:rsidR="006B2D94" w:rsidRPr="007B29FB">
        <w:rPr>
          <w:lang w:val="ru-RU"/>
        </w:rPr>
        <w:t xml:space="preserve"> в</w:t>
      </w:r>
      <w:r w:rsidR="00AD35E0" w:rsidRPr="007B29FB">
        <w:rPr>
          <w:lang w:val="ru-RU"/>
        </w:rPr>
        <w:t> </w:t>
      </w:r>
      <w:hyperlink r:id="rId13" w:history="1">
        <w:r w:rsidR="006B2D94" w:rsidRPr="007B29FB">
          <w:rPr>
            <w:rStyle w:val="Hyperlink"/>
            <w:lang w:val="ru-RU"/>
          </w:rPr>
          <w:t>Рекомендации</w:t>
        </w:r>
        <w:r w:rsidR="00435258" w:rsidRPr="007B29FB">
          <w:rPr>
            <w:rStyle w:val="Hyperlink"/>
            <w:lang w:val="ru-RU"/>
          </w:rPr>
          <w:t> </w:t>
        </w:r>
        <w:r w:rsidR="006B2D94" w:rsidRPr="007B29FB">
          <w:rPr>
            <w:rStyle w:val="Hyperlink"/>
            <w:lang w:val="ru-RU"/>
          </w:rPr>
          <w:t>МСЭ</w:t>
        </w:r>
        <w:r w:rsidR="006B2D94" w:rsidRPr="007B29FB">
          <w:rPr>
            <w:rStyle w:val="Hyperlink"/>
            <w:lang w:val="ru-RU"/>
          </w:rPr>
          <w:noBreakHyphen/>
          <w:t>T A.7</w:t>
        </w:r>
      </w:hyperlink>
      <w:r w:rsidR="006B2D94" w:rsidRPr="007B29FB">
        <w:rPr>
          <w:lang w:val="ru-RU"/>
        </w:rPr>
        <w:t xml:space="preserve">, и согласованным кругом ведения, приведенным в </w:t>
      </w:r>
      <w:r w:rsidR="006B2D94" w:rsidRPr="007B29FB">
        <w:rPr>
          <w:b/>
          <w:bCs/>
          <w:lang w:val="ru-RU"/>
        </w:rPr>
        <w:t>Приложении 1</w:t>
      </w:r>
      <w:r w:rsidR="006B2D94" w:rsidRPr="007B29FB">
        <w:rPr>
          <w:lang w:val="ru-RU"/>
        </w:rPr>
        <w:t xml:space="preserve">. </w:t>
      </w:r>
      <w:r w:rsidR="00AD35E0" w:rsidRPr="007B29FB">
        <w:rPr>
          <w:lang w:val="ru-RU"/>
        </w:rPr>
        <w:t>Установленная п</w:t>
      </w:r>
      <w:r w:rsidR="006B2D94" w:rsidRPr="007B29FB">
        <w:rPr>
          <w:lang w:val="ru-RU"/>
        </w:rPr>
        <w:t xml:space="preserve">родолжительность </w:t>
      </w:r>
      <w:r w:rsidR="00AD35E0" w:rsidRPr="007B29FB">
        <w:rPr>
          <w:lang w:val="ru-RU"/>
        </w:rPr>
        <w:t>функционирования</w:t>
      </w:r>
      <w:r w:rsidR="006B2D94" w:rsidRPr="007B29FB">
        <w:rPr>
          <w:lang w:val="ru-RU"/>
        </w:rPr>
        <w:t xml:space="preserve"> Оперативной группы составляет один год после проведения первого собрания, но при необходимости может быть продлена по решению основной комиссии – 11</w:t>
      </w:r>
      <w:r w:rsidR="006B2D94" w:rsidRPr="007B29FB">
        <w:rPr>
          <w:lang w:val="ru-RU"/>
        </w:rPr>
        <w:noBreakHyphen/>
        <w:t>й Исследовательской комиссии МСЭ-Т</w:t>
      </w:r>
      <w:r w:rsidR="00CA5A0E" w:rsidRPr="007B29FB">
        <w:rPr>
          <w:lang w:val="ru-RU"/>
        </w:rPr>
        <w:t>.</w:t>
      </w:r>
    </w:p>
    <w:p w14:paraId="55F32E2C" w14:textId="08870C7F" w:rsidR="006D67B7" w:rsidRPr="007B29FB" w:rsidRDefault="006D67B7" w:rsidP="006D67B7">
      <w:pPr>
        <w:rPr>
          <w:lang w:val="ru-RU"/>
        </w:rPr>
      </w:pPr>
      <w:r w:rsidRPr="007B29FB">
        <w:rPr>
          <w:lang w:val="ru-RU"/>
        </w:rPr>
        <w:t>6</w:t>
      </w:r>
      <w:r w:rsidRPr="007B29FB">
        <w:rPr>
          <w:lang w:val="ru-RU"/>
        </w:rPr>
        <w:tab/>
      </w:r>
      <w:r w:rsidR="008B009E" w:rsidRPr="007B29FB">
        <w:rPr>
          <w:lang w:val="ru-RU"/>
        </w:rPr>
        <w:t xml:space="preserve">Первое собрание </w:t>
      </w:r>
      <w:r w:rsidR="00AD35E0" w:rsidRPr="007B29FB">
        <w:rPr>
          <w:lang w:val="ru-RU"/>
        </w:rPr>
        <w:t xml:space="preserve">ОГ-TBFxG </w:t>
      </w:r>
      <w:r w:rsidR="008B009E" w:rsidRPr="007B29FB">
        <w:rPr>
          <w:lang w:val="ru-RU"/>
        </w:rPr>
        <w:t xml:space="preserve">будет проведено в виртуальном формате </w:t>
      </w:r>
      <w:r w:rsidRPr="007B29FB">
        <w:rPr>
          <w:lang w:val="ru-RU"/>
        </w:rPr>
        <w:t>4</w:t>
      </w:r>
      <w:r w:rsidR="00AD35E0" w:rsidRPr="007B29FB">
        <w:rPr>
          <w:lang w:val="ru-RU"/>
        </w:rPr>
        <w:t>–</w:t>
      </w:r>
      <w:r w:rsidRPr="007B29FB">
        <w:rPr>
          <w:lang w:val="ru-RU"/>
        </w:rPr>
        <w:t>7</w:t>
      </w:r>
      <w:r w:rsidR="00AD35E0" w:rsidRPr="007B29FB">
        <w:rPr>
          <w:lang w:val="ru-RU"/>
        </w:rPr>
        <w:t> </w:t>
      </w:r>
      <w:r w:rsidR="008B009E" w:rsidRPr="007B29FB">
        <w:rPr>
          <w:lang w:val="ru-RU"/>
        </w:rPr>
        <w:t>апреля</w:t>
      </w:r>
      <w:r w:rsidRPr="007B29FB">
        <w:rPr>
          <w:lang w:val="ru-RU"/>
        </w:rPr>
        <w:t xml:space="preserve"> 2022</w:t>
      </w:r>
      <w:r w:rsidR="008B009E" w:rsidRPr="007B29FB">
        <w:rPr>
          <w:lang w:val="ru-RU"/>
        </w:rPr>
        <w:t> года (12 час.</w:t>
      </w:r>
      <w:r w:rsidR="003C5343" w:rsidRPr="007B29FB">
        <w:rPr>
          <w:lang w:val="ru-RU"/>
        </w:rPr>
        <w:t> </w:t>
      </w:r>
      <w:r w:rsidR="008B009E" w:rsidRPr="007B29FB">
        <w:rPr>
          <w:lang w:val="ru-RU"/>
        </w:rPr>
        <w:t>00 мин. − 17 час. 00 мин. по женевскому времени). Задачи первого собрания</w:t>
      </w:r>
      <w:r w:rsidRPr="007B29FB">
        <w:rPr>
          <w:lang w:val="ru-RU"/>
        </w:rPr>
        <w:t>:</w:t>
      </w:r>
    </w:p>
    <w:p w14:paraId="6D3F3755" w14:textId="32824BCB" w:rsidR="006D67B7" w:rsidRPr="007B29FB" w:rsidRDefault="006D67B7" w:rsidP="006D67B7">
      <w:pPr>
        <w:pStyle w:val="enumlev1"/>
        <w:rPr>
          <w:lang w:val="ru-RU"/>
        </w:rPr>
      </w:pPr>
      <w:bookmarkStart w:id="2" w:name="_Hlk90297781"/>
      <w:r w:rsidRPr="007B29FB">
        <w:rPr>
          <w:lang w:val="ru-RU"/>
        </w:rPr>
        <w:t>–</w:t>
      </w:r>
      <w:r w:rsidRPr="007B29FB">
        <w:rPr>
          <w:lang w:val="ru-RU"/>
        </w:rPr>
        <w:tab/>
      </w:r>
      <w:bookmarkEnd w:id="2"/>
      <w:r w:rsidR="00AD35E0" w:rsidRPr="007B29FB">
        <w:rPr>
          <w:lang w:val="ru-RU"/>
        </w:rPr>
        <w:t>представление сферы деятельности</w:t>
      </w:r>
      <w:r w:rsidRPr="007B29FB">
        <w:rPr>
          <w:lang w:val="ru-RU"/>
        </w:rPr>
        <w:t xml:space="preserve"> </w:t>
      </w:r>
      <w:r w:rsidR="00AA2ED9" w:rsidRPr="007B29FB">
        <w:rPr>
          <w:lang w:val="ru-RU"/>
        </w:rPr>
        <w:t>ОГ-TBFxG</w:t>
      </w:r>
      <w:r w:rsidRPr="007B29FB">
        <w:rPr>
          <w:lang w:val="ru-RU"/>
        </w:rPr>
        <w:t>;</w:t>
      </w:r>
    </w:p>
    <w:p w14:paraId="2D3AA08E" w14:textId="02503971" w:rsidR="006D67B7" w:rsidRPr="007B29FB" w:rsidRDefault="006D67B7" w:rsidP="006D67B7">
      <w:pPr>
        <w:pStyle w:val="enumlev1"/>
        <w:rPr>
          <w:lang w:val="ru-RU"/>
        </w:rPr>
      </w:pPr>
      <w:r w:rsidRPr="007B29FB">
        <w:rPr>
          <w:lang w:val="ru-RU"/>
        </w:rPr>
        <w:t>–</w:t>
      </w:r>
      <w:r w:rsidRPr="007B29FB">
        <w:rPr>
          <w:lang w:val="ru-RU"/>
        </w:rPr>
        <w:tab/>
      </w:r>
      <w:r w:rsidR="00AD35E0" w:rsidRPr="007B29FB">
        <w:rPr>
          <w:lang w:val="ru-RU"/>
        </w:rPr>
        <w:t xml:space="preserve">создание рабочих групп </w:t>
      </w:r>
      <w:r w:rsidRPr="007B29FB">
        <w:rPr>
          <w:lang w:val="ru-RU"/>
        </w:rPr>
        <w:t>(</w:t>
      </w:r>
      <w:r w:rsidR="00AD35E0" w:rsidRPr="007B29FB">
        <w:rPr>
          <w:lang w:val="ru-RU"/>
        </w:rPr>
        <w:t>РГ</w:t>
      </w:r>
      <w:r w:rsidRPr="007B29FB">
        <w:rPr>
          <w:lang w:val="ru-RU"/>
        </w:rPr>
        <w:t xml:space="preserve">) </w:t>
      </w:r>
      <w:r w:rsidR="00AA2ED9" w:rsidRPr="007B29FB">
        <w:rPr>
          <w:lang w:val="ru-RU"/>
        </w:rPr>
        <w:t>ОГ-TBFxG</w:t>
      </w:r>
      <w:r w:rsidRPr="007B29FB">
        <w:rPr>
          <w:lang w:val="ru-RU"/>
        </w:rPr>
        <w:t>;</w:t>
      </w:r>
    </w:p>
    <w:p w14:paraId="3D2E37FC" w14:textId="76676B8C" w:rsidR="006D67B7" w:rsidRPr="007B29FB" w:rsidRDefault="006D67B7" w:rsidP="006D67B7">
      <w:pPr>
        <w:pStyle w:val="enumlev1"/>
        <w:rPr>
          <w:lang w:val="ru-RU"/>
        </w:rPr>
      </w:pPr>
      <w:r w:rsidRPr="007B29FB">
        <w:rPr>
          <w:lang w:val="ru-RU"/>
        </w:rPr>
        <w:t>–</w:t>
      </w:r>
      <w:r w:rsidRPr="007B29FB">
        <w:rPr>
          <w:lang w:val="ru-RU"/>
        </w:rPr>
        <w:tab/>
      </w:r>
      <w:r w:rsidR="006C1FB3" w:rsidRPr="007B29FB">
        <w:rPr>
          <w:lang w:val="ru-RU"/>
        </w:rPr>
        <w:t xml:space="preserve">назначение руководства </w:t>
      </w:r>
      <w:r w:rsidR="00AA2ED9" w:rsidRPr="007B29FB">
        <w:rPr>
          <w:lang w:val="ru-RU"/>
        </w:rPr>
        <w:t>ОГ-TBFxG</w:t>
      </w:r>
      <w:r w:rsidR="00A91225" w:rsidRPr="007B29FB">
        <w:rPr>
          <w:lang w:val="ru-RU"/>
        </w:rPr>
        <w:t>,</w:t>
      </w:r>
      <w:r w:rsidR="006C1FB3" w:rsidRPr="007B29FB">
        <w:rPr>
          <w:szCs w:val="24"/>
          <w:lang w:val="ru-RU"/>
        </w:rPr>
        <w:t xml:space="preserve"> </w:t>
      </w:r>
      <w:r w:rsidR="006C1FB3" w:rsidRPr="007B29FB">
        <w:rPr>
          <w:lang w:val="ru-RU"/>
        </w:rPr>
        <w:t>в том числе заместителей председателя</w:t>
      </w:r>
      <w:r w:rsidR="00AD35E0" w:rsidRPr="007B29FB">
        <w:rPr>
          <w:lang w:val="ru-RU"/>
        </w:rPr>
        <w:t xml:space="preserve"> и председателей</w:t>
      </w:r>
      <w:r w:rsidR="00A91225" w:rsidRPr="007B29FB">
        <w:rPr>
          <w:lang w:val="ru-RU"/>
        </w:rPr>
        <w:t> </w:t>
      </w:r>
      <w:r w:rsidR="00AD35E0" w:rsidRPr="007B29FB">
        <w:rPr>
          <w:lang w:val="ru-RU"/>
        </w:rPr>
        <w:t>РГ</w:t>
      </w:r>
      <w:r w:rsidRPr="007B29FB">
        <w:rPr>
          <w:lang w:val="ru-RU"/>
        </w:rPr>
        <w:t>;</w:t>
      </w:r>
    </w:p>
    <w:p w14:paraId="31269491" w14:textId="094F3BE3" w:rsidR="006D67B7" w:rsidRPr="007B29FB" w:rsidRDefault="006D67B7" w:rsidP="006D67B7">
      <w:pPr>
        <w:pStyle w:val="enumlev1"/>
        <w:rPr>
          <w:lang w:val="ru-RU"/>
        </w:rPr>
      </w:pPr>
      <w:r w:rsidRPr="007B29FB">
        <w:rPr>
          <w:lang w:val="ru-RU"/>
        </w:rPr>
        <w:t>–</w:t>
      </w:r>
      <w:r w:rsidRPr="007B29FB">
        <w:rPr>
          <w:lang w:val="ru-RU"/>
        </w:rPr>
        <w:tab/>
      </w:r>
      <w:r w:rsidR="006C1FB3" w:rsidRPr="007B29FB">
        <w:rPr>
          <w:lang w:val="ru-RU"/>
        </w:rPr>
        <w:t xml:space="preserve">согласование дорожной карты </w:t>
      </w:r>
      <w:r w:rsidR="00AA2ED9" w:rsidRPr="007B29FB">
        <w:rPr>
          <w:lang w:val="ru-RU"/>
        </w:rPr>
        <w:t>ОГ-TBFxG</w:t>
      </w:r>
      <w:r w:rsidR="006C1FB3" w:rsidRPr="007B29FB">
        <w:rPr>
          <w:lang w:val="ru-RU"/>
        </w:rPr>
        <w:t xml:space="preserve"> с указанием ожидаемых </w:t>
      </w:r>
      <w:r w:rsidR="00E635C5" w:rsidRPr="007B29FB">
        <w:rPr>
          <w:lang w:val="ru-RU"/>
        </w:rPr>
        <w:t xml:space="preserve">итоговых </w:t>
      </w:r>
      <w:r w:rsidR="00A91225" w:rsidRPr="007B29FB">
        <w:rPr>
          <w:lang w:val="ru-RU"/>
        </w:rPr>
        <w:t>документов</w:t>
      </w:r>
      <w:r w:rsidR="006C1FB3" w:rsidRPr="007B29FB">
        <w:rPr>
          <w:lang w:val="ru-RU"/>
        </w:rPr>
        <w:t xml:space="preserve">, </w:t>
      </w:r>
      <w:r w:rsidR="00E635C5" w:rsidRPr="007B29FB">
        <w:rPr>
          <w:lang w:val="ru-RU"/>
        </w:rPr>
        <w:t>сроков исполнения</w:t>
      </w:r>
      <w:r w:rsidR="006C1FB3" w:rsidRPr="007B29FB">
        <w:rPr>
          <w:lang w:val="ru-RU"/>
        </w:rPr>
        <w:t xml:space="preserve">, сфер охвата и редакторов, а также распределение обязанностей между различными </w:t>
      </w:r>
      <w:r w:rsidR="00E635C5" w:rsidRPr="007B29FB">
        <w:rPr>
          <w:lang w:val="ru-RU"/>
        </w:rPr>
        <w:t>РГ</w:t>
      </w:r>
      <w:r w:rsidRPr="007B29FB">
        <w:rPr>
          <w:lang w:val="ru-RU"/>
        </w:rPr>
        <w:t>;</w:t>
      </w:r>
    </w:p>
    <w:p w14:paraId="301E463C" w14:textId="75394075" w:rsidR="006D67B7" w:rsidRPr="007B29FB" w:rsidRDefault="006D67B7" w:rsidP="006D67B7">
      <w:pPr>
        <w:pStyle w:val="enumlev1"/>
        <w:rPr>
          <w:lang w:val="ru-RU"/>
        </w:rPr>
      </w:pPr>
      <w:r w:rsidRPr="007B29FB">
        <w:rPr>
          <w:lang w:val="ru-RU"/>
        </w:rPr>
        <w:t>–</w:t>
      </w:r>
      <w:r w:rsidRPr="007B29FB">
        <w:rPr>
          <w:lang w:val="ru-RU"/>
        </w:rPr>
        <w:tab/>
      </w:r>
      <w:r w:rsidR="006C1FB3" w:rsidRPr="007B29FB">
        <w:rPr>
          <w:lang w:val="ru-RU"/>
        </w:rPr>
        <w:t xml:space="preserve">согласование методов работы </w:t>
      </w:r>
      <w:r w:rsidR="00AA2ED9" w:rsidRPr="007B29FB">
        <w:rPr>
          <w:szCs w:val="22"/>
          <w:lang w:val="ru-RU"/>
        </w:rPr>
        <w:t>ОГ-TBFxG</w:t>
      </w:r>
      <w:r w:rsidR="006C1FB3" w:rsidRPr="007B29FB">
        <w:rPr>
          <w:szCs w:val="22"/>
          <w:lang w:val="ru-RU"/>
        </w:rPr>
        <w:t xml:space="preserve"> </w:t>
      </w:r>
      <w:r w:rsidR="006C1FB3" w:rsidRPr="007B29FB">
        <w:rPr>
          <w:lang w:val="ru-RU"/>
        </w:rPr>
        <w:t>на основе Рекомендации МСЭ</w:t>
      </w:r>
      <w:r w:rsidR="006C1FB3" w:rsidRPr="007B29FB">
        <w:rPr>
          <w:lang w:val="ru-RU"/>
        </w:rPr>
        <w:noBreakHyphen/>
        <w:t>Т A.7;</w:t>
      </w:r>
    </w:p>
    <w:p w14:paraId="7D2B27D6" w14:textId="08F9583B" w:rsidR="006C1FB3" w:rsidRPr="007B29FB" w:rsidRDefault="006C1FB3" w:rsidP="006C1FB3">
      <w:pPr>
        <w:pStyle w:val="enumlev1"/>
        <w:rPr>
          <w:lang w:val="ru-RU"/>
        </w:rPr>
      </w:pPr>
      <w:r w:rsidRPr="007B29FB">
        <w:rPr>
          <w:lang w:val="ru-RU"/>
        </w:rPr>
        <w:t>–</w:t>
      </w:r>
      <w:r w:rsidRPr="007B29FB">
        <w:rPr>
          <w:lang w:val="ru-RU"/>
        </w:rPr>
        <w:tab/>
        <w:t xml:space="preserve">согласование планов будущих собраний </w:t>
      </w:r>
      <w:r w:rsidR="00AA2ED9" w:rsidRPr="007B29FB">
        <w:rPr>
          <w:szCs w:val="22"/>
          <w:lang w:val="ru-RU"/>
        </w:rPr>
        <w:t>ОГ-TBFxG</w:t>
      </w:r>
      <w:r w:rsidRPr="007B29FB">
        <w:rPr>
          <w:lang w:val="ru-RU"/>
        </w:rPr>
        <w:t>, в том числе периодичности проведения собраний;</w:t>
      </w:r>
    </w:p>
    <w:p w14:paraId="1479312F" w14:textId="38C6DE0C" w:rsidR="006D67B7" w:rsidRPr="007B29FB" w:rsidRDefault="006C1FB3" w:rsidP="006C1FB3">
      <w:pPr>
        <w:pStyle w:val="enumlev1"/>
        <w:rPr>
          <w:lang w:val="ru-RU"/>
        </w:rPr>
      </w:pPr>
      <w:r w:rsidRPr="007B29FB">
        <w:rPr>
          <w:lang w:val="ru-RU"/>
        </w:rPr>
        <w:t>–</w:t>
      </w:r>
      <w:r w:rsidRPr="007B29FB">
        <w:rPr>
          <w:lang w:val="ru-RU"/>
        </w:rPr>
        <w:tab/>
        <w:t xml:space="preserve">рассмотрение представленных в письменном виде вкладов и первоначальная разработка </w:t>
      </w:r>
      <w:r w:rsidR="00E635C5" w:rsidRPr="007B29FB">
        <w:rPr>
          <w:lang w:val="ru-RU"/>
        </w:rPr>
        <w:t xml:space="preserve">сферы охвата итоговых </w:t>
      </w:r>
      <w:r w:rsidR="00A91225" w:rsidRPr="007B29FB">
        <w:rPr>
          <w:lang w:val="ru-RU"/>
        </w:rPr>
        <w:t>документов</w:t>
      </w:r>
      <w:r w:rsidRPr="007B29FB">
        <w:rPr>
          <w:lang w:val="ru-RU"/>
        </w:rPr>
        <w:t>.</w:t>
      </w:r>
    </w:p>
    <w:p w14:paraId="7BFBA4B3" w14:textId="4A26C7FA" w:rsidR="006D67B7" w:rsidRPr="007B29FB" w:rsidRDefault="006D67B7" w:rsidP="006C1FB3">
      <w:pPr>
        <w:rPr>
          <w:lang w:val="ru-RU"/>
        </w:rPr>
      </w:pPr>
      <w:r w:rsidRPr="007B29FB">
        <w:rPr>
          <w:lang w:val="ru-RU"/>
        </w:rPr>
        <w:t>7</w:t>
      </w:r>
      <w:r w:rsidRPr="007B29FB">
        <w:rPr>
          <w:lang w:val="ru-RU"/>
        </w:rPr>
        <w:tab/>
      </w:r>
      <w:r w:rsidR="00A4527A" w:rsidRPr="007B29FB">
        <w:rPr>
          <w:lang w:val="ru-RU"/>
        </w:rPr>
        <w:t xml:space="preserve">Вклады в письменном виде имеют важнейшее значение для успешной работы оперативных групп и настоятельно рекомендуется представлять вклады, которые соответствую кругу ведения, приведенному в </w:t>
      </w:r>
      <w:r w:rsidR="00A4527A" w:rsidRPr="007B29FB">
        <w:rPr>
          <w:b/>
          <w:bCs/>
          <w:lang w:val="ru-RU"/>
        </w:rPr>
        <w:t>Приложении 1</w:t>
      </w:r>
      <w:r w:rsidR="00A4527A" w:rsidRPr="007B29FB">
        <w:rPr>
          <w:lang w:val="ru-RU"/>
        </w:rPr>
        <w:t xml:space="preserve">, а также </w:t>
      </w:r>
      <w:r w:rsidR="00E635C5" w:rsidRPr="007B29FB">
        <w:rPr>
          <w:lang w:val="ru-RU"/>
        </w:rPr>
        <w:t>для</w:t>
      </w:r>
      <w:r w:rsidR="00A4527A" w:rsidRPr="007B29FB">
        <w:rPr>
          <w:lang w:val="ru-RU"/>
        </w:rPr>
        <w:t xml:space="preserve"> решени</w:t>
      </w:r>
      <w:r w:rsidR="00E635C5" w:rsidRPr="007B29FB">
        <w:rPr>
          <w:lang w:val="ru-RU"/>
        </w:rPr>
        <w:t>я</w:t>
      </w:r>
      <w:r w:rsidR="00A4527A" w:rsidRPr="007B29FB">
        <w:rPr>
          <w:lang w:val="ru-RU"/>
        </w:rPr>
        <w:t xml:space="preserve"> определенных выше задач </w:t>
      </w:r>
      <w:r w:rsidR="00E635C5" w:rsidRPr="007B29FB">
        <w:rPr>
          <w:lang w:val="ru-RU"/>
        </w:rPr>
        <w:t xml:space="preserve">в целях содействия составлению первоначального плана разработки итоговых </w:t>
      </w:r>
      <w:r w:rsidR="00A91225" w:rsidRPr="007B29FB">
        <w:rPr>
          <w:lang w:val="ru-RU"/>
        </w:rPr>
        <w:t>документов</w:t>
      </w:r>
      <w:r w:rsidR="00A4527A" w:rsidRPr="007B29FB">
        <w:rPr>
          <w:lang w:val="ru-RU"/>
        </w:rPr>
        <w:t>.</w:t>
      </w:r>
    </w:p>
    <w:p w14:paraId="7FEA686D" w14:textId="4CD28C60" w:rsidR="006D67B7" w:rsidRPr="007B29FB" w:rsidRDefault="00A4527A" w:rsidP="006D67B7">
      <w:pPr>
        <w:rPr>
          <w:lang w:val="ru-RU"/>
        </w:rPr>
      </w:pPr>
      <w:r w:rsidRPr="007B29FB">
        <w:rPr>
          <w:lang w:val="ru-RU"/>
        </w:rPr>
        <w:t>Вклады в письменном виде следует представлять по электронной почте в секретариат (</w:t>
      </w:r>
      <w:hyperlink r:id="rId14" w:history="1">
        <w:r w:rsidR="006D67B7" w:rsidRPr="007B29FB">
          <w:rPr>
            <w:rStyle w:val="Hyperlink"/>
            <w:lang w:val="ru-RU"/>
          </w:rPr>
          <w:t>tsbfgtbf@itu.int</w:t>
        </w:r>
      </w:hyperlink>
      <w:r w:rsidR="006D67B7" w:rsidRPr="007B29FB">
        <w:rPr>
          <w:lang w:val="ru-RU"/>
        </w:rPr>
        <w:t>)</w:t>
      </w:r>
      <w:r w:rsidRPr="007B29FB">
        <w:rPr>
          <w:lang w:val="ru-RU"/>
        </w:rPr>
        <w:t>, используя шаблоны документов, размещенные на</w:t>
      </w:r>
      <w:r w:rsidR="006D67B7" w:rsidRPr="007B29FB">
        <w:rPr>
          <w:lang w:val="ru-RU"/>
        </w:rPr>
        <w:t xml:space="preserve"> </w:t>
      </w:r>
      <w:r w:rsidR="004329B8" w:rsidRPr="007B29FB">
        <w:rPr>
          <w:lang w:val="ru-RU"/>
        </w:rPr>
        <w:t xml:space="preserve">домашней странице </w:t>
      </w:r>
      <w:r w:rsidR="00AA2ED9" w:rsidRPr="007B29FB">
        <w:rPr>
          <w:lang w:val="ru-RU"/>
        </w:rPr>
        <w:t>ОГ-</w:t>
      </w:r>
      <w:proofErr w:type="spellStart"/>
      <w:r w:rsidR="00AA2ED9" w:rsidRPr="007B29FB">
        <w:rPr>
          <w:lang w:val="ru-RU"/>
        </w:rPr>
        <w:t>TBFxG</w:t>
      </w:r>
      <w:proofErr w:type="spellEnd"/>
      <w:r w:rsidR="006D67B7" w:rsidRPr="007B29FB">
        <w:rPr>
          <w:lang w:val="ru-RU"/>
        </w:rPr>
        <w:t xml:space="preserve"> (</w:t>
      </w:r>
      <w:hyperlink r:id="rId15" w:history="1">
        <w:r w:rsidR="006D67B7" w:rsidRPr="007B29FB">
          <w:rPr>
            <w:rStyle w:val="Hyperlink"/>
            <w:lang w:val="ru-RU"/>
          </w:rPr>
          <w:t>www.itu.int/go/fgtbf</w:t>
        </w:r>
      </w:hyperlink>
      <w:r w:rsidRPr="007B29FB">
        <w:rPr>
          <w:lang w:val="ru-RU"/>
        </w:rPr>
        <w:t>).</w:t>
      </w:r>
      <w:r w:rsidRPr="007B29FB">
        <w:rPr>
          <w:b/>
          <w:bCs/>
          <w:lang w:val="ru-RU"/>
        </w:rPr>
        <w:t xml:space="preserve"> Предельный срок представления вкладов для первого собрания  – </w:t>
      </w:r>
      <w:r w:rsidR="006D67B7" w:rsidRPr="007B29FB">
        <w:rPr>
          <w:b/>
          <w:bCs/>
          <w:lang w:val="ru-RU"/>
        </w:rPr>
        <w:t>28</w:t>
      </w:r>
      <w:r w:rsidR="00E635C5" w:rsidRPr="007B29FB">
        <w:rPr>
          <w:b/>
          <w:bCs/>
          <w:lang w:val="ru-RU"/>
        </w:rPr>
        <w:t> </w:t>
      </w:r>
      <w:r w:rsidRPr="007B29FB">
        <w:rPr>
          <w:b/>
          <w:bCs/>
          <w:lang w:val="ru-RU"/>
        </w:rPr>
        <w:t>марта</w:t>
      </w:r>
      <w:r w:rsidR="006D67B7" w:rsidRPr="007B29FB">
        <w:rPr>
          <w:b/>
          <w:bCs/>
          <w:lang w:val="ru-RU"/>
        </w:rPr>
        <w:t xml:space="preserve"> 2022</w:t>
      </w:r>
      <w:r w:rsidRPr="007B29FB">
        <w:rPr>
          <w:b/>
          <w:bCs/>
          <w:lang w:val="ru-RU"/>
        </w:rPr>
        <w:t> года</w:t>
      </w:r>
      <w:r w:rsidR="006D67B7" w:rsidRPr="007B29FB">
        <w:rPr>
          <w:lang w:val="ru-RU"/>
        </w:rPr>
        <w:t>.</w:t>
      </w:r>
    </w:p>
    <w:p w14:paraId="5EB5121C" w14:textId="3C25BA12" w:rsidR="006D67B7" w:rsidRPr="007B29FB" w:rsidRDefault="006D67B7" w:rsidP="006D67B7">
      <w:pPr>
        <w:rPr>
          <w:lang w:val="ru-RU"/>
        </w:rPr>
      </w:pPr>
      <w:r w:rsidRPr="007B29FB">
        <w:rPr>
          <w:lang w:val="ru-RU"/>
        </w:rPr>
        <w:t>8</w:t>
      </w:r>
      <w:r w:rsidRPr="007B29FB">
        <w:rPr>
          <w:lang w:val="ru-RU"/>
        </w:rPr>
        <w:tab/>
      </w:r>
      <w:r w:rsidR="00A4527A" w:rsidRPr="007B29FB">
        <w:rPr>
          <w:lang w:val="ru-RU"/>
        </w:rPr>
        <w:t xml:space="preserve">Повестка дня собрания, документы и иная полезная информация будут доступны на </w:t>
      </w:r>
      <w:hyperlink r:id="rId16" w:history="1">
        <w:r w:rsidR="004329B8" w:rsidRPr="007B29FB">
          <w:rPr>
            <w:rStyle w:val="Hyperlink"/>
            <w:lang w:val="ru-RU"/>
          </w:rPr>
          <w:t xml:space="preserve">домашней странице </w:t>
        </w:r>
        <w:r w:rsidR="00AA2ED9" w:rsidRPr="007B29FB">
          <w:rPr>
            <w:rStyle w:val="Hyperlink"/>
            <w:lang w:val="ru-RU"/>
          </w:rPr>
          <w:t>ОГ-TBFxG</w:t>
        </w:r>
      </w:hyperlink>
      <w:r w:rsidRPr="007B29FB">
        <w:rPr>
          <w:lang w:val="ru-RU"/>
        </w:rPr>
        <w:t xml:space="preserve"> </w:t>
      </w:r>
      <w:r w:rsidR="00A4527A" w:rsidRPr="007B29FB">
        <w:rPr>
          <w:lang w:val="ru-RU"/>
        </w:rPr>
        <w:t>до начала собрания</w:t>
      </w:r>
      <w:r w:rsidRPr="007B29FB">
        <w:rPr>
          <w:lang w:val="ru-RU"/>
        </w:rPr>
        <w:t xml:space="preserve">. </w:t>
      </w:r>
      <w:r w:rsidR="00A4527A" w:rsidRPr="007B29FB">
        <w:rPr>
          <w:lang w:val="ru-RU"/>
        </w:rPr>
        <w:t>Обсуждения будут проходить только на английском языке.</w:t>
      </w:r>
      <w:r w:rsidRPr="007B29FB">
        <w:rPr>
          <w:lang w:val="ru-RU"/>
        </w:rPr>
        <w:t xml:space="preserve"> </w:t>
      </w:r>
      <w:r w:rsidR="0034588B" w:rsidRPr="007B29FB">
        <w:rPr>
          <w:lang w:val="ru-RU"/>
        </w:rPr>
        <w:t>Информация о дистанционном участии будет доступна на веб-странице Оперативной группы</w:t>
      </w:r>
      <w:r w:rsidRPr="007B29FB">
        <w:rPr>
          <w:lang w:val="ru-RU"/>
        </w:rPr>
        <w:t xml:space="preserve"> (</w:t>
      </w:r>
      <w:hyperlink r:id="rId17" w:history="1">
        <w:r w:rsidRPr="007B29FB">
          <w:rPr>
            <w:rStyle w:val="Hyperlink"/>
            <w:lang w:val="ru-RU"/>
          </w:rPr>
          <w:t>www.itu.int/go/fgtbf</w:t>
        </w:r>
      </w:hyperlink>
      <w:r w:rsidRPr="007B29FB">
        <w:rPr>
          <w:lang w:val="ru-RU"/>
        </w:rPr>
        <w:t>).</w:t>
      </w:r>
    </w:p>
    <w:p w14:paraId="6384A764" w14:textId="0DD51CC4" w:rsidR="006D67B7" w:rsidRPr="007B29FB" w:rsidRDefault="006D67B7" w:rsidP="006D67B7">
      <w:pPr>
        <w:rPr>
          <w:lang w:val="ru-RU"/>
        </w:rPr>
      </w:pPr>
      <w:r w:rsidRPr="007B29FB">
        <w:rPr>
          <w:lang w:val="ru-RU"/>
        </w:rPr>
        <w:lastRenderedPageBreak/>
        <w:t>9</w:t>
      </w:r>
      <w:r w:rsidRPr="007B29FB">
        <w:rPr>
          <w:lang w:val="ru-RU"/>
        </w:rPr>
        <w:tab/>
      </w:r>
      <w:r w:rsidR="00A4527A" w:rsidRPr="007B29FB">
        <w:rPr>
          <w:lang w:val="ru-RU"/>
        </w:rPr>
        <w:t xml:space="preserve">Участникам предлагается пройти регистрацию в онлайновом режиме на </w:t>
      </w:r>
      <w:hyperlink r:id="rId18" w:history="1">
        <w:r w:rsidR="00A4527A" w:rsidRPr="007B29FB">
          <w:rPr>
            <w:rStyle w:val="Hyperlink"/>
            <w:lang w:val="ru-RU"/>
          </w:rPr>
          <w:t xml:space="preserve">домашней странице </w:t>
        </w:r>
        <w:r w:rsidR="00AA2ED9" w:rsidRPr="007B29FB">
          <w:rPr>
            <w:rStyle w:val="Hyperlink"/>
            <w:lang w:val="ru-RU"/>
          </w:rPr>
          <w:t>ОГ-</w:t>
        </w:r>
        <w:proofErr w:type="spellStart"/>
        <w:r w:rsidR="00AA2ED9" w:rsidRPr="007B29FB">
          <w:rPr>
            <w:rStyle w:val="Hyperlink"/>
            <w:lang w:val="ru-RU"/>
          </w:rPr>
          <w:t>TBFxG</w:t>
        </w:r>
        <w:proofErr w:type="spellEnd"/>
      </w:hyperlink>
      <w:r w:rsidRPr="007B29FB">
        <w:rPr>
          <w:lang w:val="ru-RU"/>
        </w:rPr>
        <w:t xml:space="preserve"> </w:t>
      </w:r>
      <w:r w:rsidR="00A4527A" w:rsidRPr="007B29FB">
        <w:rPr>
          <w:lang w:val="ru-RU"/>
        </w:rPr>
        <w:t>в кратчайшие сроки</w:t>
      </w:r>
      <w:r w:rsidRPr="007B29FB">
        <w:rPr>
          <w:lang w:val="ru-RU"/>
        </w:rPr>
        <w:t xml:space="preserve">. </w:t>
      </w:r>
      <w:r w:rsidR="0034588B" w:rsidRPr="007B29FB">
        <w:rPr>
          <w:b/>
          <w:bCs/>
          <w:lang w:val="ru-RU"/>
        </w:rPr>
        <w:t>Для участия в виртуальном собрании регистрация я</w:t>
      </w:r>
      <w:r w:rsidR="00A4527A" w:rsidRPr="007B29FB">
        <w:rPr>
          <w:b/>
          <w:bCs/>
          <w:lang w:val="ru-RU"/>
        </w:rPr>
        <w:t>вляется обязательной</w:t>
      </w:r>
      <w:r w:rsidRPr="007B29FB">
        <w:rPr>
          <w:lang w:val="ru-RU"/>
        </w:rPr>
        <w:t>.</w:t>
      </w:r>
    </w:p>
    <w:tbl>
      <w:tblPr>
        <w:tblStyle w:val="TableGrid"/>
        <w:tblW w:w="5000" w:type="pct"/>
        <w:tblLayout w:type="fixed"/>
        <w:tblLook w:val="04A0" w:firstRow="1" w:lastRow="0" w:firstColumn="1" w:lastColumn="0" w:noHBand="0" w:noVBand="1"/>
      </w:tblPr>
      <w:tblGrid>
        <w:gridCol w:w="1982"/>
        <w:gridCol w:w="7647"/>
      </w:tblGrid>
      <w:tr w:rsidR="006D67B7" w:rsidRPr="0000484D" w14:paraId="229830C7" w14:textId="77777777" w:rsidTr="00F24498">
        <w:trPr>
          <w:trHeight w:val="167"/>
        </w:trPr>
        <w:tc>
          <w:tcPr>
            <w:tcW w:w="1982" w:type="dxa"/>
          </w:tcPr>
          <w:p w14:paraId="7316A4C1" w14:textId="0D5D0BA2" w:rsidR="006D67B7" w:rsidRPr="007B29FB" w:rsidRDefault="006D67B7" w:rsidP="007B29FB">
            <w:pPr>
              <w:pStyle w:val="TableText"/>
              <w:rPr>
                <w:lang w:val="ru-RU"/>
              </w:rPr>
            </w:pPr>
            <w:r w:rsidRPr="007B29FB">
              <w:rPr>
                <w:lang w:val="ru-RU"/>
              </w:rPr>
              <w:t>28 марта 2022 г.</w:t>
            </w:r>
          </w:p>
        </w:tc>
        <w:tc>
          <w:tcPr>
            <w:tcW w:w="7647" w:type="dxa"/>
          </w:tcPr>
          <w:p w14:paraId="46BB82DD" w14:textId="0558642F" w:rsidR="006D67B7" w:rsidRPr="007B29FB" w:rsidRDefault="005C1C24" w:rsidP="007B29FB">
            <w:pPr>
              <w:pStyle w:val="TableText"/>
              <w:rPr>
                <w:lang w:val="ru-RU"/>
              </w:rPr>
            </w:pPr>
            <w:r w:rsidRPr="007B29FB">
              <w:rPr>
                <w:lang w:val="ru-RU"/>
              </w:rPr>
              <w:t xml:space="preserve">Представление письменных вкладов (по эл. почте: </w:t>
            </w:r>
            <w:hyperlink r:id="rId19" w:history="1">
              <w:r w:rsidR="00F24498" w:rsidRPr="007B29FB">
                <w:rPr>
                  <w:rStyle w:val="Hyperlink"/>
                  <w:lang w:val="ru-RU"/>
                </w:rPr>
                <w:t>tsbfgtbf@itu.int</w:t>
              </w:r>
            </w:hyperlink>
            <w:r w:rsidRPr="007B29FB">
              <w:rPr>
                <w:lang w:val="ru-RU"/>
              </w:rPr>
              <w:t>)</w:t>
            </w:r>
          </w:p>
        </w:tc>
      </w:tr>
      <w:tr w:rsidR="006D67B7" w:rsidRPr="0000484D" w14:paraId="7F519292" w14:textId="77777777" w:rsidTr="00F24498">
        <w:trPr>
          <w:trHeight w:val="115"/>
        </w:trPr>
        <w:tc>
          <w:tcPr>
            <w:tcW w:w="1982" w:type="dxa"/>
          </w:tcPr>
          <w:p w14:paraId="439409A0" w14:textId="2679D08E" w:rsidR="006D67B7" w:rsidRPr="007B29FB" w:rsidRDefault="006D67B7" w:rsidP="007B29FB">
            <w:pPr>
              <w:pStyle w:val="TableText"/>
              <w:rPr>
                <w:lang w:val="ru-RU"/>
              </w:rPr>
            </w:pPr>
            <w:r w:rsidRPr="007B29FB">
              <w:rPr>
                <w:lang w:val="ru-RU"/>
              </w:rPr>
              <w:t>3 апреля 2022 г.</w:t>
            </w:r>
          </w:p>
        </w:tc>
        <w:tc>
          <w:tcPr>
            <w:tcW w:w="7647" w:type="dxa"/>
          </w:tcPr>
          <w:p w14:paraId="214215F8" w14:textId="6FEC5DF8" w:rsidR="006D67B7" w:rsidRPr="007B29FB" w:rsidRDefault="009044FE" w:rsidP="007B29FB">
            <w:pPr>
              <w:pStyle w:val="TableText"/>
              <w:rPr>
                <w:lang w:val="ru-RU"/>
              </w:rPr>
            </w:pPr>
            <w:r w:rsidRPr="007B29FB">
              <w:rPr>
                <w:lang w:val="ru-RU"/>
              </w:rPr>
              <w:t>Предварительная регистрация</w:t>
            </w:r>
            <w:r w:rsidR="0034588B" w:rsidRPr="007B29FB">
              <w:rPr>
                <w:lang w:val="ru-RU"/>
              </w:rPr>
              <w:t>, доступная на веб-странице Оперативной группы</w:t>
            </w:r>
            <w:r w:rsidR="006D67B7" w:rsidRPr="007B29FB">
              <w:rPr>
                <w:lang w:val="ru-RU"/>
              </w:rPr>
              <w:t xml:space="preserve">, </w:t>
            </w:r>
            <w:hyperlink r:id="rId20" w:history="1">
              <w:r w:rsidR="006D67B7" w:rsidRPr="007B29FB">
                <w:rPr>
                  <w:rStyle w:val="Hyperlink"/>
                  <w:lang w:val="ru-RU"/>
                </w:rPr>
                <w:t>www.itu.int/go/fgtbf</w:t>
              </w:r>
            </w:hyperlink>
          </w:p>
        </w:tc>
      </w:tr>
    </w:tbl>
    <w:p w14:paraId="7770F62E" w14:textId="69933DD4" w:rsidR="006D67B7" w:rsidRPr="007B29FB" w:rsidRDefault="009044FE" w:rsidP="006D67B7">
      <w:pPr>
        <w:spacing w:before="360"/>
        <w:rPr>
          <w:szCs w:val="22"/>
          <w:lang w:val="ru-RU"/>
        </w:rPr>
      </w:pPr>
      <w:r w:rsidRPr="007B29FB">
        <w:rPr>
          <w:szCs w:val="22"/>
          <w:lang w:val="ru-RU"/>
        </w:rPr>
        <w:t>Желаю вам плодотворного и приятного мероприятия.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1"/>
        <w:gridCol w:w="3103"/>
      </w:tblGrid>
      <w:tr w:rsidR="006D67B7" w:rsidRPr="007B29FB" w14:paraId="540A9564" w14:textId="77777777" w:rsidTr="00325E68">
        <w:trPr>
          <w:trHeight w:val="1955"/>
        </w:trPr>
        <w:tc>
          <w:tcPr>
            <w:tcW w:w="6663" w:type="dxa"/>
            <w:tcBorders>
              <w:right w:val="single" w:sz="4" w:space="0" w:color="auto"/>
            </w:tcBorders>
          </w:tcPr>
          <w:p w14:paraId="43A12864" w14:textId="0D4B3D71" w:rsidR="006D67B7" w:rsidRPr="007B29FB" w:rsidRDefault="006D67B7" w:rsidP="00325E68">
            <w:pPr>
              <w:keepNext/>
              <w:keepLines/>
              <w:spacing w:before="360"/>
              <w:ind w:left="-110"/>
              <w:rPr>
                <w:szCs w:val="22"/>
                <w:lang w:val="ru-RU"/>
              </w:rPr>
            </w:pPr>
            <w:r w:rsidRPr="007B29FB">
              <w:rPr>
                <w:lang w:val="ru-RU"/>
              </w:rPr>
              <w:t>С уважением,</w:t>
            </w:r>
          </w:p>
          <w:p w14:paraId="18974A8A" w14:textId="1A80DA71" w:rsidR="006D67B7" w:rsidRPr="007B29FB" w:rsidRDefault="001D58BB" w:rsidP="00325E68">
            <w:pPr>
              <w:keepNext/>
              <w:keepLines/>
              <w:spacing w:before="960"/>
              <w:ind w:left="-110"/>
              <w:rPr>
                <w:lang w:val="ru-RU"/>
              </w:rPr>
            </w:pPr>
            <w:r>
              <w:rPr>
                <w:noProof/>
                <w:lang w:val="ru-RU"/>
              </w:rPr>
              <w:drawing>
                <wp:anchor distT="0" distB="0" distL="114300" distR="114300" simplePos="0" relativeHeight="251658240" behindDoc="1" locked="0" layoutInCell="1" allowOverlap="1" wp14:anchorId="2778EE4F" wp14:editId="18771B02">
                  <wp:simplePos x="0" y="0"/>
                  <wp:positionH relativeFrom="column">
                    <wp:posOffset>-71120</wp:posOffset>
                  </wp:positionH>
                  <wp:positionV relativeFrom="paragraph">
                    <wp:posOffset>148590</wp:posOffset>
                  </wp:positionV>
                  <wp:extent cx="722355" cy="387350"/>
                  <wp:effectExtent l="0" t="0" r="1905"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730701" cy="391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D67B7" w:rsidRPr="007B29FB">
              <w:rPr>
                <w:szCs w:val="22"/>
                <w:lang w:val="ru-RU"/>
              </w:rPr>
              <w:t>Чхе</w:t>
            </w:r>
            <w:proofErr w:type="spellEnd"/>
            <w:r w:rsidR="006D67B7" w:rsidRPr="007B29FB">
              <w:rPr>
                <w:szCs w:val="22"/>
                <w:lang w:val="ru-RU"/>
              </w:rPr>
              <w:t xml:space="preserve"> </w:t>
            </w:r>
            <w:proofErr w:type="spellStart"/>
            <w:r w:rsidR="006D67B7" w:rsidRPr="007B29FB">
              <w:rPr>
                <w:szCs w:val="22"/>
                <w:lang w:val="ru-RU"/>
              </w:rPr>
              <w:t>Суб</w:t>
            </w:r>
            <w:proofErr w:type="spellEnd"/>
            <w:r w:rsidR="006D67B7" w:rsidRPr="007B29FB">
              <w:rPr>
                <w:szCs w:val="22"/>
                <w:lang w:val="ru-RU"/>
              </w:rPr>
              <w:t xml:space="preserve"> Ли</w:t>
            </w:r>
            <w:r w:rsidR="006D67B7" w:rsidRPr="007B29FB">
              <w:rPr>
                <w:szCs w:val="22"/>
                <w:lang w:val="ru-RU"/>
              </w:rPr>
              <w:br/>
            </w:r>
            <w:r w:rsidR="006D67B7" w:rsidRPr="007B29FB">
              <w:rPr>
                <w:lang w:val="ru-RU"/>
              </w:rPr>
              <w:t>Директор Бюро</w:t>
            </w:r>
            <w:r w:rsidR="006D67B7" w:rsidRPr="007B29FB">
              <w:rPr>
                <w:szCs w:val="22"/>
                <w:lang w:val="ru-RU"/>
              </w:rPr>
              <w:br/>
            </w:r>
            <w:r w:rsidR="006D67B7" w:rsidRPr="007B29FB">
              <w:rPr>
                <w:lang w:val="ru-RU"/>
              </w:rPr>
              <w:t>стандартизации электросвязи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134B2C" w14:textId="77777777" w:rsidR="006D67B7" w:rsidRPr="007B29FB" w:rsidRDefault="006D67B7" w:rsidP="00325E68">
            <w:pPr>
              <w:spacing w:before="0"/>
              <w:jc w:val="center"/>
              <w:rPr>
                <w:szCs w:val="22"/>
                <w:highlight w:val="yellow"/>
                <w:lang w:val="ru-RU" w:eastAsia="zh-CN"/>
              </w:rPr>
            </w:pPr>
            <w:r w:rsidRPr="007B29FB">
              <w:rPr>
                <w:noProof/>
                <w:szCs w:val="22"/>
                <w:lang w:val="ru-RU" w:eastAsia="zh-CN"/>
              </w:rPr>
              <w:drawing>
                <wp:inline distT="0" distB="0" distL="0" distR="0" wp14:anchorId="41800973" wp14:editId="67F75957">
                  <wp:extent cx="1470211" cy="1465835"/>
                  <wp:effectExtent l="0" t="0" r="0" b="127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22"/>
                          <a:stretch>
                            <a:fillRect/>
                          </a:stretch>
                        </pic:blipFill>
                        <pic:spPr>
                          <a:xfrm>
                            <a:off x="0" y="0"/>
                            <a:ext cx="1481390" cy="1476981"/>
                          </a:xfrm>
                          <a:prstGeom prst="rect">
                            <a:avLst/>
                          </a:prstGeom>
                        </pic:spPr>
                      </pic:pic>
                    </a:graphicData>
                  </a:graphic>
                </wp:inline>
              </w:drawing>
            </w:r>
          </w:p>
          <w:p w14:paraId="2237DC49" w14:textId="77777777" w:rsidR="006D67B7" w:rsidRPr="007B29FB" w:rsidRDefault="006D67B7" w:rsidP="00325E68">
            <w:pPr>
              <w:spacing w:before="0"/>
              <w:jc w:val="center"/>
              <w:rPr>
                <w:szCs w:val="22"/>
                <w:lang w:val="ru-RU"/>
              </w:rPr>
            </w:pPr>
          </w:p>
        </w:tc>
      </w:tr>
    </w:tbl>
    <w:p w14:paraId="3D105511" w14:textId="6F6A91DD" w:rsidR="006D67B7" w:rsidRPr="007B29FB" w:rsidRDefault="006D67B7" w:rsidP="00837F7B">
      <w:pPr>
        <w:spacing w:before="1440"/>
        <w:rPr>
          <w:lang w:val="ru-RU"/>
        </w:rPr>
      </w:pPr>
      <w:r w:rsidRPr="007B29FB">
        <w:rPr>
          <w:b/>
          <w:bCs/>
          <w:szCs w:val="22"/>
          <w:lang w:val="ru-RU"/>
        </w:rPr>
        <w:t>Приложение</w:t>
      </w:r>
      <w:r w:rsidRPr="007B29FB">
        <w:rPr>
          <w:szCs w:val="22"/>
          <w:lang w:val="ru-RU"/>
        </w:rPr>
        <w:t>: 1</w:t>
      </w:r>
    </w:p>
    <w:p w14:paraId="59B6AE41" w14:textId="5047D552" w:rsidR="003112FE" w:rsidRPr="007B29FB" w:rsidRDefault="003112FE">
      <w:pPr>
        <w:tabs>
          <w:tab w:val="clear" w:pos="794"/>
          <w:tab w:val="clear" w:pos="1191"/>
          <w:tab w:val="clear" w:pos="1588"/>
          <w:tab w:val="clear" w:pos="1985"/>
        </w:tabs>
        <w:spacing w:before="0"/>
        <w:rPr>
          <w:lang w:val="ru-RU"/>
        </w:rPr>
      </w:pPr>
      <w:r w:rsidRPr="007B29FB">
        <w:rPr>
          <w:lang w:val="ru-RU"/>
        </w:rPr>
        <w:br w:type="page"/>
      </w:r>
    </w:p>
    <w:p w14:paraId="0F9A0708" w14:textId="77777777" w:rsidR="00837F7B" w:rsidRPr="007B29FB" w:rsidRDefault="00837F7B" w:rsidP="00837F7B">
      <w:pPr>
        <w:pStyle w:val="AnnexNo"/>
        <w:rPr>
          <w:rFonts w:cstheme="minorHAnsi"/>
          <w:b/>
          <w:bCs/>
          <w:lang w:val="ru-RU"/>
        </w:rPr>
      </w:pPr>
      <w:r w:rsidRPr="007B29FB">
        <w:rPr>
          <w:rFonts w:cstheme="minorHAnsi"/>
          <w:b/>
          <w:bCs/>
          <w:lang w:val="ru-RU"/>
        </w:rPr>
        <w:lastRenderedPageBreak/>
        <w:t>ANNEX 1</w:t>
      </w:r>
    </w:p>
    <w:p w14:paraId="230C79B3" w14:textId="77777777" w:rsidR="00837F7B" w:rsidRPr="007B29FB" w:rsidRDefault="00837F7B" w:rsidP="00837F7B">
      <w:pPr>
        <w:spacing w:before="240"/>
        <w:rPr>
          <w:rFonts w:cstheme="minorHAnsi"/>
          <w:szCs w:val="22"/>
          <w:lang w:val="en-GB"/>
        </w:rPr>
      </w:pPr>
      <w:bookmarkStart w:id="3" w:name="lt_pId121"/>
      <w:r w:rsidRPr="007B29FB">
        <w:rPr>
          <w:rFonts w:cstheme="minorHAnsi"/>
          <w:b/>
          <w:bCs/>
          <w:szCs w:val="22"/>
          <w:lang w:val="en-GB"/>
        </w:rPr>
        <w:t>Source:</w:t>
      </w:r>
      <w:bookmarkEnd w:id="3"/>
      <w:r w:rsidRPr="007B29FB">
        <w:rPr>
          <w:rFonts w:cstheme="minorHAnsi"/>
          <w:szCs w:val="22"/>
          <w:lang w:val="en-GB"/>
        </w:rPr>
        <w:t xml:space="preserve"> </w:t>
      </w:r>
      <w:hyperlink r:id="rId23" w:history="1">
        <w:bookmarkStart w:id="4" w:name="lt_pId122"/>
        <w:r w:rsidRPr="007B29FB">
          <w:rPr>
            <w:rStyle w:val="Hyperlink"/>
            <w:rFonts w:cstheme="minorHAnsi"/>
            <w:szCs w:val="22"/>
            <w:lang w:val="en-GB"/>
          </w:rPr>
          <w:t>SG11-TD1804-R1/GEN</w:t>
        </w:r>
        <w:bookmarkEnd w:id="4"/>
      </w:hyperlink>
    </w:p>
    <w:p w14:paraId="30A59FEB" w14:textId="77777777" w:rsidR="00837F7B" w:rsidRPr="007B29FB" w:rsidRDefault="00837F7B" w:rsidP="00837F7B">
      <w:pPr>
        <w:keepNext/>
        <w:keepLines/>
        <w:spacing w:before="240"/>
        <w:jc w:val="center"/>
        <w:rPr>
          <w:rFonts w:cstheme="minorHAnsi"/>
          <w:b/>
          <w:szCs w:val="22"/>
          <w:lang w:val="en-GB"/>
        </w:rPr>
      </w:pPr>
      <w:bookmarkStart w:id="5" w:name="lt_pId123"/>
      <w:r w:rsidRPr="007B29FB">
        <w:rPr>
          <w:rFonts w:cstheme="minorHAnsi"/>
          <w:b/>
          <w:szCs w:val="22"/>
          <w:lang w:val="en-GB"/>
        </w:rPr>
        <w:t>Terms of Reference for the ITU-T Focus Group on</w:t>
      </w:r>
      <w:bookmarkEnd w:id="5"/>
      <w:r w:rsidRPr="007B29FB">
        <w:rPr>
          <w:rFonts w:cstheme="minorHAnsi"/>
          <w:b/>
          <w:szCs w:val="22"/>
          <w:lang w:val="en-GB"/>
        </w:rPr>
        <w:t xml:space="preserve"> </w:t>
      </w:r>
      <w:r w:rsidRPr="007B29FB">
        <w:rPr>
          <w:rFonts w:cstheme="minorHAnsi"/>
          <w:b/>
          <w:szCs w:val="22"/>
          <w:lang w:val="en-GB"/>
        </w:rPr>
        <w:br/>
      </w:r>
      <w:bookmarkStart w:id="6" w:name="lt_pId124"/>
      <w:r w:rsidRPr="007B29FB">
        <w:rPr>
          <w:rFonts w:cstheme="minorHAnsi"/>
          <w:b/>
          <w:szCs w:val="22"/>
          <w:lang w:val="en-GB"/>
        </w:rPr>
        <w:t>“Testbeds Federations for IMT-2020 and beyond”</w:t>
      </w:r>
      <w:bookmarkEnd w:id="6"/>
      <w:r w:rsidRPr="007B29FB">
        <w:rPr>
          <w:rFonts w:cstheme="minorHAnsi"/>
          <w:b/>
          <w:szCs w:val="22"/>
          <w:lang w:val="en-GB"/>
        </w:rPr>
        <w:br/>
      </w:r>
      <w:bookmarkStart w:id="7" w:name="lt_pId125"/>
      <w:r w:rsidRPr="007B29FB">
        <w:rPr>
          <w:rFonts w:cstheme="minorHAnsi"/>
          <w:b/>
          <w:szCs w:val="22"/>
          <w:lang w:val="en-GB"/>
        </w:rPr>
        <w:t>(FG-TBFxG)</w:t>
      </w:r>
      <w:bookmarkEnd w:id="7"/>
    </w:p>
    <w:p w14:paraId="5CF4D6AE" w14:textId="77777777" w:rsidR="00837F7B" w:rsidRPr="007B29FB" w:rsidRDefault="00837F7B" w:rsidP="00837F7B">
      <w:pPr>
        <w:spacing w:before="360"/>
        <w:rPr>
          <w:rFonts w:cstheme="minorHAnsi"/>
          <w:b/>
          <w:bCs/>
          <w:szCs w:val="22"/>
          <w:lang w:val="en-GB"/>
        </w:rPr>
      </w:pPr>
      <w:r w:rsidRPr="007B29FB">
        <w:rPr>
          <w:rFonts w:cstheme="minorHAnsi"/>
          <w:b/>
          <w:bCs/>
          <w:szCs w:val="22"/>
          <w:lang w:val="en-GB"/>
        </w:rPr>
        <w:t>1.</w:t>
      </w:r>
      <w:r w:rsidRPr="007B29FB">
        <w:rPr>
          <w:rFonts w:cstheme="minorHAnsi"/>
          <w:b/>
          <w:bCs/>
          <w:szCs w:val="22"/>
          <w:lang w:val="en-GB"/>
        </w:rPr>
        <w:tab/>
      </w:r>
      <w:bookmarkStart w:id="8" w:name="lt_pId127"/>
      <w:r w:rsidRPr="007B29FB">
        <w:rPr>
          <w:rFonts w:cstheme="minorHAnsi"/>
          <w:b/>
          <w:bCs/>
          <w:szCs w:val="22"/>
          <w:lang w:val="en-GB"/>
        </w:rPr>
        <w:t>Rationale and Scope</w:t>
      </w:r>
      <w:bookmarkEnd w:id="8"/>
    </w:p>
    <w:p w14:paraId="37DCC906" w14:textId="77777777" w:rsidR="00837F7B" w:rsidRPr="007B29FB" w:rsidRDefault="00837F7B" w:rsidP="00837F7B">
      <w:pPr>
        <w:jc w:val="both"/>
        <w:rPr>
          <w:rFonts w:cstheme="minorHAnsi"/>
          <w:szCs w:val="22"/>
          <w:lang w:val="en-GB"/>
        </w:rPr>
      </w:pPr>
      <w:bookmarkStart w:id="9" w:name="lt_pId128"/>
      <w:r w:rsidRPr="007B29FB">
        <w:rPr>
          <w:rFonts w:cstheme="minorHAnsi"/>
          <w:szCs w:val="22"/>
          <w:lang w:val="en-GB"/>
        </w:rPr>
        <w:t>Over the years, ICT Research Communities (including publicly funded R&amp;D Projects in US, Europe, China, Japan, South Korea, and in many other parts of the world), together with the Industry, have been working on various topics on building and implementing Testbeds for various purposes, including ICT Testbeds and Testbeds for industrial sectors (such as certain applications in the areas of transportation, finance &amp; banking, healthcare, automotive, manufacturing, production plants, retail, entertainment &amp; broadcasting, etc., that leverage ICT technologies and infrastructures).</w:t>
      </w:r>
      <w:bookmarkEnd w:id="9"/>
    </w:p>
    <w:p w14:paraId="2C18AFAA" w14:textId="77777777" w:rsidR="00837F7B" w:rsidRPr="007B29FB" w:rsidRDefault="00837F7B" w:rsidP="00837F7B">
      <w:pPr>
        <w:jc w:val="both"/>
        <w:rPr>
          <w:rFonts w:cstheme="minorHAnsi"/>
          <w:szCs w:val="22"/>
          <w:lang w:val="en-GB"/>
        </w:rPr>
      </w:pPr>
      <w:bookmarkStart w:id="10" w:name="lt_pId129"/>
      <w:r w:rsidRPr="007B29FB">
        <w:rPr>
          <w:rFonts w:cstheme="minorHAnsi"/>
          <w:szCs w:val="22"/>
          <w:lang w:val="en-GB"/>
        </w:rPr>
        <w:t>Today, there are many Testbeds available for Research purposes and many Testbeds continue to be built by the Research Communities and by the Industry as well.</w:t>
      </w:r>
      <w:bookmarkEnd w:id="10"/>
      <w:r w:rsidRPr="007B29FB">
        <w:rPr>
          <w:rFonts w:cstheme="minorHAnsi"/>
          <w:szCs w:val="22"/>
          <w:lang w:val="en-GB"/>
        </w:rPr>
        <w:t xml:space="preserve"> </w:t>
      </w:r>
      <w:bookmarkStart w:id="11" w:name="lt_pId130"/>
      <w:r w:rsidRPr="007B29FB">
        <w:rPr>
          <w:rFonts w:cstheme="minorHAnsi"/>
          <w:szCs w:val="22"/>
          <w:lang w:val="en-GB"/>
        </w:rPr>
        <w:t>The Industry continues to build its own Testbeds that are used internally within organizations such as Network Operators (or Communications Service Providers) or Vendors, and in some cases some industrial Testbeds are useable to multiple organizations based on certain collaboration agreements that are closed only to the partners.</w:t>
      </w:r>
      <w:bookmarkEnd w:id="11"/>
    </w:p>
    <w:p w14:paraId="4A17E759" w14:textId="77777777" w:rsidR="00837F7B" w:rsidRPr="007B29FB" w:rsidRDefault="00837F7B" w:rsidP="00837F7B">
      <w:pPr>
        <w:jc w:val="both"/>
        <w:rPr>
          <w:rFonts w:cstheme="minorHAnsi"/>
          <w:szCs w:val="22"/>
          <w:lang w:val="en-GB"/>
        </w:rPr>
      </w:pPr>
      <w:bookmarkStart w:id="12" w:name="lt_pId131"/>
      <w:r w:rsidRPr="007B29FB">
        <w:rPr>
          <w:rFonts w:cstheme="minorHAnsi"/>
          <w:szCs w:val="22"/>
          <w:lang w:val="en-GB"/>
        </w:rPr>
        <w:t>Over the years it has increasingly been experienced that singly isolated standalone Testbeds are not sufficient to test and trial out certain technology use cases because the use cases rather require the use of components and resources located in various Testbeds (due to the varying capabilities of the different Testbeds that need to be used, and due to the fact that it is more sustainable when the burden of investing in Testbed facilities is shared among various potential Testbed suppliers/providers).</w:t>
      </w:r>
      <w:bookmarkEnd w:id="12"/>
      <w:r w:rsidRPr="007B29FB">
        <w:rPr>
          <w:rFonts w:cstheme="minorHAnsi"/>
          <w:szCs w:val="22"/>
          <w:lang w:val="en-GB"/>
        </w:rPr>
        <w:t xml:space="preserve"> </w:t>
      </w:r>
      <w:bookmarkStart w:id="13" w:name="lt_pId132"/>
      <w:r w:rsidRPr="007B29FB">
        <w:rPr>
          <w:rFonts w:cstheme="minorHAnsi"/>
          <w:szCs w:val="22"/>
          <w:lang w:val="en-GB"/>
        </w:rPr>
        <w:t>New ICT Technologies, Networks and Industry-oriented Applications are becoming increasingly complex to test using Standalone Testbeds.</w:t>
      </w:r>
      <w:bookmarkEnd w:id="13"/>
      <w:r w:rsidRPr="007B29FB">
        <w:rPr>
          <w:rFonts w:cstheme="minorHAnsi"/>
          <w:szCs w:val="22"/>
          <w:lang w:val="en-GB"/>
        </w:rPr>
        <w:t xml:space="preserve"> </w:t>
      </w:r>
      <w:bookmarkStart w:id="14" w:name="lt_pId133"/>
      <w:r w:rsidRPr="007B29FB">
        <w:rPr>
          <w:rFonts w:cstheme="minorHAnsi"/>
          <w:szCs w:val="22"/>
          <w:lang w:val="en-GB"/>
        </w:rPr>
        <w:t>Hence, Federated Testbeds bring sustainability in fostering environments for quick innovations and testing of complex technologies and use cases, and for enabling quicker time to market for products and services.</w:t>
      </w:r>
      <w:bookmarkEnd w:id="14"/>
    </w:p>
    <w:p w14:paraId="12130BF7" w14:textId="77777777" w:rsidR="00837F7B" w:rsidRPr="007B29FB" w:rsidRDefault="00837F7B" w:rsidP="00837F7B">
      <w:pPr>
        <w:jc w:val="both"/>
        <w:rPr>
          <w:rFonts w:cstheme="minorHAnsi"/>
          <w:szCs w:val="22"/>
          <w:lang w:val="en-GB"/>
        </w:rPr>
      </w:pPr>
      <w:bookmarkStart w:id="15" w:name="lt_pId134"/>
      <w:r w:rsidRPr="007B29FB">
        <w:rPr>
          <w:rFonts w:cstheme="minorHAnsi"/>
          <w:szCs w:val="22"/>
          <w:lang w:val="en-GB"/>
        </w:rPr>
        <w:t>In this regard, federated testbeds may bring a lot of value to “research use-cases” and “industry real technology deployment use cases”.</w:t>
      </w:r>
      <w:bookmarkEnd w:id="15"/>
      <w:r w:rsidRPr="007B29FB">
        <w:rPr>
          <w:rFonts w:cstheme="minorHAnsi"/>
          <w:szCs w:val="22"/>
          <w:lang w:val="en-GB"/>
        </w:rPr>
        <w:t xml:space="preserve"> </w:t>
      </w:r>
      <w:bookmarkStart w:id="16" w:name="lt_pId135"/>
      <w:r w:rsidRPr="007B29FB">
        <w:rPr>
          <w:rFonts w:cstheme="minorHAnsi"/>
          <w:szCs w:val="22"/>
          <w:lang w:val="en-GB"/>
        </w:rPr>
        <w:t>In general, there is an urgent need to build an Ecosystem for enabling Sustainable Testbeds Development, Evolutions, and Federations.</w:t>
      </w:r>
      <w:bookmarkEnd w:id="16"/>
      <w:r w:rsidRPr="007B29FB">
        <w:rPr>
          <w:rFonts w:cstheme="minorHAnsi"/>
          <w:szCs w:val="22"/>
          <w:lang w:val="en-GB"/>
        </w:rPr>
        <w:t xml:space="preserve"> </w:t>
      </w:r>
      <w:bookmarkStart w:id="17" w:name="lt_pId136"/>
      <w:r w:rsidRPr="007B29FB">
        <w:rPr>
          <w:rFonts w:cstheme="minorHAnsi"/>
          <w:szCs w:val="22"/>
          <w:lang w:val="en-GB"/>
        </w:rPr>
        <w:t>This becomes important for the whole ICT Industry and different domains, especially in this era of automation and consideration of emerging impacts of pandemics like COVID-19 on products developments and lifecycle management.</w:t>
      </w:r>
      <w:bookmarkEnd w:id="17"/>
    </w:p>
    <w:p w14:paraId="7FBEB2E8" w14:textId="77777777" w:rsidR="00837F7B" w:rsidRPr="007B29FB" w:rsidRDefault="00837F7B" w:rsidP="00837F7B">
      <w:pPr>
        <w:jc w:val="both"/>
        <w:rPr>
          <w:rFonts w:cstheme="minorHAnsi"/>
          <w:szCs w:val="22"/>
          <w:lang w:val="en-GB"/>
        </w:rPr>
      </w:pPr>
      <w:bookmarkStart w:id="18" w:name="lt_pId137"/>
      <w:r w:rsidRPr="007B29FB">
        <w:rPr>
          <w:rFonts w:cstheme="minorHAnsi"/>
          <w:szCs w:val="22"/>
          <w:lang w:val="en-GB"/>
        </w:rPr>
        <w:t>ITU-T SG11 in close collaboration with ETSI TC INT developed draft Recommendation ITU-T Q.4068 “Open APIs for interoperable testbed federations” which defines a generic Reference Model for Testbeds Federations and describes the main elements of this Reference Model.</w:t>
      </w:r>
      <w:bookmarkEnd w:id="18"/>
    </w:p>
    <w:p w14:paraId="51E2669E" w14:textId="77777777" w:rsidR="00837F7B" w:rsidRPr="007B29FB" w:rsidRDefault="00837F7B" w:rsidP="00837F7B">
      <w:pPr>
        <w:jc w:val="both"/>
        <w:rPr>
          <w:rFonts w:cstheme="minorHAnsi"/>
          <w:szCs w:val="22"/>
          <w:lang w:val="en-GB"/>
        </w:rPr>
      </w:pPr>
      <w:bookmarkStart w:id="19" w:name="lt_pId138"/>
      <w:r w:rsidRPr="007B29FB">
        <w:rPr>
          <w:rFonts w:cstheme="minorHAnsi"/>
          <w:szCs w:val="22"/>
          <w:lang w:val="en-GB"/>
        </w:rPr>
        <w:t>In addition, ITU-T SG11, ETSI TC INT and IEEE co-organized Joint SDOs Brainstorming Workshop on Testbeds Federations for 5G and Beyond:</w:t>
      </w:r>
      <w:bookmarkEnd w:id="19"/>
      <w:r w:rsidRPr="007B29FB">
        <w:rPr>
          <w:rFonts w:cstheme="minorHAnsi"/>
          <w:szCs w:val="22"/>
          <w:lang w:val="en-GB"/>
        </w:rPr>
        <w:t xml:space="preserve"> </w:t>
      </w:r>
      <w:bookmarkStart w:id="20" w:name="lt_pId139"/>
      <w:r w:rsidRPr="007B29FB">
        <w:rPr>
          <w:rFonts w:cstheme="minorHAnsi"/>
          <w:szCs w:val="22"/>
          <w:lang w:val="en-GB"/>
        </w:rPr>
        <w:t>Interoperability, Standardization, Reference Model and APIs which was held fully virtual on 15-16 March 2021 (</w:t>
      </w:r>
      <w:hyperlink r:id="rId24" w:history="1">
        <w:r w:rsidRPr="007B29FB">
          <w:rPr>
            <w:rFonts w:cstheme="minorHAnsi"/>
            <w:color w:val="0000FF"/>
            <w:szCs w:val="22"/>
            <w:u w:val="single"/>
            <w:lang w:val="en-GB"/>
          </w:rPr>
          <w:t>www.itu.int/go/BTF4-5G</w:t>
        </w:r>
      </w:hyperlink>
      <w:r w:rsidRPr="007B29FB">
        <w:rPr>
          <w:rFonts w:cstheme="minorHAnsi"/>
          <w:szCs w:val="22"/>
          <w:lang w:val="en-GB"/>
        </w:rPr>
        <w:t>).</w:t>
      </w:r>
      <w:bookmarkEnd w:id="20"/>
      <w:r w:rsidRPr="007B29FB">
        <w:rPr>
          <w:rFonts w:cstheme="minorHAnsi"/>
          <w:szCs w:val="22"/>
          <w:lang w:val="en-GB"/>
        </w:rPr>
        <w:t xml:space="preserve"> </w:t>
      </w:r>
      <w:bookmarkStart w:id="21" w:name="lt_pId140"/>
      <w:r w:rsidRPr="007B29FB">
        <w:rPr>
          <w:rFonts w:cstheme="minorHAnsi"/>
          <w:szCs w:val="22"/>
          <w:lang w:val="en-GB"/>
        </w:rPr>
        <w:t>It was noted that Research Communities and the Industry (Solutions vendors/suppliers, CSPs, Enterprises, and Standards Development Organizations (SDOs)/Fora) all have roles to play in this desired Ecosystem that should be built around the Testbeds Federations Reference Model now and into the future, in this era of “</w:t>
      </w:r>
      <w:r w:rsidRPr="007B29FB">
        <w:rPr>
          <w:rFonts w:cstheme="minorHAnsi"/>
          <w:i/>
          <w:szCs w:val="22"/>
          <w:lang w:val="en-GB"/>
        </w:rPr>
        <w:t>Software’rization</w:t>
      </w:r>
      <w:r w:rsidRPr="007B29FB">
        <w:rPr>
          <w:rFonts w:cstheme="minorHAnsi"/>
          <w:szCs w:val="22"/>
          <w:lang w:val="en-GB"/>
        </w:rPr>
        <w:t xml:space="preserve">” and </w:t>
      </w:r>
      <w:r w:rsidRPr="007B29FB">
        <w:rPr>
          <w:rFonts w:cstheme="minorHAnsi"/>
          <w:i/>
          <w:iCs/>
          <w:szCs w:val="22"/>
          <w:lang w:val="en-GB"/>
        </w:rPr>
        <w:t>Disaggregation</w:t>
      </w:r>
      <w:r w:rsidRPr="007B29FB">
        <w:rPr>
          <w:rFonts w:cstheme="minorHAnsi"/>
          <w:szCs w:val="22"/>
          <w:lang w:val="en-GB"/>
        </w:rPr>
        <w:t xml:space="preserve"> of ICT Networks, IMT-2020 and beyond.</w:t>
      </w:r>
      <w:bookmarkEnd w:id="21"/>
    </w:p>
    <w:p w14:paraId="75878A72" w14:textId="77777777" w:rsidR="00837F7B" w:rsidRPr="007B29FB" w:rsidRDefault="00837F7B" w:rsidP="00837F7B">
      <w:pPr>
        <w:jc w:val="both"/>
        <w:rPr>
          <w:rFonts w:cstheme="minorHAnsi"/>
          <w:szCs w:val="22"/>
          <w:lang w:val="en-GB"/>
        </w:rPr>
      </w:pPr>
      <w:bookmarkStart w:id="22" w:name="lt_pId141"/>
      <w:proofErr w:type="gramStart"/>
      <w:r w:rsidRPr="007B29FB">
        <w:rPr>
          <w:rFonts w:cstheme="minorHAnsi"/>
          <w:szCs w:val="22"/>
          <w:lang w:val="en-GB"/>
        </w:rPr>
        <w:t>Taking into account</w:t>
      </w:r>
      <w:proofErr w:type="gramEnd"/>
      <w:r w:rsidRPr="007B29FB">
        <w:rPr>
          <w:rFonts w:cstheme="minorHAnsi"/>
          <w:szCs w:val="22"/>
          <w:lang w:val="en-GB"/>
        </w:rPr>
        <w:t xml:space="preserve"> the importance of the desired Ecosystem, including APIs for the Testbed Federations that affect various stakeholders, this Focus Group on “Testbeds Federations for IMT-2020 and beyond” (FG-TBFxG) would play a role in providing a platform to share views, to develop a series of deliverables, and showcasing initiatives, projects, and standards activities linked to Testbed Federations.</w:t>
      </w:r>
      <w:bookmarkEnd w:id="22"/>
    </w:p>
    <w:p w14:paraId="6BD72974" w14:textId="77777777" w:rsidR="00837F7B" w:rsidRPr="007B29FB" w:rsidRDefault="00837F7B" w:rsidP="00837F7B">
      <w:pPr>
        <w:jc w:val="both"/>
        <w:rPr>
          <w:rFonts w:cstheme="minorHAnsi"/>
          <w:szCs w:val="22"/>
          <w:lang w:val="en-GB"/>
        </w:rPr>
      </w:pPr>
      <w:bookmarkStart w:id="23" w:name="lt_pId142"/>
      <w:r w:rsidRPr="007B29FB">
        <w:rPr>
          <w:rFonts w:cstheme="minorHAnsi"/>
          <w:szCs w:val="22"/>
          <w:lang w:val="en-GB"/>
        </w:rPr>
        <w:lastRenderedPageBreak/>
        <w:t>The FG-TBFxG will serve as a platform to help bring about Harmonization of Testbeds specifications across SDOs/Fora.</w:t>
      </w:r>
      <w:bookmarkEnd w:id="23"/>
      <w:r w:rsidRPr="007B29FB">
        <w:rPr>
          <w:rFonts w:cstheme="minorHAnsi"/>
          <w:szCs w:val="22"/>
          <w:lang w:val="en-GB"/>
        </w:rPr>
        <w:t xml:space="preserve"> </w:t>
      </w:r>
      <w:bookmarkStart w:id="24" w:name="lt_pId143"/>
      <w:r w:rsidRPr="007B29FB">
        <w:rPr>
          <w:rFonts w:cstheme="minorHAnsi"/>
          <w:szCs w:val="22"/>
          <w:lang w:val="en-GB"/>
        </w:rPr>
        <w:t>The FG-TBFxG will leverage and align with the Testbeds Federations Reference Model being standardized jointly by ETSI TC INT and ITU-T SG11 in researching, developing and specifying the required APIs, and defining a set of use cases for Federated Testbeds and use of the APIs.</w:t>
      </w:r>
      <w:bookmarkEnd w:id="24"/>
      <w:r w:rsidRPr="007B29FB">
        <w:rPr>
          <w:rFonts w:cstheme="minorHAnsi"/>
          <w:szCs w:val="22"/>
          <w:lang w:val="en-GB"/>
        </w:rPr>
        <w:t xml:space="preserve"> </w:t>
      </w:r>
      <w:bookmarkStart w:id="25" w:name="lt_pId144"/>
      <w:r w:rsidRPr="007B29FB">
        <w:rPr>
          <w:rFonts w:cstheme="minorHAnsi"/>
          <w:szCs w:val="22"/>
          <w:lang w:val="en-GB"/>
        </w:rPr>
        <w:t>FG-TBFxG encourages all Stakeholders, SDOs/Fora, to:</w:t>
      </w:r>
      <w:bookmarkEnd w:id="25"/>
    </w:p>
    <w:p w14:paraId="385E32AA" w14:textId="77777777" w:rsidR="00837F7B" w:rsidRPr="007B29FB" w:rsidRDefault="00837F7B" w:rsidP="00837F7B">
      <w:pPr>
        <w:numPr>
          <w:ilvl w:val="0"/>
          <w:numId w:val="34"/>
        </w:numPr>
        <w:overflowPunct w:val="0"/>
        <w:autoSpaceDE w:val="0"/>
        <w:autoSpaceDN w:val="0"/>
        <w:adjustRightInd w:val="0"/>
        <w:contextualSpacing/>
        <w:jc w:val="both"/>
        <w:textAlignment w:val="baseline"/>
        <w:rPr>
          <w:rFonts w:cstheme="minorHAnsi"/>
          <w:szCs w:val="22"/>
          <w:lang w:val="en-GB"/>
        </w:rPr>
      </w:pPr>
      <w:bookmarkStart w:id="26" w:name="lt_pId145"/>
      <w:r w:rsidRPr="007B29FB">
        <w:rPr>
          <w:rFonts w:cstheme="minorHAnsi"/>
          <w:szCs w:val="22"/>
          <w:lang w:val="en-GB"/>
        </w:rPr>
        <w:t>Contribute to the development of the APIs being prescribed by the Testbeds Federations Reference Model;</w:t>
      </w:r>
      <w:bookmarkEnd w:id="26"/>
    </w:p>
    <w:p w14:paraId="10CA706A" w14:textId="77777777" w:rsidR="00837F7B" w:rsidRPr="007B29FB" w:rsidRDefault="00837F7B" w:rsidP="00837F7B">
      <w:pPr>
        <w:numPr>
          <w:ilvl w:val="0"/>
          <w:numId w:val="34"/>
        </w:numPr>
        <w:overflowPunct w:val="0"/>
        <w:autoSpaceDE w:val="0"/>
        <w:autoSpaceDN w:val="0"/>
        <w:adjustRightInd w:val="0"/>
        <w:contextualSpacing/>
        <w:jc w:val="both"/>
        <w:textAlignment w:val="baseline"/>
        <w:rPr>
          <w:rFonts w:cstheme="minorHAnsi"/>
          <w:szCs w:val="22"/>
          <w:lang w:val="en-GB"/>
        </w:rPr>
      </w:pPr>
      <w:bookmarkStart w:id="27" w:name="lt_pId146"/>
      <w:r w:rsidRPr="007B29FB">
        <w:rPr>
          <w:rFonts w:cstheme="minorHAnsi"/>
          <w:szCs w:val="22"/>
          <w:lang w:val="en-GB"/>
        </w:rPr>
        <w:t>Share the burden on APIs Specifications and Standardization and on Roadmaps in a harmonized and collaborative way;</w:t>
      </w:r>
      <w:bookmarkEnd w:id="27"/>
    </w:p>
    <w:p w14:paraId="41473F04" w14:textId="77777777" w:rsidR="00837F7B" w:rsidRPr="007B29FB" w:rsidRDefault="00837F7B" w:rsidP="00837F7B">
      <w:pPr>
        <w:numPr>
          <w:ilvl w:val="0"/>
          <w:numId w:val="34"/>
        </w:numPr>
        <w:overflowPunct w:val="0"/>
        <w:autoSpaceDE w:val="0"/>
        <w:autoSpaceDN w:val="0"/>
        <w:adjustRightInd w:val="0"/>
        <w:contextualSpacing/>
        <w:jc w:val="both"/>
        <w:textAlignment w:val="baseline"/>
        <w:rPr>
          <w:rFonts w:cstheme="minorHAnsi"/>
          <w:szCs w:val="22"/>
          <w:lang w:val="en-GB"/>
        </w:rPr>
      </w:pPr>
      <w:bookmarkStart w:id="28" w:name="lt_pId147"/>
      <w:r w:rsidRPr="007B29FB">
        <w:rPr>
          <w:rFonts w:cstheme="minorHAnsi"/>
          <w:szCs w:val="22"/>
          <w:lang w:val="en-GB"/>
        </w:rPr>
        <w:t>Develop New use cases and services for Testbeds Suppliers that derive from the Testbeds Federations Reference Model and associated APIs, such as “Testbed-as-a Service” (TaaS).</w:t>
      </w:r>
      <w:bookmarkEnd w:id="28"/>
      <w:r w:rsidRPr="007B29FB">
        <w:rPr>
          <w:rFonts w:cstheme="minorHAnsi"/>
          <w:szCs w:val="22"/>
          <w:lang w:val="en-GB"/>
        </w:rPr>
        <w:t xml:space="preserve"> </w:t>
      </w:r>
    </w:p>
    <w:p w14:paraId="6549523E" w14:textId="77777777" w:rsidR="00837F7B" w:rsidRPr="007B29FB" w:rsidRDefault="00837F7B" w:rsidP="00837F7B">
      <w:pPr>
        <w:jc w:val="both"/>
        <w:rPr>
          <w:rFonts w:cstheme="minorHAnsi"/>
          <w:szCs w:val="22"/>
          <w:lang w:val="en-GB"/>
        </w:rPr>
      </w:pPr>
      <w:bookmarkStart w:id="29" w:name="lt_pId148"/>
      <w:r w:rsidRPr="007B29FB">
        <w:rPr>
          <w:rFonts w:cstheme="minorHAnsi"/>
          <w:szCs w:val="22"/>
          <w:lang w:val="en-GB"/>
        </w:rPr>
        <w:t>NOTE:</w:t>
      </w:r>
      <w:bookmarkEnd w:id="29"/>
      <w:r w:rsidRPr="007B29FB">
        <w:rPr>
          <w:rFonts w:cstheme="minorHAnsi"/>
          <w:szCs w:val="22"/>
          <w:lang w:val="en-GB"/>
        </w:rPr>
        <w:t xml:space="preserve"> </w:t>
      </w:r>
      <w:bookmarkStart w:id="30" w:name="lt_pId149"/>
      <w:r w:rsidRPr="007B29FB">
        <w:rPr>
          <w:rFonts w:cstheme="minorHAnsi"/>
          <w:szCs w:val="22"/>
          <w:lang w:val="en-GB"/>
        </w:rPr>
        <w:t>Among the expected Stakeholders are:</w:t>
      </w:r>
      <w:bookmarkEnd w:id="30"/>
      <w:r w:rsidRPr="007B29FB">
        <w:rPr>
          <w:rFonts w:cstheme="minorHAnsi"/>
          <w:szCs w:val="22"/>
          <w:lang w:val="en-GB"/>
        </w:rPr>
        <w:t xml:space="preserve"> </w:t>
      </w:r>
      <w:bookmarkStart w:id="31" w:name="lt_pId150"/>
      <w:r w:rsidRPr="007B29FB">
        <w:rPr>
          <w:rFonts w:cstheme="minorHAnsi"/>
          <w:szCs w:val="22"/>
          <w:lang w:val="en-GB"/>
        </w:rPr>
        <w:t>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bookmarkEnd w:id="31"/>
    </w:p>
    <w:p w14:paraId="48E513E7" w14:textId="77777777" w:rsidR="00837F7B" w:rsidRPr="007B29FB" w:rsidRDefault="00837F7B" w:rsidP="00837F7B">
      <w:pPr>
        <w:jc w:val="both"/>
        <w:rPr>
          <w:rFonts w:cstheme="minorHAnsi"/>
          <w:szCs w:val="22"/>
          <w:lang w:val="en-GB"/>
        </w:rPr>
      </w:pPr>
      <w:bookmarkStart w:id="32" w:name="lt_pId151"/>
      <w:r w:rsidRPr="007B29FB">
        <w:rPr>
          <w:rFonts w:cstheme="minorHAnsi"/>
          <w:szCs w:val="22"/>
          <w:lang w:val="en-GB"/>
        </w:rPr>
        <w:t>The Focus Group will also seek to elucidate the roles that can be played by the various Stakeholders in the Ecosystem for Testbeds Federations Standards and Use Cases.</w:t>
      </w:r>
      <w:bookmarkEnd w:id="32"/>
      <w:r w:rsidRPr="007B29FB">
        <w:rPr>
          <w:rFonts w:cstheme="minorHAnsi"/>
          <w:szCs w:val="22"/>
          <w:lang w:val="en-GB"/>
        </w:rPr>
        <w:t xml:space="preserve"> </w:t>
      </w:r>
      <w:bookmarkStart w:id="33" w:name="lt_pId152"/>
      <w:r w:rsidRPr="007B29FB">
        <w:rPr>
          <w:rFonts w:cstheme="minorHAnsi"/>
          <w:szCs w:val="22"/>
          <w:lang w:val="en-GB"/>
        </w:rPr>
        <w:t>For that the FG-TBFxG will play a role in providing a platform to share views, to develop a series of deliverables associated with the topics above, and it will also offer a platform to players that may like to showcase initiatives and projects that align with the outlined vision and the desired Ecosystem on Testbeds Federations.</w:t>
      </w:r>
      <w:bookmarkEnd w:id="33"/>
      <w:r w:rsidRPr="007B29FB">
        <w:rPr>
          <w:rFonts w:cstheme="minorHAnsi"/>
          <w:szCs w:val="22"/>
          <w:lang w:val="en-GB"/>
        </w:rPr>
        <w:t xml:space="preserve"> </w:t>
      </w:r>
      <w:bookmarkStart w:id="34" w:name="lt_pId153"/>
      <w:r w:rsidRPr="007B29FB">
        <w:rPr>
          <w:rFonts w:cstheme="minorHAnsi"/>
          <w:szCs w:val="22"/>
          <w:lang w:val="en-GB"/>
        </w:rPr>
        <w:t>The Focus Group will develop Specifications that may become a basis for further Standardization in the area of Testbeds Federations.</w:t>
      </w:r>
      <w:bookmarkEnd w:id="34"/>
      <w:r w:rsidRPr="007B29FB">
        <w:rPr>
          <w:rFonts w:cstheme="minorHAnsi"/>
          <w:szCs w:val="22"/>
          <w:lang w:val="en-GB"/>
        </w:rPr>
        <w:t xml:space="preserve"> </w:t>
      </w:r>
      <w:bookmarkStart w:id="35" w:name="lt_pId154"/>
      <w:r w:rsidRPr="007B29FB">
        <w:rPr>
          <w:rFonts w:cstheme="minorHAnsi"/>
          <w:szCs w:val="22"/>
          <w:lang w:val="en-GB"/>
        </w:rPr>
        <w:t>It will invite non ITU-T members to participate in this work.</w:t>
      </w:r>
      <w:bookmarkEnd w:id="35"/>
    </w:p>
    <w:p w14:paraId="173956AB" w14:textId="77777777" w:rsidR="00837F7B" w:rsidRPr="007B29FB" w:rsidRDefault="00837F7B" w:rsidP="00837F7B">
      <w:pPr>
        <w:keepNext/>
        <w:keepLines/>
        <w:rPr>
          <w:rFonts w:cstheme="minorHAnsi"/>
          <w:b/>
          <w:bCs/>
          <w:szCs w:val="22"/>
          <w:lang w:val="en-GB"/>
        </w:rPr>
      </w:pPr>
      <w:r w:rsidRPr="007B29FB">
        <w:rPr>
          <w:rFonts w:cstheme="minorHAnsi"/>
          <w:b/>
          <w:bCs/>
          <w:szCs w:val="22"/>
          <w:lang w:val="en-GB"/>
        </w:rPr>
        <w:t>2.</w:t>
      </w:r>
      <w:r w:rsidRPr="007B29FB">
        <w:rPr>
          <w:rFonts w:cstheme="minorHAnsi"/>
          <w:b/>
          <w:bCs/>
          <w:szCs w:val="22"/>
          <w:lang w:val="en-GB"/>
        </w:rPr>
        <w:tab/>
      </w:r>
      <w:bookmarkStart w:id="36" w:name="lt_pId156"/>
      <w:r w:rsidRPr="007B29FB">
        <w:rPr>
          <w:rFonts w:cstheme="minorHAnsi"/>
          <w:b/>
          <w:bCs/>
          <w:szCs w:val="22"/>
          <w:lang w:val="en-GB"/>
        </w:rPr>
        <w:t>Objectives of the FG-TBFxG</w:t>
      </w:r>
      <w:bookmarkEnd w:id="36"/>
    </w:p>
    <w:p w14:paraId="0DBE981E" w14:textId="77777777" w:rsidR="00837F7B" w:rsidRPr="007B29FB" w:rsidRDefault="00837F7B" w:rsidP="00837F7B">
      <w:pPr>
        <w:jc w:val="both"/>
        <w:rPr>
          <w:rFonts w:cstheme="minorHAnsi"/>
          <w:szCs w:val="22"/>
          <w:lang w:val="en-GB"/>
        </w:rPr>
      </w:pPr>
      <w:bookmarkStart w:id="37" w:name="lt_pId157"/>
      <w:r w:rsidRPr="007B29FB">
        <w:rPr>
          <w:rFonts w:cstheme="minorHAnsi"/>
          <w:szCs w:val="22"/>
          <w:lang w:val="en-GB"/>
        </w:rPr>
        <w:t>FG-TBFxG will have the following objectives:</w:t>
      </w:r>
      <w:bookmarkEnd w:id="37"/>
    </w:p>
    <w:p w14:paraId="63DE8100"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38" w:name="lt_pId158"/>
      <w:r w:rsidRPr="007B29FB">
        <w:rPr>
          <w:rFonts w:cstheme="minorHAnsi"/>
          <w:szCs w:val="22"/>
          <w:lang w:val="en-GB"/>
        </w:rPr>
        <w:t>To define a set of APIs definitions that complement the ongoing ITU-T SG11 study activities related to Testbed Federations and APIs of the Testbeds Federations Reference Model;</w:t>
      </w:r>
      <w:bookmarkEnd w:id="38"/>
    </w:p>
    <w:p w14:paraId="6A07CF7D"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39" w:name="lt_pId159"/>
      <w:r w:rsidRPr="007B29FB">
        <w:rPr>
          <w:rFonts w:cstheme="minorHAnsi"/>
          <w:szCs w:val="22"/>
          <w:lang w:val="en-GB"/>
        </w:rPr>
        <w:t>To collect Use Cases for Testbeds Federations of relevance to IMT-2020 and beyond;</w:t>
      </w:r>
      <w:bookmarkEnd w:id="39"/>
    </w:p>
    <w:p w14:paraId="48AFDD3B"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40" w:name="lt_pId160"/>
      <w:bookmarkStart w:id="41" w:name="_Hlk69648726"/>
      <w:r w:rsidRPr="007B29FB">
        <w:rPr>
          <w:rFonts w:cstheme="minorHAnsi"/>
          <w:szCs w:val="22"/>
          <w:lang w:val="en-GB"/>
        </w:rPr>
        <w:t>To identify use cases and services based on Testbed Federations reference model that should be considered for various types of Stakeholders on the benefits of them joining the ecosystem around Testbeds Federations for IMT-2020 and beyond;</w:t>
      </w:r>
      <w:bookmarkEnd w:id="40"/>
    </w:p>
    <w:p w14:paraId="1DC6ECB7"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42" w:name="lt_pId161"/>
      <w:bookmarkEnd w:id="41"/>
      <w:r w:rsidRPr="007B29FB">
        <w:rPr>
          <w:rFonts w:cstheme="minorHAnsi"/>
          <w:szCs w:val="22"/>
          <w:lang w:val="en-GB"/>
        </w:rPr>
        <w:t>To study the various Topics/Points compiled in the Key Takeaways from the ITU-T, ETSI, IEEE Joint SDOs Brainstorming Workshop on Testbeds Federations for 5G &amp; Beyond (</w:t>
      </w:r>
      <w:hyperlink r:id="rId25" w:history="1">
        <w:r w:rsidRPr="007B29FB">
          <w:rPr>
            <w:rFonts w:cstheme="minorHAnsi"/>
            <w:color w:val="0000FF"/>
            <w:szCs w:val="22"/>
            <w:u w:val="single"/>
            <w:lang w:val="en-GB"/>
          </w:rPr>
          <w:t>www.itu.int/go/BTF4-5G</w:t>
        </w:r>
      </w:hyperlink>
      <w:r w:rsidRPr="007B29FB">
        <w:rPr>
          <w:rFonts w:cstheme="minorHAnsi"/>
          <w:szCs w:val="22"/>
          <w:lang w:val="en-GB"/>
        </w:rPr>
        <w:t>) in order to take them into consideration in the work of the Focus Group;</w:t>
      </w:r>
      <w:bookmarkEnd w:id="42"/>
    </w:p>
    <w:p w14:paraId="7373D882"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43" w:name="lt_pId162"/>
      <w:r w:rsidRPr="007B29FB">
        <w:rPr>
          <w:rFonts w:cstheme="minorHAnsi"/>
          <w:szCs w:val="22"/>
          <w:lang w:val="en-GB"/>
        </w:rPr>
        <w:t>To identify Metrics/Key Performance Indicators (KPIs) of relevance to Use Cases for Testbed Federations per and across ICT industry sectors in different domains (verticals);</w:t>
      </w:r>
      <w:bookmarkEnd w:id="43"/>
      <w:r w:rsidRPr="007B29FB">
        <w:rPr>
          <w:rFonts w:cstheme="minorHAnsi"/>
          <w:szCs w:val="22"/>
          <w:lang w:val="en-GB"/>
        </w:rPr>
        <w:t xml:space="preserve"> </w:t>
      </w:r>
      <w:bookmarkStart w:id="44" w:name="lt_pId163"/>
      <w:r w:rsidRPr="007B29FB">
        <w:rPr>
          <w:rFonts w:cstheme="minorHAnsi"/>
          <w:szCs w:val="22"/>
          <w:lang w:val="en-GB"/>
        </w:rPr>
        <w:t>and propose methods/mappings by which E2E relationships among various metrics (e.g. KPIs) across Testbeds can be defined (see NOTE below):</w:t>
      </w:r>
      <w:bookmarkEnd w:id="44"/>
    </w:p>
    <w:p w14:paraId="3E45DDA0" w14:textId="77777777" w:rsidR="00837F7B" w:rsidRPr="007B29FB" w:rsidRDefault="00837F7B" w:rsidP="00837F7B">
      <w:pPr>
        <w:ind w:left="1560"/>
        <w:rPr>
          <w:rFonts w:cstheme="minorHAnsi"/>
          <w:szCs w:val="22"/>
          <w:lang w:val="en-GB"/>
        </w:rPr>
      </w:pPr>
      <w:bookmarkStart w:id="45" w:name="lt_pId164"/>
      <w:r w:rsidRPr="007B29FB">
        <w:rPr>
          <w:rFonts w:cstheme="minorHAnsi"/>
          <w:szCs w:val="22"/>
          <w:lang w:val="en-GB"/>
        </w:rPr>
        <w:t>NOTE:</w:t>
      </w:r>
      <w:bookmarkEnd w:id="45"/>
      <w:r w:rsidRPr="007B29FB">
        <w:rPr>
          <w:rFonts w:cstheme="minorHAnsi"/>
          <w:szCs w:val="22"/>
          <w:lang w:val="en-GB"/>
        </w:rPr>
        <w:t xml:space="preserve"> </w:t>
      </w:r>
      <w:bookmarkStart w:id="46" w:name="lt_pId165"/>
      <w:r w:rsidRPr="007B29FB">
        <w:rPr>
          <w:rFonts w:cstheme="minorHAnsi"/>
          <w:szCs w:val="22"/>
          <w:lang w:val="en-GB"/>
        </w:rPr>
        <w:t>Among KPIs for Testbed Federations are:</w:t>
      </w:r>
      <w:bookmarkEnd w:id="46"/>
      <w:r w:rsidRPr="007B29FB">
        <w:rPr>
          <w:rFonts w:cstheme="minorHAnsi"/>
          <w:szCs w:val="22"/>
          <w:lang w:val="en-GB"/>
        </w:rPr>
        <w:br/>
      </w:r>
      <w:bookmarkStart w:id="47" w:name="lt_pId166"/>
      <w:r w:rsidRPr="007B29FB">
        <w:rPr>
          <w:rFonts w:cstheme="minorHAnsi"/>
          <w:b/>
          <w:bCs/>
          <w:szCs w:val="22"/>
          <w:lang w:val="en-GB"/>
        </w:rPr>
        <w:t>(1)</w:t>
      </w:r>
      <w:r w:rsidRPr="007B29FB">
        <w:rPr>
          <w:rFonts w:cstheme="minorHAnsi"/>
          <w:szCs w:val="22"/>
          <w:lang w:val="en-GB"/>
        </w:rPr>
        <w:t xml:space="preserve"> KPIs of relevance to a Technology or combined Technologies that are being Tested using Federated Testbeds such that the measured KPIs help in the Test Cases verdicts setting;</w:t>
      </w:r>
      <w:bookmarkEnd w:id="47"/>
      <w:r w:rsidRPr="007B29FB">
        <w:rPr>
          <w:rFonts w:cstheme="minorHAnsi"/>
          <w:szCs w:val="22"/>
          <w:lang w:val="en-GB"/>
        </w:rPr>
        <w:br/>
      </w:r>
      <w:bookmarkStart w:id="48" w:name="lt_pId167"/>
      <w:r w:rsidRPr="007B29FB">
        <w:rPr>
          <w:rFonts w:cstheme="minorHAnsi"/>
          <w:b/>
          <w:bCs/>
          <w:szCs w:val="22"/>
          <w:lang w:val="en-GB"/>
        </w:rPr>
        <w:t>(2)</w:t>
      </w:r>
      <w:r w:rsidRPr="007B29FB">
        <w:rPr>
          <w:rFonts w:cstheme="minorHAnsi"/>
          <w:szCs w:val="22"/>
          <w:lang w:val="en-GB"/>
        </w:rPr>
        <w:t xml:space="preserve"> KPIs of relevance to utilization, availability, capabilities, customer-experience (satisfaction) of the Testbeds and their resources being consumed or can be consumed in Testbed usage in a Test Scenario;</w:t>
      </w:r>
      <w:bookmarkEnd w:id="48"/>
      <w:r w:rsidRPr="007B29FB">
        <w:rPr>
          <w:rFonts w:cstheme="minorHAnsi"/>
          <w:szCs w:val="22"/>
          <w:lang w:val="en-GB"/>
        </w:rPr>
        <w:br/>
      </w:r>
      <w:bookmarkStart w:id="49" w:name="lt_pId168"/>
      <w:r w:rsidRPr="007B29FB">
        <w:rPr>
          <w:rFonts w:cstheme="minorHAnsi"/>
          <w:b/>
          <w:bCs/>
          <w:szCs w:val="22"/>
          <w:lang w:val="en-GB"/>
        </w:rPr>
        <w:t>(3)</w:t>
      </w:r>
      <w:r w:rsidRPr="007B29FB">
        <w:rPr>
          <w:rFonts w:cstheme="minorHAnsi"/>
          <w:szCs w:val="22"/>
          <w:lang w:val="en-GB"/>
        </w:rPr>
        <w:t xml:space="preserve"> Non-technical KPIs that relate to Testbed Service Offerings and Consumption</w:t>
      </w:r>
      <w:bookmarkEnd w:id="49"/>
      <w:r w:rsidRPr="007B29FB">
        <w:rPr>
          <w:rFonts w:cstheme="minorHAnsi"/>
          <w:szCs w:val="22"/>
          <w:lang w:val="en-GB"/>
        </w:rPr>
        <w:t xml:space="preserve"> </w:t>
      </w:r>
    </w:p>
    <w:p w14:paraId="19541A45"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50" w:name="lt_pId169"/>
      <w:r w:rsidRPr="007B29FB">
        <w:rPr>
          <w:rFonts w:cstheme="minorHAnsi"/>
          <w:szCs w:val="22"/>
          <w:lang w:val="en-GB"/>
        </w:rPr>
        <w:lastRenderedPageBreak/>
        <w:t>To develop guidance to Research and Industry communities working on IMT-2020and beyond on how to use the Testbeds Reference Model to contribute to the development of the APIs being prescribed by the Testbeds Reference Model, and also contribute to various instantiations cases of the Reference Model</w:t>
      </w:r>
      <w:bookmarkEnd w:id="50"/>
    </w:p>
    <w:p w14:paraId="4A80860F"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51" w:name="lt_pId170"/>
      <w:r w:rsidRPr="007B29FB">
        <w:rPr>
          <w:rFonts w:cstheme="minorHAnsi"/>
          <w:szCs w:val="22"/>
          <w:lang w:val="en-GB"/>
        </w:rPr>
        <w:t>To facilitate discussions by which various SDOs/Fora can share ideas on how they can potentially share the burden on APIs Specifications and Standardization and on Roadmaps in a harmonized and collaborative way, based on the Testbeds Federations Reference Model, and produce a matrix that maps SDOs/Fora and other Stakeholders to APIs types they will be addressing or have interest to address;</w:t>
      </w:r>
      <w:bookmarkEnd w:id="51"/>
    </w:p>
    <w:p w14:paraId="3FA3C1BE"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52" w:name="lt_pId171"/>
      <w:r w:rsidRPr="007B29FB">
        <w:rPr>
          <w:rFonts w:cstheme="minorHAnsi"/>
          <w:szCs w:val="22"/>
          <w:lang w:val="en-GB"/>
        </w:rPr>
        <w:t>To define Potential New use cases and services for Testbeds Suppliers that derive from the Testbeds Federations Reference Model and associated APIs, such as “Testbed-as-a Service” (TaaS);</w:t>
      </w:r>
      <w:bookmarkEnd w:id="52"/>
    </w:p>
    <w:p w14:paraId="084C7D21"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53" w:name="_Hlk69590261"/>
      <w:bookmarkStart w:id="54" w:name="lt_pId172"/>
      <w:r w:rsidRPr="007B29FB">
        <w:rPr>
          <w:rFonts w:cstheme="minorHAnsi"/>
          <w:szCs w:val="22"/>
          <w:lang w:val="en-GB"/>
        </w:rPr>
        <w:t xml:space="preserve">To </w:t>
      </w:r>
      <w:bookmarkEnd w:id="53"/>
      <w:r w:rsidRPr="007B29FB">
        <w:rPr>
          <w:rFonts w:cstheme="minorHAnsi"/>
          <w:szCs w:val="22"/>
          <w:lang w:val="en-GB"/>
        </w:rPr>
        <w:t>develop guidelines to Owners of Existing Testbeds and Platforms for IMT-2020 and beyond on how they could embark on Transformation or Evolution of existing Testbeds (Industry-grade, and potential Research Testbeds as well) and their Federation APIs to meet the requirements of the Testbeds Federation reference model (ITU-T Q.4068);</w:t>
      </w:r>
      <w:bookmarkEnd w:id="54"/>
    </w:p>
    <w:p w14:paraId="79690C10"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55" w:name="lt_pId173"/>
      <w:r w:rsidRPr="007B29FB">
        <w:rPr>
          <w:rFonts w:cstheme="minorHAnsi"/>
          <w:szCs w:val="22"/>
          <w:lang w:val="en-GB"/>
        </w:rPr>
        <w:t>To develop guidelines to the Industry on how to address the Challenges that need to be addressed as guided by the Reference Model and APIs for Testbeds Federations for IMT-2020 and beyond;</w:t>
      </w:r>
      <w:bookmarkEnd w:id="55"/>
    </w:p>
    <w:p w14:paraId="4E00C10A"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bCs/>
          <w:szCs w:val="22"/>
          <w:lang w:val="en-GB"/>
        </w:rPr>
      </w:pPr>
      <w:bookmarkStart w:id="56" w:name="lt_pId174"/>
      <w:r w:rsidRPr="007B29FB">
        <w:rPr>
          <w:rFonts w:cstheme="minorHAnsi"/>
          <w:szCs w:val="22"/>
          <w:lang w:val="en-GB"/>
        </w:rPr>
        <w:t xml:space="preserve">To </w:t>
      </w:r>
      <w:bookmarkStart w:id="57" w:name="_Hlk69942617"/>
      <w:r w:rsidRPr="007B29FB">
        <w:rPr>
          <w:rFonts w:cstheme="minorHAnsi"/>
          <w:bCs/>
          <w:szCs w:val="22"/>
          <w:lang w:val="en-GB"/>
        </w:rPr>
        <w:t>identify any Regulatory requirements and other aspects of relevance to Testbeds Federations and engage the relevant Stakeholders on how such aspects can be addressed;</w:t>
      </w:r>
      <w:bookmarkEnd w:id="56"/>
    </w:p>
    <w:p w14:paraId="0DFA86F6"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bCs/>
          <w:szCs w:val="22"/>
          <w:lang w:val="en-GB"/>
        </w:rPr>
      </w:pPr>
      <w:bookmarkStart w:id="58" w:name="lt_pId175"/>
      <w:bookmarkEnd w:id="57"/>
      <w:r w:rsidRPr="007B29FB">
        <w:rPr>
          <w:rFonts w:cstheme="minorHAnsi"/>
          <w:bCs/>
          <w:szCs w:val="22"/>
          <w:lang w:val="en-GB"/>
        </w:rPr>
        <w:t>To define steps that can be pursued by the Industry towards Developing and Maintaining ONPs (Open Networking Platforms) for IMT-2020 and beyond, and the Use of the Testbeds Federations Reference Model and APIs to build ONPs;</w:t>
      </w:r>
      <w:bookmarkEnd w:id="58"/>
    </w:p>
    <w:p w14:paraId="5F18352D"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bCs/>
          <w:szCs w:val="22"/>
          <w:lang w:val="en-GB"/>
        </w:rPr>
      </w:pPr>
      <w:bookmarkStart w:id="59" w:name="lt_pId176"/>
      <w:r w:rsidRPr="007B29FB">
        <w:rPr>
          <w:rFonts w:cstheme="minorHAnsi"/>
          <w:bCs/>
          <w:szCs w:val="22"/>
          <w:lang w:val="en-GB"/>
        </w:rPr>
        <w:t>To develop reports of the FG activities on reference model and APIs for testbeds federation after the FG finished its work;</w:t>
      </w:r>
      <w:bookmarkEnd w:id="59"/>
    </w:p>
    <w:p w14:paraId="3EBCE6D3" w14:textId="77777777" w:rsidR="00837F7B" w:rsidRPr="007B29FB" w:rsidRDefault="00837F7B" w:rsidP="00837F7B">
      <w:pPr>
        <w:numPr>
          <w:ilvl w:val="0"/>
          <w:numId w:val="33"/>
        </w:numPr>
        <w:overflowPunct w:val="0"/>
        <w:autoSpaceDE w:val="0"/>
        <w:autoSpaceDN w:val="0"/>
        <w:adjustRightInd w:val="0"/>
        <w:jc w:val="both"/>
        <w:textAlignment w:val="baseline"/>
        <w:rPr>
          <w:rFonts w:cstheme="minorHAnsi"/>
          <w:szCs w:val="22"/>
          <w:lang w:val="en-GB"/>
        </w:rPr>
      </w:pPr>
      <w:bookmarkStart w:id="60" w:name="lt_pId177"/>
      <w:r w:rsidRPr="007B29FB">
        <w:rPr>
          <w:rFonts w:cstheme="minorHAnsi"/>
          <w:szCs w:val="22"/>
          <w:lang w:val="en-GB"/>
        </w:rPr>
        <w:t>To encourage participation from various projects and fora in the activities of the FG-TBFxG.</w:t>
      </w:r>
      <w:bookmarkEnd w:id="60"/>
    </w:p>
    <w:p w14:paraId="6FF00092" w14:textId="77777777" w:rsidR="00837F7B" w:rsidRPr="007B29FB" w:rsidRDefault="00837F7B" w:rsidP="00837F7B">
      <w:pPr>
        <w:rPr>
          <w:rFonts w:cstheme="minorHAnsi"/>
          <w:b/>
          <w:bCs/>
          <w:szCs w:val="22"/>
          <w:lang w:val="en-GB"/>
        </w:rPr>
      </w:pPr>
      <w:r w:rsidRPr="007B29FB">
        <w:rPr>
          <w:rFonts w:cstheme="minorHAnsi"/>
          <w:b/>
          <w:bCs/>
          <w:szCs w:val="22"/>
          <w:lang w:val="en-GB"/>
        </w:rPr>
        <w:t>3.</w:t>
      </w:r>
      <w:r w:rsidRPr="007B29FB">
        <w:rPr>
          <w:rFonts w:cstheme="minorHAnsi"/>
          <w:b/>
          <w:bCs/>
          <w:szCs w:val="22"/>
          <w:lang w:val="en-GB"/>
        </w:rPr>
        <w:tab/>
      </w:r>
      <w:bookmarkStart w:id="61" w:name="lt_pId179"/>
      <w:r w:rsidRPr="007B29FB">
        <w:rPr>
          <w:rFonts w:cstheme="minorHAnsi"/>
          <w:b/>
          <w:bCs/>
          <w:szCs w:val="22"/>
          <w:lang w:val="en-GB"/>
        </w:rPr>
        <w:t>Structure</w:t>
      </w:r>
      <w:bookmarkEnd w:id="61"/>
    </w:p>
    <w:p w14:paraId="6552CBA9" w14:textId="77777777" w:rsidR="00837F7B" w:rsidRPr="007B29FB" w:rsidRDefault="00837F7B" w:rsidP="00837F7B">
      <w:pPr>
        <w:jc w:val="both"/>
        <w:rPr>
          <w:rFonts w:cstheme="minorHAnsi"/>
          <w:szCs w:val="22"/>
          <w:lang w:val="en-GB"/>
        </w:rPr>
      </w:pPr>
      <w:bookmarkStart w:id="62" w:name="lt_pId180"/>
      <w:r w:rsidRPr="007B29FB">
        <w:rPr>
          <w:rFonts w:cstheme="minorHAnsi"/>
          <w:szCs w:val="22"/>
          <w:lang w:val="en-GB"/>
        </w:rPr>
        <w:t>The FG-TBFxG may establish sub-groups as needed.</w:t>
      </w:r>
      <w:bookmarkEnd w:id="62"/>
      <w:r w:rsidRPr="007B29FB">
        <w:rPr>
          <w:rFonts w:cstheme="minorHAnsi"/>
          <w:szCs w:val="22"/>
          <w:lang w:val="en-GB"/>
        </w:rPr>
        <w:t xml:space="preserve"> </w:t>
      </w:r>
      <w:bookmarkStart w:id="63" w:name="lt_pId181"/>
      <w:r w:rsidRPr="007B29FB">
        <w:rPr>
          <w:rFonts w:cstheme="minorHAnsi"/>
          <w:szCs w:val="22"/>
          <w:lang w:val="en-GB"/>
        </w:rPr>
        <w:t>To coordinate operations and provide guidance to subgroups, there will be a chair and vice-chairs.</w:t>
      </w:r>
      <w:bookmarkEnd w:id="63"/>
    </w:p>
    <w:p w14:paraId="345BFE84" w14:textId="77777777" w:rsidR="00837F7B" w:rsidRPr="007B29FB" w:rsidRDefault="00837F7B" w:rsidP="00837F7B">
      <w:pPr>
        <w:rPr>
          <w:rFonts w:cstheme="minorHAnsi"/>
          <w:b/>
          <w:bCs/>
          <w:szCs w:val="22"/>
          <w:lang w:val="en-GB"/>
        </w:rPr>
      </w:pPr>
      <w:r w:rsidRPr="007B29FB">
        <w:rPr>
          <w:rFonts w:cstheme="minorHAnsi"/>
          <w:b/>
          <w:bCs/>
          <w:szCs w:val="22"/>
          <w:lang w:val="en-GB"/>
        </w:rPr>
        <w:t>4.</w:t>
      </w:r>
      <w:r w:rsidRPr="007B29FB">
        <w:rPr>
          <w:rFonts w:cstheme="minorHAnsi"/>
          <w:b/>
          <w:bCs/>
          <w:szCs w:val="22"/>
          <w:lang w:val="en-GB"/>
        </w:rPr>
        <w:tab/>
      </w:r>
      <w:bookmarkStart w:id="64" w:name="lt_pId183"/>
      <w:r w:rsidRPr="007B29FB">
        <w:rPr>
          <w:rFonts w:cstheme="minorHAnsi"/>
          <w:b/>
          <w:bCs/>
          <w:szCs w:val="22"/>
          <w:lang w:val="en-GB"/>
        </w:rPr>
        <w:t>Specific Tasks and Deliverables</w:t>
      </w:r>
      <w:bookmarkEnd w:id="64"/>
    </w:p>
    <w:p w14:paraId="483FEBEA" w14:textId="77777777" w:rsidR="00837F7B" w:rsidRPr="007B29FB" w:rsidRDefault="00837F7B" w:rsidP="00837F7B">
      <w:pPr>
        <w:spacing w:before="80"/>
        <w:ind w:left="794" w:hanging="794"/>
        <w:jc w:val="both"/>
        <w:rPr>
          <w:rFonts w:cstheme="minorHAnsi"/>
          <w:szCs w:val="22"/>
          <w:lang w:val="en-GB"/>
        </w:rPr>
      </w:pPr>
      <w:bookmarkStart w:id="65" w:name="lt_pId184"/>
      <w:r w:rsidRPr="007B29FB">
        <w:rPr>
          <w:rFonts w:cstheme="minorHAnsi"/>
          <w:szCs w:val="22"/>
          <w:lang w:val="en-GB"/>
        </w:rPr>
        <w:t>Tasks and deliverables developed by FG-TBFxG may include the following:</w:t>
      </w:r>
      <w:bookmarkEnd w:id="65"/>
    </w:p>
    <w:p w14:paraId="574A414E" w14:textId="77777777"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szCs w:val="22"/>
          <w:lang w:val="en-GB"/>
        </w:rPr>
      </w:pPr>
      <w:bookmarkStart w:id="66" w:name="lt_pId185"/>
      <w:r w:rsidRPr="007B29FB">
        <w:rPr>
          <w:rFonts w:cstheme="minorHAnsi"/>
          <w:szCs w:val="22"/>
          <w:lang w:val="en-GB"/>
        </w:rPr>
        <w:t>Gathering information about ongoing standardization initiatives on Testbed Federations and related APIs being standardized by SDOs/Fora (e.g. ITU-T SG11, IEEE INGR, ETSI TC INT, TM Forum, BroadBand Forum (BBF)).</w:t>
      </w:r>
      <w:bookmarkEnd w:id="66"/>
      <w:r w:rsidRPr="007B29FB">
        <w:rPr>
          <w:rFonts w:cstheme="minorHAnsi"/>
          <w:szCs w:val="22"/>
          <w:lang w:val="en-GB"/>
        </w:rPr>
        <w:t xml:space="preserve"> </w:t>
      </w:r>
      <w:bookmarkStart w:id="67" w:name="lt_pId186"/>
      <w:r w:rsidRPr="007B29FB">
        <w:rPr>
          <w:rFonts w:cstheme="minorHAnsi"/>
          <w:szCs w:val="22"/>
          <w:lang w:val="en-GB"/>
        </w:rPr>
        <w:t>The aim of this task is to amend the ongoing SG11 standardization work on this subject matter;</w:t>
      </w:r>
      <w:bookmarkEnd w:id="67"/>
    </w:p>
    <w:p w14:paraId="56B82A3F" w14:textId="77777777"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szCs w:val="22"/>
          <w:lang w:val="en-GB"/>
        </w:rPr>
      </w:pPr>
      <w:bookmarkStart w:id="68" w:name="lt_pId187"/>
      <w:r w:rsidRPr="007B29FB">
        <w:rPr>
          <w:rFonts w:cstheme="minorHAnsi"/>
          <w:szCs w:val="22"/>
          <w:lang w:val="en-GB"/>
        </w:rPr>
        <w:t>Developing an APIs Invocations Framework as part of the Testbeds Federations Reference Model being standardized by ITU-T SG11, by which Generic APIs invoke Testbed-specific specialized APIs in specific Testbeds Types during execution of Use Cases for Testbeds and Testbeds Federations;</w:t>
      </w:r>
      <w:bookmarkEnd w:id="68"/>
    </w:p>
    <w:p w14:paraId="723995B7" w14:textId="77777777"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szCs w:val="22"/>
          <w:lang w:val="en-GB"/>
        </w:rPr>
      </w:pPr>
      <w:bookmarkStart w:id="69" w:name="lt_pId188"/>
      <w:r w:rsidRPr="007B29FB">
        <w:rPr>
          <w:rFonts w:cstheme="minorHAnsi"/>
          <w:szCs w:val="22"/>
          <w:lang w:val="en-GB"/>
        </w:rPr>
        <w:t>Defining use cases for Testbeds Federations of relevance to IMT-2020 and beyond for different ICT industrial sectors based on the Testbeds Federations Reference Model and solicitations of inputs from relevant players in different domains (verticals) (e.g. IoT, Autonomic/Autonomous Networks (ANs);</w:t>
      </w:r>
      <w:bookmarkEnd w:id="69"/>
    </w:p>
    <w:p w14:paraId="26317DBA" w14:textId="088F10BE"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szCs w:val="22"/>
          <w:lang w:val="en-GB"/>
        </w:rPr>
      </w:pPr>
      <w:bookmarkStart w:id="70" w:name="lt_pId189"/>
      <w:r w:rsidRPr="007B29FB">
        <w:rPr>
          <w:rFonts w:cstheme="minorHAnsi"/>
          <w:szCs w:val="22"/>
          <w:lang w:val="en-GB"/>
        </w:rPr>
        <w:t>Studying existing and ongoing Initiatives in Research and Industry on IMT-2020 and beyond, on APIs of relevance to the Testbeds Federations Reference Model</w:t>
      </w:r>
      <w:r w:rsidR="007B29FB" w:rsidRPr="007B29FB">
        <w:rPr>
          <w:rFonts w:cstheme="minorHAnsi"/>
          <w:szCs w:val="22"/>
          <w:lang w:val="en-GB"/>
        </w:rPr>
        <w:t xml:space="preserve"> </w:t>
      </w:r>
      <w:r w:rsidRPr="007B29FB">
        <w:rPr>
          <w:rFonts w:cstheme="minorHAnsi"/>
          <w:szCs w:val="22"/>
          <w:lang w:val="en-GB"/>
        </w:rPr>
        <w:t>(ITU-T Q.4068), and provide guidelines on how the stakeholders can implement the standardized Testbeds Federations Reference Model or its Instantiations for various types of Testbeds;</w:t>
      </w:r>
      <w:bookmarkEnd w:id="70"/>
    </w:p>
    <w:p w14:paraId="53B0FFF1" w14:textId="77777777" w:rsidR="00837F7B" w:rsidRPr="007B29FB" w:rsidRDefault="00837F7B" w:rsidP="00837F7B">
      <w:pPr>
        <w:numPr>
          <w:ilvl w:val="0"/>
          <w:numId w:val="32"/>
        </w:numPr>
        <w:overflowPunct w:val="0"/>
        <w:autoSpaceDE w:val="0"/>
        <w:autoSpaceDN w:val="0"/>
        <w:adjustRightInd w:val="0"/>
        <w:contextualSpacing/>
        <w:textAlignment w:val="baseline"/>
        <w:rPr>
          <w:rFonts w:cstheme="minorHAnsi"/>
          <w:szCs w:val="22"/>
          <w:lang w:val="en-GB"/>
        </w:rPr>
      </w:pPr>
      <w:bookmarkStart w:id="71" w:name="lt_pId190"/>
      <w:r w:rsidRPr="007B29FB">
        <w:rPr>
          <w:rFonts w:cstheme="minorHAnsi"/>
          <w:szCs w:val="22"/>
          <w:lang w:val="en-GB"/>
        </w:rPr>
        <w:lastRenderedPageBreak/>
        <w:t>Providing a Framework on how transformations or enhancements/evolutions may be pursued by the community to make existing IMT-2020 related Testbeds APIs fit to the Reference Model and its APIs Invocations Framework;</w:t>
      </w:r>
      <w:bookmarkEnd w:id="71"/>
    </w:p>
    <w:p w14:paraId="4857A34E" w14:textId="77777777"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szCs w:val="22"/>
          <w:lang w:val="en-GB"/>
        </w:rPr>
      </w:pPr>
      <w:bookmarkStart w:id="72" w:name="lt_pId191"/>
      <w:r w:rsidRPr="007B29FB">
        <w:rPr>
          <w:rFonts w:cstheme="minorHAnsi"/>
          <w:szCs w:val="22"/>
          <w:lang w:val="en-GB"/>
        </w:rPr>
        <w:t>Defining Potential New use cases and services for Testbeds Suppliers or Owners that derive from the Testbeds Federations Reference Model and associated APIs, such as “Testbed-as-a Service” (TaaS);</w:t>
      </w:r>
      <w:bookmarkEnd w:id="72"/>
    </w:p>
    <w:p w14:paraId="6520D09C" w14:textId="77777777"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bCs/>
          <w:szCs w:val="22"/>
          <w:lang w:val="en-GB"/>
        </w:rPr>
      </w:pPr>
      <w:bookmarkStart w:id="73" w:name="lt_pId192"/>
      <w:r w:rsidRPr="007B29FB">
        <w:rPr>
          <w:rFonts w:cstheme="minorHAnsi"/>
          <w:bCs/>
          <w:szCs w:val="22"/>
          <w:lang w:val="en-GB"/>
        </w:rPr>
        <w:t>Organising thematic workshops and forums on Testbeds Federations for IMT-2020 and beyond.</w:t>
      </w:r>
      <w:bookmarkEnd w:id="73"/>
      <w:r w:rsidRPr="007B29FB">
        <w:rPr>
          <w:rFonts w:cstheme="minorHAnsi"/>
          <w:bCs/>
          <w:szCs w:val="22"/>
          <w:lang w:val="en-GB"/>
        </w:rPr>
        <w:t xml:space="preserve"> </w:t>
      </w:r>
      <w:bookmarkStart w:id="74" w:name="lt_pId193"/>
      <w:r w:rsidRPr="007B29FB">
        <w:rPr>
          <w:rFonts w:cstheme="minorHAnsi"/>
          <w:bCs/>
          <w:szCs w:val="22"/>
          <w:lang w:val="en-GB"/>
        </w:rPr>
        <w:t>These workshops and forums are expected to bring together all stakeholders including policy makers, ICT sector members, national telecommunication authorities, academia, SDOs/Fora, UN agencies to discuss various aspects related to Testbeds Federations for IMT-2020 and beyond;</w:t>
      </w:r>
      <w:bookmarkEnd w:id="74"/>
    </w:p>
    <w:p w14:paraId="36EFD261" w14:textId="77777777"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bCs/>
          <w:szCs w:val="22"/>
          <w:lang w:val="en-GB"/>
        </w:rPr>
      </w:pPr>
      <w:bookmarkStart w:id="75" w:name="lt_pId194"/>
      <w:r w:rsidRPr="007B29FB">
        <w:rPr>
          <w:rFonts w:cstheme="minorHAnsi"/>
          <w:bCs/>
          <w:szCs w:val="22"/>
          <w:lang w:val="en-GB"/>
        </w:rPr>
        <w:t>Identifying and selecting relevant projects and fora that can be used in Testbed Federations for IMT-2020 and beyond that conform to the SG11’s Reference Model for Testbeds Federations and its APIs;</w:t>
      </w:r>
      <w:bookmarkEnd w:id="75"/>
      <w:r w:rsidRPr="007B29FB">
        <w:rPr>
          <w:rFonts w:cstheme="minorHAnsi"/>
          <w:bCs/>
          <w:szCs w:val="22"/>
          <w:lang w:val="en-GB"/>
        </w:rPr>
        <w:t xml:space="preserve"> </w:t>
      </w:r>
      <w:bookmarkStart w:id="76" w:name="lt_pId195"/>
      <w:r w:rsidRPr="007B29FB">
        <w:rPr>
          <w:rFonts w:cstheme="minorHAnsi"/>
          <w:bCs/>
          <w:szCs w:val="22"/>
          <w:lang w:val="en-GB"/>
        </w:rPr>
        <w:t>and promote the vision to the relevant Open Source/Hardware Projects/Forums;</w:t>
      </w:r>
      <w:bookmarkEnd w:id="76"/>
    </w:p>
    <w:p w14:paraId="2966A7AF" w14:textId="77777777"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szCs w:val="22"/>
          <w:lang w:val="en-GB"/>
        </w:rPr>
      </w:pPr>
      <w:bookmarkStart w:id="77" w:name="lt_pId196"/>
      <w:r w:rsidRPr="007B29FB">
        <w:rPr>
          <w:rFonts w:cstheme="minorHAnsi"/>
          <w:szCs w:val="22"/>
          <w:lang w:val="en-GB"/>
        </w:rPr>
        <w:t>Developing Technical Reports and Specifications which address the outlined items such as APIs and Frameworks, while also identifying future standardization work for ITU-T study groups in the area of Federated Testbeds for IMT-2020 and beyond (as described in the objectives);</w:t>
      </w:r>
      <w:bookmarkEnd w:id="77"/>
    </w:p>
    <w:p w14:paraId="623BB33F" w14:textId="77777777" w:rsidR="00837F7B" w:rsidRPr="007B29FB" w:rsidRDefault="00837F7B" w:rsidP="00837F7B">
      <w:pPr>
        <w:numPr>
          <w:ilvl w:val="0"/>
          <w:numId w:val="32"/>
        </w:numPr>
        <w:overflowPunct w:val="0"/>
        <w:autoSpaceDE w:val="0"/>
        <w:autoSpaceDN w:val="0"/>
        <w:adjustRightInd w:val="0"/>
        <w:spacing w:before="80"/>
        <w:jc w:val="both"/>
        <w:textAlignment w:val="baseline"/>
        <w:rPr>
          <w:rFonts w:cstheme="minorHAnsi"/>
          <w:szCs w:val="22"/>
          <w:lang w:val="en-GB"/>
        </w:rPr>
      </w:pPr>
      <w:bookmarkStart w:id="78" w:name="lt_pId197"/>
      <w:r w:rsidRPr="007B29FB">
        <w:rPr>
          <w:rFonts w:cstheme="minorHAnsi"/>
          <w:szCs w:val="22"/>
          <w:lang w:val="en-GB"/>
        </w:rPr>
        <w:t>Communicating the final list of deliverables to SG11, at least four calendar weeks before the parent group’s next meeting.</w:t>
      </w:r>
      <w:bookmarkEnd w:id="78"/>
    </w:p>
    <w:p w14:paraId="27586D73" w14:textId="77777777" w:rsidR="00837F7B" w:rsidRPr="007B29FB" w:rsidRDefault="00837F7B" w:rsidP="00837F7B">
      <w:pPr>
        <w:rPr>
          <w:rFonts w:cstheme="minorHAnsi"/>
          <w:b/>
          <w:bCs/>
          <w:szCs w:val="22"/>
          <w:lang w:val="en-GB"/>
        </w:rPr>
      </w:pPr>
      <w:r w:rsidRPr="007B29FB">
        <w:rPr>
          <w:rFonts w:cstheme="minorHAnsi"/>
          <w:b/>
          <w:bCs/>
          <w:szCs w:val="22"/>
          <w:lang w:val="en-GB"/>
        </w:rPr>
        <w:t>5.</w:t>
      </w:r>
      <w:r w:rsidRPr="007B29FB">
        <w:rPr>
          <w:rFonts w:cstheme="minorHAnsi"/>
          <w:b/>
          <w:bCs/>
          <w:szCs w:val="22"/>
          <w:lang w:val="en-GB"/>
        </w:rPr>
        <w:tab/>
      </w:r>
      <w:bookmarkStart w:id="79" w:name="lt_pId199"/>
      <w:r w:rsidRPr="007B29FB">
        <w:rPr>
          <w:rFonts w:cstheme="minorHAnsi"/>
          <w:b/>
          <w:bCs/>
          <w:szCs w:val="22"/>
          <w:lang w:val="en-GB"/>
        </w:rPr>
        <w:t>Relationships</w:t>
      </w:r>
      <w:bookmarkEnd w:id="79"/>
    </w:p>
    <w:p w14:paraId="066BAE65" w14:textId="77777777" w:rsidR="00837F7B" w:rsidRPr="007B29FB" w:rsidRDefault="00837F7B" w:rsidP="00837F7B">
      <w:pPr>
        <w:jc w:val="both"/>
        <w:rPr>
          <w:rFonts w:cstheme="minorHAnsi"/>
          <w:szCs w:val="22"/>
          <w:lang w:val="en-GB"/>
        </w:rPr>
      </w:pPr>
      <w:bookmarkStart w:id="80" w:name="lt_pId200"/>
      <w:r w:rsidRPr="007B29FB">
        <w:rPr>
          <w:rFonts w:cstheme="minorHAnsi"/>
          <w:szCs w:val="22"/>
          <w:lang w:val="en-GB"/>
        </w:rPr>
        <w:t>This Focus Group will work closely with SG11 through collocated meetings where and when possible and will work in close coordination with all ITU-T Study Groups as appropriate.</w:t>
      </w:r>
      <w:bookmarkEnd w:id="80"/>
      <w:r w:rsidRPr="007B29FB">
        <w:rPr>
          <w:rFonts w:cstheme="minorHAnsi"/>
          <w:szCs w:val="22"/>
          <w:lang w:val="en-GB"/>
        </w:rPr>
        <w:t xml:space="preserve"> </w:t>
      </w:r>
    </w:p>
    <w:p w14:paraId="6C0E1575" w14:textId="77777777" w:rsidR="00837F7B" w:rsidRPr="007B29FB" w:rsidRDefault="00837F7B" w:rsidP="00837F7B">
      <w:pPr>
        <w:jc w:val="both"/>
        <w:rPr>
          <w:rFonts w:cstheme="minorHAnsi"/>
          <w:szCs w:val="22"/>
          <w:lang w:val="en-GB"/>
        </w:rPr>
      </w:pPr>
      <w:bookmarkStart w:id="81" w:name="lt_pId201"/>
      <w:r w:rsidRPr="007B29FB">
        <w:rPr>
          <w:rFonts w:cstheme="minorHAnsi"/>
          <w:szCs w:val="22"/>
          <w:lang w:val="en-GB"/>
        </w:rPr>
        <w:t>This FG–TBF5G will also collaborate (as required) with other relevant entities, in accordance with Recommendation ITU-T A.7.</w:t>
      </w:r>
      <w:bookmarkEnd w:id="81"/>
    </w:p>
    <w:p w14:paraId="735A0F41" w14:textId="77777777" w:rsidR="00837F7B" w:rsidRPr="007B29FB" w:rsidRDefault="00837F7B" w:rsidP="00837F7B">
      <w:pPr>
        <w:jc w:val="both"/>
        <w:rPr>
          <w:rFonts w:cstheme="minorHAnsi"/>
          <w:szCs w:val="22"/>
          <w:lang w:val="en-GB"/>
        </w:rPr>
      </w:pPr>
      <w:bookmarkStart w:id="82" w:name="lt_pId202"/>
      <w:r w:rsidRPr="007B29FB">
        <w:rPr>
          <w:rFonts w:cstheme="minorHAnsi"/>
          <w:szCs w:val="22"/>
          <w:lang w:val="en-GB"/>
        </w:rPr>
        <w:t>It will establish close collaboration with other SDOs/Fora (e.g. IEEE, ETSI, TMForum, BroadBand Forum (BBF), TIP, ORAN, NGMN, 3GPP, etc.), municipalities, non-governmental organizations (NGOs), policy makers, companies, academic institutions, research institutions and other relevant organizations.</w:t>
      </w:r>
      <w:bookmarkEnd w:id="82"/>
    </w:p>
    <w:p w14:paraId="6108243A" w14:textId="77777777" w:rsidR="00837F7B" w:rsidRPr="007B29FB" w:rsidRDefault="00837F7B" w:rsidP="00837F7B">
      <w:pPr>
        <w:rPr>
          <w:rFonts w:cstheme="minorHAnsi"/>
          <w:b/>
          <w:bCs/>
          <w:szCs w:val="22"/>
          <w:lang w:val="en-GB"/>
        </w:rPr>
      </w:pPr>
      <w:r w:rsidRPr="007B29FB">
        <w:rPr>
          <w:rFonts w:cstheme="minorHAnsi"/>
          <w:b/>
          <w:bCs/>
          <w:szCs w:val="22"/>
          <w:lang w:val="en-GB"/>
        </w:rPr>
        <w:t>6.</w:t>
      </w:r>
      <w:r w:rsidRPr="007B29FB">
        <w:rPr>
          <w:rFonts w:cstheme="minorHAnsi"/>
          <w:b/>
          <w:bCs/>
          <w:szCs w:val="22"/>
          <w:lang w:val="en-GB"/>
        </w:rPr>
        <w:tab/>
      </w:r>
      <w:bookmarkStart w:id="83" w:name="lt_pId204"/>
      <w:r w:rsidRPr="007B29FB">
        <w:rPr>
          <w:rFonts w:cstheme="minorHAnsi"/>
          <w:b/>
          <w:bCs/>
          <w:szCs w:val="22"/>
          <w:lang w:val="en-GB"/>
        </w:rPr>
        <w:t>Parent group</w:t>
      </w:r>
      <w:bookmarkEnd w:id="83"/>
    </w:p>
    <w:p w14:paraId="1062A967" w14:textId="77777777" w:rsidR="00837F7B" w:rsidRPr="007B29FB" w:rsidRDefault="00837F7B" w:rsidP="00837F7B">
      <w:pPr>
        <w:jc w:val="both"/>
        <w:rPr>
          <w:rFonts w:cstheme="minorHAnsi"/>
          <w:szCs w:val="22"/>
          <w:lang w:val="en-GB"/>
        </w:rPr>
      </w:pPr>
      <w:bookmarkStart w:id="84" w:name="lt_pId205"/>
      <w:r w:rsidRPr="007B29FB">
        <w:rPr>
          <w:rFonts w:cstheme="minorHAnsi"/>
          <w:szCs w:val="22"/>
          <w:lang w:val="en-GB"/>
        </w:rPr>
        <w:t>The parent group of the FG-TBFxG is ITU-T Study Group 11 “Signalling requirements, protocols, test specifications and combating counterfeit products”.</w:t>
      </w:r>
      <w:bookmarkEnd w:id="84"/>
    </w:p>
    <w:p w14:paraId="34099036" w14:textId="77777777" w:rsidR="00837F7B" w:rsidRPr="007B29FB" w:rsidRDefault="00837F7B" w:rsidP="00837F7B">
      <w:pPr>
        <w:jc w:val="both"/>
        <w:rPr>
          <w:rFonts w:cstheme="minorHAnsi"/>
          <w:szCs w:val="22"/>
          <w:lang w:val="en-GB"/>
        </w:rPr>
      </w:pPr>
      <w:bookmarkStart w:id="85" w:name="lt_pId206"/>
      <w:r w:rsidRPr="007B29FB">
        <w:rPr>
          <w:rFonts w:cstheme="minorHAnsi"/>
          <w:szCs w:val="22"/>
          <w:lang w:val="en-GB"/>
        </w:rPr>
        <w:t>Among others, SG11 leads ITU activities on establishing test specifications, conformance and interoperability testing for all types of networks, technologies and services that are the subject of study and standardization by all ITU</w:t>
      </w:r>
      <w:r w:rsidRPr="007B29FB">
        <w:rPr>
          <w:rFonts w:ascii="Cambria Math" w:hAnsi="Cambria Math" w:cs="Cambria Math"/>
          <w:szCs w:val="22"/>
          <w:lang w:val="en-GB"/>
        </w:rPr>
        <w:t>‑</w:t>
      </w:r>
      <w:r w:rsidRPr="007B29FB">
        <w:rPr>
          <w:rFonts w:cstheme="minorHAnsi"/>
          <w:szCs w:val="22"/>
          <w:lang w:val="en-GB"/>
        </w:rPr>
        <w:t>T study groups.</w:t>
      </w:r>
      <w:bookmarkEnd w:id="85"/>
    </w:p>
    <w:p w14:paraId="6DEE3F81" w14:textId="77777777" w:rsidR="00837F7B" w:rsidRPr="007B29FB" w:rsidRDefault="00837F7B" w:rsidP="00837F7B">
      <w:pPr>
        <w:rPr>
          <w:rFonts w:cstheme="minorHAnsi"/>
          <w:b/>
          <w:bCs/>
          <w:szCs w:val="22"/>
          <w:lang w:val="en-GB"/>
        </w:rPr>
      </w:pPr>
      <w:r w:rsidRPr="007B29FB">
        <w:rPr>
          <w:rFonts w:cstheme="minorHAnsi"/>
          <w:b/>
          <w:bCs/>
          <w:szCs w:val="22"/>
          <w:lang w:val="en-GB"/>
        </w:rPr>
        <w:t>7.</w:t>
      </w:r>
      <w:r w:rsidRPr="007B29FB">
        <w:rPr>
          <w:rFonts w:cstheme="minorHAnsi"/>
          <w:b/>
          <w:bCs/>
          <w:szCs w:val="22"/>
          <w:lang w:val="en-GB"/>
        </w:rPr>
        <w:tab/>
      </w:r>
      <w:bookmarkStart w:id="86" w:name="lt_pId208"/>
      <w:r w:rsidRPr="007B29FB">
        <w:rPr>
          <w:rFonts w:cstheme="minorHAnsi"/>
          <w:b/>
          <w:bCs/>
          <w:szCs w:val="22"/>
          <w:lang w:val="en-GB"/>
        </w:rPr>
        <w:t>Leadership</w:t>
      </w:r>
      <w:bookmarkEnd w:id="86"/>
    </w:p>
    <w:p w14:paraId="68073A89" w14:textId="77777777" w:rsidR="00837F7B" w:rsidRPr="007B29FB" w:rsidRDefault="00837F7B" w:rsidP="00837F7B">
      <w:pPr>
        <w:jc w:val="both"/>
        <w:rPr>
          <w:rFonts w:cstheme="minorHAnsi"/>
          <w:szCs w:val="22"/>
          <w:lang w:val="en-GB"/>
        </w:rPr>
      </w:pPr>
      <w:bookmarkStart w:id="87" w:name="lt_pId209"/>
      <w:r w:rsidRPr="007B29FB">
        <w:rPr>
          <w:rFonts w:cstheme="minorHAnsi"/>
          <w:szCs w:val="22"/>
          <w:lang w:val="en-GB"/>
        </w:rPr>
        <w:t>The stipulations in clause 2.3 of Recommendation ITU-T A.7 apply.</w:t>
      </w:r>
      <w:bookmarkEnd w:id="87"/>
    </w:p>
    <w:p w14:paraId="785D9194" w14:textId="77777777" w:rsidR="00837F7B" w:rsidRPr="007B29FB" w:rsidRDefault="00837F7B" w:rsidP="00837F7B">
      <w:pPr>
        <w:rPr>
          <w:rFonts w:cstheme="minorHAnsi"/>
          <w:b/>
          <w:bCs/>
          <w:szCs w:val="22"/>
          <w:lang w:val="en-GB"/>
        </w:rPr>
      </w:pPr>
      <w:r w:rsidRPr="007B29FB">
        <w:rPr>
          <w:rFonts w:cstheme="minorHAnsi"/>
          <w:b/>
          <w:bCs/>
          <w:szCs w:val="22"/>
          <w:lang w:val="en-GB"/>
        </w:rPr>
        <w:t>8.</w:t>
      </w:r>
      <w:r w:rsidRPr="007B29FB">
        <w:rPr>
          <w:rFonts w:cstheme="minorHAnsi"/>
          <w:b/>
          <w:bCs/>
          <w:szCs w:val="22"/>
          <w:lang w:val="en-GB"/>
        </w:rPr>
        <w:tab/>
      </w:r>
      <w:bookmarkStart w:id="88" w:name="lt_pId211"/>
      <w:r w:rsidRPr="007B29FB">
        <w:rPr>
          <w:rFonts w:cstheme="minorHAnsi"/>
          <w:b/>
          <w:bCs/>
          <w:szCs w:val="22"/>
          <w:lang w:val="en-GB"/>
        </w:rPr>
        <w:t>Participation</w:t>
      </w:r>
      <w:bookmarkEnd w:id="88"/>
    </w:p>
    <w:p w14:paraId="38A6C59D" w14:textId="77777777" w:rsidR="00837F7B" w:rsidRPr="007B29FB" w:rsidRDefault="00837F7B" w:rsidP="00837F7B">
      <w:pPr>
        <w:jc w:val="both"/>
        <w:rPr>
          <w:rFonts w:cstheme="minorHAnsi"/>
          <w:szCs w:val="22"/>
          <w:lang w:val="en-GB"/>
        </w:rPr>
      </w:pPr>
      <w:bookmarkStart w:id="89" w:name="lt_pId212"/>
      <w:r w:rsidRPr="007B29FB">
        <w:rPr>
          <w:rFonts w:cstheme="minorHAnsi"/>
          <w:szCs w:val="22"/>
          <w:lang w:val="en-GB"/>
        </w:rPr>
        <w:t>See clause 3.1 of Recommendation ITU-T A.7.</w:t>
      </w:r>
      <w:bookmarkEnd w:id="89"/>
    </w:p>
    <w:p w14:paraId="70F7F2C5" w14:textId="77777777" w:rsidR="00837F7B" w:rsidRPr="007B29FB" w:rsidRDefault="00837F7B" w:rsidP="00837F7B">
      <w:pPr>
        <w:jc w:val="both"/>
        <w:rPr>
          <w:rFonts w:cstheme="minorHAnsi"/>
          <w:szCs w:val="22"/>
          <w:lang w:val="en-GB"/>
        </w:rPr>
      </w:pPr>
      <w:bookmarkStart w:id="90" w:name="lt_pId213"/>
      <w:r w:rsidRPr="007B29FB">
        <w:rPr>
          <w:rFonts w:cstheme="minorHAnsi"/>
          <w:szCs w:val="22"/>
          <w:lang w:val="en-GB"/>
        </w:rPr>
        <w:t>Any individual from a country that is a member of ITU and who is willing to contribute actively to the work may participate in the focus group.</w:t>
      </w:r>
      <w:bookmarkEnd w:id="90"/>
      <w:r w:rsidRPr="007B29FB">
        <w:rPr>
          <w:rFonts w:cstheme="minorHAnsi"/>
          <w:szCs w:val="22"/>
          <w:lang w:val="en-GB"/>
        </w:rPr>
        <w:t xml:space="preserve"> </w:t>
      </w:r>
      <w:bookmarkStart w:id="91" w:name="lt_pId214"/>
      <w:r w:rsidRPr="007B29FB">
        <w:rPr>
          <w:rFonts w:cstheme="minorHAnsi"/>
          <w:szCs w:val="22"/>
          <w:lang w:val="en-GB"/>
        </w:rPr>
        <w:t>This includes individuals who are also members of international, regional and national organizations.</w:t>
      </w:r>
      <w:bookmarkEnd w:id="91"/>
    </w:p>
    <w:p w14:paraId="73296E7E" w14:textId="77777777" w:rsidR="00837F7B" w:rsidRPr="007B29FB" w:rsidRDefault="00837F7B" w:rsidP="00837F7B">
      <w:pPr>
        <w:jc w:val="both"/>
        <w:rPr>
          <w:rFonts w:cstheme="minorHAnsi"/>
          <w:szCs w:val="22"/>
          <w:lang w:val="en-GB"/>
        </w:rPr>
      </w:pPr>
      <w:bookmarkStart w:id="92" w:name="lt_pId215"/>
      <w:r w:rsidRPr="007B29FB">
        <w:rPr>
          <w:rFonts w:cstheme="minorHAnsi"/>
          <w:szCs w:val="22"/>
          <w:lang w:val="en-GB"/>
        </w:rPr>
        <w:t>A list of participants will be maintained for reference purposes and reported to the parent group.</w:t>
      </w:r>
      <w:bookmarkEnd w:id="92"/>
      <w:r w:rsidRPr="007B29FB">
        <w:rPr>
          <w:rFonts w:cstheme="minorHAnsi"/>
          <w:szCs w:val="22"/>
          <w:lang w:val="en-GB"/>
        </w:rPr>
        <w:t xml:space="preserve"> </w:t>
      </w:r>
    </w:p>
    <w:p w14:paraId="1780CC97" w14:textId="77777777" w:rsidR="00837F7B" w:rsidRPr="007B29FB" w:rsidRDefault="00837F7B" w:rsidP="00837F7B">
      <w:pPr>
        <w:jc w:val="both"/>
        <w:rPr>
          <w:rFonts w:cstheme="minorHAnsi"/>
          <w:szCs w:val="22"/>
          <w:lang w:val="en-GB"/>
        </w:rPr>
      </w:pPr>
      <w:bookmarkStart w:id="93" w:name="lt_pId216"/>
      <w:r w:rsidRPr="007B29FB">
        <w:rPr>
          <w:rFonts w:cstheme="minorHAnsi"/>
          <w:szCs w:val="22"/>
          <w:lang w:val="en-GB"/>
        </w:rPr>
        <w:t>All participants are strongly encouraged to contribute to the FG’s activities.</w:t>
      </w:r>
      <w:bookmarkEnd w:id="93"/>
      <w:r w:rsidRPr="007B29FB">
        <w:rPr>
          <w:rFonts w:cstheme="minorHAnsi"/>
          <w:szCs w:val="22"/>
          <w:lang w:val="en-GB"/>
        </w:rPr>
        <w:t xml:space="preserve"> </w:t>
      </w:r>
    </w:p>
    <w:p w14:paraId="4335773A" w14:textId="77777777" w:rsidR="00837F7B" w:rsidRPr="007B29FB" w:rsidRDefault="00837F7B" w:rsidP="00837F7B">
      <w:pPr>
        <w:rPr>
          <w:rFonts w:cstheme="minorHAnsi"/>
          <w:b/>
          <w:bCs/>
          <w:szCs w:val="22"/>
          <w:lang w:val="en-GB"/>
        </w:rPr>
      </w:pPr>
      <w:r w:rsidRPr="007B29FB">
        <w:rPr>
          <w:rFonts w:cstheme="minorHAnsi"/>
          <w:b/>
          <w:bCs/>
          <w:szCs w:val="22"/>
          <w:lang w:val="en-GB"/>
        </w:rPr>
        <w:t>9.</w:t>
      </w:r>
      <w:r w:rsidRPr="007B29FB">
        <w:rPr>
          <w:rFonts w:cstheme="minorHAnsi"/>
          <w:b/>
          <w:bCs/>
          <w:szCs w:val="22"/>
          <w:lang w:val="en-GB"/>
        </w:rPr>
        <w:tab/>
      </w:r>
      <w:bookmarkStart w:id="94" w:name="lt_pId218"/>
      <w:r w:rsidRPr="007B29FB">
        <w:rPr>
          <w:rFonts w:cstheme="minorHAnsi"/>
          <w:b/>
          <w:bCs/>
          <w:szCs w:val="22"/>
          <w:lang w:val="en-GB"/>
        </w:rPr>
        <w:t>Administrative support</w:t>
      </w:r>
      <w:bookmarkEnd w:id="94"/>
    </w:p>
    <w:p w14:paraId="752BB2A6" w14:textId="77777777" w:rsidR="00837F7B" w:rsidRPr="007B29FB" w:rsidRDefault="00837F7B" w:rsidP="00837F7B">
      <w:pPr>
        <w:jc w:val="both"/>
        <w:rPr>
          <w:rFonts w:cstheme="minorHAnsi"/>
          <w:szCs w:val="22"/>
          <w:lang w:val="en-GB"/>
        </w:rPr>
      </w:pPr>
      <w:bookmarkStart w:id="95" w:name="lt_pId219"/>
      <w:r w:rsidRPr="007B29FB">
        <w:rPr>
          <w:rFonts w:cstheme="minorHAnsi"/>
          <w:szCs w:val="22"/>
          <w:lang w:val="en-GB"/>
        </w:rPr>
        <w:t>The stipulations in clause 5 of Recommendation ITU-T A.7 apply.</w:t>
      </w:r>
      <w:bookmarkEnd w:id="95"/>
    </w:p>
    <w:p w14:paraId="28718E8E" w14:textId="77777777" w:rsidR="00837F7B" w:rsidRPr="007B29FB" w:rsidRDefault="00837F7B" w:rsidP="00837F7B">
      <w:pPr>
        <w:rPr>
          <w:rFonts w:cstheme="minorHAnsi"/>
          <w:b/>
          <w:bCs/>
          <w:szCs w:val="22"/>
          <w:lang w:val="en-GB"/>
        </w:rPr>
      </w:pPr>
      <w:r w:rsidRPr="007B29FB">
        <w:rPr>
          <w:rFonts w:cstheme="minorHAnsi"/>
          <w:b/>
          <w:bCs/>
          <w:szCs w:val="22"/>
          <w:lang w:val="en-GB"/>
        </w:rPr>
        <w:lastRenderedPageBreak/>
        <w:t>10.</w:t>
      </w:r>
      <w:r w:rsidRPr="007B29FB">
        <w:rPr>
          <w:rFonts w:cstheme="minorHAnsi"/>
          <w:b/>
          <w:bCs/>
          <w:szCs w:val="22"/>
          <w:lang w:val="en-GB"/>
        </w:rPr>
        <w:tab/>
      </w:r>
      <w:bookmarkStart w:id="96" w:name="lt_pId221"/>
      <w:r w:rsidRPr="007B29FB">
        <w:rPr>
          <w:rFonts w:cstheme="minorHAnsi"/>
          <w:b/>
          <w:bCs/>
          <w:szCs w:val="22"/>
          <w:lang w:val="en-GB"/>
        </w:rPr>
        <w:t>General financing</w:t>
      </w:r>
      <w:bookmarkEnd w:id="96"/>
    </w:p>
    <w:p w14:paraId="2776A7FE" w14:textId="77777777" w:rsidR="00837F7B" w:rsidRPr="007B29FB" w:rsidRDefault="00837F7B" w:rsidP="00837F7B">
      <w:pPr>
        <w:jc w:val="both"/>
        <w:rPr>
          <w:rFonts w:cstheme="minorHAnsi"/>
          <w:szCs w:val="22"/>
          <w:lang w:val="en-GB"/>
        </w:rPr>
      </w:pPr>
      <w:bookmarkStart w:id="97" w:name="lt_pId222"/>
      <w:r w:rsidRPr="007B29FB">
        <w:rPr>
          <w:rFonts w:cstheme="minorHAnsi"/>
          <w:szCs w:val="22"/>
          <w:lang w:val="en-GB"/>
        </w:rPr>
        <w:t>FG-TBFxG will follow the guidance in clause 4 of Recommendation ITU-T A.7 with regard to financing of focus groups and their meetings and clause 10.2 of Recommendation ITU-T A.7 with regard to printing and distribution of deliverables.</w:t>
      </w:r>
      <w:bookmarkEnd w:id="97"/>
    </w:p>
    <w:p w14:paraId="0E177CEA" w14:textId="77777777" w:rsidR="00837F7B" w:rsidRPr="007B29FB" w:rsidRDefault="00837F7B" w:rsidP="00837F7B">
      <w:pPr>
        <w:rPr>
          <w:rFonts w:cstheme="minorHAnsi"/>
          <w:b/>
          <w:bCs/>
          <w:szCs w:val="22"/>
          <w:lang w:val="en-GB"/>
        </w:rPr>
      </w:pPr>
      <w:r w:rsidRPr="007B29FB">
        <w:rPr>
          <w:rFonts w:cstheme="minorHAnsi"/>
          <w:b/>
          <w:bCs/>
          <w:szCs w:val="22"/>
          <w:lang w:val="en-GB"/>
        </w:rPr>
        <w:t>11.</w:t>
      </w:r>
      <w:r w:rsidRPr="007B29FB">
        <w:rPr>
          <w:rFonts w:cstheme="minorHAnsi"/>
          <w:b/>
          <w:bCs/>
          <w:szCs w:val="22"/>
          <w:lang w:val="en-GB"/>
        </w:rPr>
        <w:tab/>
      </w:r>
      <w:bookmarkStart w:id="98" w:name="lt_pId224"/>
      <w:r w:rsidRPr="007B29FB">
        <w:rPr>
          <w:rFonts w:cstheme="minorHAnsi"/>
          <w:b/>
          <w:bCs/>
          <w:szCs w:val="22"/>
          <w:lang w:val="en-GB"/>
        </w:rPr>
        <w:t>Meetings</w:t>
      </w:r>
      <w:bookmarkEnd w:id="98"/>
    </w:p>
    <w:p w14:paraId="361FD4FB" w14:textId="77777777" w:rsidR="00837F7B" w:rsidRPr="007B29FB" w:rsidRDefault="00837F7B" w:rsidP="00837F7B">
      <w:pPr>
        <w:jc w:val="both"/>
        <w:rPr>
          <w:rFonts w:cstheme="minorHAnsi"/>
          <w:szCs w:val="22"/>
          <w:lang w:val="en-GB"/>
        </w:rPr>
      </w:pPr>
      <w:bookmarkStart w:id="99" w:name="lt_pId225"/>
      <w:r w:rsidRPr="007B29FB">
        <w:rPr>
          <w:rFonts w:cstheme="minorHAnsi"/>
          <w:szCs w:val="22"/>
          <w:lang w:val="en-GB"/>
        </w:rPr>
        <w:t>The frequency and locations of meetings will be determined by the Focus Group management.</w:t>
      </w:r>
      <w:bookmarkEnd w:id="99"/>
      <w:r w:rsidRPr="007B29FB">
        <w:rPr>
          <w:rFonts w:cstheme="minorHAnsi"/>
          <w:szCs w:val="22"/>
          <w:lang w:val="en-GB"/>
        </w:rPr>
        <w:t xml:space="preserve"> </w:t>
      </w:r>
      <w:bookmarkStart w:id="100" w:name="lt_pId226"/>
      <w:r w:rsidRPr="007B29FB">
        <w:rPr>
          <w:rFonts w:cstheme="minorHAnsi"/>
          <w:szCs w:val="22"/>
          <w:lang w:val="en-GB"/>
        </w:rPr>
        <w:t>The overall meetings plan will be announced after the approval of the terms of reference.</w:t>
      </w:r>
      <w:bookmarkEnd w:id="100"/>
      <w:r w:rsidRPr="007B29FB">
        <w:rPr>
          <w:rFonts w:cstheme="minorHAnsi"/>
          <w:szCs w:val="22"/>
          <w:lang w:val="en-GB"/>
        </w:rPr>
        <w:t xml:space="preserve"> </w:t>
      </w:r>
      <w:bookmarkStart w:id="101" w:name="lt_pId227"/>
      <w:r w:rsidRPr="007B29FB">
        <w:rPr>
          <w:rFonts w:cstheme="minorHAnsi"/>
          <w:szCs w:val="22"/>
          <w:lang w:val="en-GB"/>
        </w:rPr>
        <w:t>The Focus Group will use remote collaboration tools to the maximum extent, and collocation with ITU-T SG11 meetings is encouraged.</w:t>
      </w:r>
      <w:bookmarkEnd w:id="101"/>
    </w:p>
    <w:p w14:paraId="7E3A6EF5" w14:textId="77777777" w:rsidR="00837F7B" w:rsidRPr="007B29FB" w:rsidRDefault="00837F7B" w:rsidP="00837F7B">
      <w:pPr>
        <w:jc w:val="both"/>
        <w:rPr>
          <w:rFonts w:cstheme="minorHAnsi"/>
          <w:szCs w:val="22"/>
          <w:lang w:val="en-GB"/>
        </w:rPr>
      </w:pPr>
      <w:bookmarkStart w:id="102" w:name="lt_pId228"/>
      <w:r w:rsidRPr="007B29FB">
        <w:rPr>
          <w:rFonts w:cstheme="minorHAnsi"/>
          <w:szCs w:val="22"/>
          <w:lang w:val="en-GB"/>
        </w:rPr>
        <w:t>The meeting dates will be announced by electronic means (e.g., e-mail and website, etc.) at least six weeks in advance.</w:t>
      </w:r>
      <w:bookmarkEnd w:id="102"/>
    </w:p>
    <w:p w14:paraId="22BF9BAD" w14:textId="77777777" w:rsidR="00837F7B" w:rsidRPr="007B29FB" w:rsidRDefault="00837F7B" w:rsidP="00837F7B">
      <w:pPr>
        <w:rPr>
          <w:rFonts w:cstheme="minorHAnsi"/>
          <w:b/>
          <w:bCs/>
          <w:szCs w:val="22"/>
          <w:lang w:val="en-GB"/>
        </w:rPr>
      </w:pPr>
      <w:r w:rsidRPr="007B29FB">
        <w:rPr>
          <w:rFonts w:cstheme="minorHAnsi"/>
          <w:b/>
          <w:bCs/>
          <w:szCs w:val="22"/>
          <w:lang w:val="en-GB"/>
        </w:rPr>
        <w:t>12.</w:t>
      </w:r>
      <w:r w:rsidRPr="007B29FB">
        <w:rPr>
          <w:rFonts w:cstheme="minorHAnsi"/>
          <w:b/>
          <w:bCs/>
          <w:szCs w:val="22"/>
          <w:lang w:val="en-GB"/>
        </w:rPr>
        <w:tab/>
      </w:r>
      <w:bookmarkStart w:id="103" w:name="lt_pId230"/>
      <w:r w:rsidRPr="007B29FB">
        <w:rPr>
          <w:rFonts w:cstheme="minorHAnsi"/>
          <w:b/>
          <w:bCs/>
          <w:szCs w:val="22"/>
          <w:lang w:val="en-GB"/>
        </w:rPr>
        <w:t>Technical contributions</w:t>
      </w:r>
      <w:bookmarkEnd w:id="103"/>
    </w:p>
    <w:p w14:paraId="2BC3FA44" w14:textId="77777777" w:rsidR="00837F7B" w:rsidRPr="007B29FB" w:rsidRDefault="00837F7B" w:rsidP="00837F7B">
      <w:pPr>
        <w:jc w:val="both"/>
        <w:rPr>
          <w:rFonts w:cstheme="minorHAnsi"/>
          <w:szCs w:val="22"/>
          <w:lang w:val="en-GB"/>
        </w:rPr>
      </w:pPr>
      <w:bookmarkStart w:id="104" w:name="lt_pId231"/>
      <w:r w:rsidRPr="007B29FB">
        <w:rPr>
          <w:rFonts w:cstheme="minorHAnsi"/>
          <w:szCs w:val="22"/>
          <w:lang w:val="en-GB"/>
        </w:rPr>
        <w:t>See clause 8 of Recommendation ITU-T A.7.</w:t>
      </w:r>
      <w:bookmarkEnd w:id="104"/>
    </w:p>
    <w:p w14:paraId="1864C1F2" w14:textId="77777777" w:rsidR="00837F7B" w:rsidRPr="007B29FB" w:rsidRDefault="00837F7B" w:rsidP="00837F7B">
      <w:pPr>
        <w:jc w:val="both"/>
        <w:rPr>
          <w:rFonts w:cstheme="minorHAnsi"/>
          <w:szCs w:val="22"/>
          <w:lang w:val="en-GB"/>
        </w:rPr>
      </w:pPr>
      <w:bookmarkStart w:id="105" w:name="lt_pId232"/>
      <w:r w:rsidRPr="007B29FB">
        <w:rPr>
          <w:rFonts w:cstheme="minorHAnsi"/>
          <w:szCs w:val="22"/>
          <w:lang w:val="en-GB"/>
        </w:rPr>
        <w:t>Any participant may submit a technical contribution directly to FG-TBFxG, in accordance with the time schedule adopted.</w:t>
      </w:r>
      <w:bookmarkEnd w:id="105"/>
      <w:r w:rsidRPr="007B29FB">
        <w:rPr>
          <w:rFonts w:cstheme="minorHAnsi"/>
          <w:szCs w:val="22"/>
          <w:lang w:val="en-GB"/>
        </w:rPr>
        <w:t xml:space="preserve"> </w:t>
      </w:r>
      <w:bookmarkStart w:id="106" w:name="lt_pId233"/>
      <w:r w:rsidRPr="007B29FB">
        <w:rPr>
          <w:rFonts w:cstheme="minorHAnsi"/>
          <w:szCs w:val="22"/>
          <w:lang w:val="en-GB"/>
        </w:rPr>
        <w:t>A template for contributions can be found on the ITU-T website.</w:t>
      </w:r>
      <w:bookmarkEnd w:id="106"/>
      <w:r w:rsidRPr="007B29FB">
        <w:rPr>
          <w:rFonts w:cstheme="minorHAnsi"/>
          <w:szCs w:val="22"/>
          <w:lang w:val="en-GB"/>
        </w:rPr>
        <w:t xml:space="preserve"> </w:t>
      </w:r>
      <w:bookmarkStart w:id="107" w:name="lt_pId234"/>
      <w:r w:rsidRPr="007B29FB">
        <w:rPr>
          <w:rFonts w:cstheme="minorHAnsi"/>
          <w:szCs w:val="22"/>
          <w:lang w:val="en-GB"/>
        </w:rPr>
        <w:t>Electronic document transfer methods should be used whenever possible.</w:t>
      </w:r>
      <w:bookmarkEnd w:id="107"/>
    </w:p>
    <w:p w14:paraId="6C712014" w14:textId="77777777" w:rsidR="00837F7B" w:rsidRPr="007B29FB" w:rsidRDefault="00837F7B" w:rsidP="00837F7B">
      <w:pPr>
        <w:jc w:val="both"/>
        <w:rPr>
          <w:rFonts w:cstheme="minorHAnsi"/>
          <w:szCs w:val="22"/>
          <w:lang w:val="en-GB"/>
        </w:rPr>
      </w:pPr>
      <w:bookmarkStart w:id="108" w:name="lt_pId235"/>
      <w:r w:rsidRPr="007B29FB">
        <w:rPr>
          <w:rFonts w:cstheme="minorHAnsi"/>
          <w:szCs w:val="22"/>
          <w:lang w:val="en-GB"/>
        </w:rPr>
        <w:t>Deadline for contributions will be announced by FG Chairman for each particular meeting.</w:t>
      </w:r>
      <w:bookmarkEnd w:id="108"/>
    </w:p>
    <w:p w14:paraId="4AE87DD3" w14:textId="77777777" w:rsidR="00837F7B" w:rsidRPr="007B29FB" w:rsidRDefault="00837F7B" w:rsidP="00837F7B">
      <w:pPr>
        <w:rPr>
          <w:rFonts w:cstheme="minorHAnsi"/>
          <w:b/>
          <w:bCs/>
          <w:szCs w:val="22"/>
          <w:lang w:val="en-GB"/>
        </w:rPr>
      </w:pPr>
      <w:r w:rsidRPr="007B29FB">
        <w:rPr>
          <w:rFonts w:cstheme="minorHAnsi"/>
          <w:b/>
          <w:bCs/>
          <w:szCs w:val="22"/>
          <w:lang w:val="en-GB"/>
        </w:rPr>
        <w:t>13.</w:t>
      </w:r>
      <w:r w:rsidRPr="007B29FB">
        <w:rPr>
          <w:rFonts w:cstheme="minorHAnsi"/>
          <w:b/>
          <w:bCs/>
          <w:szCs w:val="22"/>
          <w:lang w:val="en-GB"/>
        </w:rPr>
        <w:tab/>
      </w:r>
      <w:bookmarkStart w:id="109" w:name="lt_pId237"/>
      <w:r w:rsidRPr="007B29FB">
        <w:rPr>
          <w:rFonts w:cstheme="minorHAnsi"/>
          <w:b/>
          <w:bCs/>
          <w:szCs w:val="22"/>
          <w:lang w:val="en-GB"/>
        </w:rPr>
        <w:t>Working language</w:t>
      </w:r>
      <w:bookmarkEnd w:id="109"/>
    </w:p>
    <w:p w14:paraId="542FEA7B" w14:textId="77777777" w:rsidR="00837F7B" w:rsidRPr="007B29FB" w:rsidRDefault="00837F7B" w:rsidP="00837F7B">
      <w:pPr>
        <w:jc w:val="both"/>
        <w:rPr>
          <w:rFonts w:cstheme="minorHAnsi"/>
          <w:szCs w:val="22"/>
          <w:lang w:val="en-GB"/>
        </w:rPr>
      </w:pPr>
      <w:bookmarkStart w:id="110" w:name="lt_pId238"/>
      <w:r w:rsidRPr="007B29FB">
        <w:rPr>
          <w:rFonts w:cstheme="minorHAnsi"/>
          <w:szCs w:val="22"/>
          <w:lang w:val="en-GB"/>
        </w:rPr>
        <w:t>The working language is English.</w:t>
      </w:r>
      <w:bookmarkEnd w:id="110"/>
    </w:p>
    <w:p w14:paraId="4D4360ED" w14:textId="77777777" w:rsidR="00837F7B" w:rsidRPr="007B29FB" w:rsidRDefault="00837F7B" w:rsidP="00837F7B">
      <w:pPr>
        <w:rPr>
          <w:rFonts w:cstheme="minorHAnsi"/>
          <w:b/>
          <w:bCs/>
          <w:szCs w:val="22"/>
          <w:lang w:val="en-GB"/>
        </w:rPr>
      </w:pPr>
      <w:r w:rsidRPr="007B29FB">
        <w:rPr>
          <w:rFonts w:cstheme="minorHAnsi"/>
          <w:b/>
          <w:bCs/>
          <w:szCs w:val="22"/>
          <w:lang w:val="en-GB"/>
        </w:rPr>
        <w:t>14.</w:t>
      </w:r>
      <w:r w:rsidRPr="007B29FB">
        <w:rPr>
          <w:rFonts w:cstheme="minorHAnsi"/>
          <w:b/>
          <w:bCs/>
          <w:szCs w:val="22"/>
          <w:lang w:val="en-GB"/>
        </w:rPr>
        <w:tab/>
      </w:r>
      <w:bookmarkStart w:id="111" w:name="lt_pId240"/>
      <w:r w:rsidRPr="007B29FB">
        <w:rPr>
          <w:rFonts w:cstheme="minorHAnsi"/>
          <w:b/>
          <w:bCs/>
          <w:szCs w:val="22"/>
          <w:lang w:val="en-GB"/>
        </w:rPr>
        <w:t>Approval of deliverables</w:t>
      </w:r>
      <w:bookmarkEnd w:id="111"/>
    </w:p>
    <w:p w14:paraId="2CEA41AF" w14:textId="77777777" w:rsidR="00837F7B" w:rsidRPr="007B29FB" w:rsidRDefault="00837F7B" w:rsidP="00837F7B">
      <w:pPr>
        <w:jc w:val="both"/>
        <w:rPr>
          <w:rFonts w:cstheme="minorHAnsi"/>
          <w:szCs w:val="22"/>
          <w:lang w:val="en-GB"/>
        </w:rPr>
      </w:pPr>
      <w:bookmarkStart w:id="112" w:name="lt_pId241"/>
      <w:r w:rsidRPr="007B29FB">
        <w:rPr>
          <w:rFonts w:cstheme="minorHAnsi"/>
          <w:szCs w:val="22"/>
          <w:lang w:val="en-GB"/>
        </w:rPr>
        <w:t>Approval of deliverables shall be taken by consensus.</w:t>
      </w:r>
      <w:bookmarkEnd w:id="112"/>
    </w:p>
    <w:p w14:paraId="31E6AB65" w14:textId="77777777" w:rsidR="00837F7B" w:rsidRPr="007B29FB" w:rsidRDefault="00837F7B" w:rsidP="00837F7B">
      <w:pPr>
        <w:rPr>
          <w:rFonts w:cstheme="minorHAnsi"/>
          <w:b/>
          <w:bCs/>
          <w:szCs w:val="22"/>
          <w:lang w:val="en-GB"/>
        </w:rPr>
      </w:pPr>
      <w:r w:rsidRPr="007B29FB">
        <w:rPr>
          <w:rFonts w:cstheme="minorHAnsi"/>
          <w:b/>
          <w:bCs/>
          <w:szCs w:val="22"/>
          <w:lang w:val="en-GB"/>
        </w:rPr>
        <w:t>15.</w:t>
      </w:r>
      <w:r w:rsidRPr="007B29FB">
        <w:rPr>
          <w:rFonts w:cstheme="minorHAnsi"/>
          <w:b/>
          <w:bCs/>
          <w:szCs w:val="22"/>
          <w:lang w:val="en-GB"/>
        </w:rPr>
        <w:tab/>
      </w:r>
      <w:bookmarkStart w:id="113" w:name="lt_pId243"/>
      <w:r w:rsidRPr="007B29FB">
        <w:rPr>
          <w:rFonts w:cstheme="minorHAnsi"/>
          <w:b/>
          <w:bCs/>
          <w:szCs w:val="22"/>
          <w:lang w:val="en-GB"/>
        </w:rPr>
        <w:t>Working guidelines</w:t>
      </w:r>
      <w:bookmarkEnd w:id="113"/>
    </w:p>
    <w:p w14:paraId="794A0CD7" w14:textId="77777777" w:rsidR="00837F7B" w:rsidRPr="007B29FB" w:rsidRDefault="00837F7B" w:rsidP="00837F7B">
      <w:pPr>
        <w:jc w:val="both"/>
        <w:rPr>
          <w:rFonts w:cstheme="minorHAnsi"/>
          <w:szCs w:val="22"/>
          <w:lang w:val="en-GB"/>
        </w:rPr>
      </w:pPr>
      <w:bookmarkStart w:id="114" w:name="lt_pId244"/>
      <w:r w:rsidRPr="007B29FB">
        <w:rPr>
          <w:rFonts w:cstheme="minorHAnsi"/>
          <w:szCs w:val="22"/>
          <w:lang w:val="en-GB"/>
        </w:rPr>
        <w:t>Working procedures shall follow the procedures of Rapporteur group meetings.</w:t>
      </w:r>
      <w:bookmarkEnd w:id="114"/>
    </w:p>
    <w:p w14:paraId="28DB9B6D" w14:textId="77777777" w:rsidR="00837F7B" w:rsidRPr="007B29FB" w:rsidRDefault="00837F7B" w:rsidP="00837F7B">
      <w:pPr>
        <w:jc w:val="both"/>
        <w:rPr>
          <w:rFonts w:cstheme="minorHAnsi"/>
          <w:szCs w:val="22"/>
          <w:lang w:val="en-GB"/>
        </w:rPr>
      </w:pPr>
      <w:bookmarkStart w:id="115" w:name="lt_pId245"/>
      <w:r w:rsidRPr="007B29FB">
        <w:rPr>
          <w:rFonts w:cstheme="minorHAnsi"/>
          <w:szCs w:val="22"/>
          <w:lang w:val="en-GB"/>
        </w:rPr>
        <w:t>FG-TBFxG will exchange draft deliverables and other outcomes on a regular basis with its parent group, to ensure efficient transfer of deliverables to streamline future activities (see ITU-T A.7 Appendix I).</w:t>
      </w:r>
      <w:bookmarkEnd w:id="115"/>
    </w:p>
    <w:p w14:paraId="0BE6803D" w14:textId="77777777" w:rsidR="00837F7B" w:rsidRPr="007B29FB" w:rsidRDefault="00837F7B" w:rsidP="00837F7B">
      <w:pPr>
        <w:jc w:val="both"/>
        <w:rPr>
          <w:rFonts w:cstheme="minorHAnsi"/>
          <w:szCs w:val="22"/>
          <w:lang w:val="en-GB"/>
        </w:rPr>
      </w:pPr>
      <w:bookmarkStart w:id="116" w:name="lt_pId246"/>
      <w:r w:rsidRPr="007B29FB">
        <w:rPr>
          <w:rFonts w:cstheme="minorHAnsi"/>
          <w:szCs w:val="22"/>
          <w:lang w:val="en-GB"/>
        </w:rPr>
        <w:t>No additional working guidelines are defined.</w:t>
      </w:r>
      <w:bookmarkEnd w:id="116"/>
    </w:p>
    <w:p w14:paraId="24D25D42" w14:textId="77777777" w:rsidR="00837F7B" w:rsidRPr="007B29FB" w:rsidRDefault="00837F7B" w:rsidP="00837F7B">
      <w:pPr>
        <w:rPr>
          <w:rFonts w:cstheme="minorHAnsi"/>
          <w:b/>
          <w:bCs/>
          <w:szCs w:val="22"/>
          <w:lang w:val="en-GB"/>
        </w:rPr>
      </w:pPr>
      <w:r w:rsidRPr="007B29FB">
        <w:rPr>
          <w:rFonts w:cstheme="minorHAnsi"/>
          <w:b/>
          <w:bCs/>
          <w:szCs w:val="22"/>
          <w:lang w:val="en-GB"/>
        </w:rPr>
        <w:t>16.</w:t>
      </w:r>
      <w:r w:rsidRPr="007B29FB">
        <w:rPr>
          <w:rFonts w:cstheme="minorHAnsi"/>
          <w:b/>
          <w:bCs/>
          <w:szCs w:val="22"/>
          <w:lang w:val="en-GB"/>
        </w:rPr>
        <w:tab/>
      </w:r>
      <w:bookmarkStart w:id="117" w:name="lt_pId248"/>
      <w:r w:rsidRPr="007B29FB">
        <w:rPr>
          <w:rFonts w:cstheme="minorHAnsi"/>
          <w:b/>
          <w:bCs/>
          <w:szCs w:val="22"/>
          <w:lang w:val="en-GB"/>
        </w:rPr>
        <w:t>Progress reports</w:t>
      </w:r>
      <w:bookmarkEnd w:id="117"/>
    </w:p>
    <w:p w14:paraId="35507030" w14:textId="77777777" w:rsidR="00837F7B" w:rsidRPr="007B29FB" w:rsidRDefault="00837F7B" w:rsidP="00837F7B">
      <w:pPr>
        <w:jc w:val="both"/>
        <w:rPr>
          <w:rFonts w:cstheme="minorHAnsi"/>
          <w:szCs w:val="22"/>
          <w:lang w:val="en-GB"/>
        </w:rPr>
      </w:pPr>
      <w:bookmarkStart w:id="118" w:name="lt_pId249"/>
      <w:r w:rsidRPr="007B29FB">
        <w:rPr>
          <w:rFonts w:cstheme="minorHAnsi"/>
          <w:szCs w:val="22"/>
          <w:lang w:val="en-GB"/>
        </w:rPr>
        <w:t>Regular progress reports will be provided at each meeting of the parent group, as per the guidance in clause 11 of Recommendation ITU-T A.7.</w:t>
      </w:r>
      <w:bookmarkEnd w:id="118"/>
    </w:p>
    <w:p w14:paraId="69ECB8A7" w14:textId="77777777" w:rsidR="00837F7B" w:rsidRPr="007B29FB" w:rsidRDefault="00837F7B" w:rsidP="00837F7B">
      <w:pPr>
        <w:rPr>
          <w:rFonts w:cstheme="minorHAnsi"/>
          <w:b/>
          <w:bCs/>
          <w:szCs w:val="22"/>
          <w:lang w:val="en-GB"/>
        </w:rPr>
      </w:pPr>
      <w:r w:rsidRPr="007B29FB">
        <w:rPr>
          <w:rFonts w:cstheme="minorHAnsi"/>
          <w:b/>
          <w:bCs/>
          <w:szCs w:val="22"/>
          <w:lang w:val="en-GB"/>
        </w:rPr>
        <w:t>17.</w:t>
      </w:r>
      <w:r w:rsidRPr="007B29FB">
        <w:rPr>
          <w:rFonts w:cstheme="minorHAnsi"/>
          <w:b/>
          <w:bCs/>
          <w:szCs w:val="22"/>
          <w:lang w:val="en-GB"/>
        </w:rPr>
        <w:tab/>
      </w:r>
      <w:bookmarkStart w:id="119" w:name="lt_pId251"/>
      <w:r w:rsidRPr="007B29FB">
        <w:rPr>
          <w:rFonts w:cstheme="minorHAnsi"/>
          <w:b/>
          <w:bCs/>
          <w:szCs w:val="22"/>
          <w:lang w:val="en-GB"/>
        </w:rPr>
        <w:t>Announcement of Focus Group formation</w:t>
      </w:r>
      <w:bookmarkEnd w:id="119"/>
    </w:p>
    <w:p w14:paraId="3974C8FE" w14:textId="77777777" w:rsidR="00837F7B" w:rsidRPr="007B29FB" w:rsidRDefault="00837F7B" w:rsidP="00837F7B">
      <w:pPr>
        <w:jc w:val="both"/>
        <w:rPr>
          <w:rFonts w:cstheme="minorHAnsi"/>
          <w:szCs w:val="22"/>
          <w:lang w:val="en-GB"/>
        </w:rPr>
      </w:pPr>
      <w:bookmarkStart w:id="120" w:name="lt_pId252"/>
      <w:r w:rsidRPr="007B29FB">
        <w:rPr>
          <w:rFonts w:cstheme="minorHAnsi"/>
          <w:szCs w:val="22"/>
          <w:lang w:val="en-GB"/>
        </w:rPr>
        <w:t>The creation of the FG-TBFxG will be announced via TSB Circular to all ITU membership.</w:t>
      </w:r>
      <w:bookmarkEnd w:id="120"/>
      <w:r w:rsidRPr="007B29FB">
        <w:rPr>
          <w:rFonts w:cstheme="minorHAnsi"/>
          <w:szCs w:val="22"/>
          <w:lang w:val="en-GB"/>
        </w:rPr>
        <w:t xml:space="preserve"> </w:t>
      </w:r>
      <w:bookmarkStart w:id="121" w:name="lt_pId253"/>
      <w:r w:rsidRPr="007B29FB">
        <w:rPr>
          <w:rFonts w:cstheme="minorHAnsi"/>
          <w:szCs w:val="22"/>
          <w:lang w:val="en-GB"/>
        </w:rPr>
        <w:t>ITU-T Newslog, press releases and other means, including communication with other involved organizations could be utilized.</w:t>
      </w:r>
      <w:bookmarkEnd w:id="121"/>
    </w:p>
    <w:p w14:paraId="504F8872" w14:textId="77777777" w:rsidR="00837F7B" w:rsidRPr="007B29FB" w:rsidRDefault="00837F7B" w:rsidP="00837F7B">
      <w:pPr>
        <w:rPr>
          <w:rFonts w:cstheme="minorHAnsi"/>
          <w:b/>
          <w:bCs/>
          <w:szCs w:val="22"/>
          <w:lang w:val="en-GB"/>
        </w:rPr>
      </w:pPr>
      <w:r w:rsidRPr="007B29FB">
        <w:rPr>
          <w:rFonts w:cstheme="minorHAnsi"/>
          <w:b/>
          <w:bCs/>
          <w:szCs w:val="22"/>
          <w:lang w:val="en-GB"/>
        </w:rPr>
        <w:t>18.</w:t>
      </w:r>
      <w:r w:rsidRPr="007B29FB">
        <w:rPr>
          <w:rFonts w:cstheme="minorHAnsi"/>
          <w:b/>
          <w:bCs/>
          <w:szCs w:val="22"/>
          <w:lang w:val="en-GB"/>
        </w:rPr>
        <w:tab/>
      </w:r>
      <w:bookmarkStart w:id="122" w:name="lt_pId255"/>
      <w:r w:rsidRPr="007B29FB">
        <w:rPr>
          <w:rFonts w:cstheme="minorHAnsi"/>
          <w:b/>
          <w:bCs/>
          <w:szCs w:val="22"/>
          <w:lang w:val="en-GB"/>
        </w:rPr>
        <w:t>Milestones and duration of the Focus Group</w:t>
      </w:r>
      <w:bookmarkEnd w:id="122"/>
    </w:p>
    <w:p w14:paraId="163264E5" w14:textId="77777777" w:rsidR="00837F7B" w:rsidRPr="007B29FB" w:rsidRDefault="00837F7B" w:rsidP="00837F7B">
      <w:pPr>
        <w:jc w:val="both"/>
        <w:rPr>
          <w:rFonts w:cstheme="minorHAnsi"/>
          <w:szCs w:val="22"/>
          <w:lang w:val="en-GB"/>
        </w:rPr>
      </w:pPr>
      <w:bookmarkStart w:id="123" w:name="lt_pId256"/>
      <w:r w:rsidRPr="007B29FB">
        <w:rPr>
          <w:rFonts w:cstheme="minorHAnsi"/>
          <w:szCs w:val="22"/>
          <w:lang w:val="en-GB"/>
        </w:rPr>
        <w:t>The Focus Group lifetime is set for one year from the first meeting (see ITU-T A.7, clause 2.2), with the possibility for a further year subject to the agreement of the parent study group.</w:t>
      </w:r>
      <w:bookmarkEnd w:id="123"/>
    </w:p>
    <w:p w14:paraId="265552C0" w14:textId="77777777" w:rsidR="00837F7B" w:rsidRPr="007B29FB" w:rsidRDefault="00837F7B" w:rsidP="00837F7B">
      <w:pPr>
        <w:jc w:val="both"/>
        <w:rPr>
          <w:rFonts w:cstheme="minorHAnsi"/>
          <w:b/>
          <w:bCs/>
          <w:szCs w:val="22"/>
          <w:lang w:val="en-GB"/>
        </w:rPr>
      </w:pPr>
      <w:r w:rsidRPr="007B29FB">
        <w:rPr>
          <w:rFonts w:cstheme="minorHAnsi"/>
          <w:b/>
          <w:bCs/>
          <w:szCs w:val="22"/>
          <w:lang w:val="en-GB"/>
        </w:rPr>
        <w:t>19.</w:t>
      </w:r>
      <w:r w:rsidRPr="007B29FB">
        <w:rPr>
          <w:rFonts w:cstheme="minorHAnsi"/>
          <w:b/>
          <w:bCs/>
          <w:szCs w:val="22"/>
          <w:lang w:val="en-GB"/>
        </w:rPr>
        <w:tab/>
      </w:r>
      <w:bookmarkStart w:id="124" w:name="lt_pId258"/>
      <w:r w:rsidRPr="007B29FB">
        <w:rPr>
          <w:rFonts w:cstheme="minorHAnsi"/>
          <w:b/>
          <w:bCs/>
          <w:szCs w:val="22"/>
          <w:lang w:val="en-GB"/>
        </w:rPr>
        <w:t>Patent policy</w:t>
      </w:r>
      <w:bookmarkEnd w:id="124"/>
    </w:p>
    <w:p w14:paraId="32545403" w14:textId="77777777" w:rsidR="00837F7B" w:rsidRPr="007B29FB" w:rsidRDefault="00837F7B" w:rsidP="00837F7B">
      <w:pPr>
        <w:jc w:val="both"/>
        <w:rPr>
          <w:rFonts w:cstheme="minorHAnsi"/>
          <w:szCs w:val="22"/>
          <w:lang w:val="ru-RU"/>
        </w:rPr>
      </w:pPr>
      <w:bookmarkStart w:id="125" w:name="lt_pId259"/>
      <w:r w:rsidRPr="007B29FB">
        <w:rPr>
          <w:rFonts w:cstheme="minorHAnsi"/>
          <w:szCs w:val="22"/>
          <w:lang w:val="en-GB"/>
        </w:rPr>
        <w:t>See clause 9 of Recommendation ITU-T A.7.</w:t>
      </w:r>
      <w:bookmarkEnd w:id="125"/>
    </w:p>
    <w:p w14:paraId="422808BC" w14:textId="77777777" w:rsidR="00837F7B" w:rsidRPr="007B29FB" w:rsidRDefault="00837F7B" w:rsidP="00F24498">
      <w:pPr>
        <w:spacing w:before="720"/>
        <w:jc w:val="center"/>
        <w:rPr>
          <w:lang w:val="ru-RU"/>
        </w:rPr>
      </w:pPr>
      <w:r w:rsidRPr="007B29FB">
        <w:rPr>
          <w:lang w:val="ru-RU"/>
        </w:rPr>
        <w:t>______________</w:t>
      </w:r>
    </w:p>
    <w:sectPr w:rsidR="00837F7B" w:rsidRPr="007B29FB" w:rsidSect="007D1544">
      <w:headerReference w:type="default" r:id="rId26"/>
      <w:footerReference w:type="first" r:id="rId2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B0C4" w14:textId="77777777" w:rsidR="00325E68" w:rsidRDefault="00325E68">
      <w:r>
        <w:separator/>
      </w:r>
    </w:p>
  </w:endnote>
  <w:endnote w:type="continuationSeparator" w:id="0">
    <w:p w14:paraId="6894C44C" w14:textId="77777777" w:rsidR="00325E68" w:rsidRDefault="0032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3AB3" w14:textId="77777777" w:rsidR="00325E68" w:rsidRPr="004A3E1B" w:rsidRDefault="00325E68" w:rsidP="005A1FE2">
    <w:pPr>
      <w:pStyle w:val="FirstFooter"/>
      <w:spacing w:before="0" w:line="240" w:lineRule="auto"/>
      <w:ind w:left="-397" w:right="-397"/>
      <w:jc w:val="center"/>
      <w:rPr>
        <w:color w:val="0070C0"/>
        <w:sz w:val="18"/>
        <w:szCs w:val="18"/>
        <w:u w:val="single"/>
        <w:lang w:val="fr-CH"/>
      </w:rPr>
    </w:pPr>
    <w:r w:rsidRPr="004A3E1B">
      <w:rPr>
        <w:color w:val="0070C0"/>
        <w:sz w:val="18"/>
        <w:szCs w:val="18"/>
        <w:lang w:val="fr-CH"/>
      </w:rPr>
      <w:t>International Telecommunication Union • Place des Nations, CH</w:t>
    </w:r>
    <w:r w:rsidRPr="004A3E1B">
      <w:rPr>
        <w:color w:val="0070C0"/>
        <w:sz w:val="18"/>
        <w:szCs w:val="18"/>
        <w:lang w:val="fr-CH"/>
      </w:rPr>
      <w:noBreakHyphen/>
      <w:t xml:space="preserve">1211 Geneva 20 • Switzerland </w:t>
    </w:r>
    <w:r w:rsidRPr="004A3E1B">
      <w:rPr>
        <w:color w:val="0070C0"/>
        <w:sz w:val="18"/>
        <w:szCs w:val="18"/>
        <w:lang w:val="fr-CH"/>
      </w:rPr>
      <w:br/>
    </w:r>
    <w:r w:rsidRPr="004A3E1B">
      <w:rPr>
        <w:color w:val="0070C0"/>
        <w:sz w:val="18"/>
        <w:szCs w:val="18"/>
        <w:lang w:val="ru-RU"/>
      </w:rPr>
      <w:t>Тел</w:t>
    </w:r>
    <w:r w:rsidRPr="00966181">
      <w:rPr>
        <w:color w:val="0070C0"/>
        <w:sz w:val="18"/>
        <w:szCs w:val="18"/>
      </w:rPr>
      <w:t>.</w:t>
    </w:r>
    <w:r w:rsidRPr="004A3E1B">
      <w:rPr>
        <w:color w:val="0070C0"/>
        <w:sz w:val="18"/>
        <w:szCs w:val="18"/>
        <w:lang w:val="fr-CH"/>
      </w:rPr>
      <w:t xml:space="preserve">: +41 22 730 5111 • </w:t>
    </w:r>
    <w:r w:rsidRPr="004A3E1B">
      <w:rPr>
        <w:color w:val="0070C0"/>
        <w:sz w:val="18"/>
        <w:szCs w:val="18"/>
        <w:lang w:val="ru-RU"/>
      </w:rPr>
      <w:t>Факс</w:t>
    </w:r>
    <w:r w:rsidRPr="004A3E1B">
      <w:rPr>
        <w:color w:val="0070C0"/>
        <w:sz w:val="18"/>
        <w:szCs w:val="18"/>
        <w:lang w:val="fr-CH"/>
      </w:rPr>
      <w:t>: +41 22 733 7256</w:t>
    </w:r>
    <w:r w:rsidRPr="00966181">
      <w:rPr>
        <w:color w:val="0070C0"/>
        <w:sz w:val="18"/>
        <w:szCs w:val="18"/>
      </w:rPr>
      <w:t xml:space="preserve"> </w:t>
    </w:r>
    <w:r w:rsidRPr="004A3E1B">
      <w:rPr>
        <w:color w:val="0070C0"/>
        <w:sz w:val="18"/>
        <w:szCs w:val="18"/>
        <w:lang w:val="fr-CH"/>
      </w:rPr>
      <w:t xml:space="preserve">• </w:t>
    </w:r>
    <w:r w:rsidRPr="004A3E1B">
      <w:rPr>
        <w:color w:val="0070C0"/>
        <w:sz w:val="18"/>
        <w:szCs w:val="18"/>
        <w:lang w:val="ru-RU"/>
      </w:rPr>
      <w:t>Эл</w:t>
    </w:r>
    <w:r w:rsidRPr="00966181">
      <w:rPr>
        <w:color w:val="0070C0"/>
        <w:sz w:val="18"/>
        <w:szCs w:val="18"/>
      </w:rPr>
      <w:t xml:space="preserve">. </w:t>
    </w:r>
    <w:r w:rsidRPr="004A3E1B">
      <w:rPr>
        <w:color w:val="0070C0"/>
        <w:sz w:val="18"/>
        <w:szCs w:val="18"/>
        <w:lang w:val="ru-RU"/>
      </w:rPr>
      <w:t>почта</w:t>
    </w:r>
    <w:r w:rsidRPr="004A3E1B">
      <w:rPr>
        <w:color w:val="0070C0"/>
        <w:sz w:val="18"/>
        <w:szCs w:val="18"/>
        <w:lang w:val="fr-CH"/>
      </w:rPr>
      <w:t xml:space="preserve">: </w:t>
    </w:r>
    <w:hyperlink r:id="rId1" w:history="1">
      <w:r w:rsidRPr="004A3E1B">
        <w:rPr>
          <w:rStyle w:val="Hyperlink"/>
          <w:color w:val="0070C0"/>
          <w:sz w:val="18"/>
          <w:szCs w:val="18"/>
        </w:rPr>
        <w:t>itumail@itu.int</w:t>
      </w:r>
    </w:hyperlink>
    <w:r w:rsidRPr="004A3E1B">
      <w:rPr>
        <w:color w:val="0070C0"/>
        <w:sz w:val="18"/>
        <w:szCs w:val="18"/>
        <w:lang w:val="fr-CH"/>
      </w:rPr>
      <w:t xml:space="preserve"> • </w:t>
    </w:r>
    <w:hyperlink r:id="rId2" w:history="1">
      <w:r w:rsidRPr="004A3E1B">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064C" w14:textId="77777777" w:rsidR="00325E68" w:rsidRDefault="00325E68">
      <w:r>
        <w:separator/>
      </w:r>
    </w:p>
  </w:footnote>
  <w:footnote w:type="continuationSeparator" w:id="0">
    <w:p w14:paraId="6409331A" w14:textId="77777777" w:rsidR="00325E68" w:rsidRDefault="00325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6687" w14:textId="4662B06E" w:rsidR="00325E68" w:rsidRPr="00604026" w:rsidRDefault="00325E68" w:rsidP="00B33C5B">
    <w:pPr>
      <w:pStyle w:val="Header"/>
      <w:rPr>
        <w:lang w:val="ru-RU"/>
      </w:rP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r>
      <w:rPr>
        <w:noProof/>
      </w:rPr>
      <w:br/>
    </w:r>
    <w:r>
      <w:rPr>
        <w:lang w:val="ru-RU"/>
      </w:rPr>
      <w:t>Цирк</w:t>
    </w:r>
    <w:r w:rsidRPr="00AF6FE0">
      <w:rPr>
        <w:lang w:val="ru-RU"/>
      </w:rPr>
      <w:t xml:space="preserve">уляр </w:t>
    </w:r>
    <w:r>
      <w:t>3</w:t>
    </w:r>
    <w:r>
      <w:rPr>
        <w:lang w:val="ru-RU"/>
      </w:rPr>
      <w:t>67</w:t>
    </w:r>
    <w:r w:rsidRPr="00AF6FE0">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6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AEC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AA4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6A6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C60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A3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24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6A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EA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A24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E11D28"/>
    <w:multiLevelType w:val="hybridMultilevel"/>
    <w:tmpl w:val="642A23D4"/>
    <w:lvl w:ilvl="0" w:tplc="98EE5856">
      <w:start w:val="1"/>
      <w:numFmt w:val="decimal"/>
      <w:lvlText w:val="%1."/>
      <w:lvlJc w:val="left"/>
      <w:pPr>
        <w:ind w:left="732" w:hanging="372"/>
      </w:pPr>
      <w:rPr>
        <w:rFonts w:hint="default"/>
      </w:rPr>
    </w:lvl>
    <w:lvl w:ilvl="1" w:tplc="543C12AE" w:tentative="1">
      <w:start w:val="1"/>
      <w:numFmt w:val="lowerLetter"/>
      <w:lvlText w:val="%2."/>
      <w:lvlJc w:val="left"/>
      <w:pPr>
        <w:ind w:left="1440" w:hanging="360"/>
      </w:pPr>
    </w:lvl>
    <w:lvl w:ilvl="2" w:tplc="DAE2B96C" w:tentative="1">
      <w:start w:val="1"/>
      <w:numFmt w:val="lowerRoman"/>
      <w:lvlText w:val="%3."/>
      <w:lvlJc w:val="right"/>
      <w:pPr>
        <w:ind w:left="2160" w:hanging="180"/>
      </w:pPr>
    </w:lvl>
    <w:lvl w:ilvl="3" w:tplc="D6481746" w:tentative="1">
      <w:start w:val="1"/>
      <w:numFmt w:val="decimal"/>
      <w:lvlText w:val="%4."/>
      <w:lvlJc w:val="left"/>
      <w:pPr>
        <w:ind w:left="2880" w:hanging="360"/>
      </w:pPr>
    </w:lvl>
    <w:lvl w:ilvl="4" w:tplc="5EF40E64" w:tentative="1">
      <w:start w:val="1"/>
      <w:numFmt w:val="lowerLetter"/>
      <w:lvlText w:val="%5."/>
      <w:lvlJc w:val="left"/>
      <w:pPr>
        <w:ind w:left="3600" w:hanging="360"/>
      </w:pPr>
    </w:lvl>
    <w:lvl w:ilvl="5" w:tplc="92149CE6" w:tentative="1">
      <w:start w:val="1"/>
      <w:numFmt w:val="lowerRoman"/>
      <w:lvlText w:val="%6."/>
      <w:lvlJc w:val="right"/>
      <w:pPr>
        <w:ind w:left="4320" w:hanging="180"/>
      </w:pPr>
    </w:lvl>
    <w:lvl w:ilvl="6" w:tplc="97181C1C" w:tentative="1">
      <w:start w:val="1"/>
      <w:numFmt w:val="decimal"/>
      <w:lvlText w:val="%7."/>
      <w:lvlJc w:val="left"/>
      <w:pPr>
        <w:ind w:left="5040" w:hanging="360"/>
      </w:pPr>
    </w:lvl>
    <w:lvl w:ilvl="7" w:tplc="D2C43EEE" w:tentative="1">
      <w:start w:val="1"/>
      <w:numFmt w:val="lowerLetter"/>
      <w:lvlText w:val="%8."/>
      <w:lvlJc w:val="left"/>
      <w:pPr>
        <w:ind w:left="5760" w:hanging="360"/>
      </w:pPr>
    </w:lvl>
    <w:lvl w:ilvl="8" w:tplc="B15EEF58" w:tentative="1">
      <w:start w:val="1"/>
      <w:numFmt w:val="lowerRoman"/>
      <w:lvlText w:val="%9."/>
      <w:lvlJc w:val="right"/>
      <w:pPr>
        <w:ind w:left="6480" w:hanging="180"/>
      </w:pPr>
    </w:lvl>
  </w:abstractNum>
  <w:abstractNum w:abstractNumId="14" w15:restartNumberingAfterBreak="0">
    <w:nsid w:val="0BE513A6"/>
    <w:multiLevelType w:val="hybridMultilevel"/>
    <w:tmpl w:val="0D98E864"/>
    <w:lvl w:ilvl="0" w:tplc="A552DA66">
      <w:start w:val="1"/>
      <w:numFmt w:val="bullet"/>
      <w:lvlText w:val=""/>
      <w:lvlJc w:val="left"/>
      <w:pPr>
        <w:ind w:left="720" w:hanging="360"/>
      </w:pPr>
      <w:rPr>
        <w:rFonts w:ascii="Symbol" w:hAnsi="Symbol" w:hint="default"/>
      </w:rPr>
    </w:lvl>
    <w:lvl w:ilvl="1" w:tplc="FDBE23FE">
      <w:start w:val="1"/>
      <w:numFmt w:val="bullet"/>
      <w:lvlText w:val="o"/>
      <w:lvlJc w:val="left"/>
      <w:pPr>
        <w:ind w:left="1440" w:hanging="360"/>
      </w:pPr>
      <w:rPr>
        <w:rFonts w:ascii="Courier New" w:hAnsi="Courier New" w:cs="Courier New" w:hint="default"/>
      </w:rPr>
    </w:lvl>
    <w:lvl w:ilvl="2" w:tplc="3000F14A" w:tentative="1">
      <w:start w:val="1"/>
      <w:numFmt w:val="bullet"/>
      <w:lvlText w:val=""/>
      <w:lvlJc w:val="left"/>
      <w:pPr>
        <w:ind w:left="2160" w:hanging="360"/>
      </w:pPr>
      <w:rPr>
        <w:rFonts w:ascii="Wingdings" w:hAnsi="Wingdings" w:hint="default"/>
      </w:rPr>
    </w:lvl>
    <w:lvl w:ilvl="3" w:tplc="2488FE80" w:tentative="1">
      <w:start w:val="1"/>
      <w:numFmt w:val="bullet"/>
      <w:lvlText w:val=""/>
      <w:lvlJc w:val="left"/>
      <w:pPr>
        <w:ind w:left="2880" w:hanging="360"/>
      </w:pPr>
      <w:rPr>
        <w:rFonts w:ascii="Symbol" w:hAnsi="Symbol" w:hint="default"/>
      </w:rPr>
    </w:lvl>
    <w:lvl w:ilvl="4" w:tplc="216C8438" w:tentative="1">
      <w:start w:val="1"/>
      <w:numFmt w:val="bullet"/>
      <w:lvlText w:val="o"/>
      <w:lvlJc w:val="left"/>
      <w:pPr>
        <w:ind w:left="3600" w:hanging="360"/>
      </w:pPr>
      <w:rPr>
        <w:rFonts w:ascii="Courier New" w:hAnsi="Courier New" w:cs="Courier New" w:hint="default"/>
      </w:rPr>
    </w:lvl>
    <w:lvl w:ilvl="5" w:tplc="B99E8B90" w:tentative="1">
      <w:start w:val="1"/>
      <w:numFmt w:val="bullet"/>
      <w:lvlText w:val=""/>
      <w:lvlJc w:val="left"/>
      <w:pPr>
        <w:ind w:left="4320" w:hanging="360"/>
      </w:pPr>
      <w:rPr>
        <w:rFonts w:ascii="Wingdings" w:hAnsi="Wingdings" w:hint="default"/>
      </w:rPr>
    </w:lvl>
    <w:lvl w:ilvl="6" w:tplc="AD16B434" w:tentative="1">
      <w:start w:val="1"/>
      <w:numFmt w:val="bullet"/>
      <w:lvlText w:val=""/>
      <w:lvlJc w:val="left"/>
      <w:pPr>
        <w:ind w:left="5040" w:hanging="360"/>
      </w:pPr>
      <w:rPr>
        <w:rFonts w:ascii="Symbol" w:hAnsi="Symbol" w:hint="default"/>
      </w:rPr>
    </w:lvl>
    <w:lvl w:ilvl="7" w:tplc="C3BC7528" w:tentative="1">
      <w:start w:val="1"/>
      <w:numFmt w:val="bullet"/>
      <w:lvlText w:val="o"/>
      <w:lvlJc w:val="left"/>
      <w:pPr>
        <w:ind w:left="5760" w:hanging="360"/>
      </w:pPr>
      <w:rPr>
        <w:rFonts w:ascii="Courier New" w:hAnsi="Courier New" w:cs="Courier New" w:hint="default"/>
      </w:rPr>
    </w:lvl>
    <w:lvl w:ilvl="8" w:tplc="EF08D052" w:tentative="1">
      <w:start w:val="1"/>
      <w:numFmt w:val="bullet"/>
      <w:lvlText w:val=""/>
      <w:lvlJc w:val="left"/>
      <w:pPr>
        <w:ind w:left="6480" w:hanging="360"/>
      </w:pPr>
      <w:rPr>
        <w:rFonts w:ascii="Wingdings" w:hAnsi="Wingdings" w:hint="default"/>
      </w:rPr>
    </w:lvl>
  </w:abstractNum>
  <w:abstractNum w:abstractNumId="15"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1B5878"/>
    <w:multiLevelType w:val="hybridMultilevel"/>
    <w:tmpl w:val="F7C83BD6"/>
    <w:lvl w:ilvl="0" w:tplc="94D64A04">
      <w:start w:val="1"/>
      <w:numFmt w:val="bullet"/>
      <w:lvlText w:val=""/>
      <w:lvlJc w:val="left"/>
      <w:pPr>
        <w:ind w:left="720" w:hanging="360"/>
      </w:pPr>
      <w:rPr>
        <w:rFonts w:ascii="Symbol" w:hAnsi="Symbol" w:hint="default"/>
      </w:rPr>
    </w:lvl>
    <w:lvl w:ilvl="1" w:tplc="F7623602">
      <w:start w:val="1"/>
      <w:numFmt w:val="bullet"/>
      <w:lvlText w:val="o"/>
      <w:lvlJc w:val="left"/>
      <w:pPr>
        <w:ind w:left="1440" w:hanging="360"/>
      </w:pPr>
      <w:rPr>
        <w:rFonts w:ascii="Courier New" w:hAnsi="Courier New" w:cs="Courier New" w:hint="default"/>
      </w:rPr>
    </w:lvl>
    <w:lvl w:ilvl="2" w:tplc="5ED0C8AE" w:tentative="1">
      <w:start w:val="1"/>
      <w:numFmt w:val="bullet"/>
      <w:lvlText w:val=""/>
      <w:lvlJc w:val="left"/>
      <w:pPr>
        <w:ind w:left="2160" w:hanging="360"/>
      </w:pPr>
      <w:rPr>
        <w:rFonts w:ascii="Wingdings" w:hAnsi="Wingdings" w:hint="default"/>
      </w:rPr>
    </w:lvl>
    <w:lvl w:ilvl="3" w:tplc="45F6528A" w:tentative="1">
      <w:start w:val="1"/>
      <w:numFmt w:val="bullet"/>
      <w:lvlText w:val=""/>
      <w:lvlJc w:val="left"/>
      <w:pPr>
        <w:ind w:left="2880" w:hanging="360"/>
      </w:pPr>
      <w:rPr>
        <w:rFonts w:ascii="Symbol" w:hAnsi="Symbol" w:hint="default"/>
      </w:rPr>
    </w:lvl>
    <w:lvl w:ilvl="4" w:tplc="07C6A8CE" w:tentative="1">
      <w:start w:val="1"/>
      <w:numFmt w:val="bullet"/>
      <w:lvlText w:val="o"/>
      <w:lvlJc w:val="left"/>
      <w:pPr>
        <w:ind w:left="3600" w:hanging="360"/>
      </w:pPr>
      <w:rPr>
        <w:rFonts w:ascii="Courier New" w:hAnsi="Courier New" w:cs="Courier New" w:hint="default"/>
      </w:rPr>
    </w:lvl>
    <w:lvl w:ilvl="5" w:tplc="741267BE" w:tentative="1">
      <w:start w:val="1"/>
      <w:numFmt w:val="bullet"/>
      <w:lvlText w:val=""/>
      <w:lvlJc w:val="left"/>
      <w:pPr>
        <w:ind w:left="4320" w:hanging="360"/>
      </w:pPr>
      <w:rPr>
        <w:rFonts w:ascii="Wingdings" w:hAnsi="Wingdings" w:hint="default"/>
      </w:rPr>
    </w:lvl>
    <w:lvl w:ilvl="6" w:tplc="568CD278" w:tentative="1">
      <w:start w:val="1"/>
      <w:numFmt w:val="bullet"/>
      <w:lvlText w:val=""/>
      <w:lvlJc w:val="left"/>
      <w:pPr>
        <w:ind w:left="5040" w:hanging="360"/>
      </w:pPr>
      <w:rPr>
        <w:rFonts w:ascii="Symbol" w:hAnsi="Symbol" w:hint="default"/>
      </w:rPr>
    </w:lvl>
    <w:lvl w:ilvl="7" w:tplc="F0CC730C" w:tentative="1">
      <w:start w:val="1"/>
      <w:numFmt w:val="bullet"/>
      <w:lvlText w:val="o"/>
      <w:lvlJc w:val="left"/>
      <w:pPr>
        <w:ind w:left="5760" w:hanging="360"/>
      </w:pPr>
      <w:rPr>
        <w:rFonts w:ascii="Courier New" w:hAnsi="Courier New" w:cs="Courier New" w:hint="default"/>
      </w:rPr>
    </w:lvl>
    <w:lvl w:ilvl="8" w:tplc="FBC41376" w:tentative="1">
      <w:start w:val="1"/>
      <w:numFmt w:val="bullet"/>
      <w:lvlText w:val=""/>
      <w:lvlJc w:val="left"/>
      <w:pPr>
        <w:ind w:left="6480" w:hanging="360"/>
      </w:pPr>
      <w:rPr>
        <w:rFonts w:ascii="Wingdings" w:hAnsi="Wingdings" w:hint="default"/>
      </w:rPr>
    </w:lvl>
  </w:abstractNum>
  <w:abstractNum w:abstractNumId="26"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8"/>
  </w:num>
  <w:num w:numId="3">
    <w:abstractNumId w:val="33"/>
  </w:num>
  <w:num w:numId="4">
    <w:abstractNumId w:val="15"/>
  </w:num>
  <w:num w:numId="5">
    <w:abstractNumId w:val="27"/>
  </w:num>
  <w:num w:numId="6">
    <w:abstractNumId w:val="12"/>
  </w:num>
  <w:num w:numId="7">
    <w:abstractNumId w:val="30"/>
  </w:num>
  <w:num w:numId="8">
    <w:abstractNumId w:val="22"/>
  </w:num>
  <w:num w:numId="9">
    <w:abstractNumId w:val="24"/>
  </w:num>
  <w:num w:numId="10">
    <w:abstractNumId w:val="17"/>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6"/>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29"/>
  </w:num>
  <w:num w:numId="30">
    <w:abstractNumId w:val="23"/>
  </w:num>
  <w:num w:numId="31">
    <w:abstractNumId w:val="11"/>
  </w:num>
  <w:num w:numId="32">
    <w:abstractNumId w:val="14"/>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4096"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E1"/>
    <w:rsid w:val="00000E8E"/>
    <w:rsid w:val="00002860"/>
    <w:rsid w:val="0000484D"/>
    <w:rsid w:val="0000792B"/>
    <w:rsid w:val="00011DBE"/>
    <w:rsid w:val="00015D39"/>
    <w:rsid w:val="00022027"/>
    <w:rsid w:val="00024565"/>
    <w:rsid w:val="0003235D"/>
    <w:rsid w:val="000345A8"/>
    <w:rsid w:val="000422D3"/>
    <w:rsid w:val="0004755D"/>
    <w:rsid w:val="00062E38"/>
    <w:rsid w:val="00064123"/>
    <w:rsid w:val="000708F5"/>
    <w:rsid w:val="000720FA"/>
    <w:rsid w:val="00082B7B"/>
    <w:rsid w:val="00095B50"/>
    <w:rsid w:val="00095EA0"/>
    <w:rsid w:val="000A0116"/>
    <w:rsid w:val="000C2147"/>
    <w:rsid w:val="000C2B57"/>
    <w:rsid w:val="000C4B98"/>
    <w:rsid w:val="000C5DC8"/>
    <w:rsid w:val="000C7D98"/>
    <w:rsid w:val="000E2BEE"/>
    <w:rsid w:val="000E4F60"/>
    <w:rsid w:val="001009A5"/>
    <w:rsid w:val="00103310"/>
    <w:rsid w:val="00105B48"/>
    <w:rsid w:val="00112CD6"/>
    <w:rsid w:val="00115B49"/>
    <w:rsid w:val="001176E3"/>
    <w:rsid w:val="0012655D"/>
    <w:rsid w:val="00126A55"/>
    <w:rsid w:val="00127679"/>
    <w:rsid w:val="00150755"/>
    <w:rsid w:val="001629DC"/>
    <w:rsid w:val="00180046"/>
    <w:rsid w:val="00183CC4"/>
    <w:rsid w:val="00184E6D"/>
    <w:rsid w:val="00185A56"/>
    <w:rsid w:val="0018654F"/>
    <w:rsid w:val="0019030B"/>
    <w:rsid w:val="0019742B"/>
    <w:rsid w:val="001A5454"/>
    <w:rsid w:val="001B4A74"/>
    <w:rsid w:val="001C7E50"/>
    <w:rsid w:val="001D261C"/>
    <w:rsid w:val="001D58BB"/>
    <w:rsid w:val="001F0165"/>
    <w:rsid w:val="001F1941"/>
    <w:rsid w:val="001F63B2"/>
    <w:rsid w:val="00205108"/>
    <w:rsid w:val="00207341"/>
    <w:rsid w:val="00216D3E"/>
    <w:rsid w:val="0022492E"/>
    <w:rsid w:val="00242803"/>
    <w:rsid w:val="0025232B"/>
    <w:rsid w:val="00253743"/>
    <w:rsid w:val="00255F01"/>
    <w:rsid w:val="0025701E"/>
    <w:rsid w:val="0026232A"/>
    <w:rsid w:val="0027057D"/>
    <w:rsid w:val="002736E9"/>
    <w:rsid w:val="002747CC"/>
    <w:rsid w:val="002773B1"/>
    <w:rsid w:val="00297434"/>
    <w:rsid w:val="002A101D"/>
    <w:rsid w:val="002A5983"/>
    <w:rsid w:val="002A5E04"/>
    <w:rsid w:val="002B37F9"/>
    <w:rsid w:val="002B4A2E"/>
    <w:rsid w:val="002C16A1"/>
    <w:rsid w:val="002C339C"/>
    <w:rsid w:val="002C552E"/>
    <w:rsid w:val="002D06B7"/>
    <w:rsid w:val="002D26FD"/>
    <w:rsid w:val="002D5BBC"/>
    <w:rsid w:val="002E1224"/>
    <w:rsid w:val="002E3F87"/>
    <w:rsid w:val="002E4C41"/>
    <w:rsid w:val="002F5BBE"/>
    <w:rsid w:val="0030521B"/>
    <w:rsid w:val="0030770D"/>
    <w:rsid w:val="003112FE"/>
    <w:rsid w:val="003113A8"/>
    <w:rsid w:val="00314B2D"/>
    <w:rsid w:val="00321F06"/>
    <w:rsid w:val="00323296"/>
    <w:rsid w:val="00323423"/>
    <w:rsid w:val="00325E68"/>
    <w:rsid w:val="0033434F"/>
    <w:rsid w:val="00337770"/>
    <w:rsid w:val="00337F1C"/>
    <w:rsid w:val="00340304"/>
    <w:rsid w:val="003449AA"/>
    <w:rsid w:val="0034588B"/>
    <w:rsid w:val="00354887"/>
    <w:rsid w:val="003555F3"/>
    <w:rsid w:val="00355DBF"/>
    <w:rsid w:val="00360D8C"/>
    <w:rsid w:val="00365FBA"/>
    <w:rsid w:val="003664DD"/>
    <w:rsid w:val="00367073"/>
    <w:rsid w:val="003759D0"/>
    <w:rsid w:val="00375F8B"/>
    <w:rsid w:val="0038752B"/>
    <w:rsid w:val="003906BF"/>
    <w:rsid w:val="00392BAC"/>
    <w:rsid w:val="003A291A"/>
    <w:rsid w:val="003A34E4"/>
    <w:rsid w:val="003B0C51"/>
    <w:rsid w:val="003B1F94"/>
    <w:rsid w:val="003B4372"/>
    <w:rsid w:val="003C039B"/>
    <w:rsid w:val="003C1C17"/>
    <w:rsid w:val="003C5343"/>
    <w:rsid w:val="003D2168"/>
    <w:rsid w:val="003E6336"/>
    <w:rsid w:val="003F25A6"/>
    <w:rsid w:val="003F5B77"/>
    <w:rsid w:val="003F6BDD"/>
    <w:rsid w:val="00400CEF"/>
    <w:rsid w:val="00403C87"/>
    <w:rsid w:val="004167E6"/>
    <w:rsid w:val="0041688E"/>
    <w:rsid w:val="00424335"/>
    <w:rsid w:val="00424A82"/>
    <w:rsid w:val="00427930"/>
    <w:rsid w:val="004329B8"/>
    <w:rsid w:val="00433221"/>
    <w:rsid w:val="00434CF0"/>
    <w:rsid w:val="00435258"/>
    <w:rsid w:val="004405DD"/>
    <w:rsid w:val="00444B73"/>
    <w:rsid w:val="00455EFA"/>
    <w:rsid w:val="00456EB8"/>
    <w:rsid w:val="0045726D"/>
    <w:rsid w:val="00457AC9"/>
    <w:rsid w:val="00461969"/>
    <w:rsid w:val="0046288F"/>
    <w:rsid w:val="004650C7"/>
    <w:rsid w:val="00475A27"/>
    <w:rsid w:val="004805DE"/>
    <w:rsid w:val="00480AB4"/>
    <w:rsid w:val="00483800"/>
    <w:rsid w:val="00495F13"/>
    <w:rsid w:val="004A0D07"/>
    <w:rsid w:val="004A3E1B"/>
    <w:rsid w:val="004A60DE"/>
    <w:rsid w:val="004B1F5D"/>
    <w:rsid w:val="004B28F6"/>
    <w:rsid w:val="004C5268"/>
    <w:rsid w:val="004E01AE"/>
    <w:rsid w:val="004E46B0"/>
    <w:rsid w:val="004E58C8"/>
    <w:rsid w:val="004E722D"/>
    <w:rsid w:val="004F33DB"/>
    <w:rsid w:val="004F3651"/>
    <w:rsid w:val="004F48F0"/>
    <w:rsid w:val="00513D8C"/>
    <w:rsid w:val="00514426"/>
    <w:rsid w:val="00514CD5"/>
    <w:rsid w:val="00547C89"/>
    <w:rsid w:val="00553F5D"/>
    <w:rsid w:val="00573099"/>
    <w:rsid w:val="005814CE"/>
    <w:rsid w:val="0058613E"/>
    <w:rsid w:val="005928AA"/>
    <w:rsid w:val="00592D20"/>
    <w:rsid w:val="00595148"/>
    <w:rsid w:val="00596A87"/>
    <w:rsid w:val="005A0460"/>
    <w:rsid w:val="005A11F3"/>
    <w:rsid w:val="005A1FE2"/>
    <w:rsid w:val="005A3201"/>
    <w:rsid w:val="005B0A47"/>
    <w:rsid w:val="005C1C24"/>
    <w:rsid w:val="005D044D"/>
    <w:rsid w:val="005D0CD4"/>
    <w:rsid w:val="005E0C6E"/>
    <w:rsid w:val="005E3731"/>
    <w:rsid w:val="005E616E"/>
    <w:rsid w:val="005F2867"/>
    <w:rsid w:val="005F761F"/>
    <w:rsid w:val="00604026"/>
    <w:rsid w:val="006064C3"/>
    <w:rsid w:val="00606E59"/>
    <w:rsid w:val="006139B2"/>
    <w:rsid w:val="00624739"/>
    <w:rsid w:val="00625BAF"/>
    <w:rsid w:val="00633910"/>
    <w:rsid w:val="00636D90"/>
    <w:rsid w:val="0065331E"/>
    <w:rsid w:val="006555F5"/>
    <w:rsid w:val="006639C5"/>
    <w:rsid w:val="006777D5"/>
    <w:rsid w:val="00690982"/>
    <w:rsid w:val="00690DB4"/>
    <w:rsid w:val="00694FF0"/>
    <w:rsid w:val="006B0FB6"/>
    <w:rsid w:val="006B1E6B"/>
    <w:rsid w:val="006B2D94"/>
    <w:rsid w:val="006C1FB3"/>
    <w:rsid w:val="006C444C"/>
    <w:rsid w:val="006D34FD"/>
    <w:rsid w:val="006D67B7"/>
    <w:rsid w:val="006F1352"/>
    <w:rsid w:val="006F1984"/>
    <w:rsid w:val="006F1DBB"/>
    <w:rsid w:val="00701561"/>
    <w:rsid w:val="00702AC4"/>
    <w:rsid w:val="0071361F"/>
    <w:rsid w:val="00714338"/>
    <w:rsid w:val="00717255"/>
    <w:rsid w:val="00720273"/>
    <w:rsid w:val="00722F08"/>
    <w:rsid w:val="00726FFA"/>
    <w:rsid w:val="00733159"/>
    <w:rsid w:val="0073537C"/>
    <w:rsid w:val="00741C5B"/>
    <w:rsid w:val="0074299E"/>
    <w:rsid w:val="007440B0"/>
    <w:rsid w:val="00744B3C"/>
    <w:rsid w:val="0074689D"/>
    <w:rsid w:val="00751BDC"/>
    <w:rsid w:val="00753F18"/>
    <w:rsid w:val="00763FF3"/>
    <w:rsid w:val="0077286C"/>
    <w:rsid w:val="007749F3"/>
    <w:rsid w:val="007752C4"/>
    <w:rsid w:val="00793112"/>
    <w:rsid w:val="0079397B"/>
    <w:rsid w:val="007B0E86"/>
    <w:rsid w:val="007B29FB"/>
    <w:rsid w:val="007B434B"/>
    <w:rsid w:val="007D0BFA"/>
    <w:rsid w:val="007D1544"/>
    <w:rsid w:val="007D37B3"/>
    <w:rsid w:val="007D39E9"/>
    <w:rsid w:val="007D4F1A"/>
    <w:rsid w:val="007D6A7A"/>
    <w:rsid w:val="007E0352"/>
    <w:rsid w:val="007E55A2"/>
    <w:rsid w:val="007E6BB5"/>
    <w:rsid w:val="007F0B23"/>
    <w:rsid w:val="007F1123"/>
    <w:rsid w:val="00803BC4"/>
    <w:rsid w:val="00805288"/>
    <w:rsid w:val="00805AE9"/>
    <w:rsid w:val="0080673D"/>
    <w:rsid w:val="00814248"/>
    <w:rsid w:val="00824CD3"/>
    <w:rsid w:val="00826CB4"/>
    <w:rsid w:val="00831FDC"/>
    <w:rsid w:val="00832A5A"/>
    <w:rsid w:val="00837F7B"/>
    <w:rsid w:val="00842681"/>
    <w:rsid w:val="00852337"/>
    <w:rsid w:val="008526FF"/>
    <w:rsid w:val="00866269"/>
    <w:rsid w:val="00867192"/>
    <w:rsid w:val="00871131"/>
    <w:rsid w:val="00894719"/>
    <w:rsid w:val="008A5B8B"/>
    <w:rsid w:val="008A70E5"/>
    <w:rsid w:val="008B009E"/>
    <w:rsid w:val="008B0BD9"/>
    <w:rsid w:val="008B384C"/>
    <w:rsid w:val="008C5191"/>
    <w:rsid w:val="008C5C0E"/>
    <w:rsid w:val="008C630B"/>
    <w:rsid w:val="008C7044"/>
    <w:rsid w:val="008D09D6"/>
    <w:rsid w:val="008D0C80"/>
    <w:rsid w:val="008E0925"/>
    <w:rsid w:val="008E7B26"/>
    <w:rsid w:val="008F5E27"/>
    <w:rsid w:val="008F5FAF"/>
    <w:rsid w:val="009044FE"/>
    <w:rsid w:val="009166E1"/>
    <w:rsid w:val="009242DB"/>
    <w:rsid w:val="0092690A"/>
    <w:rsid w:val="00926EAA"/>
    <w:rsid w:val="00932022"/>
    <w:rsid w:val="00933F00"/>
    <w:rsid w:val="009344BF"/>
    <w:rsid w:val="009359C2"/>
    <w:rsid w:val="00941471"/>
    <w:rsid w:val="009469D2"/>
    <w:rsid w:val="009505F3"/>
    <w:rsid w:val="0095157E"/>
    <w:rsid w:val="00951A6C"/>
    <w:rsid w:val="00953E5B"/>
    <w:rsid w:val="00954660"/>
    <w:rsid w:val="00954B9E"/>
    <w:rsid w:val="00966181"/>
    <w:rsid w:val="00974E5E"/>
    <w:rsid w:val="009908A0"/>
    <w:rsid w:val="00993A1D"/>
    <w:rsid w:val="0099450D"/>
    <w:rsid w:val="009949A0"/>
    <w:rsid w:val="009974B4"/>
    <w:rsid w:val="009979B5"/>
    <w:rsid w:val="009A2C9B"/>
    <w:rsid w:val="009A4485"/>
    <w:rsid w:val="009B6144"/>
    <w:rsid w:val="009C0BD5"/>
    <w:rsid w:val="009D3675"/>
    <w:rsid w:val="009D74CF"/>
    <w:rsid w:val="009F0D62"/>
    <w:rsid w:val="009F1507"/>
    <w:rsid w:val="00A010DF"/>
    <w:rsid w:val="00A0386F"/>
    <w:rsid w:val="00A16F08"/>
    <w:rsid w:val="00A17803"/>
    <w:rsid w:val="00A17C54"/>
    <w:rsid w:val="00A21DD2"/>
    <w:rsid w:val="00A32FD5"/>
    <w:rsid w:val="00A347C7"/>
    <w:rsid w:val="00A35CAB"/>
    <w:rsid w:val="00A35E79"/>
    <w:rsid w:val="00A36C14"/>
    <w:rsid w:val="00A4527A"/>
    <w:rsid w:val="00A52797"/>
    <w:rsid w:val="00A532FC"/>
    <w:rsid w:val="00A56127"/>
    <w:rsid w:val="00A563C7"/>
    <w:rsid w:val="00A57977"/>
    <w:rsid w:val="00A654CA"/>
    <w:rsid w:val="00A66C90"/>
    <w:rsid w:val="00A67927"/>
    <w:rsid w:val="00A71976"/>
    <w:rsid w:val="00A8170F"/>
    <w:rsid w:val="00A835A1"/>
    <w:rsid w:val="00A87822"/>
    <w:rsid w:val="00A91225"/>
    <w:rsid w:val="00A91EB5"/>
    <w:rsid w:val="00A97C88"/>
    <w:rsid w:val="00AA2ED9"/>
    <w:rsid w:val="00AB6C9D"/>
    <w:rsid w:val="00AD08A0"/>
    <w:rsid w:val="00AD35E0"/>
    <w:rsid w:val="00AD3D11"/>
    <w:rsid w:val="00AD62EA"/>
    <w:rsid w:val="00AF0BD7"/>
    <w:rsid w:val="00AF2B53"/>
    <w:rsid w:val="00AF4E59"/>
    <w:rsid w:val="00AF6FE0"/>
    <w:rsid w:val="00B059DF"/>
    <w:rsid w:val="00B106E4"/>
    <w:rsid w:val="00B1306B"/>
    <w:rsid w:val="00B151E8"/>
    <w:rsid w:val="00B27935"/>
    <w:rsid w:val="00B33C5B"/>
    <w:rsid w:val="00B34D84"/>
    <w:rsid w:val="00B467F0"/>
    <w:rsid w:val="00B54B88"/>
    <w:rsid w:val="00B550FC"/>
    <w:rsid w:val="00B5728B"/>
    <w:rsid w:val="00B666AB"/>
    <w:rsid w:val="00B72648"/>
    <w:rsid w:val="00B77658"/>
    <w:rsid w:val="00B85FD0"/>
    <w:rsid w:val="00BA4E67"/>
    <w:rsid w:val="00BC33B4"/>
    <w:rsid w:val="00BD46D6"/>
    <w:rsid w:val="00BE262A"/>
    <w:rsid w:val="00BF68F5"/>
    <w:rsid w:val="00C004DB"/>
    <w:rsid w:val="00C12552"/>
    <w:rsid w:val="00C13A79"/>
    <w:rsid w:val="00C15FDF"/>
    <w:rsid w:val="00C20772"/>
    <w:rsid w:val="00C208C0"/>
    <w:rsid w:val="00C20FE5"/>
    <w:rsid w:val="00C212D0"/>
    <w:rsid w:val="00C22D6C"/>
    <w:rsid w:val="00C23CC1"/>
    <w:rsid w:val="00C33886"/>
    <w:rsid w:val="00C509F8"/>
    <w:rsid w:val="00C50C28"/>
    <w:rsid w:val="00C5792C"/>
    <w:rsid w:val="00C60E38"/>
    <w:rsid w:val="00C623F1"/>
    <w:rsid w:val="00C63528"/>
    <w:rsid w:val="00C654A6"/>
    <w:rsid w:val="00C73DFC"/>
    <w:rsid w:val="00C85B4C"/>
    <w:rsid w:val="00C860CD"/>
    <w:rsid w:val="00C960F2"/>
    <w:rsid w:val="00CA5A0E"/>
    <w:rsid w:val="00CB2D88"/>
    <w:rsid w:val="00CC0651"/>
    <w:rsid w:val="00CC0BAF"/>
    <w:rsid w:val="00CC3EA9"/>
    <w:rsid w:val="00CC4470"/>
    <w:rsid w:val="00CD5218"/>
    <w:rsid w:val="00CD572A"/>
    <w:rsid w:val="00CD765A"/>
    <w:rsid w:val="00CE4CA1"/>
    <w:rsid w:val="00CE6BD1"/>
    <w:rsid w:val="00D05D96"/>
    <w:rsid w:val="00D16BED"/>
    <w:rsid w:val="00D209A2"/>
    <w:rsid w:val="00D22C75"/>
    <w:rsid w:val="00D407BA"/>
    <w:rsid w:val="00D4378F"/>
    <w:rsid w:val="00D47122"/>
    <w:rsid w:val="00D577B0"/>
    <w:rsid w:val="00D63A49"/>
    <w:rsid w:val="00D64809"/>
    <w:rsid w:val="00D70F90"/>
    <w:rsid w:val="00D72611"/>
    <w:rsid w:val="00D82D8A"/>
    <w:rsid w:val="00D83022"/>
    <w:rsid w:val="00D911F5"/>
    <w:rsid w:val="00D91DBF"/>
    <w:rsid w:val="00D95123"/>
    <w:rsid w:val="00DA1127"/>
    <w:rsid w:val="00DA239E"/>
    <w:rsid w:val="00DB1342"/>
    <w:rsid w:val="00DB54E6"/>
    <w:rsid w:val="00DB6ECD"/>
    <w:rsid w:val="00DC5E7D"/>
    <w:rsid w:val="00DC6716"/>
    <w:rsid w:val="00DD2CE8"/>
    <w:rsid w:val="00DD7AE9"/>
    <w:rsid w:val="00DE0985"/>
    <w:rsid w:val="00DE5455"/>
    <w:rsid w:val="00DF012B"/>
    <w:rsid w:val="00DF109B"/>
    <w:rsid w:val="00E05B82"/>
    <w:rsid w:val="00E07386"/>
    <w:rsid w:val="00E14A1A"/>
    <w:rsid w:val="00E14ECA"/>
    <w:rsid w:val="00E17F1A"/>
    <w:rsid w:val="00E22DBE"/>
    <w:rsid w:val="00E45C46"/>
    <w:rsid w:val="00E473CE"/>
    <w:rsid w:val="00E635C5"/>
    <w:rsid w:val="00E63A8F"/>
    <w:rsid w:val="00E645B4"/>
    <w:rsid w:val="00E67E1D"/>
    <w:rsid w:val="00E734D2"/>
    <w:rsid w:val="00E742A4"/>
    <w:rsid w:val="00E76ABA"/>
    <w:rsid w:val="00E80D82"/>
    <w:rsid w:val="00E82757"/>
    <w:rsid w:val="00E82BAA"/>
    <w:rsid w:val="00E97992"/>
    <w:rsid w:val="00EA0DA7"/>
    <w:rsid w:val="00EA1BEF"/>
    <w:rsid w:val="00EA2859"/>
    <w:rsid w:val="00EA438E"/>
    <w:rsid w:val="00EB24FD"/>
    <w:rsid w:val="00EB43C9"/>
    <w:rsid w:val="00EC5E44"/>
    <w:rsid w:val="00ED6849"/>
    <w:rsid w:val="00EE4334"/>
    <w:rsid w:val="00EE72A7"/>
    <w:rsid w:val="00EE78DF"/>
    <w:rsid w:val="00EF273F"/>
    <w:rsid w:val="00EF2DC6"/>
    <w:rsid w:val="00F0101B"/>
    <w:rsid w:val="00F01236"/>
    <w:rsid w:val="00F0382B"/>
    <w:rsid w:val="00F15118"/>
    <w:rsid w:val="00F16960"/>
    <w:rsid w:val="00F16BB4"/>
    <w:rsid w:val="00F205F5"/>
    <w:rsid w:val="00F24498"/>
    <w:rsid w:val="00F27D21"/>
    <w:rsid w:val="00F342E5"/>
    <w:rsid w:val="00F35D9B"/>
    <w:rsid w:val="00F37E54"/>
    <w:rsid w:val="00F52977"/>
    <w:rsid w:val="00F62566"/>
    <w:rsid w:val="00F66010"/>
    <w:rsid w:val="00F67CAC"/>
    <w:rsid w:val="00F67E59"/>
    <w:rsid w:val="00F746E0"/>
    <w:rsid w:val="00F830DA"/>
    <w:rsid w:val="00F83892"/>
    <w:rsid w:val="00F8473D"/>
    <w:rsid w:val="00F8789D"/>
    <w:rsid w:val="00F90CBE"/>
    <w:rsid w:val="00F93AEE"/>
    <w:rsid w:val="00FA01E2"/>
    <w:rsid w:val="00FB296B"/>
    <w:rsid w:val="00FB7709"/>
    <w:rsid w:val="00FC019B"/>
    <w:rsid w:val="00FD0853"/>
    <w:rsid w:val="00FD2329"/>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4AD0258"/>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513D8C"/>
    <w:pPr>
      <w:keepNext/>
      <w:keepLines/>
      <w:overflowPunct w:val="0"/>
      <w:autoSpaceDE w:val="0"/>
      <w:autoSpaceDN w:val="0"/>
      <w:adjustRightInd w:val="0"/>
      <w:spacing w:before="360"/>
      <w:ind w:left="794" w:hanging="794"/>
      <w:textAlignment w:val="baseline"/>
      <w:outlineLvl w:val="0"/>
    </w:pPr>
    <w:rPr>
      <w:rFonts w:ascii="Calibri" w:hAnsi="Calibri"/>
      <w:b/>
      <w:sz w:val="26"/>
      <w:szCs w:val="20"/>
      <w:lang w:val="en-G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qFormat/>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CEO_Hyperlink,超?级链,Style 58,超????,하이퍼링크2,超链接1"/>
    <w:qFormat/>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80673D"/>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qFormat/>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uiPriority w:val="59"/>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 w:type="paragraph" w:styleId="ListBullet">
    <w:name w:val="List Bullet"/>
    <w:basedOn w:val="Normal"/>
    <w:unhideWhenUsed/>
    <w:rsid w:val="00793112"/>
    <w:pPr>
      <w:numPr>
        <w:numId w:val="18"/>
      </w:numPr>
      <w:contextualSpacing/>
    </w:pPr>
  </w:style>
  <w:style w:type="paragraph" w:customStyle="1" w:styleId="Note">
    <w:name w:val="Note"/>
    <w:basedOn w:val="Normal"/>
    <w:rsid w:val="0077286C"/>
    <w:pPr>
      <w:tabs>
        <w:tab w:val="left" w:pos="284"/>
      </w:tabs>
      <w:overflowPunct w:val="0"/>
      <w:autoSpaceDE w:val="0"/>
      <w:autoSpaceDN w:val="0"/>
      <w:adjustRightInd w:val="0"/>
      <w:spacing w:before="80"/>
      <w:textAlignment w:val="baseline"/>
    </w:pPr>
    <w:rPr>
      <w:rFonts w:ascii="Calibri" w:hAnsi="Calibri"/>
      <w:sz w:val="24"/>
      <w:szCs w:val="20"/>
      <w:lang w:val="en-GB"/>
    </w:rPr>
  </w:style>
  <w:style w:type="paragraph" w:customStyle="1" w:styleId="Tablehead">
    <w:name w:val="Table_head"/>
    <w:basedOn w:val="Tabletext0"/>
    <w:rsid w:val="00DC5E7D"/>
    <w:pPr>
      <w:tabs>
        <w:tab w:val="clear" w:pos="284"/>
        <w:tab w:val="clear" w:pos="851"/>
        <w:tab w:val="clear" w:pos="1418"/>
        <w:tab w:val="clear" w:pos="1701"/>
        <w:tab w:val="clear" w:pos="2552"/>
        <w:tab w:val="clear" w:pos="2835"/>
        <w:tab w:val="clear" w:pos="3119"/>
        <w:tab w:val="clear" w:pos="3402"/>
        <w:tab w:val="clear" w:pos="3686"/>
        <w:tab w:val="clear" w:pos="3969"/>
      </w:tabs>
      <w:spacing w:before="120" w:after="120"/>
      <w:jc w:val="center"/>
    </w:pPr>
    <w:rPr>
      <w:b/>
      <w:sz w:val="20"/>
      <w:lang w:val="ru-RU"/>
    </w:rPr>
  </w:style>
  <w:style w:type="character" w:styleId="UnresolvedMention">
    <w:name w:val="Unresolved Mention"/>
    <w:basedOn w:val="DefaultParagraphFont"/>
    <w:uiPriority w:val="99"/>
    <w:semiHidden/>
    <w:unhideWhenUsed/>
    <w:rsid w:val="007D6A7A"/>
    <w:rPr>
      <w:color w:val="605E5C"/>
      <w:shd w:val="clear" w:color="auto" w:fill="E1DFDD"/>
    </w:rPr>
  </w:style>
  <w:style w:type="paragraph" w:styleId="Revision">
    <w:name w:val="Revision"/>
    <w:hidden/>
    <w:uiPriority w:val="99"/>
    <w:semiHidden/>
    <w:rsid w:val="00F24498"/>
    <w:rPr>
      <w:rFonts w:asciiTheme="minorHAnsi"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T-REC-A.7" TargetMode="External"/><Relationship Id="rId18" Type="http://schemas.openxmlformats.org/officeDocument/2006/relationships/hyperlink" Target="http://www.itu.int/go/fgtb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go/fgtbf" TargetMode="External"/><Relationship Id="rId17" Type="http://schemas.openxmlformats.org/officeDocument/2006/relationships/hyperlink" Target="http://www.itu.int/go/fgtbf" TargetMode="External"/><Relationship Id="rId25" Type="http://schemas.openxmlformats.org/officeDocument/2006/relationships/hyperlink" Target="http://www.itu.int/go/BTF4-5G" TargetMode="External"/><Relationship Id="rId2" Type="http://schemas.openxmlformats.org/officeDocument/2006/relationships/numbering" Target="numbering.xml"/><Relationship Id="rId16" Type="http://schemas.openxmlformats.org/officeDocument/2006/relationships/hyperlink" Target="http://www.itu.int/go/fgtbf" TargetMode="External"/><Relationship Id="rId20" Type="http://schemas.openxmlformats.org/officeDocument/2006/relationships/hyperlink" Target="http://www.itu.int/go/fgtb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tbf@lists.itu.int" TargetMode="External"/><Relationship Id="rId24" Type="http://schemas.openxmlformats.org/officeDocument/2006/relationships/hyperlink" Target="http://www.itu.int/go/BTF4-5G" TargetMode="External"/><Relationship Id="rId5" Type="http://schemas.openxmlformats.org/officeDocument/2006/relationships/webSettings" Target="webSettings.xml"/><Relationship Id="rId15" Type="http://schemas.openxmlformats.org/officeDocument/2006/relationships/hyperlink" Target="http://www.itu.int/go/fgtbf" TargetMode="External"/><Relationship Id="rId23" Type="http://schemas.openxmlformats.org/officeDocument/2006/relationships/hyperlink" Target="https://www.itu.int/md/meetingdoc.asp?lang=en&amp;parent=T17-SG11-211201-TD-GEN-1804" TargetMode="External"/><Relationship Id="rId28" Type="http://schemas.openxmlformats.org/officeDocument/2006/relationships/fontTable" Target="fontTable.xml"/><Relationship Id="rId10" Type="http://schemas.openxmlformats.org/officeDocument/2006/relationships/hyperlink" Target="https://www.itu.int/ITU-T/recommendations/rec.aspx?rec=14765" TargetMode="External"/><Relationship Id="rId19" Type="http://schemas.openxmlformats.org/officeDocument/2006/relationships/hyperlink" Target="mailto:tsbfgtbf@itu.int" TargetMode="External"/><Relationship Id="rId4" Type="http://schemas.openxmlformats.org/officeDocument/2006/relationships/settings" Target="settings.xml"/><Relationship Id="rId9" Type="http://schemas.openxmlformats.org/officeDocument/2006/relationships/hyperlink" Target="mailto:tsbfgtbf@itu.int" TargetMode="External"/><Relationship Id="rId14" Type="http://schemas.openxmlformats.org/officeDocument/2006/relationships/hyperlink" Target="mailto:tsbfgtbf@itu.int" TargetMode="External"/><Relationship Id="rId22" Type="http://schemas.openxmlformats.org/officeDocument/2006/relationships/image" Target="media/image3.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2E87-CF94-4795-B2BD-7701A8A9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30</TotalTime>
  <Pages>8</Pages>
  <Words>3526</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23583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Braud, Olivia</cp:lastModifiedBy>
  <cp:revision>9</cp:revision>
  <cp:lastPrinted>2022-01-25T14:43:00Z</cp:lastPrinted>
  <dcterms:created xsi:type="dcterms:W3CDTF">2022-01-18T16:23:00Z</dcterms:created>
  <dcterms:modified xsi:type="dcterms:W3CDTF">2022-01-25T14:43:00Z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