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CA0BFDD" w14:textId="77777777" w:rsidTr="00D517B2">
        <w:trPr>
          <w:cantSplit/>
          <w:trHeight w:val="1134"/>
        </w:trPr>
        <w:tc>
          <w:tcPr>
            <w:tcW w:w="798" w:type="pct"/>
          </w:tcPr>
          <w:p w14:paraId="3F4B2481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2462C20" wp14:editId="3917BAD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0C450A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6566D0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56543C55" w14:textId="77777777" w:rsidTr="00806C57">
        <w:trPr>
          <w:cantSplit/>
          <w:trHeight w:val="142"/>
          <w:jc w:val="center"/>
        </w:trPr>
        <w:tc>
          <w:tcPr>
            <w:tcW w:w="796" w:type="pct"/>
          </w:tcPr>
          <w:p w14:paraId="3DED6ED5" w14:textId="77777777" w:rsidR="00D517B2" w:rsidRPr="00D517B2" w:rsidRDefault="00D517B2" w:rsidP="00806C5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58C1AA6F" w14:textId="77777777" w:rsidR="00D517B2" w:rsidRPr="00D517B2" w:rsidRDefault="00D517B2" w:rsidP="00806C5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18B441FD" w14:textId="77777777" w:rsidR="00D517B2" w:rsidRPr="00873469" w:rsidRDefault="00D517B2" w:rsidP="00806C57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0CE8E0F" w14:textId="77777777" w:rsidTr="00806C57">
        <w:trPr>
          <w:cantSplit/>
          <w:trHeight w:val="148"/>
          <w:jc w:val="center"/>
        </w:trPr>
        <w:tc>
          <w:tcPr>
            <w:tcW w:w="796" w:type="pct"/>
          </w:tcPr>
          <w:p w14:paraId="789B764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7F153CC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8" w:type="pct"/>
          </w:tcPr>
          <w:p w14:paraId="6CC8DCE1" w14:textId="186FE32A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06C57">
              <w:rPr>
                <w:position w:val="2"/>
              </w:rPr>
              <w:t>31</w:t>
            </w:r>
            <w:r w:rsidR="00806C57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="00806C57">
              <w:rPr>
                <w:position w:val="2"/>
                <w:lang w:bidi="ar-EG"/>
              </w:rPr>
              <w:t>2022</w:t>
            </w:r>
          </w:p>
        </w:tc>
      </w:tr>
      <w:tr w:rsidR="00E84438" w:rsidRPr="00D517B2" w14:paraId="644A871A" w14:textId="77777777" w:rsidTr="00806C57">
        <w:trPr>
          <w:cantSplit/>
          <w:trHeight w:val="831"/>
          <w:jc w:val="center"/>
        </w:trPr>
        <w:tc>
          <w:tcPr>
            <w:tcW w:w="796" w:type="pct"/>
          </w:tcPr>
          <w:p w14:paraId="3F2CCC10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349D49F8" w14:textId="779E1398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806C57">
              <w:rPr>
                <w:b/>
                <w:position w:val="2"/>
              </w:rPr>
              <w:t>368</w:t>
            </w:r>
            <w:r>
              <w:rPr>
                <w:b/>
                <w:position w:val="2"/>
              </w:rPr>
              <w:br/>
            </w:r>
            <w:r w:rsidR="00806C57">
              <w:rPr>
                <w:bCs/>
                <w:position w:val="2"/>
              </w:rPr>
              <w:t>SG11/DA</w:t>
            </w:r>
          </w:p>
        </w:tc>
        <w:tc>
          <w:tcPr>
            <w:tcW w:w="2278" w:type="pct"/>
            <w:vMerge w:val="restart"/>
          </w:tcPr>
          <w:p w14:paraId="112B85DD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DBB2FCC" w14:textId="77777777" w:rsidR="00E84438" w:rsidRPr="00806C57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06C57">
              <w:rPr>
                <w:rFonts w:hint="cs"/>
                <w:position w:val="2"/>
                <w:rtl/>
              </w:rPr>
              <w:t>-</w:t>
            </w:r>
            <w:r w:rsidRPr="00806C57">
              <w:rPr>
                <w:position w:val="2"/>
                <w:rtl/>
              </w:rPr>
              <w:tab/>
            </w:r>
            <w:r w:rsidRPr="00806C57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1258E03" w14:textId="0BB4DABC" w:rsidR="00002A63" w:rsidRPr="00806C57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06C57">
              <w:rPr>
                <w:rFonts w:hint="cs"/>
                <w:position w:val="2"/>
                <w:rtl/>
              </w:rPr>
              <w:t>-</w:t>
            </w:r>
            <w:r w:rsidRPr="00806C57">
              <w:rPr>
                <w:position w:val="2"/>
                <w:rtl/>
              </w:rPr>
              <w:tab/>
            </w:r>
            <w:r w:rsidRPr="00806C57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14:paraId="38C5C7F5" w14:textId="77777777" w:rsidR="00002A63" w:rsidRPr="00806C57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06C57">
              <w:rPr>
                <w:rFonts w:hint="cs"/>
                <w:position w:val="2"/>
                <w:rtl/>
              </w:rPr>
              <w:t>-</w:t>
            </w:r>
            <w:r w:rsidRPr="00806C57">
              <w:rPr>
                <w:position w:val="2"/>
                <w:rtl/>
              </w:rPr>
              <w:tab/>
            </w:r>
            <w:r w:rsidRPr="00806C57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694C4B1" w14:textId="77777777" w:rsidR="00E84438" w:rsidRPr="00D517B2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06C57">
              <w:rPr>
                <w:rFonts w:hint="cs"/>
                <w:position w:val="2"/>
                <w:rtl/>
              </w:rPr>
              <w:t>-</w:t>
            </w:r>
            <w:r w:rsidRPr="00806C57">
              <w:rPr>
                <w:position w:val="2"/>
                <w:rtl/>
              </w:rPr>
              <w:tab/>
            </w:r>
            <w:r w:rsidRPr="00806C57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06C57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0C29FC" w:rsidRPr="00D517B2" w14:paraId="0C935DD9" w14:textId="77777777" w:rsidTr="00806C57">
        <w:trPr>
          <w:cantSplit/>
          <w:trHeight w:val="340"/>
          <w:jc w:val="center"/>
        </w:trPr>
        <w:tc>
          <w:tcPr>
            <w:tcW w:w="796" w:type="pct"/>
          </w:tcPr>
          <w:p w14:paraId="618D23C2" w14:textId="59AE2D27" w:rsidR="000C29FC" w:rsidRPr="00A9156F" w:rsidRDefault="000C29F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للاتصال:</w:t>
            </w:r>
          </w:p>
        </w:tc>
        <w:tc>
          <w:tcPr>
            <w:tcW w:w="1926" w:type="pct"/>
          </w:tcPr>
          <w:p w14:paraId="7EA1A689" w14:textId="65C2FE07" w:rsidR="000C29FC" w:rsidRPr="000C29FC" w:rsidRDefault="000C29FC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C29FC">
              <w:rPr>
                <w:b/>
              </w:rPr>
              <w:t>Denis ANDREEV</w:t>
            </w:r>
          </w:p>
        </w:tc>
        <w:tc>
          <w:tcPr>
            <w:tcW w:w="2278" w:type="pct"/>
            <w:vMerge/>
          </w:tcPr>
          <w:p w14:paraId="1A7EC68A" w14:textId="77777777" w:rsidR="000C29FC" w:rsidRPr="00D517B2" w:rsidRDefault="000C29FC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7FF59E1" w14:textId="77777777" w:rsidTr="00806C57">
        <w:trPr>
          <w:cantSplit/>
          <w:trHeight w:val="340"/>
          <w:jc w:val="center"/>
        </w:trPr>
        <w:tc>
          <w:tcPr>
            <w:tcW w:w="796" w:type="pct"/>
          </w:tcPr>
          <w:p w14:paraId="1A2DD141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6" w:type="pct"/>
          </w:tcPr>
          <w:p w14:paraId="6AC17829" w14:textId="6E97AC48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806C57">
              <w:rPr>
                <w:position w:val="2"/>
              </w:rPr>
              <w:t>5780</w:t>
            </w:r>
          </w:p>
        </w:tc>
        <w:tc>
          <w:tcPr>
            <w:tcW w:w="2278" w:type="pct"/>
            <w:vMerge/>
          </w:tcPr>
          <w:p w14:paraId="1B2BBD0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B501E3E" w14:textId="77777777" w:rsidTr="000C29FC">
        <w:trPr>
          <w:cantSplit/>
          <w:trHeight w:val="444"/>
          <w:jc w:val="center"/>
        </w:trPr>
        <w:tc>
          <w:tcPr>
            <w:tcW w:w="796" w:type="pct"/>
          </w:tcPr>
          <w:p w14:paraId="1A28109D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0E1224E4" w14:textId="445531AE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691DE7BD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24565FD" w14:textId="77777777" w:rsidTr="00806C57">
        <w:trPr>
          <w:cantSplit/>
          <w:jc w:val="center"/>
        </w:trPr>
        <w:tc>
          <w:tcPr>
            <w:tcW w:w="796" w:type="pct"/>
          </w:tcPr>
          <w:p w14:paraId="0BA50F89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5651BA88" w14:textId="5E75C144" w:rsidR="00CE1C08" w:rsidRPr="006E1BAD" w:rsidRDefault="00453FE9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806C57" w:rsidRPr="00052F56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2278" w:type="pct"/>
          </w:tcPr>
          <w:p w14:paraId="186DE35A" w14:textId="77777777" w:rsidR="00CE1C08" w:rsidRPr="005731DD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2B69899" w14:textId="77777777" w:rsidR="00806C57" w:rsidRPr="00713DD7" w:rsidRDefault="00806C57" w:rsidP="00806C57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Pr="00713DD7">
              <w:rPr>
                <w:rFonts w:hint="cs"/>
                <w:rtl/>
              </w:rPr>
              <w:t xml:space="preserve">رؤساء لجان دراسات </w:t>
            </w:r>
            <w:r w:rsidRPr="00713DD7">
              <w:rPr>
                <w:rFonts w:hint="cs"/>
                <w:rtl/>
                <w:lang w:bidi="ar-EG"/>
              </w:rPr>
              <w:t>قطاع تقييس الاتصالات ونوابهم</w:t>
            </w:r>
            <w:r w:rsidRPr="00713DD7">
              <w:rPr>
                <w:rFonts w:hint="cs"/>
                <w:rtl/>
              </w:rPr>
              <w:t>؛</w:t>
            </w:r>
          </w:p>
          <w:p w14:paraId="4208F8D4" w14:textId="504A94EA" w:rsidR="00806C57" w:rsidRPr="00713DD7" w:rsidRDefault="00806C57" w:rsidP="00806C57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</w:r>
            <w:r w:rsidR="00301416">
              <w:rPr>
                <w:rFonts w:hint="cs"/>
                <w:rtl/>
              </w:rPr>
              <w:t>مديرة</w:t>
            </w:r>
            <w:r w:rsidRPr="00713DD7">
              <w:rPr>
                <w:rtl/>
              </w:rPr>
              <w:t xml:space="preserve"> مكتب تنمية الاتصالات</w:t>
            </w:r>
            <w:r w:rsidRPr="00713DD7">
              <w:rPr>
                <w:rFonts w:hint="cs"/>
                <w:rtl/>
              </w:rPr>
              <w:t>؛</w:t>
            </w:r>
          </w:p>
          <w:p w14:paraId="0488E1A7" w14:textId="6D3EAF49" w:rsidR="00CE1C08" w:rsidRPr="00D517B2" w:rsidRDefault="00806C57" w:rsidP="00806C5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713DD7">
              <w:rPr>
                <w:rFonts w:hint="cs"/>
                <w:rtl/>
              </w:rPr>
              <w:t>-</w:t>
            </w:r>
            <w:r w:rsidRPr="00713DD7">
              <w:rPr>
                <w:rtl/>
              </w:rPr>
              <w:tab/>
              <w:t>مدير مكتب الاتصالات الراديوية</w:t>
            </w:r>
          </w:p>
        </w:tc>
      </w:tr>
      <w:tr w:rsidR="00CE1C08" w:rsidRPr="00D517B2" w14:paraId="7F39CF7A" w14:textId="77777777" w:rsidTr="00806C57">
        <w:trPr>
          <w:cantSplit/>
          <w:jc w:val="center"/>
        </w:trPr>
        <w:tc>
          <w:tcPr>
            <w:tcW w:w="796" w:type="pct"/>
          </w:tcPr>
          <w:p w14:paraId="0B6655BB" w14:textId="77777777" w:rsidR="00CE1C08" w:rsidRPr="00806C57" w:rsidRDefault="00CE1C08" w:rsidP="00806C57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26" w:type="pct"/>
          </w:tcPr>
          <w:p w14:paraId="6FF3B0F6" w14:textId="77777777" w:rsidR="00CE1C08" w:rsidRPr="00D517B2" w:rsidRDefault="00CE1C08" w:rsidP="00806C5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72D8B8E3" w14:textId="77777777" w:rsidR="00CE1C08" w:rsidRPr="00D517B2" w:rsidRDefault="00CE1C08" w:rsidP="00806C57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5774904" w14:textId="77777777" w:rsidTr="00D517B2">
        <w:trPr>
          <w:cantSplit/>
          <w:jc w:val="center"/>
        </w:trPr>
        <w:tc>
          <w:tcPr>
            <w:tcW w:w="796" w:type="pct"/>
          </w:tcPr>
          <w:p w14:paraId="67D974A1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C5C2154" w14:textId="1409F64B" w:rsidR="00CE1C08" w:rsidRPr="00806C57" w:rsidRDefault="00273D3E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اعتراف الاتحاد</w:t>
            </w:r>
            <w:r w:rsidR="00806C57" w:rsidRPr="00806C57">
              <w:rPr>
                <w:rFonts w:eastAsia="SimSun" w:hint="cs"/>
                <w:b/>
                <w:bCs/>
                <w:rtl/>
              </w:rPr>
              <w:t xml:space="preserve"> </w:t>
            </w:r>
            <w:r>
              <w:rPr>
                <w:rFonts w:eastAsia="SimSun" w:hint="cs"/>
                <w:b/>
                <w:bCs/>
                <w:rtl/>
              </w:rPr>
              <w:t>بمختبرات الاختبار</w:t>
            </w:r>
          </w:p>
        </w:tc>
      </w:tr>
    </w:tbl>
    <w:p w14:paraId="1C38EC75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ED3FB5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585B8CC" w14:textId="7B37ABFA" w:rsidR="00806C57" w:rsidRPr="00273D3E" w:rsidRDefault="00806C57" w:rsidP="00806C57">
      <w:pPr>
        <w:rPr>
          <w:rtl/>
          <w:lang w:val="en-GB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 w:rsidRPr="002016CF">
        <w:rPr>
          <w:rtl/>
          <w:lang w:bidi="ar-SY"/>
        </w:rPr>
        <w:t xml:space="preserve">يسرني </w:t>
      </w:r>
      <w:r w:rsidR="009C4FD7">
        <w:rPr>
          <w:rFonts w:hint="cs"/>
          <w:rtl/>
          <w:lang w:bidi="ar-SY"/>
        </w:rPr>
        <w:t>إبلاغكم</w:t>
      </w:r>
      <w:r w:rsidR="00273D3E">
        <w:rPr>
          <w:rFonts w:hint="cs"/>
          <w:rtl/>
          <w:lang w:bidi="ar-SY"/>
        </w:rPr>
        <w:t xml:space="preserve"> </w:t>
      </w:r>
      <w:r w:rsidR="009C4FD7">
        <w:rPr>
          <w:rFonts w:hint="cs"/>
          <w:rtl/>
          <w:lang w:bidi="ar-SY"/>
        </w:rPr>
        <w:t>ب</w:t>
      </w:r>
      <w:r w:rsidR="00273D3E">
        <w:rPr>
          <w:rFonts w:hint="cs"/>
          <w:rtl/>
          <w:lang w:bidi="ar-SY"/>
        </w:rPr>
        <w:t xml:space="preserve">أنه </w:t>
      </w:r>
      <w:r w:rsidR="00CA6202">
        <w:rPr>
          <w:rFonts w:hint="cs"/>
          <w:rtl/>
          <w:lang w:bidi="ar-SY"/>
        </w:rPr>
        <w:t>تبعاً</w:t>
      </w:r>
      <w:r w:rsidR="00273D3E">
        <w:rPr>
          <w:rFonts w:hint="cs"/>
          <w:rtl/>
          <w:lang w:bidi="ar-SY"/>
        </w:rPr>
        <w:t xml:space="preserve"> </w:t>
      </w:r>
      <w:r w:rsidR="00CA6202">
        <w:rPr>
          <w:rFonts w:hint="cs"/>
          <w:rtl/>
          <w:lang w:bidi="ar-SY"/>
        </w:rPr>
        <w:t>ل</w:t>
      </w:r>
      <w:r w:rsidR="00273D3E">
        <w:rPr>
          <w:rFonts w:hint="cs"/>
          <w:rtl/>
          <w:lang w:bidi="ar-SY"/>
        </w:rPr>
        <w:t>لقرار الذي اتخذته</w:t>
      </w:r>
      <w:r w:rsidRPr="002016CF">
        <w:rPr>
          <w:rtl/>
          <w:lang w:bidi="ar-SY"/>
        </w:rPr>
        <w:t xml:space="preserve"> لجنة الدراسات </w:t>
      </w:r>
      <w:r w:rsidRPr="002016CF">
        <w:rPr>
          <w:lang w:bidi="ar-EG"/>
        </w:rPr>
        <w:t>11</w:t>
      </w:r>
      <w:r w:rsidRPr="002016CF">
        <w:rPr>
          <w:rtl/>
        </w:rPr>
        <w:t xml:space="preserve"> </w:t>
      </w:r>
      <w:r w:rsidR="00DA6489">
        <w:rPr>
          <w:rFonts w:hint="cs"/>
          <w:rtl/>
        </w:rPr>
        <w:t xml:space="preserve">لقطاع تقييس الاتصالات </w:t>
      </w:r>
      <w:r w:rsidRPr="002016CF">
        <w:rPr>
          <w:rFonts w:hint="cs"/>
          <w:rtl/>
        </w:rPr>
        <w:t>(</w:t>
      </w:r>
      <w:r w:rsidRPr="002016CF">
        <w:rPr>
          <w:rFonts w:hint="cs"/>
          <w:i/>
          <w:iCs/>
          <w:rtl/>
        </w:rPr>
        <w:t>متطلبات وبروتوكولات التشوير ومواصفات الاختبار و</w:t>
      </w:r>
      <w:r w:rsidRPr="002016CF">
        <w:rPr>
          <w:i/>
          <w:iCs/>
          <w:rtl/>
        </w:rPr>
        <w:t>مكافحة المنتجات </w:t>
      </w:r>
      <w:r w:rsidRPr="002016CF">
        <w:rPr>
          <w:rFonts w:hint="cs"/>
          <w:i/>
          <w:iCs/>
          <w:rtl/>
        </w:rPr>
        <w:t>المزيفة</w:t>
      </w:r>
      <w:r w:rsidRPr="002016CF">
        <w:rPr>
          <w:rtl/>
        </w:rPr>
        <w:t>)</w:t>
      </w:r>
      <w:r w:rsidR="00CA6202">
        <w:rPr>
          <w:rFonts w:hint="cs"/>
          <w:rtl/>
        </w:rPr>
        <w:t xml:space="preserve"> </w:t>
      </w:r>
      <w:r w:rsidR="00CA6202" w:rsidRPr="00CA6202">
        <w:rPr>
          <w:rFonts w:cstheme="minorHAnsi"/>
        </w:rPr>
        <w:t>(</w:t>
      </w:r>
      <w:hyperlink r:id="rId10" w:history="1">
        <w:r w:rsidR="00CA6202" w:rsidRPr="00CA6202">
          <w:rPr>
            <w:rStyle w:val="Hyperlink"/>
            <w:rFonts w:cstheme="minorHAnsi"/>
          </w:rPr>
          <w:t>https://itu.int/go/tsg11</w:t>
        </w:r>
      </w:hyperlink>
      <w:r w:rsidR="00CA6202" w:rsidRPr="00CA6202">
        <w:rPr>
          <w:rFonts w:cstheme="minorHAnsi"/>
        </w:rPr>
        <w:t>)</w:t>
      </w:r>
      <w:r w:rsidRPr="00CA6202">
        <w:rPr>
          <w:rFonts w:hint="cs"/>
          <w:rtl/>
        </w:rPr>
        <w:t>،</w:t>
      </w:r>
      <w:r w:rsidRPr="002016CF">
        <w:rPr>
          <w:rtl/>
        </w:rPr>
        <w:t xml:space="preserve"> </w:t>
      </w:r>
      <w:r w:rsidR="00CA6202">
        <w:rPr>
          <w:rFonts w:hint="cs"/>
          <w:rtl/>
          <w:lang w:bidi="ar-EG"/>
        </w:rPr>
        <w:t>يعترف</w:t>
      </w:r>
      <w:r w:rsidR="00273D3E">
        <w:rPr>
          <w:rFonts w:hint="cs"/>
          <w:rtl/>
          <w:lang w:bidi="ar-EG"/>
        </w:rPr>
        <w:t xml:space="preserve"> الاتحاد بمختبرات الاختبار</w:t>
      </w:r>
      <w:r w:rsidR="00DA6489">
        <w:rPr>
          <w:rFonts w:hint="eastAsia"/>
          <w:rtl/>
          <w:lang w:bidi="ar-EG"/>
        </w:rPr>
        <w:t> </w:t>
      </w:r>
      <w:r w:rsidR="00273D3E">
        <w:rPr>
          <w:lang w:val="en-GB" w:bidi="ar-EG"/>
        </w:rPr>
        <w:t>(TL)</w:t>
      </w:r>
      <w:r w:rsidR="00273D3E">
        <w:rPr>
          <w:rFonts w:hint="cs"/>
          <w:rtl/>
          <w:lang w:val="en-GB"/>
        </w:rPr>
        <w:t xml:space="preserve"> التي يغطي </w:t>
      </w:r>
      <w:r w:rsidR="00DD5A05">
        <w:rPr>
          <w:rFonts w:hint="cs"/>
          <w:rtl/>
          <w:lang w:val="en-GB"/>
        </w:rPr>
        <w:t>مجال</w:t>
      </w:r>
      <w:r w:rsidR="00273D3E">
        <w:rPr>
          <w:rFonts w:hint="cs"/>
          <w:rtl/>
          <w:lang w:val="en-GB"/>
        </w:rPr>
        <w:t xml:space="preserve"> </w:t>
      </w:r>
      <w:r w:rsidR="000B133B">
        <w:rPr>
          <w:rFonts w:hint="cs"/>
          <w:rtl/>
          <w:lang w:val="en-GB"/>
        </w:rPr>
        <w:t>الاعتماد الخاص بها</w:t>
      </w:r>
      <w:r w:rsidR="00273D3E">
        <w:rPr>
          <w:rFonts w:hint="cs"/>
          <w:rtl/>
          <w:lang w:val="en-GB"/>
        </w:rPr>
        <w:t xml:space="preserve"> </w:t>
      </w:r>
      <w:r w:rsidR="00CA6202">
        <w:rPr>
          <w:rFonts w:hint="cs"/>
          <w:rtl/>
          <w:lang w:val="en-GB"/>
        </w:rPr>
        <w:t>الاختبار</w:t>
      </w:r>
      <w:r w:rsidR="00273D3E">
        <w:rPr>
          <w:rFonts w:hint="cs"/>
          <w:rtl/>
          <w:lang w:val="en-GB"/>
        </w:rPr>
        <w:t xml:space="preserve"> وفقاً لمعايير قطاع تقييس الاتصالات. وت</w:t>
      </w:r>
      <w:r w:rsidR="007163AE">
        <w:rPr>
          <w:rFonts w:hint="cs"/>
          <w:rtl/>
          <w:lang w:val="en-GB"/>
        </w:rPr>
        <w:t>ُست</w:t>
      </w:r>
      <w:r w:rsidR="00273D3E">
        <w:rPr>
          <w:rFonts w:hint="cs"/>
          <w:rtl/>
          <w:lang w:val="en-GB"/>
        </w:rPr>
        <w:t>عمل قاعدة بيانات</w:t>
      </w:r>
      <w:r w:rsidR="004D7D76">
        <w:rPr>
          <w:rFonts w:hint="cs"/>
          <w:rtl/>
          <w:lang w:val="en-GB"/>
        </w:rPr>
        <w:t xml:space="preserve"> الاتحاد بشأن</w:t>
      </w:r>
      <w:r w:rsidR="00273D3E">
        <w:rPr>
          <w:rFonts w:hint="cs"/>
          <w:rtl/>
          <w:lang w:val="en-GB"/>
        </w:rPr>
        <w:t xml:space="preserve"> </w:t>
      </w:r>
      <w:r w:rsidR="000B133B">
        <w:rPr>
          <w:rFonts w:hint="cs"/>
          <w:rtl/>
          <w:lang w:val="en-GB"/>
        </w:rPr>
        <w:t xml:space="preserve">مختبرات الاختبار ذات الصلة منذ </w:t>
      </w:r>
      <w:r w:rsidR="000B133B">
        <w:rPr>
          <w:lang w:val="en-GB"/>
        </w:rPr>
        <w:t>10</w:t>
      </w:r>
      <w:r w:rsidR="000B133B">
        <w:rPr>
          <w:rFonts w:hint="cs"/>
          <w:rtl/>
          <w:lang w:val="en-GB"/>
        </w:rPr>
        <w:t xml:space="preserve"> ديسمبر </w:t>
      </w:r>
      <w:r w:rsidR="000B133B">
        <w:rPr>
          <w:lang w:val="en-GB"/>
        </w:rPr>
        <w:t>2021</w:t>
      </w:r>
      <w:r w:rsidR="000B133B">
        <w:rPr>
          <w:rFonts w:hint="cs"/>
          <w:rtl/>
          <w:lang w:val="en-GB"/>
        </w:rPr>
        <w:t>.</w:t>
      </w:r>
    </w:p>
    <w:p w14:paraId="355E8409" w14:textId="08873FA9" w:rsidR="00D517B2" w:rsidRDefault="00806C57" w:rsidP="00D517B2">
      <w:pPr>
        <w:rPr>
          <w:rtl/>
        </w:rPr>
      </w:pPr>
      <w:r>
        <w:rPr>
          <w:lang w:bidi="ar-SY"/>
        </w:rPr>
        <w:t>2</w:t>
      </w:r>
      <w:r>
        <w:rPr>
          <w:rtl/>
          <w:lang w:bidi="ar-EG"/>
        </w:rPr>
        <w:tab/>
      </w:r>
      <w:r w:rsidR="005B413A">
        <w:rPr>
          <w:rFonts w:hint="cs"/>
          <w:rtl/>
          <w:lang w:bidi="ar-EG"/>
        </w:rPr>
        <w:t>و</w:t>
      </w:r>
      <w:r w:rsidR="00CE11BA">
        <w:rPr>
          <w:rFonts w:hint="cs"/>
          <w:rtl/>
          <w:lang w:bidi="ar-EG"/>
        </w:rPr>
        <w:t>يك</w:t>
      </w:r>
      <w:r w:rsidR="00CE11BA" w:rsidRPr="00CE11BA">
        <w:rPr>
          <w:rtl/>
          <w:lang w:bidi="ar-EG"/>
        </w:rPr>
        <w:t xml:space="preserve">لف القرار </w:t>
      </w:r>
      <w:r w:rsidR="00CE11BA">
        <w:rPr>
          <w:lang w:bidi="ar-EG"/>
        </w:rPr>
        <w:t>76</w:t>
      </w:r>
      <w:r w:rsidR="00CE11BA" w:rsidRPr="00CE11BA">
        <w:rPr>
          <w:rtl/>
          <w:lang w:bidi="ar-EG"/>
        </w:rPr>
        <w:t xml:space="preserve"> </w:t>
      </w:r>
      <w:r w:rsidR="00CE11BA">
        <w:rPr>
          <w:rFonts w:hint="cs"/>
          <w:rtl/>
          <w:lang w:bidi="ar-EG"/>
        </w:rPr>
        <w:t>(ا</w:t>
      </w:r>
      <w:r w:rsidR="00CE11BA" w:rsidRPr="00CE11BA">
        <w:rPr>
          <w:rtl/>
          <w:lang w:bidi="ar-EG"/>
        </w:rPr>
        <w:t xml:space="preserve">لجمعية العالمية لتقييس الاتصالات لعام </w:t>
      </w:r>
      <w:r w:rsidR="00CE11BA">
        <w:rPr>
          <w:lang w:bidi="ar-EG"/>
        </w:rPr>
        <w:t>2016</w:t>
      </w:r>
      <w:r w:rsidR="00CE11BA">
        <w:rPr>
          <w:rFonts w:hint="cs"/>
          <w:rtl/>
        </w:rPr>
        <w:t>)</w:t>
      </w:r>
      <w:r w:rsidR="00CE11BA" w:rsidRPr="00CE11BA">
        <w:rPr>
          <w:rtl/>
          <w:lang w:bidi="ar-EG"/>
        </w:rPr>
        <w:t xml:space="preserve"> </w:t>
      </w:r>
      <w:r w:rsidR="00F566E3">
        <w:rPr>
          <w:rFonts w:hint="cs"/>
          <w:color w:val="000000"/>
          <w:rtl/>
        </w:rPr>
        <w:t>ا</w:t>
      </w:r>
      <w:r w:rsidR="0082319A">
        <w:rPr>
          <w:color w:val="000000"/>
          <w:rtl/>
        </w:rPr>
        <w:t>ل</w:t>
      </w:r>
      <w:r w:rsidR="00F566E3">
        <w:rPr>
          <w:rFonts w:hint="cs"/>
          <w:color w:val="000000"/>
          <w:rtl/>
        </w:rPr>
        <w:t>ل</w:t>
      </w:r>
      <w:r w:rsidR="0082319A">
        <w:rPr>
          <w:color w:val="000000"/>
          <w:rtl/>
        </w:rPr>
        <w:t>جنة التوجيه</w:t>
      </w:r>
      <w:r w:rsidR="00F566E3">
        <w:rPr>
          <w:rFonts w:hint="cs"/>
          <w:color w:val="000000"/>
          <w:rtl/>
        </w:rPr>
        <w:t>ية</w:t>
      </w:r>
      <w:r w:rsidR="0082319A">
        <w:rPr>
          <w:color w:val="000000"/>
          <w:rtl/>
        </w:rPr>
        <w:t xml:space="preserve"> المعنية بتقييم المطابقة</w:t>
      </w:r>
      <w:r w:rsidR="000D6EBB">
        <w:rPr>
          <w:rFonts w:hint="eastAsia"/>
          <w:color w:val="000000"/>
          <w:rtl/>
        </w:rPr>
        <w:t> </w:t>
      </w:r>
      <w:r w:rsidR="0082319A">
        <w:rPr>
          <w:lang w:val="en-GB" w:bidi="ar-EG"/>
        </w:rPr>
        <w:t>(CASC)</w:t>
      </w:r>
      <w:r w:rsidR="0082319A">
        <w:rPr>
          <w:rFonts w:hint="cs"/>
          <w:rtl/>
          <w:lang w:bidi="ar-EG"/>
        </w:rPr>
        <w:t xml:space="preserve"> </w:t>
      </w:r>
      <w:r w:rsidR="00CE11BA" w:rsidRPr="00CE11BA">
        <w:rPr>
          <w:rtl/>
          <w:lang w:bidi="ar-EG"/>
        </w:rPr>
        <w:t>التابعة للاتحاد</w:t>
      </w:r>
      <w:r w:rsidR="00CE11BA">
        <w:rPr>
          <w:rFonts w:hint="cs"/>
          <w:rtl/>
          <w:lang w:bidi="ar-EG"/>
        </w:rPr>
        <w:t xml:space="preserve"> </w:t>
      </w:r>
      <w:r w:rsidR="00CE11BA" w:rsidRPr="00CE11BA">
        <w:rPr>
          <w:rtl/>
          <w:lang w:bidi="ar-EG"/>
        </w:rPr>
        <w:t xml:space="preserve">بدراسة وتحديد إجراء من أجل الاعتراف </w:t>
      </w:r>
      <w:r w:rsidR="00CE11BA">
        <w:rPr>
          <w:rFonts w:hint="cs"/>
          <w:rtl/>
          <w:lang w:bidi="ar-EG"/>
        </w:rPr>
        <w:t>بمختبرات الاختبار المختصة</w:t>
      </w:r>
      <w:r w:rsidR="00CE11BA" w:rsidRPr="00CE11BA">
        <w:rPr>
          <w:rtl/>
          <w:lang w:bidi="ar-EG"/>
        </w:rPr>
        <w:t xml:space="preserve"> </w:t>
      </w:r>
      <w:r w:rsidR="0082319A">
        <w:rPr>
          <w:rFonts w:hint="cs"/>
          <w:rtl/>
          <w:lang w:bidi="ar-EG"/>
        </w:rPr>
        <w:t>في ا</w:t>
      </w:r>
      <w:r w:rsidR="00CE11BA" w:rsidRPr="00CE11BA">
        <w:rPr>
          <w:rtl/>
          <w:lang w:bidi="ar-EG"/>
        </w:rPr>
        <w:t>لاختبار وفقاً لتوصيات قطاع تقييس الاتصالات</w:t>
      </w:r>
      <w:r w:rsidR="00CE11BA">
        <w:rPr>
          <w:rFonts w:hint="cs"/>
          <w:rtl/>
          <w:lang w:bidi="ar-EG"/>
        </w:rPr>
        <w:t>.</w:t>
      </w:r>
    </w:p>
    <w:p w14:paraId="05C43763" w14:textId="4EDBF069" w:rsidR="00806C57" w:rsidRDefault="00806C57" w:rsidP="00D517B2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82319A">
        <w:rPr>
          <w:rFonts w:hint="cs"/>
          <w:rtl/>
          <w:lang w:bidi="ar-EG"/>
        </w:rPr>
        <w:t xml:space="preserve">واعتمدت لجنة الدراسات </w:t>
      </w:r>
      <w:r w:rsidR="0082319A">
        <w:rPr>
          <w:lang w:val="en-GB" w:bidi="ar-EG"/>
        </w:rPr>
        <w:t>11</w:t>
      </w:r>
      <w:r w:rsidR="00F566E3">
        <w:rPr>
          <w:rFonts w:hint="cs"/>
          <w:rtl/>
          <w:lang w:val="en-GB"/>
        </w:rPr>
        <w:t xml:space="preserve"> ا</w:t>
      </w:r>
      <w:r w:rsidR="0082319A">
        <w:rPr>
          <w:rFonts w:hint="cs"/>
          <w:rtl/>
        </w:rPr>
        <w:t xml:space="preserve">لمبادئ التوجيهية للاتحاد التي تحدد الإطار رفيع المستوى بشأن إجراء الاعتراف بمختبرات الاختبار وتعيين خبراء تقنيين </w:t>
      </w:r>
      <w:r w:rsidR="007163AE">
        <w:rPr>
          <w:rFonts w:hint="cs"/>
          <w:rtl/>
        </w:rPr>
        <w:t>ل</w:t>
      </w:r>
      <w:r w:rsidR="0082319A">
        <w:rPr>
          <w:rFonts w:hint="cs"/>
          <w:rtl/>
        </w:rPr>
        <w:t>لاتحاد يمكنهم المشاركة في فريق تقييم مختبرات الاختبار</w:t>
      </w:r>
      <w:r w:rsidR="007163AE">
        <w:rPr>
          <w:rFonts w:hint="cs"/>
          <w:rtl/>
        </w:rPr>
        <w:t>.</w:t>
      </w:r>
      <w:r w:rsidR="0082319A">
        <w:rPr>
          <w:rFonts w:hint="cs"/>
          <w:rtl/>
        </w:rPr>
        <w:t xml:space="preserve"> ويمكن الاطلاع على الوثيقتين في الموقع الإلكتروني </w:t>
      </w:r>
      <w:r w:rsidR="00F566E3">
        <w:rPr>
          <w:rFonts w:hint="cs"/>
          <w:rtl/>
        </w:rPr>
        <w:t>للجنة التوجيهية</w:t>
      </w:r>
      <w:r w:rsidR="0082319A">
        <w:rPr>
          <w:rFonts w:hint="cs"/>
          <w:rtl/>
        </w:rPr>
        <w:t xml:space="preserve"> المعنية بالمطابقة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hyperlink r:id="rId11" w:history="1">
        <w:r w:rsidRPr="003148AD">
          <w:rPr>
            <w:rStyle w:val="Hyperlink"/>
            <w:rFonts w:cstheme="minorHAnsi"/>
          </w:rPr>
          <w:t>https://itu.int/go/casc</w:t>
        </w:r>
      </w:hyperlink>
      <w:r>
        <w:rPr>
          <w:lang w:bidi="ar-EG"/>
        </w:rPr>
        <w:t>)</w:t>
      </w:r>
      <w:r w:rsidR="00EF4575">
        <w:rPr>
          <w:rFonts w:hint="cs"/>
          <w:rtl/>
          <w:lang w:bidi="ar-EG"/>
        </w:rPr>
        <w:t>.</w:t>
      </w:r>
    </w:p>
    <w:p w14:paraId="5C301599" w14:textId="3F4EECDC" w:rsidR="00806C57" w:rsidRPr="00DD5A05" w:rsidRDefault="00806C57" w:rsidP="009C65BB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7163AE">
        <w:rPr>
          <w:rFonts w:hint="cs"/>
          <w:rtl/>
          <w:lang w:bidi="ar-EG"/>
        </w:rPr>
        <w:t>وبناءً على</w:t>
      </w:r>
      <w:r w:rsidR="00F566E3">
        <w:rPr>
          <w:rFonts w:hint="cs"/>
          <w:rtl/>
          <w:lang w:bidi="ar-EG"/>
        </w:rPr>
        <w:t xml:space="preserve"> التعاون بين اللجنة التوجيهية المعنية بالمطابقة</w:t>
      </w:r>
      <w:r w:rsidR="007163AE">
        <w:rPr>
          <w:rFonts w:hint="cs"/>
          <w:rtl/>
          <w:lang w:bidi="ar-EG"/>
        </w:rPr>
        <w:t xml:space="preserve"> التابعة للاتحاد</w:t>
      </w:r>
      <w:r w:rsidR="00F566E3">
        <w:rPr>
          <w:rFonts w:hint="cs"/>
          <w:rtl/>
          <w:lang w:bidi="ar-EG"/>
        </w:rPr>
        <w:t xml:space="preserve"> </w:t>
      </w:r>
      <w:r w:rsidR="00745F36">
        <w:rPr>
          <w:lang w:bidi="ar-EG"/>
        </w:rPr>
        <w:t>(CASC)</w:t>
      </w:r>
      <w:r w:rsidR="00745F36">
        <w:rPr>
          <w:rFonts w:hint="cs"/>
          <w:rtl/>
          <w:lang w:bidi="ar-EG"/>
        </w:rPr>
        <w:t xml:space="preserve"> </w:t>
      </w:r>
      <w:r w:rsidR="00F566E3">
        <w:rPr>
          <w:rFonts w:hint="cs"/>
          <w:rtl/>
          <w:lang w:bidi="ar-EG"/>
        </w:rPr>
        <w:t>و</w:t>
      </w:r>
      <w:r w:rsidR="00FE136C">
        <w:rPr>
          <w:rFonts w:hint="cs"/>
          <w:rtl/>
        </w:rPr>
        <w:t xml:space="preserve">هيئة </w:t>
      </w:r>
      <w:r w:rsidR="00F566E3">
        <w:rPr>
          <w:rFonts w:hint="cs"/>
          <w:rtl/>
          <w:lang w:bidi="ar-EG"/>
        </w:rPr>
        <w:t>التعاون الدولي لاعتماد المختبرات</w:t>
      </w:r>
      <w:r w:rsidR="00213304">
        <w:rPr>
          <w:rFonts w:hint="eastAsia"/>
          <w:rtl/>
          <w:lang w:bidi="ar-EG"/>
        </w:rPr>
        <w:t> </w:t>
      </w:r>
      <w:r w:rsidR="00F566E3">
        <w:rPr>
          <w:lang w:val="en-GB" w:bidi="ar-EG"/>
        </w:rPr>
        <w:t>(ILAC)</w:t>
      </w:r>
      <w:r w:rsidR="00F566E3">
        <w:rPr>
          <w:rFonts w:hint="cs"/>
          <w:rtl/>
          <w:lang w:val="en-GB"/>
        </w:rPr>
        <w:t xml:space="preserve">، قررت لجنة الدراسات </w:t>
      </w:r>
      <w:r w:rsidR="00F566E3">
        <w:rPr>
          <w:lang w:val="en-GB"/>
        </w:rPr>
        <w:t>11</w:t>
      </w:r>
      <w:r w:rsidR="00F566E3">
        <w:rPr>
          <w:rFonts w:hint="cs"/>
          <w:rtl/>
          <w:lang w:val="en-GB"/>
        </w:rPr>
        <w:t xml:space="preserve"> أن يعترف الاتحاد بمختبرات الاختبار المعتمدة من</w:t>
      </w:r>
      <w:r w:rsidR="007163AE">
        <w:rPr>
          <w:rFonts w:hint="cs"/>
          <w:rtl/>
          <w:lang w:val="en-GB"/>
        </w:rPr>
        <w:t xml:space="preserve"> جانب</w:t>
      </w:r>
      <w:r w:rsidR="00F566E3">
        <w:rPr>
          <w:rFonts w:hint="cs"/>
          <w:rtl/>
          <w:lang w:val="en-GB"/>
        </w:rPr>
        <w:t xml:space="preserve"> هيئة اعتماد </w:t>
      </w:r>
      <w:r w:rsidR="00F566E3">
        <w:rPr>
          <w:lang w:val="en-GB"/>
        </w:rPr>
        <w:t>(AB)</w:t>
      </w:r>
      <w:r w:rsidR="00F566E3">
        <w:rPr>
          <w:rFonts w:hint="cs"/>
          <w:rtl/>
          <w:lang w:val="en-GB"/>
        </w:rPr>
        <w:t xml:space="preserve"> موقعة على </w:t>
      </w:r>
      <w:r w:rsidR="007163AE">
        <w:rPr>
          <w:rFonts w:hint="cs"/>
          <w:rtl/>
          <w:lang w:val="en-GB"/>
        </w:rPr>
        <w:t>اتفاق</w:t>
      </w:r>
      <w:r w:rsidR="00F566E3">
        <w:rPr>
          <w:rFonts w:hint="cs"/>
          <w:rtl/>
          <w:lang w:val="en-GB"/>
        </w:rPr>
        <w:t xml:space="preserve"> الاعتراف المتبادل </w:t>
      </w:r>
      <w:r w:rsidR="00F566E3">
        <w:rPr>
          <w:lang w:val="en-GB"/>
        </w:rPr>
        <w:t>(MRA)</w:t>
      </w:r>
      <w:r w:rsidR="00F566E3">
        <w:rPr>
          <w:rFonts w:hint="cs"/>
          <w:rtl/>
          <w:lang w:val="en-GB"/>
        </w:rPr>
        <w:t xml:space="preserve"> </w:t>
      </w:r>
      <w:r w:rsidR="00FE136C">
        <w:rPr>
          <w:rFonts w:hint="cs"/>
          <w:rtl/>
          <w:lang w:val="en-GB"/>
        </w:rPr>
        <w:t xml:space="preserve">لهيئة </w:t>
      </w:r>
      <w:r w:rsidR="00FE136C">
        <w:rPr>
          <w:lang w:val="en-GB"/>
        </w:rPr>
        <w:t>ILAC</w:t>
      </w:r>
      <w:r w:rsidR="00FE136C">
        <w:rPr>
          <w:rFonts w:hint="cs"/>
          <w:rtl/>
          <w:lang w:val="en-GB"/>
        </w:rPr>
        <w:t xml:space="preserve"> من أجل الاختبار </w:t>
      </w:r>
      <w:r w:rsidR="00FE136C" w:rsidRPr="003148AD">
        <w:rPr>
          <w:rFonts w:cstheme="minorHAnsi"/>
        </w:rPr>
        <w:t>(</w:t>
      </w:r>
      <w:hyperlink r:id="rId12" w:history="1">
        <w:r w:rsidR="00FE136C" w:rsidRPr="003148AD">
          <w:rPr>
            <w:rStyle w:val="Hyperlink"/>
            <w:rFonts w:cstheme="minorHAnsi"/>
          </w:rPr>
          <w:t>https://ilac.org/ilac-mra-and-signatories/</w:t>
        </w:r>
      </w:hyperlink>
      <w:r w:rsidR="00FE136C" w:rsidRPr="003148AD">
        <w:rPr>
          <w:rFonts w:cstheme="minorHAnsi"/>
        </w:rPr>
        <w:t>)</w:t>
      </w:r>
      <w:r w:rsidR="00FE136C">
        <w:rPr>
          <w:rFonts w:hint="cs"/>
          <w:rtl/>
        </w:rPr>
        <w:t xml:space="preserve">، والتي </w:t>
      </w:r>
      <w:r w:rsidR="00DD5A05">
        <w:rPr>
          <w:rFonts w:hint="cs"/>
          <w:rtl/>
        </w:rPr>
        <w:t xml:space="preserve">يتضمن مجال الاعتماد الخاص بها توصيات قطاع تقييس الاتصالات. ويجب تقديم الطلب ذي الصلة من خلال </w:t>
      </w:r>
      <w:hyperlink r:id="rId13" w:history="1">
        <w:r w:rsidR="00DD5A05" w:rsidRPr="00F3608A">
          <w:rPr>
            <w:rStyle w:val="Hyperlink"/>
            <w:rFonts w:hint="cs"/>
            <w:rtl/>
          </w:rPr>
          <w:t>النموذج</w:t>
        </w:r>
        <w:r w:rsidR="003A691E" w:rsidRPr="00F3608A">
          <w:rPr>
            <w:rStyle w:val="Hyperlink"/>
            <w:rFonts w:hint="eastAsia"/>
            <w:rtl/>
          </w:rPr>
          <w:t> </w:t>
        </w:r>
        <w:r w:rsidR="00DD5A05" w:rsidRPr="00F3608A">
          <w:rPr>
            <w:rStyle w:val="Hyperlink"/>
            <w:rFonts w:hint="cs"/>
            <w:rtl/>
          </w:rPr>
          <w:t>الإلكتروني</w:t>
        </w:r>
      </w:hyperlink>
      <w:r w:rsidR="00DD5A05">
        <w:rPr>
          <w:rFonts w:hint="cs"/>
          <w:rtl/>
        </w:rPr>
        <w:t xml:space="preserve"> المتاح في بوابة الاتحاد الخاصة بالمطابقة وقابلية التشغيل البيني </w:t>
      </w:r>
      <w:r w:rsidR="00DD5A05" w:rsidRPr="003148AD">
        <w:rPr>
          <w:rFonts w:cstheme="minorHAnsi"/>
        </w:rPr>
        <w:t>(</w:t>
      </w:r>
      <w:hyperlink r:id="rId14" w:history="1">
        <w:r w:rsidR="00DD5A05" w:rsidRPr="00527D01">
          <w:rPr>
            <w:rStyle w:val="Hyperlink"/>
            <w:rFonts w:cstheme="minorHAnsi"/>
          </w:rPr>
          <w:t>https://itu.int/go/citest)</w:t>
        </w:r>
      </w:hyperlink>
      <w:r w:rsidR="00DD5A05">
        <w:rPr>
          <w:rFonts w:hint="cs"/>
          <w:rtl/>
        </w:rPr>
        <w:t xml:space="preserve">. </w:t>
      </w:r>
      <w:r w:rsidR="009C65BB">
        <w:rPr>
          <w:rFonts w:hint="cs"/>
          <w:rtl/>
        </w:rPr>
        <w:t>و</w:t>
      </w:r>
      <w:r w:rsidR="00243ED8">
        <w:rPr>
          <w:rFonts w:hint="cs"/>
          <w:rtl/>
        </w:rPr>
        <w:t xml:space="preserve">سيُدرج مختبر الاختبار المعترف به في قاعدة بيانات </w:t>
      </w:r>
      <w:r w:rsidR="005B413A">
        <w:rPr>
          <w:rFonts w:hint="cs"/>
          <w:rtl/>
        </w:rPr>
        <w:t xml:space="preserve">الاتحاد بشأن </w:t>
      </w:r>
      <w:r w:rsidR="00243ED8">
        <w:rPr>
          <w:rFonts w:hint="cs"/>
          <w:rtl/>
        </w:rPr>
        <w:t xml:space="preserve">مختبرات الاختبار </w:t>
      </w:r>
      <w:r w:rsidR="009C65BB">
        <w:rPr>
          <w:rFonts w:hint="cs"/>
          <w:rtl/>
        </w:rPr>
        <w:t>تبعاً لذلك.</w:t>
      </w:r>
    </w:p>
    <w:p w14:paraId="410972DD" w14:textId="2F28FB5D" w:rsidR="00806C57" w:rsidRPr="006A1885" w:rsidRDefault="00806C57" w:rsidP="00F566E3">
      <w:pPr>
        <w:rPr>
          <w:lang w:val="en-GB"/>
        </w:rPr>
      </w:pPr>
      <w:r w:rsidRPr="004E27E5">
        <w:rPr>
          <w:rFonts w:hint="cs"/>
          <w:rtl/>
          <w:lang w:bidi="ar-EG"/>
        </w:rPr>
        <w:t>5</w:t>
      </w:r>
      <w:r w:rsidRPr="004E27E5">
        <w:rPr>
          <w:lang w:bidi="ar-EG"/>
        </w:rPr>
        <w:tab/>
      </w:r>
      <w:r w:rsidR="002954B0" w:rsidRPr="004E27E5">
        <w:rPr>
          <w:rFonts w:hint="cs"/>
          <w:rtl/>
        </w:rPr>
        <w:t xml:space="preserve">ويتعين على أي مختبر اختبار بما في ذلك </w:t>
      </w:r>
      <w:r w:rsidR="003239E6" w:rsidRPr="004E27E5">
        <w:rPr>
          <w:rFonts w:hint="cs"/>
          <w:rtl/>
        </w:rPr>
        <w:t xml:space="preserve">الكيانات </w:t>
      </w:r>
      <w:r w:rsidR="00643783" w:rsidRPr="004E27E5">
        <w:rPr>
          <w:rFonts w:hint="cs"/>
          <w:rtl/>
        </w:rPr>
        <w:t xml:space="preserve">من </w:t>
      </w:r>
      <w:r w:rsidR="002954B0" w:rsidRPr="004E27E5">
        <w:rPr>
          <w:rFonts w:hint="cs"/>
          <w:rtl/>
        </w:rPr>
        <w:t xml:space="preserve">غير الأعضاء في الاتحاد، </w:t>
      </w:r>
      <w:r w:rsidR="006127CA" w:rsidRPr="004E27E5">
        <w:rPr>
          <w:rFonts w:hint="cs"/>
          <w:rtl/>
        </w:rPr>
        <w:t>يبدي</w:t>
      </w:r>
      <w:r w:rsidR="002954B0" w:rsidRPr="004E27E5">
        <w:rPr>
          <w:rFonts w:hint="cs"/>
          <w:rtl/>
        </w:rPr>
        <w:t xml:space="preserve"> اهتمامه </w:t>
      </w:r>
      <w:r w:rsidR="00200480" w:rsidRPr="004E27E5">
        <w:rPr>
          <w:rFonts w:hint="cs"/>
          <w:rtl/>
        </w:rPr>
        <w:t>بالحصول على الاعتماد</w:t>
      </w:r>
      <w:r w:rsidR="002954B0" w:rsidRPr="004E27E5">
        <w:rPr>
          <w:rFonts w:hint="cs"/>
          <w:rtl/>
        </w:rPr>
        <w:t xml:space="preserve"> وفقاً لتوصيات قطاع تقييس الاتصالات لكي يعترف به الاتحاد كذلك، </w:t>
      </w:r>
      <w:r w:rsidR="002F571B" w:rsidRPr="004E27E5">
        <w:rPr>
          <w:rFonts w:hint="cs"/>
          <w:rtl/>
        </w:rPr>
        <w:t xml:space="preserve">الاتصال بهيئة اعتماد </w:t>
      </w:r>
      <w:r w:rsidR="002F571B" w:rsidRPr="004E27E5">
        <w:rPr>
          <w:rFonts w:hint="cs"/>
          <w:rtl/>
          <w:lang w:val="en-GB"/>
        </w:rPr>
        <w:t xml:space="preserve">موقعة على </w:t>
      </w:r>
      <w:r w:rsidR="004E27E5" w:rsidRPr="004E27E5">
        <w:rPr>
          <w:rFonts w:hint="cs"/>
          <w:rtl/>
          <w:lang w:val="en-GB"/>
        </w:rPr>
        <w:t>اتفاق</w:t>
      </w:r>
      <w:r w:rsidR="002F571B" w:rsidRPr="004E27E5">
        <w:rPr>
          <w:rFonts w:hint="cs"/>
          <w:rtl/>
          <w:lang w:val="en-GB"/>
        </w:rPr>
        <w:t xml:space="preserve"> الاعتراف المتبادل لهيئة </w:t>
      </w:r>
      <w:r w:rsidR="00D3468D" w:rsidRPr="004E27E5">
        <w:rPr>
          <w:rFonts w:hint="cs"/>
          <w:rtl/>
          <w:lang w:bidi="ar-EG"/>
        </w:rPr>
        <w:t>التعاون الدولي لاعتماد المختبرات</w:t>
      </w:r>
      <w:r w:rsidR="006A1885" w:rsidRPr="004E27E5">
        <w:rPr>
          <w:rFonts w:hint="cs"/>
          <w:rtl/>
          <w:lang w:val="en-GB"/>
        </w:rPr>
        <w:t xml:space="preserve">. </w:t>
      </w:r>
      <w:r w:rsidR="002F571B" w:rsidRPr="004E27E5">
        <w:rPr>
          <w:rFonts w:hint="cs"/>
          <w:rtl/>
          <w:lang w:val="en-GB"/>
        </w:rPr>
        <w:t xml:space="preserve">ويمكن الاطلاع على قائمة هيئات الاعتماد في الموقع التالي: </w:t>
      </w:r>
      <w:hyperlink r:id="rId15" w:history="1">
        <w:r w:rsidR="002F571B" w:rsidRPr="00EF4575">
          <w:rPr>
            <w:rStyle w:val="Hyperlink"/>
            <w:rFonts w:cstheme="minorHAnsi"/>
          </w:rPr>
          <w:t>https://ilac.org/signatory-search/</w:t>
        </w:r>
      </w:hyperlink>
      <w:r w:rsidR="002F571B" w:rsidRPr="004E27E5">
        <w:rPr>
          <w:rFonts w:hint="cs"/>
          <w:rtl/>
        </w:rPr>
        <w:t xml:space="preserve">. وبعد ذلك، </w:t>
      </w:r>
      <w:r w:rsidR="006A1885" w:rsidRPr="004E27E5">
        <w:rPr>
          <w:rFonts w:hint="cs"/>
          <w:rtl/>
        </w:rPr>
        <w:t>و</w:t>
      </w:r>
      <w:r w:rsidR="002F571B" w:rsidRPr="004E27E5">
        <w:rPr>
          <w:rFonts w:hint="cs"/>
          <w:rtl/>
        </w:rPr>
        <w:t xml:space="preserve">بمجرد منح الاعتماد لمختبر الاختبار وتقديم </w:t>
      </w:r>
      <w:r w:rsidR="001B16EF" w:rsidRPr="004E27E5">
        <w:rPr>
          <w:rFonts w:hint="cs"/>
          <w:rtl/>
        </w:rPr>
        <w:t>مختبر الاختبار</w:t>
      </w:r>
      <w:r w:rsidR="002F571B" w:rsidRPr="004E27E5">
        <w:rPr>
          <w:rFonts w:hint="cs"/>
          <w:rtl/>
        </w:rPr>
        <w:t xml:space="preserve"> لنموذج الطلب ذي الصلة إلى الاتحاد، يمكن للاتحاد </w:t>
      </w:r>
      <w:r w:rsidR="006A1885" w:rsidRPr="004E27E5">
        <w:rPr>
          <w:rFonts w:hint="cs"/>
          <w:rtl/>
        </w:rPr>
        <w:t>الاعتراف</w:t>
      </w:r>
      <w:r w:rsidR="002F571B" w:rsidRPr="004E27E5">
        <w:rPr>
          <w:rFonts w:hint="cs"/>
          <w:rtl/>
        </w:rPr>
        <w:t xml:space="preserve"> بمختبر الاختبار </w:t>
      </w:r>
      <w:r w:rsidR="003239E6" w:rsidRPr="004E27E5">
        <w:rPr>
          <w:rFonts w:hint="cs"/>
          <w:rtl/>
        </w:rPr>
        <w:t>تبعاً</w:t>
      </w:r>
      <w:r w:rsidR="002F571B" w:rsidRPr="004E27E5">
        <w:rPr>
          <w:rFonts w:hint="cs"/>
          <w:rtl/>
        </w:rPr>
        <w:t xml:space="preserve"> لذلك.</w:t>
      </w:r>
    </w:p>
    <w:p w14:paraId="548BAB54" w14:textId="3C1A9DEC" w:rsidR="00806C57" w:rsidRDefault="00806C57" w:rsidP="00D517B2">
      <w:pPr>
        <w:rPr>
          <w:rtl/>
        </w:rPr>
      </w:pPr>
      <w:r>
        <w:rPr>
          <w:rFonts w:hint="cs"/>
          <w:rtl/>
          <w:lang w:bidi="ar-EG"/>
        </w:rPr>
        <w:lastRenderedPageBreak/>
        <w:t>6</w:t>
      </w:r>
      <w:r>
        <w:rPr>
          <w:lang w:bidi="ar-EG"/>
        </w:rPr>
        <w:tab/>
      </w:r>
      <w:r w:rsidR="00BA6302">
        <w:rPr>
          <w:rFonts w:hint="cs"/>
          <w:rtl/>
        </w:rPr>
        <w:t>و</w:t>
      </w:r>
      <w:r w:rsidR="00B04A7D">
        <w:rPr>
          <w:rFonts w:hint="cs"/>
          <w:rtl/>
        </w:rPr>
        <w:t xml:space="preserve">يمكن تسجيل </w:t>
      </w:r>
      <w:r w:rsidR="00643783">
        <w:rPr>
          <w:rFonts w:hint="cs"/>
          <w:rtl/>
        </w:rPr>
        <w:t xml:space="preserve">جميع منتجات تكنولوجيا المعلومات والاتصالات التي </w:t>
      </w:r>
      <w:r w:rsidR="00BA6302">
        <w:rPr>
          <w:rFonts w:hint="cs"/>
          <w:rtl/>
        </w:rPr>
        <w:t>تختبرها</w:t>
      </w:r>
      <w:r w:rsidR="00BD3A1A">
        <w:rPr>
          <w:rFonts w:hint="cs"/>
          <w:rtl/>
        </w:rPr>
        <w:t xml:space="preserve"> م</w:t>
      </w:r>
      <w:r w:rsidR="00BA6302">
        <w:rPr>
          <w:rFonts w:hint="cs"/>
          <w:rtl/>
        </w:rPr>
        <w:t>ختبرات اختبار معترف بها من الاتحاد،</w:t>
      </w:r>
      <w:r w:rsidR="00643783">
        <w:rPr>
          <w:rFonts w:hint="cs"/>
          <w:rtl/>
        </w:rPr>
        <w:t xml:space="preserve"> </w:t>
      </w:r>
      <w:r w:rsidR="004E27E5">
        <w:rPr>
          <w:rFonts w:hint="cs"/>
          <w:rtl/>
        </w:rPr>
        <w:t>وفقاً</w:t>
      </w:r>
      <w:r w:rsidR="00BD3A1A">
        <w:rPr>
          <w:rFonts w:hint="cs"/>
          <w:rtl/>
        </w:rPr>
        <w:t xml:space="preserve"> </w:t>
      </w:r>
      <w:r w:rsidR="004E27E5">
        <w:rPr>
          <w:rFonts w:hint="cs"/>
          <w:rtl/>
        </w:rPr>
        <w:t>ل</w:t>
      </w:r>
      <w:r w:rsidR="00BD3A1A">
        <w:rPr>
          <w:rFonts w:hint="cs"/>
          <w:rtl/>
        </w:rPr>
        <w:t xml:space="preserve">توصيات قطاع تقييس الاتصالات، </w:t>
      </w:r>
      <w:r w:rsidR="00643783">
        <w:rPr>
          <w:rFonts w:hint="cs"/>
          <w:rtl/>
        </w:rPr>
        <w:t>في قاعدة بيانات</w:t>
      </w:r>
      <w:r w:rsidR="00BA6302">
        <w:rPr>
          <w:rFonts w:hint="cs"/>
          <w:rtl/>
        </w:rPr>
        <w:t xml:space="preserve"> الاتحاد بشأن</w:t>
      </w:r>
      <w:r w:rsidR="00643783">
        <w:rPr>
          <w:rFonts w:hint="cs"/>
          <w:rtl/>
        </w:rPr>
        <w:t xml:space="preserve"> مطابقة </w:t>
      </w:r>
      <w:r w:rsidR="00BA6302">
        <w:rPr>
          <w:rFonts w:hint="cs"/>
          <w:rtl/>
        </w:rPr>
        <w:t>ال</w:t>
      </w:r>
      <w:r w:rsidR="00643783">
        <w:rPr>
          <w:rFonts w:hint="cs"/>
          <w:rtl/>
        </w:rPr>
        <w:t xml:space="preserve">منتجات </w:t>
      </w:r>
      <w:r w:rsidR="00643783" w:rsidRPr="00643783">
        <w:rPr>
          <w:rFonts w:cstheme="minorHAnsi"/>
        </w:rPr>
        <w:t>(</w:t>
      </w:r>
      <w:hyperlink r:id="rId16" w:history="1">
        <w:r w:rsidR="00643783" w:rsidRPr="00643783">
          <w:rPr>
            <w:rStyle w:val="Hyperlink"/>
            <w:rFonts w:cstheme="minorHAnsi"/>
          </w:rPr>
          <w:t>https://itu.int/go/tcdb</w:t>
        </w:r>
      </w:hyperlink>
      <w:r w:rsidR="00643783" w:rsidRPr="00643783">
        <w:rPr>
          <w:rFonts w:cstheme="minorHAnsi"/>
        </w:rPr>
        <w:t>)</w:t>
      </w:r>
      <w:r w:rsidR="00643783">
        <w:rPr>
          <w:rFonts w:hint="cs"/>
          <w:rtl/>
        </w:rPr>
        <w:t xml:space="preserve"> </w:t>
      </w:r>
      <w:r w:rsidR="00BA6302">
        <w:rPr>
          <w:rFonts w:hint="cs"/>
          <w:rtl/>
        </w:rPr>
        <w:t xml:space="preserve"> </w:t>
      </w:r>
      <w:r w:rsidR="004E27E5">
        <w:rPr>
          <w:rFonts w:hint="cs"/>
          <w:rtl/>
        </w:rPr>
        <w:t>بناء</w:t>
      </w:r>
      <w:r w:rsidR="00D104D4">
        <w:rPr>
          <w:rFonts w:hint="cs"/>
          <w:rtl/>
        </w:rPr>
        <w:t>ً</w:t>
      </w:r>
      <w:r w:rsidR="004E27E5">
        <w:rPr>
          <w:rFonts w:hint="cs"/>
          <w:rtl/>
        </w:rPr>
        <w:t xml:space="preserve"> على الطلب</w:t>
      </w:r>
      <w:r w:rsidR="004E27E5" w:rsidRPr="00643783">
        <w:rPr>
          <w:rFonts w:hint="cs"/>
          <w:rtl/>
        </w:rPr>
        <w:t>.</w:t>
      </w:r>
      <w:r w:rsidR="004E27E5" w:rsidRPr="00643783">
        <w:rPr>
          <w:rFonts w:cstheme="minorHAnsi"/>
        </w:rPr>
        <w:t xml:space="preserve"> </w:t>
      </w:r>
      <w:r w:rsidR="00BA6302">
        <w:rPr>
          <w:rFonts w:hint="cs"/>
          <w:rtl/>
        </w:rPr>
        <w:t>و</w:t>
      </w:r>
      <w:r w:rsidR="004E27E5">
        <w:rPr>
          <w:rFonts w:hint="cs"/>
          <w:rtl/>
        </w:rPr>
        <w:t xml:space="preserve">عليه، </w:t>
      </w:r>
      <w:r w:rsidR="00BA6302">
        <w:rPr>
          <w:rFonts w:hint="cs"/>
          <w:rtl/>
        </w:rPr>
        <w:t>ي</w:t>
      </w:r>
      <w:r w:rsidR="00BD3A1A">
        <w:rPr>
          <w:rFonts w:hint="cs"/>
          <w:rtl/>
        </w:rPr>
        <w:t>تعين على أصحاب المصلحة المعنيين</w:t>
      </w:r>
      <w:r w:rsidR="00BA6302">
        <w:rPr>
          <w:rFonts w:hint="cs"/>
          <w:rtl/>
        </w:rPr>
        <w:t xml:space="preserve"> تقديم الطلبات </w:t>
      </w:r>
      <w:r w:rsidR="00BD3A1A">
        <w:rPr>
          <w:rFonts w:hint="cs"/>
          <w:rtl/>
        </w:rPr>
        <w:t>ذات الصلة</w:t>
      </w:r>
      <w:r w:rsidR="00B04A7D">
        <w:rPr>
          <w:rFonts w:hint="cs"/>
          <w:rtl/>
        </w:rPr>
        <w:t xml:space="preserve"> عبر </w:t>
      </w:r>
      <w:hyperlink r:id="rId17" w:history="1">
        <w:r w:rsidR="00B04A7D" w:rsidRPr="00D104D4">
          <w:rPr>
            <w:rStyle w:val="Hyperlink"/>
            <w:rFonts w:hint="cs"/>
            <w:rtl/>
          </w:rPr>
          <w:t>النموذج الإلكتروني</w:t>
        </w:r>
      </w:hyperlink>
      <w:r w:rsidR="00B04A7D">
        <w:rPr>
          <w:rFonts w:hint="cs"/>
          <w:rtl/>
        </w:rPr>
        <w:t>.</w:t>
      </w:r>
    </w:p>
    <w:p w14:paraId="70F65771" w14:textId="6AB5B96B" w:rsidR="00806C57" w:rsidRDefault="004076A3" w:rsidP="00D517B2">
      <w:r>
        <w:rPr>
          <w:rFonts w:hint="cs"/>
          <w:rtl/>
          <w:lang w:bidi="ar-EG"/>
        </w:rPr>
        <w:t>7</w:t>
      </w:r>
      <w:r>
        <w:rPr>
          <w:lang w:bidi="ar-EG"/>
        </w:rPr>
        <w:tab/>
      </w:r>
      <w:r w:rsidR="001C4732">
        <w:rPr>
          <w:rFonts w:hint="cs"/>
          <w:rtl/>
        </w:rPr>
        <w:t>وتُدع</w:t>
      </w:r>
      <w:r w:rsidR="001C4732" w:rsidRPr="001C4732">
        <w:rPr>
          <w:rtl/>
          <w:lang w:bidi="ar-EG"/>
        </w:rPr>
        <w:t xml:space="preserve">ى جميع الأطراف المهتمة، </w:t>
      </w:r>
      <w:r w:rsidR="001C4732">
        <w:rPr>
          <w:rFonts w:hint="cs"/>
          <w:rtl/>
          <w:lang w:bidi="ar-EG"/>
        </w:rPr>
        <w:t>بما في ذلك</w:t>
      </w:r>
      <w:r w:rsidR="00216470">
        <w:rPr>
          <w:rFonts w:hint="cs"/>
          <w:rtl/>
          <w:lang w:bidi="ar-EG"/>
        </w:rPr>
        <w:t xml:space="preserve"> الكيانات</w:t>
      </w:r>
      <w:r w:rsidR="001C4732">
        <w:rPr>
          <w:rFonts w:hint="cs"/>
          <w:rtl/>
          <w:lang w:bidi="ar-EG"/>
        </w:rPr>
        <w:t xml:space="preserve"> غير الأعضاء في الاتحاد، </w:t>
      </w:r>
      <w:r w:rsidR="001C4732" w:rsidRPr="001C4732">
        <w:rPr>
          <w:rtl/>
          <w:lang w:bidi="ar-EG"/>
        </w:rPr>
        <w:t xml:space="preserve">إلى </w:t>
      </w:r>
      <w:r w:rsidR="00006618">
        <w:rPr>
          <w:rFonts w:hint="cs"/>
          <w:rtl/>
          <w:lang w:bidi="ar-EG"/>
        </w:rPr>
        <w:t>تقديم بيانات من أجل</w:t>
      </w:r>
      <w:r w:rsidR="001C4732" w:rsidRPr="001C4732">
        <w:rPr>
          <w:rtl/>
          <w:lang w:bidi="ar-EG"/>
        </w:rPr>
        <w:t xml:space="preserve"> قاعدة </w:t>
      </w:r>
      <w:r w:rsidR="001C4732">
        <w:rPr>
          <w:rFonts w:hint="cs"/>
          <w:rtl/>
          <w:lang w:bidi="ar-EG"/>
        </w:rPr>
        <w:t xml:space="preserve">بيانات </w:t>
      </w:r>
      <w:r w:rsidR="00132506">
        <w:rPr>
          <w:rFonts w:hint="cs"/>
          <w:rtl/>
          <w:lang w:bidi="ar-EG"/>
        </w:rPr>
        <w:t xml:space="preserve">الاتحاد بشأن </w:t>
      </w:r>
      <w:r w:rsidR="001C4732">
        <w:rPr>
          <w:rFonts w:hint="cs"/>
          <w:rtl/>
          <w:lang w:bidi="ar-EG"/>
        </w:rPr>
        <w:t xml:space="preserve">مختبرات الاختبار </w:t>
      </w:r>
      <w:r w:rsidR="001C4732" w:rsidRPr="001C4732">
        <w:rPr>
          <w:rtl/>
          <w:lang w:bidi="ar-EG"/>
        </w:rPr>
        <w:t xml:space="preserve">وقاعدة </w:t>
      </w:r>
      <w:r w:rsidR="001C4732">
        <w:rPr>
          <w:rFonts w:hint="cs"/>
          <w:rtl/>
          <w:lang w:bidi="ar-EG"/>
        </w:rPr>
        <w:t>بيانات الاتحاد بشأن مطابقة المنتجات.</w:t>
      </w:r>
      <w:r w:rsidR="00006618">
        <w:rPr>
          <w:rFonts w:hint="cs"/>
          <w:rtl/>
          <w:lang w:bidi="ar-EG"/>
        </w:rPr>
        <w:t xml:space="preserve"> ويمكن استعمال هذا النهج لزيادة وعى العملاء بشأن توصيات قطاع تقييس الاتصالات التي يجري تنفيذها بشأن معدات تكنولوجيا المعلومات والاتصالات</w:t>
      </w:r>
      <w:r w:rsidR="002702E7">
        <w:rPr>
          <w:rFonts w:hint="cs"/>
          <w:rtl/>
        </w:rPr>
        <w:t xml:space="preserve"> باعتباره نوعاً من نُهج</w:t>
      </w:r>
      <w:r w:rsidR="002F7FCA">
        <w:rPr>
          <w:rFonts w:hint="cs"/>
          <w:rtl/>
        </w:rPr>
        <w:t xml:space="preserve"> "من منشأة الأعمال إلى العملاء".</w:t>
      </w:r>
    </w:p>
    <w:p w14:paraId="62A126A3" w14:textId="759F0375" w:rsidR="004076A3" w:rsidRPr="00806C57" w:rsidRDefault="004076A3" w:rsidP="00D517B2">
      <w:pPr>
        <w:rPr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 w:rsidR="00006618">
        <w:rPr>
          <w:rFonts w:hint="cs"/>
          <w:rtl/>
          <w:lang w:bidi="ar-EG"/>
        </w:rPr>
        <w:t xml:space="preserve">وفي حال وجود أسئلة، يرجى توجيهها </w:t>
      </w:r>
      <w:r w:rsidR="00216470">
        <w:rPr>
          <w:rFonts w:hint="cs"/>
          <w:rtl/>
          <w:lang w:bidi="ar-EG"/>
        </w:rPr>
        <w:t xml:space="preserve">إلى دنيس </w:t>
      </w:r>
      <w:proofErr w:type="spellStart"/>
      <w:r w:rsidR="00216470">
        <w:rPr>
          <w:rFonts w:hint="cs"/>
          <w:rtl/>
          <w:lang w:bidi="ar-EG"/>
        </w:rPr>
        <w:t>أندريف</w:t>
      </w:r>
      <w:proofErr w:type="spellEnd"/>
      <w:r w:rsidR="00216470">
        <w:rPr>
          <w:rFonts w:hint="cs"/>
          <w:rtl/>
          <w:lang w:bidi="ar-EG"/>
        </w:rPr>
        <w:t xml:space="preserve"> (مكتب تقييس الاتصالات، </w:t>
      </w:r>
      <w:hyperlink r:id="rId18" w:history="1">
        <w:r w:rsidR="00216470" w:rsidRPr="003148AD">
          <w:rPr>
            <w:rStyle w:val="Hyperlink"/>
            <w:rFonts w:ascii="Calibri" w:eastAsia="Calibri" w:hAnsi="Calibri" w:cs="Arial"/>
          </w:rPr>
          <w:t>conformity@itu.int</w:t>
        </w:r>
      </w:hyperlink>
      <w:r w:rsidR="00216470">
        <w:rPr>
          <w:rFonts w:hint="cs"/>
          <w:rtl/>
          <w:lang w:bidi="ar-EG"/>
        </w:rPr>
        <w:t>)</w:t>
      </w:r>
      <w:r w:rsidR="00ED52AB">
        <w:rPr>
          <w:rFonts w:hint="cs"/>
          <w:rtl/>
          <w:lang w:bidi="ar-EG"/>
        </w:rPr>
        <w:t>.</w:t>
      </w:r>
    </w:p>
    <w:p w14:paraId="05FC2D08" w14:textId="100EEB31" w:rsidR="00E84438" w:rsidRPr="00D517B2" w:rsidRDefault="00E84438" w:rsidP="00453FE9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C736714" w14:textId="27617C69" w:rsidR="00596808" w:rsidRPr="00D517B2" w:rsidRDefault="00453FE9" w:rsidP="00EA37AE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067668E7" wp14:editId="25AB300B">
            <wp:simplePos x="0" y="0"/>
            <wp:positionH relativeFrom="column">
              <wp:posOffset>5409071</wp:posOffset>
            </wp:positionH>
            <wp:positionV relativeFrom="paragraph">
              <wp:posOffset>42545</wp:posOffset>
            </wp:positionV>
            <wp:extent cx="738364" cy="511175"/>
            <wp:effectExtent l="0" t="0" r="5080" b="317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36" cy="51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4D66" w14:textId="77777777" w:rsidR="008A33CF" w:rsidRDefault="008A33CF" w:rsidP="006C3242">
      <w:pPr>
        <w:spacing w:before="0" w:line="240" w:lineRule="auto"/>
      </w:pPr>
      <w:r>
        <w:separator/>
      </w:r>
    </w:p>
  </w:endnote>
  <w:endnote w:type="continuationSeparator" w:id="0">
    <w:p w14:paraId="7588DC31" w14:textId="77777777" w:rsidR="008A33CF" w:rsidRDefault="008A33C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AB5E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980F" w14:textId="77777777" w:rsidR="008A33CF" w:rsidRDefault="008A33CF" w:rsidP="006C3242">
      <w:pPr>
        <w:spacing w:before="0" w:line="240" w:lineRule="auto"/>
      </w:pPr>
      <w:r>
        <w:separator/>
      </w:r>
    </w:p>
  </w:footnote>
  <w:footnote w:type="continuationSeparator" w:id="0">
    <w:p w14:paraId="70EB8FA9" w14:textId="77777777" w:rsidR="008A33CF" w:rsidRDefault="008A33C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6A2E" w14:textId="5B08D935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A33CF">
      <w:rPr>
        <w:sz w:val="20"/>
        <w:szCs w:val="20"/>
        <w:lang w:val="en-GB"/>
      </w:rPr>
      <w:t>368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CF"/>
    <w:rsid w:val="00002A63"/>
    <w:rsid w:val="00006618"/>
    <w:rsid w:val="0006468A"/>
    <w:rsid w:val="00090574"/>
    <w:rsid w:val="000B133B"/>
    <w:rsid w:val="000C1C0E"/>
    <w:rsid w:val="000C29FC"/>
    <w:rsid w:val="000C548A"/>
    <w:rsid w:val="000D6EBB"/>
    <w:rsid w:val="000E327F"/>
    <w:rsid w:val="00132506"/>
    <w:rsid w:val="001436FD"/>
    <w:rsid w:val="00146FE2"/>
    <w:rsid w:val="001B16EF"/>
    <w:rsid w:val="001C0169"/>
    <w:rsid w:val="001C4732"/>
    <w:rsid w:val="001D1D50"/>
    <w:rsid w:val="001D6745"/>
    <w:rsid w:val="001E446E"/>
    <w:rsid w:val="00200480"/>
    <w:rsid w:val="00213304"/>
    <w:rsid w:val="002154EE"/>
    <w:rsid w:val="00216470"/>
    <w:rsid w:val="002276D2"/>
    <w:rsid w:val="0023283D"/>
    <w:rsid w:val="00243ED8"/>
    <w:rsid w:val="0026373E"/>
    <w:rsid w:val="00265ADC"/>
    <w:rsid w:val="002702E7"/>
    <w:rsid w:val="00271C43"/>
    <w:rsid w:val="00273D3E"/>
    <w:rsid w:val="00290728"/>
    <w:rsid w:val="002954B0"/>
    <w:rsid w:val="002978F4"/>
    <w:rsid w:val="002B028D"/>
    <w:rsid w:val="002E196B"/>
    <w:rsid w:val="002E6541"/>
    <w:rsid w:val="002F571B"/>
    <w:rsid w:val="002F7FCA"/>
    <w:rsid w:val="00301416"/>
    <w:rsid w:val="003239E6"/>
    <w:rsid w:val="00334924"/>
    <w:rsid w:val="003409BC"/>
    <w:rsid w:val="00357185"/>
    <w:rsid w:val="00383829"/>
    <w:rsid w:val="003A3046"/>
    <w:rsid w:val="003A691E"/>
    <w:rsid w:val="003F4B29"/>
    <w:rsid w:val="00400EC6"/>
    <w:rsid w:val="004076A3"/>
    <w:rsid w:val="0042686F"/>
    <w:rsid w:val="004317D8"/>
    <w:rsid w:val="00434183"/>
    <w:rsid w:val="00443869"/>
    <w:rsid w:val="00447F32"/>
    <w:rsid w:val="00453FE9"/>
    <w:rsid w:val="004D7D76"/>
    <w:rsid w:val="004E11DC"/>
    <w:rsid w:val="004E27E5"/>
    <w:rsid w:val="00511BB6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B413A"/>
    <w:rsid w:val="005C2C51"/>
    <w:rsid w:val="006127CA"/>
    <w:rsid w:val="00626358"/>
    <w:rsid w:val="00643783"/>
    <w:rsid w:val="006635B2"/>
    <w:rsid w:val="00677396"/>
    <w:rsid w:val="0069200F"/>
    <w:rsid w:val="006A1885"/>
    <w:rsid w:val="006A65CB"/>
    <w:rsid w:val="006C1530"/>
    <w:rsid w:val="006C3242"/>
    <w:rsid w:val="006C7CC0"/>
    <w:rsid w:val="006E1BAD"/>
    <w:rsid w:val="006F63F7"/>
    <w:rsid w:val="007025C7"/>
    <w:rsid w:val="00706D7A"/>
    <w:rsid w:val="007163AE"/>
    <w:rsid w:val="00722F0D"/>
    <w:rsid w:val="0074420E"/>
    <w:rsid w:val="00745F36"/>
    <w:rsid w:val="00783E26"/>
    <w:rsid w:val="007C3BC7"/>
    <w:rsid w:val="007C3BCD"/>
    <w:rsid w:val="007D4ACF"/>
    <w:rsid w:val="007F0787"/>
    <w:rsid w:val="00806C57"/>
    <w:rsid w:val="00810B7B"/>
    <w:rsid w:val="0082319A"/>
    <w:rsid w:val="0082358A"/>
    <w:rsid w:val="008235CD"/>
    <w:rsid w:val="008247DE"/>
    <w:rsid w:val="00840B10"/>
    <w:rsid w:val="008513CB"/>
    <w:rsid w:val="00873469"/>
    <w:rsid w:val="008A33CF"/>
    <w:rsid w:val="008A7F84"/>
    <w:rsid w:val="0091702E"/>
    <w:rsid w:val="00923B0C"/>
    <w:rsid w:val="00926017"/>
    <w:rsid w:val="00926F44"/>
    <w:rsid w:val="0094021C"/>
    <w:rsid w:val="0094432F"/>
    <w:rsid w:val="00952F86"/>
    <w:rsid w:val="00982B28"/>
    <w:rsid w:val="00996348"/>
    <w:rsid w:val="009B0B15"/>
    <w:rsid w:val="009C4FD7"/>
    <w:rsid w:val="009C65BB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4A7D"/>
    <w:rsid w:val="00B05BC8"/>
    <w:rsid w:val="00B64B47"/>
    <w:rsid w:val="00B82B6A"/>
    <w:rsid w:val="00B916A7"/>
    <w:rsid w:val="00BA6302"/>
    <w:rsid w:val="00BB0F08"/>
    <w:rsid w:val="00BB473F"/>
    <w:rsid w:val="00BD3A1A"/>
    <w:rsid w:val="00C002DE"/>
    <w:rsid w:val="00C479D5"/>
    <w:rsid w:val="00C53BF8"/>
    <w:rsid w:val="00C66157"/>
    <w:rsid w:val="00C674FE"/>
    <w:rsid w:val="00C67501"/>
    <w:rsid w:val="00C75633"/>
    <w:rsid w:val="00CA6202"/>
    <w:rsid w:val="00CE11BA"/>
    <w:rsid w:val="00CE1C08"/>
    <w:rsid w:val="00CE2EE1"/>
    <w:rsid w:val="00CE3349"/>
    <w:rsid w:val="00CE36E5"/>
    <w:rsid w:val="00CF27F5"/>
    <w:rsid w:val="00CF3FFD"/>
    <w:rsid w:val="00D104D4"/>
    <w:rsid w:val="00D10CCF"/>
    <w:rsid w:val="00D22846"/>
    <w:rsid w:val="00D3468D"/>
    <w:rsid w:val="00D41071"/>
    <w:rsid w:val="00D517B2"/>
    <w:rsid w:val="00D76170"/>
    <w:rsid w:val="00D77D0F"/>
    <w:rsid w:val="00DA1CF0"/>
    <w:rsid w:val="00DA6489"/>
    <w:rsid w:val="00DB36E0"/>
    <w:rsid w:val="00DC1E02"/>
    <w:rsid w:val="00DC24B4"/>
    <w:rsid w:val="00DC5FB0"/>
    <w:rsid w:val="00DD1EBB"/>
    <w:rsid w:val="00DD5A05"/>
    <w:rsid w:val="00DF16DC"/>
    <w:rsid w:val="00E45211"/>
    <w:rsid w:val="00E473C5"/>
    <w:rsid w:val="00E77741"/>
    <w:rsid w:val="00E84438"/>
    <w:rsid w:val="00E92863"/>
    <w:rsid w:val="00EA37AE"/>
    <w:rsid w:val="00EB796D"/>
    <w:rsid w:val="00ED52AB"/>
    <w:rsid w:val="00EF4575"/>
    <w:rsid w:val="00F058DC"/>
    <w:rsid w:val="00F24FC4"/>
    <w:rsid w:val="00F2676C"/>
    <w:rsid w:val="00F3608A"/>
    <w:rsid w:val="00F52941"/>
    <w:rsid w:val="00F566E3"/>
    <w:rsid w:val="00F84366"/>
    <w:rsid w:val="00F85089"/>
    <w:rsid w:val="00F974C5"/>
    <w:rsid w:val="00FA6F46"/>
    <w:rsid w:val="00FE136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6AC41"/>
  <w15:chartTrackingRefBased/>
  <w15:docId w15:val="{3BC4CEE5-8099-49C4-8B03-E80A6145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DD5A05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cdb/secured/reg-tldb.aspx" TargetMode="External"/><Relationship Id="rId18" Type="http://schemas.openxmlformats.org/officeDocument/2006/relationships/hyperlink" Target="mailto:conformity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lac.org/ilac-mra-and-signatories/" TargetMode="External"/><Relationship Id="rId17" Type="http://schemas.openxmlformats.org/officeDocument/2006/relationships/hyperlink" Target="https://www.itu.int/net/itu-t/cdb/secured/Register16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tcd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ca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lac.org/signatory-searc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go/tsg11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itu.int/go/citest)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21</cp:revision>
  <cp:lastPrinted>2022-02-09T13:56:00Z</cp:lastPrinted>
  <dcterms:created xsi:type="dcterms:W3CDTF">2022-02-03T10:26:00Z</dcterms:created>
  <dcterms:modified xsi:type="dcterms:W3CDTF">2022-02-09T13:56:00Z</dcterms:modified>
</cp:coreProperties>
</file>