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693"/>
        <w:gridCol w:w="3119"/>
        <w:gridCol w:w="2126"/>
        <w:gridCol w:w="8"/>
      </w:tblGrid>
      <w:tr w:rsidR="00036F4F" w:rsidRPr="00F856F1" w14:paraId="50F78E37" w14:textId="77777777" w:rsidTr="004C58E0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009FF573" w14:textId="77777777" w:rsidR="00036F4F" w:rsidRPr="00F856F1" w:rsidRDefault="00036F4F" w:rsidP="00B12EA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856F1">
              <w:rPr>
                <w:noProof/>
                <w:lang w:val="en-US"/>
              </w:rPr>
              <w:drawing>
                <wp:inline distT="0" distB="0" distL="0" distR="0" wp14:anchorId="18963AB2" wp14:editId="56566F9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397EF35" w14:textId="77777777" w:rsidR="00036F4F" w:rsidRPr="00F856F1" w:rsidRDefault="00036F4F" w:rsidP="00B12EAA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856F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6C08119" w14:textId="77777777" w:rsidR="00036F4F" w:rsidRPr="00F856F1" w:rsidRDefault="00036F4F" w:rsidP="00B12EAA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856F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F856F1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2256DF0" w14:textId="77777777" w:rsidR="00036F4F" w:rsidRPr="00F856F1" w:rsidRDefault="00036F4F" w:rsidP="00B12EAA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F856F1" w14:paraId="33D106A3" w14:textId="77777777" w:rsidTr="004C58E0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4417C1C0" w14:textId="77777777" w:rsidR="00036F4F" w:rsidRPr="00F856F1" w:rsidRDefault="00036F4F" w:rsidP="00B12EAA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693" w:type="dxa"/>
          </w:tcPr>
          <w:p w14:paraId="5E70C08F" w14:textId="77777777" w:rsidR="00036F4F" w:rsidRPr="00F856F1" w:rsidRDefault="00036F4F" w:rsidP="00B12EA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53" w:type="dxa"/>
            <w:gridSpan w:val="3"/>
          </w:tcPr>
          <w:p w14:paraId="269817AD" w14:textId="20881F54" w:rsidR="00036F4F" w:rsidRPr="00F856F1" w:rsidRDefault="00036F4F" w:rsidP="00B12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F856F1">
              <w:t>Genève, le</w:t>
            </w:r>
            <w:r w:rsidR="00BF65BD" w:rsidRPr="00F856F1">
              <w:t xml:space="preserve"> 31 janvier 2022</w:t>
            </w:r>
          </w:p>
        </w:tc>
      </w:tr>
      <w:tr w:rsidR="00036F4F" w:rsidRPr="00F856F1" w14:paraId="55AEB7CE" w14:textId="77777777" w:rsidTr="004C58E0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74F87D4B" w14:textId="77777777" w:rsidR="00036F4F" w:rsidRPr="00F856F1" w:rsidRDefault="00036F4F" w:rsidP="00B12E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856F1">
              <w:rPr>
                <w:b/>
                <w:bCs/>
              </w:rPr>
              <w:t>Réf.:</w:t>
            </w:r>
          </w:p>
          <w:p w14:paraId="7BEB9D87" w14:textId="77777777" w:rsidR="00036F4F" w:rsidRPr="00F856F1" w:rsidRDefault="00036F4F" w:rsidP="00B12E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544" w:type="dxa"/>
            <w:gridSpan w:val="3"/>
          </w:tcPr>
          <w:p w14:paraId="19074AD7" w14:textId="4C224C44" w:rsidR="00036F4F" w:rsidRPr="00F856F1" w:rsidRDefault="00036F4F" w:rsidP="00B12EA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856F1">
              <w:rPr>
                <w:b/>
              </w:rPr>
              <w:t xml:space="preserve">Circulaire TSB </w:t>
            </w:r>
            <w:r w:rsidR="00BF65BD" w:rsidRPr="00F856F1">
              <w:rPr>
                <w:b/>
              </w:rPr>
              <w:t>368</w:t>
            </w:r>
          </w:p>
          <w:p w14:paraId="47CEEB41" w14:textId="6AC8A615" w:rsidR="00036F4F" w:rsidRPr="00F856F1" w:rsidRDefault="00BF65BD" w:rsidP="00B12EA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856F1">
              <w:t>CE 11/DA</w:t>
            </w:r>
          </w:p>
        </w:tc>
        <w:tc>
          <w:tcPr>
            <w:tcW w:w="5253" w:type="dxa"/>
            <w:gridSpan w:val="3"/>
            <w:vMerge w:val="restart"/>
          </w:tcPr>
          <w:p w14:paraId="47F7C3C6" w14:textId="42DA30D3" w:rsidR="00BF65BD" w:rsidRPr="00F856F1" w:rsidRDefault="00BF65BD" w:rsidP="00B12EAA">
            <w:pPr>
              <w:tabs>
                <w:tab w:val="clear" w:pos="794"/>
                <w:tab w:val="left" w:pos="355"/>
              </w:tabs>
              <w:spacing w:before="0"/>
              <w:ind w:left="355" w:hanging="355"/>
              <w:rPr>
                <w:rFonts w:cstheme="majorBidi"/>
                <w:szCs w:val="24"/>
              </w:rPr>
            </w:pPr>
            <w:bookmarkStart w:id="0" w:name="Addressee_F"/>
            <w:bookmarkEnd w:id="0"/>
            <w:r w:rsidRPr="00F856F1">
              <w:rPr>
                <w:rFonts w:cstheme="majorBidi"/>
                <w:szCs w:val="24"/>
              </w:rPr>
              <w:t>–</w:t>
            </w:r>
            <w:r w:rsidRPr="00F856F1">
              <w:rPr>
                <w:rFonts w:cstheme="majorBidi"/>
                <w:szCs w:val="24"/>
              </w:rPr>
              <w:tab/>
              <w:t xml:space="preserve">Aux </w:t>
            </w:r>
            <w:r w:rsidR="008B1B20" w:rsidRPr="00F856F1">
              <w:rPr>
                <w:rFonts w:cstheme="majorBidi"/>
                <w:szCs w:val="24"/>
              </w:rPr>
              <w:t>A</w:t>
            </w:r>
            <w:r w:rsidRPr="00F856F1">
              <w:rPr>
                <w:rFonts w:cstheme="majorBidi"/>
                <w:szCs w:val="24"/>
              </w:rPr>
              <w:t>dministrations des États Membres de l'Union;</w:t>
            </w:r>
          </w:p>
          <w:p w14:paraId="071E5A99" w14:textId="77777777" w:rsidR="00BF65BD" w:rsidRPr="00F856F1" w:rsidRDefault="00BF65BD" w:rsidP="00B12EAA">
            <w:pPr>
              <w:tabs>
                <w:tab w:val="clear" w:pos="794"/>
                <w:tab w:val="left" w:pos="355"/>
              </w:tabs>
              <w:spacing w:before="0"/>
              <w:ind w:left="355" w:hanging="355"/>
              <w:rPr>
                <w:rFonts w:cstheme="majorBidi"/>
                <w:szCs w:val="24"/>
              </w:rPr>
            </w:pPr>
            <w:r w:rsidRPr="00F856F1">
              <w:rPr>
                <w:rFonts w:cstheme="majorBidi"/>
                <w:szCs w:val="24"/>
              </w:rPr>
              <w:t>–</w:t>
            </w:r>
            <w:r w:rsidRPr="00F856F1">
              <w:rPr>
                <w:rFonts w:cstheme="majorBidi"/>
                <w:szCs w:val="24"/>
              </w:rPr>
              <w:tab/>
              <w:t>Aux Membres du Secteur UIT-T;</w:t>
            </w:r>
          </w:p>
          <w:p w14:paraId="328666FD" w14:textId="77777777" w:rsidR="00BF65BD" w:rsidRPr="00F856F1" w:rsidRDefault="00BF65BD" w:rsidP="00B12EAA">
            <w:pPr>
              <w:tabs>
                <w:tab w:val="clear" w:pos="794"/>
                <w:tab w:val="left" w:pos="355"/>
              </w:tabs>
              <w:spacing w:before="0"/>
              <w:ind w:left="355" w:hanging="355"/>
              <w:rPr>
                <w:rFonts w:cstheme="majorBidi"/>
                <w:szCs w:val="24"/>
              </w:rPr>
            </w:pPr>
            <w:r w:rsidRPr="00F856F1">
              <w:rPr>
                <w:rFonts w:cstheme="majorBidi"/>
                <w:szCs w:val="24"/>
              </w:rPr>
              <w:t>–</w:t>
            </w:r>
            <w:r w:rsidRPr="00F856F1">
              <w:rPr>
                <w:rFonts w:cstheme="majorBidi"/>
                <w:szCs w:val="24"/>
              </w:rPr>
              <w:tab/>
              <w:t>Aux Associés de l'UIT-T;</w:t>
            </w:r>
          </w:p>
          <w:p w14:paraId="4511C491" w14:textId="70EAE3C6" w:rsidR="00036F4F" w:rsidRPr="00F856F1" w:rsidRDefault="00BF65BD" w:rsidP="00B12E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55"/>
              </w:tabs>
              <w:spacing w:before="0"/>
              <w:ind w:left="355" w:hanging="355"/>
            </w:pPr>
            <w:r w:rsidRPr="00F856F1">
              <w:rPr>
                <w:rFonts w:cstheme="majorBidi"/>
                <w:szCs w:val="24"/>
              </w:rPr>
              <w:t>–</w:t>
            </w:r>
            <w:r w:rsidRPr="00F856F1">
              <w:rPr>
                <w:rFonts w:cstheme="majorBidi"/>
                <w:szCs w:val="24"/>
              </w:rPr>
              <w:tab/>
              <w:t>Aux établissements universitaires participant aux travaux de l'UIT</w:t>
            </w:r>
          </w:p>
        </w:tc>
      </w:tr>
      <w:tr w:rsidR="00036F4F" w:rsidRPr="00F856F1" w14:paraId="5317832D" w14:textId="77777777" w:rsidTr="004C58E0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ACE3E77" w14:textId="35B1F0D1" w:rsidR="00036F4F" w:rsidRPr="00F856F1" w:rsidRDefault="00BF65BD" w:rsidP="00B12E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F856F1">
              <w:rPr>
                <w:b/>
                <w:bCs/>
                <w:szCs w:val="24"/>
              </w:rPr>
              <w:t>Contact:</w:t>
            </w:r>
          </w:p>
        </w:tc>
        <w:tc>
          <w:tcPr>
            <w:tcW w:w="3544" w:type="dxa"/>
            <w:gridSpan w:val="3"/>
          </w:tcPr>
          <w:p w14:paraId="453F32E6" w14:textId="651007CA" w:rsidR="00036F4F" w:rsidRPr="004C58E0" w:rsidRDefault="00BF65BD" w:rsidP="00B12EA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C58E0">
              <w:rPr>
                <w:b/>
              </w:rPr>
              <w:t>Denis ANDREEV</w:t>
            </w:r>
          </w:p>
        </w:tc>
        <w:tc>
          <w:tcPr>
            <w:tcW w:w="5253" w:type="dxa"/>
            <w:gridSpan w:val="3"/>
            <w:vMerge/>
          </w:tcPr>
          <w:p w14:paraId="249068F7" w14:textId="77777777" w:rsidR="00036F4F" w:rsidRPr="00F856F1" w:rsidRDefault="00036F4F" w:rsidP="00B12EAA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BF65BD" w:rsidRPr="00F856F1" w14:paraId="2E2E5BB9" w14:textId="77777777" w:rsidTr="004C58E0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769419C3" w14:textId="535950D8" w:rsidR="00BF65BD" w:rsidRPr="00F856F1" w:rsidRDefault="00BF65BD" w:rsidP="00B12E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856F1">
              <w:rPr>
                <w:b/>
                <w:bCs/>
              </w:rPr>
              <w:t>Tél.:</w:t>
            </w:r>
          </w:p>
        </w:tc>
        <w:tc>
          <w:tcPr>
            <w:tcW w:w="3544" w:type="dxa"/>
            <w:gridSpan w:val="3"/>
          </w:tcPr>
          <w:p w14:paraId="2AAD44E7" w14:textId="32743500" w:rsidR="00BF65BD" w:rsidRPr="00F856F1" w:rsidRDefault="00BF65BD" w:rsidP="00B12EAA">
            <w:pPr>
              <w:tabs>
                <w:tab w:val="left" w:pos="4111"/>
              </w:tabs>
              <w:spacing w:before="0"/>
              <w:ind w:left="57"/>
            </w:pPr>
            <w:r w:rsidRPr="00F856F1">
              <w:t>+41 22 730 5780</w:t>
            </w:r>
          </w:p>
        </w:tc>
        <w:tc>
          <w:tcPr>
            <w:tcW w:w="5253" w:type="dxa"/>
            <w:gridSpan w:val="3"/>
            <w:vMerge/>
          </w:tcPr>
          <w:p w14:paraId="54391D85" w14:textId="77777777" w:rsidR="00BF65BD" w:rsidRPr="00F856F1" w:rsidRDefault="00BF65BD" w:rsidP="00B12EAA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F856F1" w14:paraId="431E1286" w14:textId="77777777" w:rsidTr="004C58E0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48103F12" w14:textId="2A98C941" w:rsidR="00036F4F" w:rsidRPr="00F856F1" w:rsidRDefault="00AE3BF1" w:rsidP="00B12E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856F1">
              <w:rPr>
                <w:b/>
                <w:bCs/>
              </w:rPr>
              <w:t>Télécopie</w:t>
            </w:r>
            <w:r w:rsidR="00036F4F" w:rsidRPr="00F856F1">
              <w:rPr>
                <w:b/>
                <w:bCs/>
              </w:rPr>
              <w:t>:</w:t>
            </w:r>
          </w:p>
        </w:tc>
        <w:tc>
          <w:tcPr>
            <w:tcW w:w="3544" w:type="dxa"/>
            <w:gridSpan w:val="3"/>
          </w:tcPr>
          <w:p w14:paraId="32507AB2" w14:textId="19BDF3D7" w:rsidR="00036F4F" w:rsidRPr="00F856F1" w:rsidRDefault="00BF65BD" w:rsidP="00B12EAA">
            <w:pPr>
              <w:tabs>
                <w:tab w:val="left" w:pos="4111"/>
              </w:tabs>
              <w:spacing w:before="0"/>
              <w:ind w:left="57"/>
            </w:pPr>
            <w:r w:rsidRPr="00F856F1">
              <w:t>+41 22 730 5853</w:t>
            </w:r>
          </w:p>
        </w:tc>
        <w:tc>
          <w:tcPr>
            <w:tcW w:w="5253" w:type="dxa"/>
            <w:gridSpan w:val="3"/>
            <w:vMerge/>
          </w:tcPr>
          <w:p w14:paraId="547FBA62" w14:textId="77777777" w:rsidR="00036F4F" w:rsidRPr="00F856F1" w:rsidRDefault="00036F4F" w:rsidP="00B12EAA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F856F1" w14:paraId="6761C94D" w14:textId="77777777" w:rsidTr="004C58E0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73B97F1C" w14:textId="426D9855" w:rsidR="00517A03" w:rsidRPr="00F856F1" w:rsidRDefault="00AE3BF1" w:rsidP="00B12EA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856F1">
              <w:rPr>
                <w:b/>
                <w:bCs/>
              </w:rPr>
              <w:t>Courriel</w:t>
            </w:r>
            <w:r w:rsidR="00036F4F" w:rsidRPr="00F856F1">
              <w:rPr>
                <w:b/>
                <w:bCs/>
              </w:rPr>
              <w:t>:</w:t>
            </w:r>
          </w:p>
        </w:tc>
        <w:tc>
          <w:tcPr>
            <w:tcW w:w="3544" w:type="dxa"/>
            <w:gridSpan w:val="3"/>
          </w:tcPr>
          <w:p w14:paraId="2E4E4C9C" w14:textId="2779E410" w:rsidR="00517A03" w:rsidRPr="00F856F1" w:rsidRDefault="00A2635F" w:rsidP="00B12EAA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F65BD" w:rsidRPr="00F856F1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5253" w:type="dxa"/>
            <w:gridSpan w:val="3"/>
          </w:tcPr>
          <w:p w14:paraId="0CDDC4D5" w14:textId="77777777" w:rsidR="00517A03" w:rsidRPr="00F856F1" w:rsidRDefault="00517A03" w:rsidP="00B12EAA">
            <w:pPr>
              <w:tabs>
                <w:tab w:val="clear" w:pos="794"/>
                <w:tab w:val="left" w:pos="355"/>
                <w:tab w:val="left" w:pos="4111"/>
              </w:tabs>
              <w:spacing w:before="0"/>
            </w:pPr>
            <w:r w:rsidRPr="00F856F1">
              <w:rPr>
                <w:b/>
              </w:rPr>
              <w:t>Copie</w:t>
            </w:r>
            <w:r w:rsidRPr="00F856F1">
              <w:t>:</w:t>
            </w:r>
          </w:p>
          <w:p w14:paraId="415A79EB" w14:textId="3A496D46" w:rsidR="00BF65BD" w:rsidRPr="00F856F1" w:rsidRDefault="00BF65BD" w:rsidP="00B12EAA">
            <w:pPr>
              <w:tabs>
                <w:tab w:val="clear" w:pos="794"/>
                <w:tab w:val="left" w:pos="355"/>
                <w:tab w:val="left" w:pos="394"/>
              </w:tabs>
              <w:spacing w:before="0"/>
              <w:ind w:left="391" w:hanging="391"/>
              <w:rPr>
                <w:rFonts w:cstheme="majorBidi"/>
                <w:szCs w:val="24"/>
              </w:rPr>
            </w:pPr>
            <w:r w:rsidRPr="00F856F1">
              <w:rPr>
                <w:rFonts w:cstheme="majorBidi"/>
                <w:szCs w:val="24"/>
              </w:rPr>
              <w:t>–</w:t>
            </w:r>
            <w:r w:rsidRPr="00F856F1">
              <w:rPr>
                <w:rFonts w:cstheme="majorBidi"/>
                <w:szCs w:val="24"/>
              </w:rPr>
              <w:tab/>
              <w:t xml:space="preserve">Aux Présidents et Vice-Présidents des </w:t>
            </w:r>
            <w:r w:rsidR="00B12EAA" w:rsidRPr="00F856F1">
              <w:rPr>
                <w:rFonts w:cstheme="majorBidi"/>
                <w:szCs w:val="24"/>
              </w:rPr>
              <w:t>C</w:t>
            </w:r>
            <w:r w:rsidR="00A45FA2" w:rsidRPr="00F856F1">
              <w:rPr>
                <w:rFonts w:cstheme="majorBidi"/>
                <w:szCs w:val="24"/>
              </w:rPr>
              <w:t xml:space="preserve">ommissions </w:t>
            </w:r>
            <w:r w:rsidRPr="00F856F1">
              <w:rPr>
                <w:rFonts w:cstheme="majorBidi"/>
                <w:szCs w:val="24"/>
              </w:rPr>
              <w:t>d'études de l'UIT-T;</w:t>
            </w:r>
          </w:p>
          <w:p w14:paraId="4703F1E8" w14:textId="37D147F7" w:rsidR="00BF65BD" w:rsidRPr="00F856F1" w:rsidRDefault="00BF65BD" w:rsidP="00B12EAA">
            <w:pPr>
              <w:tabs>
                <w:tab w:val="clear" w:pos="794"/>
                <w:tab w:val="left" w:pos="355"/>
                <w:tab w:val="left" w:pos="394"/>
              </w:tabs>
              <w:spacing w:before="0"/>
              <w:ind w:left="391" w:hanging="391"/>
              <w:rPr>
                <w:rFonts w:cstheme="majorBidi"/>
                <w:szCs w:val="24"/>
              </w:rPr>
            </w:pPr>
            <w:r w:rsidRPr="00F856F1">
              <w:rPr>
                <w:rFonts w:cstheme="majorBidi"/>
                <w:szCs w:val="24"/>
              </w:rPr>
              <w:t>–</w:t>
            </w:r>
            <w:r w:rsidRPr="00F856F1">
              <w:rPr>
                <w:rFonts w:cstheme="majorBidi"/>
                <w:szCs w:val="24"/>
              </w:rPr>
              <w:tab/>
            </w:r>
            <w:r w:rsidR="00A84984" w:rsidRPr="00F856F1">
              <w:rPr>
                <w:rFonts w:cstheme="majorBidi"/>
                <w:szCs w:val="24"/>
              </w:rPr>
              <w:t>À la Directrice</w:t>
            </w:r>
            <w:r w:rsidRPr="00F856F1">
              <w:rPr>
                <w:rFonts w:cstheme="majorBidi"/>
                <w:szCs w:val="24"/>
              </w:rPr>
              <w:t xml:space="preserve"> du Bureau de développement des télécommunications;</w:t>
            </w:r>
          </w:p>
          <w:p w14:paraId="0AB54697" w14:textId="7D641A55" w:rsidR="00517A03" w:rsidRPr="00F856F1" w:rsidRDefault="00BF65BD" w:rsidP="00B12EAA">
            <w:pPr>
              <w:tabs>
                <w:tab w:val="clear" w:pos="794"/>
                <w:tab w:val="left" w:pos="355"/>
                <w:tab w:val="left" w:pos="4111"/>
              </w:tabs>
              <w:spacing w:before="0"/>
              <w:ind w:left="362" w:hanging="368"/>
            </w:pPr>
            <w:r w:rsidRPr="00F856F1">
              <w:rPr>
                <w:rFonts w:cstheme="majorBidi"/>
                <w:szCs w:val="24"/>
              </w:rPr>
              <w:t>–</w:t>
            </w:r>
            <w:r w:rsidRPr="00F856F1">
              <w:rPr>
                <w:rFonts w:cstheme="majorBidi"/>
                <w:szCs w:val="24"/>
              </w:rPr>
              <w:tab/>
              <w:t>Au Directeur du Bureau des radiocommunications</w:t>
            </w:r>
          </w:p>
        </w:tc>
      </w:tr>
      <w:tr w:rsidR="00517A03" w:rsidRPr="00F856F1" w14:paraId="4657AD5D" w14:textId="77777777" w:rsidTr="004C58E0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2D747385" w14:textId="77777777" w:rsidR="00517A03" w:rsidRPr="00F856F1" w:rsidRDefault="00517A03" w:rsidP="00B12EAA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F856F1">
              <w:rPr>
                <w:b/>
                <w:bCs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678076BA" w14:textId="618C3539" w:rsidR="00517A03" w:rsidRPr="00F856F1" w:rsidRDefault="00D520D6" w:rsidP="00B12EAA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F856F1">
              <w:rPr>
                <w:b/>
                <w:bCs/>
                <w:szCs w:val="22"/>
              </w:rPr>
              <w:t>R</w:t>
            </w:r>
            <w:r w:rsidR="00BF65BD" w:rsidRPr="00F856F1">
              <w:rPr>
                <w:b/>
                <w:bCs/>
                <w:szCs w:val="22"/>
              </w:rPr>
              <w:t>econnaissance des laboratoires de test</w:t>
            </w:r>
            <w:r w:rsidR="004145CB" w:rsidRPr="00F856F1">
              <w:rPr>
                <w:b/>
                <w:bCs/>
                <w:szCs w:val="22"/>
              </w:rPr>
              <w:t xml:space="preserve"> </w:t>
            </w:r>
            <w:r w:rsidRPr="00F856F1">
              <w:rPr>
                <w:b/>
                <w:bCs/>
                <w:szCs w:val="22"/>
              </w:rPr>
              <w:t xml:space="preserve">par </w:t>
            </w:r>
            <w:r w:rsidR="00856900" w:rsidRPr="00F856F1">
              <w:rPr>
                <w:b/>
                <w:bCs/>
                <w:szCs w:val="22"/>
              </w:rPr>
              <w:t>l'UIT</w:t>
            </w:r>
          </w:p>
        </w:tc>
      </w:tr>
    </w:tbl>
    <w:p w14:paraId="2CA2A2ED" w14:textId="77777777" w:rsidR="00517A03" w:rsidRPr="00F856F1" w:rsidRDefault="00517A03" w:rsidP="00B12EAA">
      <w:bookmarkStart w:id="1" w:name="StartTyping_F"/>
      <w:bookmarkEnd w:id="1"/>
      <w:r w:rsidRPr="00F856F1">
        <w:t>Madame, Monsieur,</w:t>
      </w:r>
    </w:p>
    <w:p w14:paraId="0F692440" w14:textId="08E7C47C" w:rsidR="00856900" w:rsidRPr="00F856F1" w:rsidRDefault="00BF65BD" w:rsidP="00B12EAA">
      <w:pPr>
        <w:rPr>
          <w:bCs/>
        </w:rPr>
      </w:pPr>
      <w:r w:rsidRPr="00F856F1">
        <w:rPr>
          <w:bCs/>
        </w:rPr>
        <w:t>1</w:t>
      </w:r>
      <w:r w:rsidRPr="00F856F1">
        <w:rPr>
          <w:bCs/>
        </w:rPr>
        <w:tab/>
      </w:r>
      <w:r w:rsidR="00856900" w:rsidRPr="00F856F1">
        <w:rPr>
          <w:bCs/>
        </w:rPr>
        <w:t>J'ai l'honneur de vous informer que</w:t>
      </w:r>
      <w:r w:rsidR="004145CB" w:rsidRPr="00F856F1">
        <w:rPr>
          <w:bCs/>
        </w:rPr>
        <w:t>,</w:t>
      </w:r>
      <w:r w:rsidR="00856900" w:rsidRPr="00F856F1">
        <w:rPr>
          <w:bCs/>
        </w:rPr>
        <w:t xml:space="preserve"> suite à la décision prise par la Commission d'études 11 de l'UIT-T </w:t>
      </w:r>
      <w:r w:rsidR="000775BE" w:rsidRPr="00F856F1">
        <w:rPr>
          <w:bCs/>
        </w:rPr>
        <w:t>(</w:t>
      </w:r>
      <w:r w:rsidR="000775BE" w:rsidRPr="00F856F1">
        <w:rPr>
          <w:bCs/>
          <w:i/>
        </w:rPr>
        <w:t>Exigences de signalisation, protocoles, spécifications de test et lutte contre la contrefaçon des produits</w:t>
      </w:r>
      <w:r w:rsidR="000775BE" w:rsidRPr="00F856F1">
        <w:rPr>
          <w:bCs/>
        </w:rPr>
        <w:t>) (</w:t>
      </w:r>
      <w:hyperlink r:id="rId10" w:history="1">
        <w:r w:rsidR="000775BE" w:rsidRPr="00F856F1">
          <w:rPr>
            <w:rStyle w:val="Hyperlink"/>
            <w:bCs/>
          </w:rPr>
          <w:t>https://itu.int/go/tsg11</w:t>
        </w:r>
      </w:hyperlink>
      <w:r w:rsidR="000775BE" w:rsidRPr="00F856F1">
        <w:rPr>
          <w:bCs/>
        </w:rPr>
        <w:t xml:space="preserve">), l'UIT reconnaît </w:t>
      </w:r>
      <w:r w:rsidR="00C65CDD" w:rsidRPr="00F856F1">
        <w:rPr>
          <w:bCs/>
        </w:rPr>
        <w:t xml:space="preserve">les laboratoires de test </w:t>
      </w:r>
      <w:r w:rsidR="004145CB" w:rsidRPr="00F856F1">
        <w:rPr>
          <w:bCs/>
        </w:rPr>
        <w:t>dont le domaine d'</w:t>
      </w:r>
      <w:r w:rsidR="00C65CDD" w:rsidRPr="00F856F1">
        <w:rPr>
          <w:bCs/>
        </w:rPr>
        <w:t xml:space="preserve">accréditation couvre les tests </w:t>
      </w:r>
      <w:r w:rsidR="004D333A" w:rsidRPr="00F856F1">
        <w:rPr>
          <w:bCs/>
        </w:rPr>
        <w:t>réalisés pour vérifier la conformité aux normes de l'UIT-T.</w:t>
      </w:r>
      <w:r w:rsidR="007C4D15" w:rsidRPr="00F856F1">
        <w:rPr>
          <w:bCs/>
        </w:rPr>
        <w:t xml:space="preserve"> La base de données de l'UIT </w:t>
      </w:r>
      <w:r w:rsidR="001C301F" w:rsidRPr="00F856F1">
        <w:rPr>
          <w:bCs/>
        </w:rPr>
        <w:t xml:space="preserve">correspondante </w:t>
      </w:r>
      <w:r w:rsidR="009147ED" w:rsidRPr="00F856F1">
        <w:rPr>
          <w:bCs/>
        </w:rPr>
        <w:t>sur les</w:t>
      </w:r>
      <w:r w:rsidR="007C4D15" w:rsidRPr="00F856F1">
        <w:rPr>
          <w:bCs/>
        </w:rPr>
        <w:t xml:space="preserve"> laboratoires de test est </w:t>
      </w:r>
      <w:r w:rsidR="001A031A" w:rsidRPr="00F856F1">
        <w:rPr>
          <w:bCs/>
        </w:rPr>
        <w:t>opérationnelle</w:t>
      </w:r>
      <w:r w:rsidR="004C58E0">
        <w:rPr>
          <w:bCs/>
        </w:rPr>
        <w:t xml:space="preserve"> depuis le </w:t>
      </w:r>
      <w:r w:rsidR="0026018B" w:rsidRPr="00F856F1">
        <w:rPr>
          <w:bCs/>
        </w:rPr>
        <w:t>10 décembre 2021.</w:t>
      </w:r>
    </w:p>
    <w:p w14:paraId="54C2844A" w14:textId="3A75BC38" w:rsidR="009147ED" w:rsidRPr="00F856F1" w:rsidRDefault="00BF65BD" w:rsidP="00B12EAA">
      <w:pPr>
        <w:rPr>
          <w:bCs/>
        </w:rPr>
      </w:pPr>
      <w:r w:rsidRPr="00F856F1">
        <w:rPr>
          <w:bCs/>
        </w:rPr>
        <w:t>2</w:t>
      </w:r>
      <w:r w:rsidRPr="00F856F1">
        <w:rPr>
          <w:bCs/>
        </w:rPr>
        <w:tab/>
      </w:r>
      <w:r w:rsidR="00BF4700" w:rsidRPr="00F856F1">
        <w:rPr>
          <w:bCs/>
        </w:rPr>
        <w:t xml:space="preserve">Aux termes de la </w:t>
      </w:r>
      <w:r w:rsidR="009147ED" w:rsidRPr="00F856F1">
        <w:rPr>
          <w:bCs/>
        </w:rPr>
        <w:t>Résolution 76 (AMNT-16)</w:t>
      </w:r>
      <w:r w:rsidR="00BF4700" w:rsidRPr="00F856F1">
        <w:rPr>
          <w:bCs/>
        </w:rPr>
        <w:t>, la Commission</w:t>
      </w:r>
      <w:r w:rsidR="00FC4A35" w:rsidRPr="00F856F1">
        <w:rPr>
          <w:bCs/>
        </w:rPr>
        <w:t xml:space="preserve"> de direction de l'UIT pour l'évaluation de la conformité (CASC) </w:t>
      </w:r>
      <w:r w:rsidR="00E21629" w:rsidRPr="00F856F1">
        <w:rPr>
          <w:bCs/>
        </w:rPr>
        <w:t xml:space="preserve">est chargée </w:t>
      </w:r>
      <w:r w:rsidR="00E21629" w:rsidRPr="00F856F1">
        <w:t>d'étudier et de définir une procédure de reconnaissance des laboratoires de test compétents pour mener des tests conformément aux Recommandations de l'UIT</w:t>
      </w:r>
      <w:r w:rsidR="00E21629" w:rsidRPr="00F856F1">
        <w:noBreakHyphen/>
        <w:t>T</w:t>
      </w:r>
      <w:r w:rsidR="00343C45" w:rsidRPr="00F856F1">
        <w:t>.</w:t>
      </w:r>
    </w:p>
    <w:p w14:paraId="040A05FE" w14:textId="01C0C1F5" w:rsidR="00343C45" w:rsidRPr="00F856F1" w:rsidRDefault="00BF65BD" w:rsidP="00B12EAA">
      <w:pPr>
        <w:rPr>
          <w:bCs/>
        </w:rPr>
      </w:pPr>
      <w:r w:rsidRPr="00F856F1">
        <w:rPr>
          <w:bCs/>
        </w:rPr>
        <w:t>3</w:t>
      </w:r>
      <w:r w:rsidRPr="00F856F1">
        <w:rPr>
          <w:bCs/>
        </w:rPr>
        <w:tab/>
      </w:r>
      <w:r w:rsidR="00343C45" w:rsidRPr="00F856F1">
        <w:rPr>
          <w:bCs/>
        </w:rPr>
        <w:t xml:space="preserve">La CE 11 a adopté les lignes directrices de l'UIT qui </w:t>
      </w:r>
      <w:r w:rsidR="008120C4" w:rsidRPr="00F856F1">
        <w:rPr>
          <w:bCs/>
        </w:rPr>
        <w:t xml:space="preserve">définissent le cadre de haut niveau relatif à la procédure de reconnaissance des laboratoires de test et à la </w:t>
      </w:r>
      <w:r w:rsidR="000F6C68" w:rsidRPr="00F856F1">
        <w:rPr>
          <w:bCs/>
        </w:rPr>
        <w:t xml:space="preserve">désignation </w:t>
      </w:r>
      <w:r w:rsidR="008120C4" w:rsidRPr="00F856F1">
        <w:rPr>
          <w:bCs/>
        </w:rPr>
        <w:t xml:space="preserve">d'experts techniques </w:t>
      </w:r>
      <w:r w:rsidR="00710244" w:rsidRPr="00F856F1">
        <w:rPr>
          <w:bCs/>
        </w:rPr>
        <w:t xml:space="preserve">de l'UIT </w:t>
      </w:r>
      <w:r w:rsidR="008120C4" w:rsidRPr="00F856F1">
        <w:rPr>
          <w:bCs/>
        </w:rPr>
        <w:t>pouvant participer aux travaux de l'équipe chargée d'év</w:t>
      </w:r>
      <w:r w:rsidR="006628AA" w:rsidRPr="00F856F1">
        <w:rPr>
          <w:bCs/>
        </w:rPr>
        <w:t>aluer les laboratoires de test.</w:t>
      </w:r>
      <w:r w:rsidR="00224829" w:rsidRPr="00F856F1">
        <w:rPr>
          <w:bCs/>
        </w:rPr>
        <w:t xml:space="preserve"> Les deux documents sont disponibles sur la page web de la Commission CASC (</w:t>
      </w:r>
      <w:hyperlink r:id="rId11" w:history="1">
        <w:r w:rsidR="00224829" w:rsidRPr="00F856F1">
          <w:rPr>
            <w:rStyle w:val="Hyperlink"/>
            <w:bCs/>
          </w:rPr>
          <w:t>https://itu.int/go/casc</w:t>
        </w:r>
      </w:hyperlink>
      <w:r w:rsidR="00224829" w:rsidRPr="00F856F1">
        <w:rPr>
          <w:bCs/>
        </w:rPr>
        <w:t>).</w:t>
      </w:r>
    </w:p>
    <w:p w14:paraId="2195D16A" w14:textId="1E838DB8" w:rsidR="00866A35" w:rsidRPr="00F856F1" w:rsidRDefault="00BF65BD" w:rsidP="00B12EAA">
      <w:pPr>
        <w:rPr>
          <w:bCs/>
        </w:rPr>
      </w:pPr>
      <w:r w:rsidRPr="00F856F1">
        <w:rPr>
          <w:bCs/>
        </w:rPr>
        <w:t>4</w:t>
      </w:r>
      <w:r w:rsidRPr="00F856F1">
        <w:rPr>
          <w:bCs/>
        </w:rPr>
        <w:tab/>
      </w:r>
      <w:r w:rsidR="000F6C68" w:rsidRPr="00F856F1">
        <w:rPr>
          <w:bCs/>
        </w:rPr>
        <w:t>À l</w:t>
      </w:r>
      <w:r w:rsidR="00B12EAA" w:rsidRPr="00F856F1">
        <w:rPr>
          <w:bCs/>
        </w:rPr>
        <w:t>'</w:t>
      </w:r>
      <w:r w:rsidR="000F6C68" w:rsidRPr="00F856F1">
        <w:rPr>
          <w:bCs/>
        </w:rPr>
        <w:t>issue du travail</w:t>
      </w:r>
      <w:r w:rsidR="00F84A22" w:rsidRPr="00F856F1">
        <w:rPr>
          <w:bCs/>
        </w:rPr>
        <w:t xml:space="preserve"> de</w:t>
      </w:r>
      <w:r w:rsidR="00866A35" w:rsidRPr="00F856F1">
        <w:rPr>
          <w:bCs/>
        </w:rPr>
        <w:t xml:space="preserve"> collaboration </w:t>
      </w:r>
      <w:r w:rsidR="00F84A22" w:rsidRPr="00F856F1">
        <w:rPr>
          <w:bCs/>
        </w:rPr>
        <w:t>entre</w:t>
      </w:r>
      <w:r w:rsidR="00866A35" w:rsidRPr="00F856F1">
        <w:rPr>
          <w:bCs/>
        </w:rPr>
        <w:t xml:space="preserve"> la Commission CASC de l'UIT et </w:t>
      </w:r>
      <w:r w:rsidR="005569FE" w:rsidRPr="00F856F1">
        <w:rPr>
          <w:bCs/>
        </w:rPr>
        <w:t xml:space="preserve">la Coopération internationale </w:t>
      </w:r>
      <w:r w:rsidR="00985CAE" w:rsidRPr="00F856F1">
        <w:rPr>
          <w:bCs/>
        </w:rPr>
        <w:t>pour l'accréditation</w:t>
      </w:r>
      <w:r w:rsidR="005569FE" w:rsidRPr="00F856F1">
        <w:rPr>
          <w:bCs/>
        </w:rPr>
        <w:t xml:space="preserve"> des laboratoires (ILAC), la CE 11 de l'UIT-T a décidé </w:t>
      </w:r>
      <w:r w:rsidR="004F63D0" w:rsidRPr="00F856F1">
        <w:rPr>
          <w:bCs/>
        </w:rPr>
        <w:t xml:space="preserve">que l'UIT reconnaissait les laboratoires de test </w:t>
      </w:r>
      <w:r w:rsidR="00315709" w:rsidRPr="00F856F1">
        <w:rPr>
          <w:bCs/>
        </w:rPr>
        <w:t xml:space="preserve">accrédités par un </w:t>
      </w:r>
      <w:r w:rsidR="00412014" w:rsidRPr="00F856F1">
        <w:rPr>
          <w:bCs/>
        </w:rPr>
        <w:t xml:space="preserve">organisme d'accréditation </w:t>
      </w:r>
      <w:r w:rsidR="00E8475B" w:rsidRPr="00F856F1">
        <w:rPr>
          <w:bCs/>
        </w:rPr>
        <w:t xml:space="preserve">signataire de l'arrangement de reconnaissance mutuelle (MRA) de l'ILAC </w:t>
      </w:r>
      <w:r w:rsidR="00D97774" w:rsidRPr="00F856F1">
        <w:rPr>
          <w:bCs/>
        </w:rPr>
        <w:t>en matière de tests (</w:t>
      </w:r>
      <w:hyperlink r:id="rId12" w:history="1">
        <w:r w:rsidR="00D97774" w:rsidRPr="00F856F1">
          <w:rPr>
            <w:rStyle w:val="Hyperlink"/>
          </w:rPr>
          <w:t>https://ilac.org/ilac-mra-and-signatories/</w:t>
        </w:r>
      </w:hyperlink>
      <w:r w:rsidR="00D97774" w:rsidRPr="00F856F1">
        <w:rPr>
          <w:bCs/>
        </w:rPr>
        <w:t xml:space="preserve">), </w:t>
      </w:r>
      <w:r w:rsidR="00CE5224" w:rsidRPr="00F856F1">
        <w:rPr>
          <w:bCs/>
        </w:rPr>
        <w:t>dont le domaine d'accréditation co</w:t>
      </w:r>
      <w:r w:rsidR="00A57E15" w:rsidRPr="00F856F1">
        <w:rPr>
          <w:bCs/>
        </w:rPr>
        <w:t xml:space="preserve">uvre </w:t>
      </w:r>
      <w:r w:rsidR="00134E1A" w:rsidRPr="00F856F1">
        <w:rPr>
          <w:bCs/>
        </w:rPr>
        <w:t>une ou plusieurs</w:t>
      </w:r>
      <w:r w:rsidR="00A57E15" w:rsidRPr="00F856F1">
        <w:rPr>
          <w:bCs/>
        </w:rPr>
        <w:t xml:space="preserve"> Recommandations UIT-T. La demande correspondante doit être soumise au moyen du </w:t>
      </w:r>
      <w:hyperlink r:id="rId13" w:history="1">
        <w:r w:rsidR="00A57E15" w:rsidRPr="00F856F1">
          <w:rPr>
            <w:rStyle w:val="Hyperlink"/>
            <w:bCs/>
          </w:rPr>
          <w:t>formulaire en l</w:t>
        </w:r>
        <w:r w:rsidR="00CD0490" w:rsidRPr="00F856F1">
          <w:rPr>
            <w:rStyle w:val="Hyperlink"/>
            <w:bCs/>
          </w:rPr>
          <w:t>igne</w:t>
        </w:r>
      </w:hyperlink>
      <w:r w:rsidR="00CD0490" w:rsidRPr="00F856F1">
        <w:rPr>
          <w:bCs/>
        </w:rPr>
        <w:t>, disponible sur le portail de l'UIT sur la conformité et l'interopérabilité (</w:t>
      </w:r>
      <w:hyperlink r:id="rId14" w:history="1">
        <w:r w:rsidR="00CD0490" w:rsidRPr="00F856F1">
          <w:rPr>
            <w:rStyle w:val="Hyperlink"/>
            <w:bCs/>
          </w:rPr>
          <w:t>https://itu.int/go/citest</w:t>
        </w:r>
      </w:hyperlink>
      <w:r w:rsidR="00CD0490" w:rsidRPr="00F856F1">
        <w:rPr>
          <w:bCs/>
        </w:rPr>
        <w:t xml:space="preserve">). </w:t>
      </w:r>
      <w:r w:rsidR="002E5E64" w:rsidRPr="00F856F1">
        <w:rPr>
          <w:bCs/>
        </w:rPr>
        <w:t>L</w:t>
      </w:r>
      <w:r w:rsidR="00432363" w:rsidRPr="00F856F1">
        <w:rPr>
          <w:bCs/>
        </w:rPr>
        <w:t xml:space="preserve">es laboratoires de test reconnus </w:t>
      </w:r>
      <w:r w:rsidR="002E5E64" w:rsidRPr="00F856F1">
        <w:rPr>
          <w:bCs/>
        </w:rPr>
        <w:t>apparaîtront</w:t>
      </w:r>
      <w:r w:rsidR="001B129B" w:rsidRPr="00F856F1">
        <w:rPr>
          <w:bCs/>
        </w:rPr>
        <w:t xml:space="preserve"> dans la base de données de l'UI</w:t>
      </w:r>
      <w:r w:rsidR="007D68EA" w:rsidRPr="00F856F1">
        <w:rPr>
          <w:bCs/>
        </w:rPr>
        <w:t>T sur les laboratoires de test</w:t>
      </w:r>
      <w:r w:rsidR="0019771C" w:rsidRPr="00F856F1">
        <w:rPr>
          <w:bCs/>
        </w:rPr>
        <w:t xml:space="preserve"> en conséquence</w:t>
      </w:r>
      <w:r w:rsidR="007D68EA" w:rsidRPr="00F856F1">
        <w:rPr>
          <w:bCs/>
        </w:rPr>
        <w:t>.</w:t>
      </w:r>
    </w:p>
    <w:p w14:paraId="1C8661E0" w14:textId="37E098A5" w:rsidR="00222E95" w:rsidRPr="00F856F1" w:rsidRDefault="00214FA4" w:rsidP="00B12EAA">
      <w:pPr>
        <w:rPr>
          <w:bCs/>
        </w:rPr>
      </w:pPr>
      <w:r w:rsidRPr="00F856F1">
        <w:rPr>
          <w:bCs/>
        </w:rPr>
        <w:lastRenderedPageBreak/>
        <w:t>5</w:t>
      </w:r>
      <w:r w:rsidRPr="00F856F1">
        <w:rPr>
          <w:bCs/>
        </w:rPr>
        <w:tab/>
      </w:r>
      <w:r w:rsidR="00952277" w:rsidRPr="00F856F1">
        <w:rPr>
          <w:bCs/>
        </w:rPr>
        <w:t xml:space="preserve">Tout laboratoire de test (y compris des entités qui ne sont pas membres de l'UIT) qui indique </w:t>
      </w:r>
      <w:r w:rsidR="00F22FF7" w:rsidRPr="00F856F1">
        <w:rPr>
          <w:bCs/>
        </w:rPr>
        <w:t>son souhait d</w:t>
      </w:r>
      <w:r w:rsidR="00B12EAA" w:rsidRPr="00F856F1">
        <w:rPr>
          <w:bCs/>
        </w:rPr>
        <w:t>'</w:t>
      </w:r>
      <w:r w:rsidR="00952277" w:rsidRPr="00F856F1">
        <w:rPr>
          <w:bCs/>
        </w:rPr>
        <w:t xml:space="preserve">être accrédité </w:t>
      </w:r>
      <w:r w:rsidR="00F22FF7" w:rsidRPr="00F856F1">
        <w:rPr>
          <w:bCs/>
        </w:rPr>
        <w:t xml:space="preserve">pour vérifier la conformité </w:t>
      </w:r>
      <w:r w:rsidR="00952277" w:rsidRPr="00F856F1">
        <w:rPr>
          <w:bCs/>
        </w:rPr>
        <w:t xml:space="preserve">aux Recommandations de l'UIT-T afin </w:t>
      </w:r>
      <w:r w:rsidR="00F22FF7" w:rsidRPr="00F856F1">
        <w:rPr>
          <w:bCs/>
        </w:rPr>
        <w:t>d</w:t>
      </w:r>
      <w:r w:rsidR="00B12EAA" w:rsidRPr="00F856F1">
        <w:rPr>
          <w:bCs/>
        </w:rPr>
        <w:t>'</w:t>
      </w:r>
      <w:r w:rsidR="00F22FF7" w:rsidRPr="00F856F1">
        <w:rPr>
          <w:bCs/>
        </w:rPr>
        <w:t xml:space="preserve">être </w:t>
      </w:r>
      <w:r w:rsidR="00D55C24" w:rsidRPr="00F856F1">
        <w:rPr>
          <w:bCs/>
        </w:rPr>
        <w:t>également</w:t>
      </w:r>
      <w:r w:rsidR="00F22FF7" w:rsidRPr="00F856F1">
        <w:rPr>
          <w:bCs/>
        </w:rPr>
        <w:t xml:space="preserve"> reconnu par</w:t>
      </w:r>
      <w:r w:rsidR="00952277" w:rsidRPr="00F856F1">
        <w:rPr>
          <w:bCs/>
        </w:rPr>
        <w:t xml:space="preserve"> l'UIT doit </w:t>
      </w:r>
      <w:r w:rsidR="00F64120" w:rsidRPr="00F856F1">
        <w:rPr>
          <w:bCs/>
        </w:rPr>
        <w:t xml:space="preserve">se mettre en relation avec un organisme d'accréditation signataire du MRA de l'ILAC. </w:t>
      </w:r>
      <w:r w:rsidR="00936C7D" w:rsidRPr="00F856F1">
        <w:rPr>
          <w:bCs/>
        </w:rPr>
        <w:t xml:space="preserve">La liste des organismes d'accréditation est disponible à l'adresse suivante: </w:t>
      </w:r>
      <w:hyperlink r:id="rId15" w:history="1">
        <w:r w:rsidR="00936C7D" w:rsidRPr="00F856F1">
          <w:rPr>
            <w:rStyle w:val="Hyperlink"/>
          </w:rPr>
          <w:t>https://ilac.org/signatory-search/</w:t>
        </w:r>
      </w:hyperlink>
      <w:r w:rsidR="00936C7D" w:rsidRPr="00F856F1">
        <w:rPr>
          <w:bCs/>
        </w:rPr>
        <w:t xml:space="preserve">. </w:t>
      </w:r>
      <w:r w:rsidR="00F22FF7" w:rsidRPr="00F856F1">
        <w:rPr>
          <w:bCs/>
        </w:rPr>
        <w:t>U</w:t>
      </w:r>
      <w:r w:rsidR="0031026D" w:rsidRPr="00F856F1">
        <w:rPr>
          <w:bCs/>
        </w:rPr>
        <w:t xml:space="preserve">ne fois </w:t>
      </w:r>
      <w:r w:rsidR="00D55C24" w:rsidRPr="00F856F1">
        <w:rPr>
          <w:bCs/>
        </w:rPr>
        <w:t>qu</w:t>
      </w:r>
      <w:r w:rsidR="00B12EAA" w:rsidRPr="00F856F1">
        <w:rPr>
          <w:bCs/>
        </w:rPr>
        <w:t>'</w:t>
      </w:r>
      <w:r w:rsidR="00D55C24" w:rsidRPr="00F856F1">
        <w:rPr>
          <w:bCs/>
        </w:rPr>
        <w:t>il</w:t>
      </w:r>
      <w:r w:rsidR="007D68EA" w:rsidRPr="00F856F1">
        <w:rPr>
          <w:bCs/>
        </w:rPr>
        <w:t xml:space="preserve"> a reçu </w:t>
      </w:r>
      <w:r w:rsidR="00F22FF7" w:rsidRPr="00F856F1">
        <w:rPr>
          <w:bCs/>
        </w:rPr>
        <w:t xml:space="preserve">son </w:t>
      </w:r>
      <w:r w:rsidR="0031026D" w:rsidRPr="00F856F1">
        <w:rPr>
          <w:bCs/>
        </w:rPr>
        <w:t xml:space="preserve">accréditation </w:t>
      </w:r>
      <w:r w:rsidR="007D68EA" w:rsidRPr="00F856F1">
        <w:rPr>
          <w:bCs/>
        </w:rPr>
        <w:t xml:space="preserve">et </w:t>
      </w:r>
      <w:r w:rsidR="00943E66" w:rsidRPr="00F856F1">
        <w:rPr>
          <w:bCs/>
        </w:rPr>
        <w:t xml:space="preserve">soumis </w:t>
      </w:r>
      <w:r w:rsidR="00FE7B07" w:rsidRPr="00F856F1">
        <w:rPr>
          <w:bCs/>
        </w:rPr>
        <w:t xml:space="preserve">le formulaire </w:t>
      </w:r>
      <w:r w:rsidR="00943E66" w:rsidRPr="00F856F1">
        <w:rPr>
          <w:bCs/>
        </w:rPr>
        <w:t xml:space="preserve">de demande correspondant à l'UIT, </w:t>
      </w:r>
      <w:r w:rsidR="00F22FF7" w:rsidRPr="00F856F1">
        <w:rPr>
          <w:bCs/>
        </w:rPr>
        <w:t xml:space="preserve">le laboratoire de test </w:t>
      </w:r>
      <w:r w:rsidR="00943E66" w:rsidRPr="00F856F1">
        <w:rPr>
          <w:bCs/>
        </w:rPr>
        <w:t xml:space="preserve">peut </w:t>
      </w:r>
      <w:r w:rsidR="00F22FF7" w:rsidRPr="00F856F1">
        <w:rPr>
          <w:bCs/>
        </w:rPr>
        <w:t xml:space="preserve">ensuite </w:t>
      </w:r>
      <w:r w:rsidR="00943E66" w:rsidRPr="00F856F1">
        <w:rPr>
          <w:bCs/>
        </w:rPr>
        <w:t>être reconnu par l'UIT en conséquence.</w:t>
      </w:r>
    </w:p>
    <w:p w14:paraId="17C3C090" w14:textId="2EE5457B" w:rsidR="00B504A1" w:rsidRPr="00F856F1" w:rsidRDefault="00214FA4" w:rsidP="00B12EAA">
      <w:pPr>
        <w:rPr>
          <w:bCs/>
        </w:rPr>
      </w:pPr>
      <w:r w:rsidRPr="00F856F1">
        <w:rPr>
          <w:bCs/>
        </w:rPr>
        <w:t>6</w:t>
      </w:r>
      <w:r w:rsidRPr="00F856F1">
        <w:rPr>
          <w:bCs/>
        </w:rPr>
        <w:tab/>
      </w:r>
      <w:r w:rsidR="00B504A1" w:rsidRPr="00F856F1">
        <w:rPr>
          <w:bCs/>
        </w:rPr>
        <w:t xml:space="preserve">Tous les produits TIC </w:t>
      </w:r>
      <w:r w:rsidR="007A7008" w:rsidRPr="00F856F1">
        <w:rPr>
          <w:bCs/>
        </w:rPr>
        <w:t>pour lesquels</w:t>
      </w:r>
      <w:r w:rsidR="00B504A1" w:rsidRPr="00F856F1">
        <w:rPr>
          <w:bCs/>
        </w:rPr>
        <w:t xml:space="preserve"> de</w:t>
      </w:r>
      <w:r w:rsidR="007A7008" w:rsidRPr="00F856F1">
        <w:rPr>
          <w:bCs/>
        </w:rPr>
        <w:t>s</w:t>
      </w:r>
      <w:r w:rsidR="00B504A1" w:rsidRPr="00F856F1">
        <w:rPr>
          <w:bCs/>
        </w:rPr>
        <w:t xml:space="preserve"> tests de conformité aux Recommandations UIT-T </w:t>
      </w:r>
      <w:r w:rsidR="007A7008" w:rsidRPr="00F856F1">
        <w:rPr>
          <w:bCs/>
        </w:rPr>
        <w:t xml:space="preserve">ont été effectués dans </w:t>
      </w:r>
      <w:r w:rsidR="00B504A1" w:rsidRPr="00F856F1">
        <w:rPr>
          <w:bCs/>
        </w:rPr>
        <w:t>de</w:t>
      </w:r>
      <w:r w:rsidR="007A7008" w:rsidRPr="00F856F1">
        <w:rPr>
          <w:bCs/>
        </w:rPr>
        <w:t>s</w:t>
      </w:r>
      <w:r w:rsidR="00B504A1" w:rsidRPr="00F856F1">
        <w:rPr>
          <w:bCs/>
        </w:rPr>
        <w:t xml:space="preserve"> laboratoires de test </w:t>
      </w:r>
      <w:r w:rsidR="00857147" w:rsidRPr="00F856F1">
        <w:rPr>
          <w:bCs/>
        </w:rPr>
        <w:t xml:space="preserve">reconnus par l'UIT peuvent être </w:t>
      </w:r>
      <w:r w:rsidR="00431E82" w:rsidRPr="00F856F1">
        <w:rPr>
          <w:bCs/>
        </w:rPr>
        <w:t>enregistrés dans la base de données de l'UIT sur la conformité des produits (</w:t>
      </w:r>
      <w:hyperlink r:id="rId16" w:history="1">
        <w:r w:rsidR="00431E82" w:rsidRPr="00F856F1">
          <w:rPr>
            <w:rStyle w:val="Hyperlink"/>
          </w:rPr>
          <w:t>https://itu.int/go/tcdb</w:t>
        </w:r>
      </w:hyperlink>
      <w:r w:rsidR="00431E82" w:rsidRPr="00F856F1">
        <w:rPr>
          <w:bCs/>
        </w:rPr>
        <w:t xml:space="preserve">), </w:t>
      </w:r>
      <w:r w:rsidR="000618D7" w:rsidRPr="00F856F1">
        <w:rPr>
          <w:bCs/>
        </w:rPr>
        <w:t xml:space="preserve">sur </w:t>
      </w:r>
      <w:r w:rsidR="003501D9" w:rsidRPr="00F856F1">
        <w:rPr>
          <w:bCs/>
        </w:rPr>
        <w:t xml:space="preserve">demande. Les demandes correspondantes </w:t>
      </w:r>
      <w:r w:rsidR="00D76A0D" w:rsidRPr="00F856F1">
        <w:rPr>
          <w:bCs/>
        </w:rPr>
        <w:t>doivent être soumises par l</w:t>
      </w:r>
      <w:r w:rsidR="007A7008" w:rsidRPr="00F856F1">
        <w:rPr>
          <w:bCs/>
        </w:rPr>
        <w:t>a</w:t>
      </w:r>
      <w:r w:rsidR="00D76A0D" w:rsidRPr="00F856F1">
        <w:rPr>
          <w:bCs/>
        </w:rPr>
        <w:t xml:space="preserve"> partie prenante concernée au moyen du </w:t>
      </w:r>
      <w:hyperlink r:id="rId17" w:history="1">
        <w:r w:rsidR="00D76A0D" w:rsidRPr="00F856F1">
          <w:rPr>
            <w:rStyle w:val="Hyperlink"/>
          </w:rPr>
          <w:t>formulaire en ligne</w:t>
        </w:r>
      </w:hyperlink>
      <w:r w:rsidR="00F77475" w:rsidRPr="00F856F1">
        <w:rPr>
          <w:bCs/>
        </w:rPr>
        <w:t>.</w:t>
      </w:r>
    </w:p>
    <w:p w14:paraId="3B1757E4" w14:textId="53FC3015" w:rsidR="00F77475" w:rsidRPr="00F856F1" w:rsidRDefault="00214FA4" w:rsidP="00B12EAA">
      <w:pPr>
        <w:rPr>
          <w:bCs/>
        </w:rPr>
      </w:pPr>
      <w:r w:rsidRPr="00F856F1">
        <w:rPr>
          <w:bCs/>
        </w:rPr>
        <w:t>7</w:t>
      </w:r>
      <w:r w:rsidRPr="00F856F1">
        <w:rPr>
          <w:bCs/>
        </w:rPr>
        <w:tab/>
      </w:r>
      <w:r w:rsidR="00F77475" w:rsidRPr="00F856F1">
        <w:rPr>
          <w:bCs/>
        </w:rPr>
        <w:t xml:space="preserve">Toutes les parties intéressées, y compris les entités qui ne sont pas membres de l'UIT, sont invitées </w:t>
      </w:r>
      <w:r w:rsidR="00984E7F" w:rsidRPr="00F856F1">
        <w:rPr>
          <w:bCs/>
        </w:rPr>
        <w:t>à alimenter la base de données de l'UIT sur les laboratoires de test et la base de données de l'UIT sur la conformité des produits.</w:t>
      </w:r>
      <w:r w:rsidR="00C4305B" w:rsidRPr="00F856F1">
        <w:rPr>
          <w:bCs/>
        </w:rPr>
        <w:t xml:space="preserve"> </w:t>
      </w:r>
      <w:r w:rsidR="00305135" w:rsidRPr="00F856F1">
        <w:rPr>
          <w:bCs/>
        </w:rPr>
        <w:t xml:space="preserve">Cette </w:t>
      </w:r>
      <w:r w:rsidR="00D55C24" w:rsidRPr="00F856F1">
        <w:rPr>
          <w:bCs/>
        </w:rPr>
        <w:t xml:space="preserve">manière de procéder </w:t>
      </w:r>
      <w:r w:rsidR="001C301F" w:rsidRPr="00F856F1">
        <w:rPr>
          <w:bCs/>
        </w:rPr>
        <w:t xml:space="preserve">pourrait </w:t>
      </w:r>
      <w:r w:rsidR="00305135" w:rsidRPr="00F856F1">
        <w:rPr>
          <w:bCs/>
        </w:rPr>
        <w:t xml:space="preserve">être utilisée pour </w:t>
      </w:r>
      <w:r w:rsidR="00CF7BB1" w:rsidRPr="00F856F1">
        <w:rPr>
          <w:bCs/>
        </w:rPr>
        <w:t>mieux faire connaître aux clients les Recommandations UIT-T mises en œuvre</w:t>
      </w:r>
      <w:r w:rsidR="009D0BE0" w:rsidRPr="00F856F1">
        <w:rPr>
          <w:bCs/>
        </w:rPr>
        <w:t xml:space="preserve"> dans les équipements TIC</w:t>
      </w:r>
      <w:r w:rsidR="00CF7BB1" w:rsidRPr="00F856F1">
        <w:rPr>
          <w:bCs/>
        </w:rPr>
        <w:t xml:space="preserve">, ce qui s'apparenterait à une </w:t>
      </w:r>
      <w:r w:rsidR="00286727" w:rsidRPr="00F856F1">
        <w:rPr>
          <w:bCs/>
        </w:rPr>
        <w:t xml:space="preserve">stratégie </w:t>
      </w:r>
      <w:r w:rsidR="000C25D3" w:rsidRPr="00F856F1">
        <w:rPr>
          <w:bCs/>
        </w:rPr>
        <w:t>entreprise à</w:t>
      </w:r>
      <w:r w:rsidR="003D3DD6" w:rsidRPr="00F856F1">
        <w:rPr>
          <w:bCs/>
        </w:rPr>
        <w:t xml:space="preserve"> client</w:t>
      </w:r>
      <w:r w:rsidR="00CF7BB1" w:rsidRPr="00F856F1">
        <w:rPr>
          <w:bCs/>
        </w:rPr>
        <w:t>.</w:t>
      </w:r>
    </w:p>
    <w:p w14:paraId="0B53C862" w14:textId="67A29055" w:rsidR="00BF65BD" w:rsidRPr="00F856F1" w:rsidRDefault="00214FA4" w:rsidP="00B12EAA">
      <w:pPr>
        <w:rPr>
          <w:bCs/>
        </w:rPr>
      </w:pPr>
      <w:r w:rsidRPr="00F856F1">
        <w:rPr>
          <w:bCs/>
        </w:rPr>
        <w:t>8</w:t>
      </w:r>
      <w:r w:rsidRPr="00F856F1">
        <w:rPr>
          <w:bCs/>
        </w:rPr>
        <w:tab/>
      </w:r>
      <w:r w:rsidR="00600313" w:rsidRPr="00F856F1">
        <w:rPr>
          <w:bCs/>
        </w:rPr>
        <w:t xml:space="preserve">Pour toute question, veuillez vous adresser à M. Denis Andreev </w:t>
      </w:r>
      <w:r w:rsidRPr="00F856F1">
        <w:rPr>
          <w:bCs/>
        </w:rPr>
        <w:t xml:space="preserve">(TSB, </w:t>
      </w:r>
      <w:hyperlink r:id="rId18" w:history="1">
        <w:r w:rsidRPr="00F856F1">
          <w:rPr>
            <w:rStyle w:val="Hyperlink"/>
          </w:rPr>
          <w:t>conformity@itu.int</w:t>
        </w:r>
      </w:hyperlink>
      <w:r w:rsidRPr="00F856F1">
        <w:rPr>
          <w:bCs/>
        </w:rPr>
        <w:t>).</w:t>
      </w:r>
    </w:p>
    <w:p w14:paraId="5B78A99C" w14:textId="3ADA07C3" w:rsidR="00BD6ECF" w:rsidRPr="00F856F1" w:rsidRDefault="00517A03" w:rsidP="00B12EAA">
      <w:r w:rsidRPr="00F856F1">
        <w:t>Veuillez agréer, Madame, Monsieur, l</w:t>
      </w:r>
      <w:r w:rsidR="00167472" w:rsidRPr="00F856F1">
        <w:t>'</w:t>
      </w:r>
      <w:r w:rsidRPr="00F856F1">
        <w:t>assurance de ma considération</w:t>
      </w:r>
      <w:r w:rsidR="00222E95" w:rsidRPr="00F856F1">
        <w:t xml:space="preserve"> distinguée</w:t>
      </w:r>
      <w:r w:rsidRPr="00F856F1">
        <w:t>.</w:t>
      </w:r>
    </w:p>
    <w:p w14:paraId="57F978A5" w14:textId="59688D7E" w:rsidR="00517A03" w:rsidRPr="00F856F1" w:rsidRDefault="00A2635F" w:rsidP="006975B9">
      <w:pPr>
        <w:keepNext/>
        <w:keepLines/>
        <w:spacing w:before="960"/>
        <w:ind w:righ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293F39" wp14:editId="32C7E1D0">
            <wp:simplePos x="0" y="0"/>
            <wp:positionH relativeFrom="column">
              <wp:posOffset>636</wp:posOffset>
            </wp:positionH>
            <wp:positionV relativeFrom="paragraph">
              <wp:posOffset>76200</wp:posOffset>
            </wp:positionV>
            <wp:extent cx="529166" cy="396875"/>
            <wp:effectExtent l="0" t="0" r="4445" b="317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51" cy="398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F856F1">
        <w:t>Chaesub Lee</w:t>
      </w:r>
      <w:r w:rsidR="00036F4F" w:rsidRPr="00F856F1">
        <w:br/>
        <w:t xml:space="preserve">Directeur du Bureau de la normalisation </w:t>
      </w:r>
      <w:r w:rsidR="00036F4F" w:rsidRPr="00F856F1">
        <w:br/>
        <w:t>des télécommunications</w:t>
      </w:r>
      <w:r w:rsidR="00036F4F" w:rsidRPr="00F856F1">
        <w:rPr>
          <w:b/>
        </w:rPr>
        <w:t xml:space="preserve"> </w:t>
      </w:r>
    </w:p>
    <w:sectPr w:rsidR="00517A03" w:rsidRPr="00F856F1" w:rsidSect="00A15179">
      <w:headerReference w:type="default" r:id="rId20"/>
      <w:footerReference w:type="first" r:id="rId2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2D83" w14:textId="77777777" w:rsidR="001A7232" w:rsidRDefault="001A7232">
      <w:r>
        <w:separator/>
      </w:r>
    </w:p>
  </w:endnote>
  <w:endnote w:type="continuationSeparator" w:id="0">
    <w:p w14:paraId="7A2BAEF8" w14:textId="77777777" w:rsidR="001A7232" w:rsidRDefault="001A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6388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E526" w14:textId="77777777" w:rsidR="001A7232" w:rsidRDefault="001A7232">
      <w:r>
        <w:t>____________________</w:t>
      </w:r>
    </w:p>
  </w:footnote>
  <w:footnote w:type="continuationSeparator" w:id="0">
    <w:p w14:paraId="6292EF68" w14:textId="77777777" w:rsidR="001A7232" w:rsidRDefault="001A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5C02" w14:textId="3B435F81" w:rsidR="00697BC1" w:rsidRPr="00697BC1" w:rsidRDefault="00A2635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4C58E0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4C58E0">
      <w:rPr>
        <w:noProof/>
        <w:sz w:val="18"/>
        <w:szCs w:val="16"/>
      </w:rPr>
      <w:br/>
      <w:t>Circulaire TSB 368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32"/>
    <w:rsid w:val="000039EE"/>
    <w:rsid w:val="00005622"/>
    <w:rsid w:val="0002519E"/>
    <w:rsid w:val="00035B43"/>
    <w:rsid w:val="00036F4F"/>
    <w:rsid w:val="000618D7"/>
    <w:rsid w:val="000758B3"/>
    <w:rsid w:val="000775BE"/>
    <w:rsid w:val="00085F5A"/>
    <w:rsid w:val="000B0D96"/>
    <w:rsid w:val="000B59D8"/>
    <w:rsid w:val="000C1F6B"/>
    <w:rsid w:val="000C25CC"/>
    <w:rsid w:val="000C25D3"/>
    <w:rsid w:val="000C56BE"/>
    <w:rsid w:val="000E4AA8"/>
    <w:rsid w:val="000F6C68"/>
    <w:rsid w:val="001026FD"/>
    <w:rsid w:val="001077FD"/>
    <w:rsid w:val="00115DD7"/>
    <w:rsid w:val="00134E1A"/>
    <w:rsid w:val="00167472"/>
    <w:rsid w:val="00167F92"/>
    <w:rsid w:val="00173738"/>
    <w:rsid w:val="00191CC3"/>
    <w:rsid w:val="0019771C"/>
    <w:rsid w:val="001A031A"/>
    <w:rsid w:val="001A7232"/>
    <w:rsid w:val="001B129B"/>
    <w:rsid w:val="001B79A3"/>
    <w:rsid w:val="001C301F"/>
    <w:rsid w:val="00214FA4"/>
    <w:rsid w:val="002152A3"/>
    <w:rsid w:val="00222E95"/>
    <w:rsid w:val="00224829"/>
    <w:rsid w:val="0026018B"/>
    <w:rsid w:val="00286727"/>
    <w:rsid w:val="0029233D"/>
    <w:rsid w:val="002E395D"/>
    <w:rsid w:val="002E5E64"/>
    <w:rsid w:val="00305135"/>
    <w:rsid w:val="0031026D"/>
    <w:rsid w:val="003131F0"/>
    <w:rsid w:val="00314508"/>
    <w:rsid w:val="00315709"/>
    <w:rsid w:val="00333A80"/>
    <w:rsid w:val="00341117"/>
    <w:rsid w:val="00343C45"/>
    <w:rsid w:val="003501D9"/>
    <w:rsid w:val="00364E95"/>
    <w:rsid w:val="00372875"/>
    <w:rsid w:val="003B1E80"/>
    <w:rsid w:val="003B66E8"/>
    <w:rsid w:val="003D3DD6"/>
    <w:rsid w:val="003E66AD"/>
    <w:rsid w:val="004033F1"/>
    <w:rsid w:val="00412014"/>
    <w:rsid w:val="004145CB"/>
    <w:rsid w:val="00414B0C"/>
    <w:rsid w:val="00423C21"/>
    <w:rsid w:val="004257AC"/>
    <w:rsid w:val="00431E82"/>
    <w:rsid w:val="00432363"/>
    <w:rsid w:val="0043711B"/>
    <w:rsid w:val="004977C9"/>
    <w:rsid w:val="004B732E"/>
    <w:rsid w:val="004C58E0"/>
    <w:rsid w:val="004D333A"/>
    <w:rsid w:val="004D51F4"/>
    <w:rsid w:val="004D64E0"/>
    <w:rsid w:val="004F63D0"/>
    <w:rsid w:val="005120A2"/>
    <w:rsid w:val="0051210D"/>
    <w:rsid w:val="005136D2"/>
    <w:rsid w:val="00517A03"/>
    <w:rsid w:val="00541F15"/>
    <w:rsid w:val="005569FE"/>
    <w:rsid w:val="00570FDD"/>
    <w:rsid w:val="005A3DD9"/>
    <w:rsid w:val="005B1DFC"/>
    <w:rsid w:val="005F411D"/>
    <w:rsid w:val="00600313"/>
    <w:rsid w:val="00601682"/>
    <w:rsid w:val="00603470"/>
    <w:rsid w:val="00625E79"/>
    <w:rsid w:val="006333F7"/>
    <w:rsid w:val="006427A1"/>
    <w:rsid w:val="00644741"/>
    <w:rsid w:val="006628AA"/>
    <w:rsid w:val="006975B9"/>
    <w:rsid w:val="00697BC1"/>
    <w:rsid w:val="006A6FFE"/>
    <w:rsid w:val="006C5A91"/>
    <w:rsid w:val="006F74D9"/>
    <w:rsid w:val="00710244"/>
    <w:rsid w:val="00716BBC"/>
    <w:rsid w:val="007321BC"/>
    <w:rsid w:val="00760063"/>
    <w:rsid w:val="0076033A"/>
    <w:rsid w:val="00775E4B"/>
    <w:rsid w:val="0079553B"/>
    <w:rsid w:val="00795679"/>
    <w:rsid w:val="007A40FE"/>
    <w:rsid w:val="007A7008"/>
    <w:rsid w:val="007C4D15"/>
    <w:rsid w:val="007D68EA"/>
    <w:rsid w:val="00810105"/>
    <w:rsid w:val="008120C4"/>
    <w:rsid w:val="008157E0"/>
    <w:rsid w:val="00850477"/>
    <w:rsid w:val="00854E1D"/>
    <w:rsid w:val="00856900"/>
    <w:rsid w:val="00857147"/>
    <w:rsid w:val="00866A35"/>
    <w:rsid w:val="00887FA6"/>
    <w:rsid w:val="008B1B20"/>
    <w:rsid w:val="008C4397"/>
    <w:rsid w:val="008C465A"/>
    <w:rsid w:val="008F2C9B"/>
    <w:rsid w:val="009147ED"/>
    <w:rsid w:val="00923CD6"/>
    <w:rsid w:val="00935AA8"/>
    <w:rsid w:val="00936C7D"/>
    <w:rsid w:val="00941E93"/>
    <w:rsid w:val="00943E66"/>
    <w:rsid w:val="00952277"/>
    <w:rsid w:val="00971C9A"/>
    <w:rsid w:val="00984E7F"/>
    <w:rsid w:val="00985CAE"/>
    <w:rsid w:val="009C241F"/>
    <w:rsid w:val="009D0BE0"/>
    <w:rsid w:val="009D51FA"/>
    <w:rsid w:val="009F1E23"/>
    <w:rsid w:val="00A15179"/>
    <w:rsid w:val="00A2635F"/>
    <w:rsid w:val="00A45FA2"/>
    <w:rsid w:val="00A51537"/>
    <w:rsid w:val="00A5280F"/>
    <w:rsid w:val="00A5645A"/>
    <w:rsid w:val="00A57E15"/>
    <w:rsid w:val="00A60FC1"/>
    <w:rsid w:val="00A84984"/>
    <w:rsid w:val="00A97C37"/>
    <w:rsid w:val="00AA131B"/>
    <w:rsid w:val="00AC37B5"/>
    <w:rsid w:val="00AD752F"/>
    <w:rsid w:val="00AE3BF1"/>
    <w:rsid w:val="00AF08A4"/>
    <w:rsid w:val="00B12EAA"/>
    <w:rsid w:val="00B27B41"/>
    <w:rsid w:val="00B42659"/>
    <w:rsid w:val="00B504A1"/>
    <w:rsid w:val="00B8573E"/>
    <w:rsid w:val="00BB24C0"/>
    <w:rsid w:val="00BD6ECF"/>
    <w:rsid w:val="00BF4700"/>
    <w:rsid w:val="00BF65BD"/>
    <w:rsid w:val="00C26F2E"/>
    <w:rsid w:val="00C302E3"/>
    <w:rsid w:val="00C4305B"/>
    <w:rsid w:val="00C45376"/>
    <w:rsid w:val="00C65CDD"/>
    <w:rsid w:val="00C7648D"/>
    <w:rsid w:val="00C9028F"/>
    <w:rsid w:val="00CA0416"/>
    <w:rsid w:val="00CB1125"/>
    <w:rsid w:val="00CC3ABF"/>
    <w:rsid w:val="00CD042E"/>
    <w:rsid w:val="00CD0490"/>
    <w:rsid w:val="00CE5224"/>
    <w:rsid w:val="00CF2560"/>
    <w:rsid w:val="00CF5B46"/>
    <w:rsid w:val="00CF7BB1"/>
    <w:rsid w:val="00D45E78"/>
    <w:rsid w:val="00D46B68"/>
    <w:rsid w:val="00D520D6"/>
    <w:rsid w:val="00D542A5"/>
    <w:rsid w:val="00D55C24"/>
    <w:rsid w:val="00D63400"/>
    <w:rsid w:val="00D76A0D"/>
    <w:rsid w:val="00D97774"/>
    <w:rsid w:val="00DC3D47"/>
    <w:rsid w:val="00DD77DA"/>
    <w:rsid w:val="00E06C61"/>
    <w:rsid w:val="00E13DB3"/>
    <w:rsid w:val="00E21629"/>
    <w:rsid w:val="00E2408B"/>
    <w:rsid w:val="00E56A87"/>
    <w:rsid w:val="00E62CEA"/>
    <w:rsid w:val="00E72AE1"/>
    <w:rsid w:val="00E8475B"/>
    <w:rsid w:val="00ED6A7A"/>
    <w:rsid w:val="00EE4C36"/>
    <w:rsid w:val="00F22FF7"/>
    <w:rsid w:val="00F346CE"/>
    <w:rsid w:val="00F34F98"/>
    <w:rsid w:val="00F40540"/>
    <w:rsid w:val="00F64120"/>
    <w:rsid w:val="00F67402"/>
    <w:rsid w:val="00F766A2"/>
    <w:rsid w:val="00F77475"/>
    <w:rsid w:val="00F84A22"/>
    <w:rsid w:val="00F856F1"/>
    <w:rsid w:val="00F9451D"/>
    <w:rsid w:val="00FC4A35"/>
    <w:rsid w:val="00FE7B07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DA93A"/>
  <w15:docId w15:val="{A7A44EA9-097F-4F12-B410-110A1043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5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690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43C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3C4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3C45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3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3C45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343C45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343C4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3C45"/>
    <w:rPr>
      <w:rFonts w:ascii="Segoe UI" w:hAnsi="Segoe UI" w:cs="Segoe UI"/>
      <w:sz w:val="18"/>
      <w:szCs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D45E78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cdb/secured/reg-tldb.aspx" TargetMode="External"/><Relationship Id="rId18" Type="http://schemas.openxmlformats.org/officeDocument/2006/relationships/hyperlink" Target="mailto:conformity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lac.org/ilac-mra-and-signatories/" TargetMode="External"/><Relationship Id="rId17" Type="http://schemas.openxmlformats.org/officeDocument/2006/relationships/hyperlink" Target="https://www.itu.int/net/itu-t/cdb/secured/Register16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tcd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ca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lac.org/signatory-searc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fr/ITU-T/studygroups/2017-2020/11/Pages/default.aspx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fr/ITU-T/C-I/Pages/defaul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9382-DB7B-48F5-A648-3EFE7609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30</TotalTime>
  <Pages>2</Pages>
  <Words>641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4986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7</cp:revision>
  <cp:lastPrinted>2022-02-09T13:57:00Z</cp:lastPrinted>
  <dcterms:created xsi:type="dcterms:W3CDTF">2022-02-07T08:48:00Z</dcterms:created>
  <dcterms:modified xsi:type="dcterms:W3CDTF">2022-02-09T13:57:00Z</dcterms:modified>
</cp:coreProperties>
</file>