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6F1D2E" w14:paraId="1AD55D5F" w14:textId="77777777" w:rsidTr="007B6316">
        <w:trPr>
          <w:cantSplit/>
          <w:trHeight w:val="340"/>
        </w:trPr>
        <w:tc>
          <w:tcPr>
            <w:tcW w:w="1410" w:type="dxa"/>
            <w:gridSpan w:val="2"/>
          </w:tcPr>
          <w:p w14:paraId="63E7D318" w14:textId="77777777" w:rsidR="007B6316" w:rsidRPr="006F1D2E" w:rsidRDefault="007B6316" w:rsidP="00303D62">
            <w:pPr>
              <w:tabs>
                <w:tab w:val="left" w:pos="4111"/>
              </w:tabs>
              <w:spacing w:before="10"/>
              <w:ind w:left="57"/>
              <w:rPr>
                <w:sz w:val="22"/>
              </w:rPr>
            </w:pPr>
            <w:r w:rsidRPr="006F1D2E">
              <w:rPr>
                <w:noProof/>
                <w:lang w:eastAsia="zh-CN"/>
              </w:rPr>
              <w:drawing>
                <wp:inline distT="0" distB="0" distL="0" distR="0" wp14:anchorId="1C147D88" wp14:editId="59209BD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F9A1968" w14:textId="77777777" w:rsidR="007B6316" w:rsidRPr="006F1D2E" w:rsidRDefault="007B6316" w:rsidP="007B6316">
            <w:pPr>
              <w:spacing w:before="0"/>
              <w:rPr>
                <w:rFonts w:cs="Times New Roman Bold"/>
                <w:b/>
                <w:bCs/>
                <w:smallCaps/>
                <w:sz w:val="26"/>
                <w:szCs w:val="26"/>
              </w:rPr>
            </w:pPr>
            <w:r w:rsidRPr="006F1D2E">
              <w:rPr>
                <w:rFonts w:cs="Times New Roman Bold"/>
                <w:b/>
                <w:bCs/>
                <w:smallCaps/>
                <w:sz w:val="36"/>
                <w:szCs w:val="36"/>
              </w:rPr>
              <w:t>Unión Internacional de Telecomunicaciones</w:t>
            </w:r>
          </w:p>
          <w:p w14:paraId="65CD94E1" w14:textId="77777777" w:rsidR="007B6316" w:rsidRPr="006F1D2E" w:rsidRDefault="007B6316" w:rsidP="007B6316">
            <w:pPr>
              <w:spacing w:before="0"/>
            </w:pPr>
            <w:r w:rsidRPr="006F1D2E">
              <w:rPr>
                <w:rFonts w:cs="Times New Roman Bold"/>
                <w:b/>
                <w:bCs/>
                <w:smallCaps/>
                <w:sz w:val="28"/>
                <w:szCs w:val="28"/>
              </w:rPr>
              <w:t>Oficina</w:t>
            </w:r>
            <w:r w:rsidRPr="006F1D2E">
              <w:rPr>
                <w:rFonts w:cs="Times New Roman Bold"/>
                <w:b/>
                <w:bCs/>
                <w:iCs/>
                <w:smallCaps/>
                <w:sz w:val="22"/>
                <w:szCs w:val="22"/>
              </w:rPr>
              <w:t xml:space="preserve"> </w:t>
            </w:r>
            <w:r w:rsidRPr="006F1D2E">
              <w:rPr>
                <w:rFonts w:cs="Times New Roman Bold"/>
                <w:b/>
                <w:bCs/>
                <w:iCs/>
                <w:smallCaps/>
                <w:sz w:val="28"/>
                <w:szCs w:val="28"/>
              </w:rPr>
              <w:t>de Normalización de las Telecomunicaciones</w:t>
            </w:r>
          </w:p>
        </w:tc>
      </w:tr>
      <w:tr w:rsidR="007B6316" w:rsidRPr="006F1D2E" w14:paraId="6BC536E6" w14:textId="77777777" w:rsidTr="00303D62">
        <w:trPr>
          <w:cantSplit/>
          <w:trHeight w:val="340"/>
        </w:trPr>
        <w:tc>
          <w:tcPr>
            <w:tcW w:w="993" w:type="dxa"/>
          </w:tcPr>
          <w:p w14:paraId="066BD2FE" w14:textId="77777777" w:rsidR="007B6316" w:rsidRPr="006F1D2E" w:rsidRDefault="007B6316" w:rsidP="00303D62">
            <w:pPr>
              <w:tabs>
                <w:tab w:val="left" w:pos="4111"/>
              </w:tabs>
              <w:spacing w:before="10"/>
              <w:ind w:left="57"/>
              <w:rPr>
                <w:b/>
                <w:bCs/>
                <w:sz w:val="22"/>
              </w:rPr>
            </w:pPr>
          </w:p>
        </w:tc>
        <w:tc>
          <w:tcPr>
            <w:tcW w:w="3884" w:type="dxa"/>
            <w:gridSpan w:val="2"/>
          </w:tcPr>
          <w:p w14:paraId="718A06B4" w14:textId="77777777" w:rsidR="007B6316" w:rsidRPr="006F1D2E" w:rsidRDefault="007B6316" w:rsidP="00303D62">
            <w:pPr>
              <w:tabs>
                <w:tab w:val="left" w:pos="4111"/>
              </w:tabs>
              <w:spacing w:before="0"/>
              <w:ind w:left="57"/>
              <w:rPr>
                <w:b/>
              </w:rPr>
            </w:pPr>
          </w:p>
        </w:tc>
        <w:tc>
          <w:tcPr>
            <w:tcW w:w="5329" w:type="dxa"/>
          </w:tcPr>
          <w:p w14:paraId="57301C94" w14:textId="2C7741F8" w:rsidR="007B6316" w:rsidRPr="006F1D2E" w:rsidRDefault="007B6316" w:rsidP="007B6316">
            <w:pPr>
              <w:tabs>
                <w:tab w:val="clear" w:pos="794"/>
                <w:tab w:val="clear" w:pos="1191"/>
                <w:tab w:val="clear" w:pos="1588"/>
                <w:tab w:val="clear" w:pos="1985"/>
                <w:tab w:val="left" w:pos="284"/>
              </w:tabs>
              <w:spacing w:after="120"/>
              <w:ind w:left="284" w:hanging="227"/>
            </w:pPr>
            <w:r w:rsidRPr="006F1D2E">
              <w:rPr>
                <w:szCs w:val="24"/>
              </w:rPr>
              <w:t>Ginebra,</w:t>
            </w:r>
            <w:r w:rsidR="00A166EA" w:rsidRPr="006F1D2E">
              <w:rPr>
                <w:szCs w:val="24"/>
              </w:rPr>
              <w:t xml:space="preserve"> 31 de enero de 2022</w:t>
            </w:r>
          </w:p>
        </w:tc>
      </w:tr>
      <w:tr w:rsidR="007B6316" w:rsidRPr="006F1D2E" w14:paraId="24087C8D" w14:textId="77777777" w:rsidTr="00303D62">
        <w:trPr>
          <w:cantSplit/>
          <w:trHeight w:val="340"/>
        </w:trPr>
        <w:tc>
          <w:tcPr>
            <w:tcW w:w="993" w:type="dxa"/>
          </w:tcPr>
          <w:p w14:paraId="07D80D4B" w14:textId="77777777" w:rsidR="007B6316" w:rsidRPr="006F1D2E" w:rsidRDefault="007B6316" w:rsidP="00303D62">
            <w:pPr>
              <w:tabs>
                <w:tab w:val="left" w:pos="4111"/>
              </w:tabs>
              <w:spacing w:before="10"/>
              <w:ind w:left="57"/>
              <w:rPr>
                <w:b/>
                <w:bCs/>
                <w:sz w:val="22"/>
              </w:rPr>
            </w:pPr>
            <w:r w:rsidRPr="006F1D2E">
              <w:rPr>
                <w:b/>
                <w:bCs/>
                <w:sz w:val="22"/>
              </w:rPr>
              <w:t>Ref.:</w:t>
            </w:r>
          </w:p>
          <w:p w14:paraId="0682B3EA" w14:textId="77777777" w:rsidR="007B6316" w:rsidRPr="006F1D2E" w:rsidRDefault="007B6316" w:rsidP="007B6316">
            <w:pPr>
              <w:tabs>
                <w:tab w:val="left" w:pos="4111"/>
              </w:tabs>
              <w:spacing w:before="10"/>
              <w:ind w:left="57"/>
              <w:rPr>
                <w:b/>
                <w:bCs/>
                <w:sz w:val="22"/>
              </w:rPr>
            </w:pPr>
          </w:p>
        </w:tc>
        <w:tc>
          <w:tcPr>
            <w:tcW w:w="3884" w:type="dxa"/>
            <w:gridSpan w:val="2"/>
          </w:tcPr>
          <w:p w14:paraId="5F3CDE4A" w14:textId="13B3914F" w:rsidR="007B6316" w:rsidRPr="006F1D2E" w:rsidRDefault="007B6316" w:rsidP="00303D62">
            <w:pPr>
              <w:tabs>
                <w:tab w:val="left" w:pos="4111"/>
              </w:tabs>
              <w:spacing w:before="0"/>
              <w:ind w:left="57"/>
              <w:rPr>
                <w:b/>
              </w:rPr>
            </w:pPr>
            <w:r w:rsidRPr="006F1D2E">
              <w:rPr>
                <w:b/>
              </w:rPr>
              <w:t xml:space="preserve">Circular TSB </w:t>
            </w:r>
            <w:r w:rsidR="00A166EA" w:rsidRPr="006F1D2E">
              <w:rPr>
                <w:b/>
              </w:rPr>
              <w:t>368</w:t>
            </w:r>
          </w:p>
          <w:p w14:paraId="5B58AFCA" w14:textId="44F5859F" w:rsidR="007B6316" w:rsidRPr="006F1D2E" w:rsidRDefault="00A166EA" w:rsidP="006F1D2E">
            <w:pPr>
              <w:tabs>
                <w:tab w:val="left" w:pos="4111"/>
              </w:tabs>
              <w:spacing w:before="0"/>
              <w:ind w:left="57"/>
            </w:pPr>
            <w:r w:rsidRPr="006F1D2E">
              <w:t>CE 11/DA</w:t>
            </w:r>
          </w:p>
        </w:tc>
        <w:tc>
          <w:tcPr>
            <w:tcW w:w="5329" w:type="dxa"/>
            <w:vMerge w:val="restart"/>
          </w:tcPr>
          <w:p w14:paraId="3C392952" w14:textId="77777777" w:rsidR="007B6316" w:rsidRPr="006F1D2E" w:rsidRDefault="00A166EA" w:rsidP="00303D62">
            <w:pPr>
              <w:tabs>
                <w:tab w:val="clear" w:pos="794"/>
                <w:tab w:val="clear" w:pos="1191"/>
                <w:tab w:val="clear" w:pos="1588"/>
                <w:tab w:val="clear" w:pos="1985"/>
                <w:tab w:val="left" w:pos="284"/>
              </w:tabs>
              <w:spacing w:before="0"/>
              <w:ind w:left="284" w:hanging="227"/>
            </w:pPr>
            <w:bookmarkStart w:id="0" w:name="Addressee_S"/>
            <w:bookmarkEnd w:id="0"/>
            <w:r w:rsidRPr="006F1D2E">
              <w:t>–</w:t>
            </w:r>
            <w:r w:rsidR="007B6316" w:rsidRPr="006F1D2E">
              <w:tab/>
              <w:t>A las Administraciones de los Estados Miembros de la Unión</w:t>
            </w:r>
          </w:p>
          <w:p w14:paraId="135E4122" w14:textId="4FD10CA6" w:rsidR="00A166EA" w:rsidRPr="00A166EA" w:rsidRDefault="00A166EA" w:rsidP="00A166EA">
            <w:pPr>
              <w:tabs>
                <w:tab w:val="clear" w:pos="794"/>
                <w:tab w:val="clear" w:pos="1191"/>
                <w:tab w:val="clear" w:pos="1588"/>
                <w:tab w:val="clear" w:pos="1985"/>
                <w:tab w:val="left" w:pos="284"/>
              </w:tabs>
              <w:spacing w:before="0"/>
              <w:ind w:left="284" w:hanging="227"/>
            </w:pPr>
            <w:r w:rsidRPr="00A166EA">
              <w:t>–</w:t>
            </w:r>
            <w:r w:rsidRPr="00A166EA">
              <w:tab/>
            </w:r>
            <w:r w:rsidRPr="006F1D2E">
              <w:t xml:space="preserve">A </w:t>
            </w:r>
            <w:r w:rsidRPr="00A166EA">
              <w:t xml:space="preserve">los Miembros de Sector </w:t>
            </w:r>
            <w:r w:rsidR="006F1D2E" w:rsidRPr="006F1D2E">
              <w:t xml:space="preserve">del </w:t>
            </w:r>
            <w:r w:rsidRPr="00A166EA">
              <w:t>UIT-T;</w:t>
            </w:r>
          </w:p>
          <w:p w14:paraId="21F56D7A" w14:textId="051C142D" w:rsidR="00A166EA" w:rsidRPr="00A166EA" w:rsidRDefault="00A166EA" w:rsidP="00A166EA">
            <w:pPr>
              <w:tabs>
                <w:tab w:val="clear" w:pos="794"/>
                <w:tab w:val="clear" w:pos="1191"/>
                <w:tab w:val="clear" w:pos="1588"/>
                <w:tab w:val="clear" w:pos="1985"/>
                <w:tab w:val="left" w:pos="284"/>
              </w:tabs>
              <w:spacing w:before="0"/>
              <w:ind w:left="284" w:hanging="227"/>
            </w:pPr>
            <w:r w:rsidRPr="00A166EA">
              <w:t>–</w:t>
            </w:r>
            <w:r w:rsidRPr="00A166EA">
              <w:tab/>
            </w:r>
            <w:r w:rsidRPr="006F1D2E">
              <w:t xml:space="preserve">A </w:t>
            </w:r>
            <w:r w:rsidRPr="00A166EA">
              <w:t>los Asociados del UIT</w:t>
            </w:r>
            <w:r w:rsidRPr="00A166EA">
              <w:noBreakHyphen/>
              <w:t>T;</w:t>
            </w:r>
          </w:p>
          <w:p w14:paraId="745CB7EA" w14:textId="7BB5C9A2" w:rsidR="00A166EA" w:rsidRPr="006F1D2E" w:rsidRDefault="00A166EA" w:rsidP="00A166EA">
            <w:pPr>
              <w:tabs>
                <w:tab w:val="clear" w:pos="794"/>
                <w:tab w:val="clear" w:pos="1191"/>
                <w:tab w:val="clear" w:pos="1588"/>
                <w:tab w:val="clear" w:pos="1985"/>
                <w:tab w:val="left" w:pos="284"/>
              </w:tabs>
              <w:spacing w:before="0"/>
              <w:ind w:left="284" w:hanging="227"/>
            </w:pPr>
            <w:r w:rsidRPr="006F1D2E">
              <w:t>–</w:t>
            </w:r>
            <w:r w:rsidRPr="006F1D2E">
              <w:tab/>
              <w:t>A las Instituciones Académicas de la UIT</w:t>
            </w:r>
          </w:p>
        </w:tc>
      </w:tr>
      <w:tr w:rsidR="00A166EA" w:rsidRPr="006F1D2E" w14:paraId="080BC554" w14:textId="77777777" w:rsidTr="00303D62">
        <w:trPr>
          <w:cantSplit/>
          <w:trHeight w:val="340"/>
        </w:trPr>
        <w:tc>
          <w:tcPr>
            <w:tcW w:w="993" w:type="dxa"/>
          </w:tcPr>
          <w:p w14:paraId="15ABF3D3" w14:textId="3D87E694" w:rsidR="00A166EA" w:rsidRPr="006F1D2E" w:rsidRDefault="00A166EA" w:rsidP="00303D62">
            <w:pPr>
              <w:tabs>
                <w:tab w:val="left" w:pos="4111"/>
              </w:tabs>
              <w:spacing w:before="10"/>
              <w:ind w:left="57"/>
              <w:rPr>
                <w:b/>
                <w:bCs/>
                <w:sz w:val="22"/>
              </w:rPr>
            </w:pPr>
            <w:r w:rsidRPr="006F1D2E">
              <w:rPr>
                <w:b/>
                <w:bCs/>
                <w:sz w:val="22"/>
              </w:rPr>
              <w:t>Contacto:</w:t>
            </w:r>
          </w:p>
        </w:tc>
        <w:tc>
          <w:tcPr>
            <w:tcW w:w="3884" w:type="dxa"/>
            <w:gridSpan w:val="2"/>
          </w:tcPr>
          <w:p w14:paraId="00B5A678" w14:textId="64B8BB30" w:rsidR="00A166EA" w:rsidRPr="006F1D2E" w:rsidRDefault="00A166EA" w:rsidP="00303D62">
            <w:pPr>
              <w:tabs>
                <w:tab w:val="left" w:pos="4111"/>
              </w:tabs>
              <w:spacing w:before="0"/>
              <w:ind w:left="57"/>
              <w:rPr>
                <w:b/>
              </w:rPr>
            </w:pPr>
            <w:r w:rsidRPr="006F1D2E">
              <w:rPr>
                <w:b/>
                <w:bCs/>
              </w:rPr>
              <w:t>Denis ANDREEV</w:t>
            </w:r>
          </w:p>
        </w:tc>
        <w:tc>
          <w:tcPr>
            <w:tcW w:w="5329" w:type="dxa"/>
            <w:vMerge/>
          </w:tcPr>
          <w:p w14:paraId="53C001A4" w14:textId="77777777" w:rsidR="00A166EA" w:rsidRPr="006F1D2E" w:rsidRDefault="00A166EA" w:rsidP="00303D62">
            <w:pPr>
              <w:tabs>
                <w:tab w:val="clear" w:pos="794"/>
                <w:tab w:val="clear" w:pos="1191"/>
                <w:tab w:val="clear" w:pos="1588"/>
                <w:tab w:val="clear" w:pos="1985"/>
                <w:tab w:val="left" w:pos="284"/>
              </w:tabs>
              <w:spacing w:before="0"/>
              <w:ind w:left="284" w:hanging="227"/>
            </w:pPr>
          </w:p>
        </w:tc>
      </w:tr>
      <w:tr w:rsidR="00A166EA" w:rsidRPr="006F1D2E" w14:paraId="4AC70CCF" w14:textId="77777777" w:rsidTr="00303D62">
        <w:trPr>
          <w:cantSplit/>
        </w:trPr>
        <w:tc>
          <w:tcPr>
            <w:tcW w:w="993" w:type="dxa"/>
          </w:tcPr>
          <w:p w14:paraId="749F0077" w14:textId="77777777" w:rsidR="00A166EA" w:rsidRPr="006F1D2E" w:rsidRDefault="00A166EA" w:rsidP="00A166EA">
            <w:pPr>
              <w:tabs>
                <w:tab w:val="left" w:pos="4111"/>
              </w:tabs>
              <w:spacing w:before="10"/>
              <w:ind w:left="57"/>
              <w:rPr>
                <w:b/>
                <w:bCs/>
                <w:sz w:val="22"/>
              </w:rPr>
            </w:pPr>
            <w:r w:rsidRPr="006F1D2E">
              <w:rPr>
                <w:b/>
                <w:bCs/>
                <w:sz w:val="22"/>
              </w:rPr>
              <w:t>Tel.:</w:t>
            </w:r>
          </w:p>
        </w:tc>
        <w:tc>
          <w:tcPr>
            <w:tcW w:w="3884" w:type="dxa"/>
            <w:gridSpan w:val="2"/>
          </w:tcPr>
          <w:p w14:paraId="12E1CDDE" w14:textId="162C56FC" w:rsidR="00A166EA" w:rsidRPr="006F1D2E" w:rsidRDefault="00A166EA" w:rsidP="00A166EA">
            <w:pPr>
              <w:tabs>
                <w:tab w:val="left" w:pos="4111"/>
              </w:tabs>
              <w:spacing w:before="0"/>
              <w:ind w:left="57"/>
              <w:rPr>
                <w:rStyle w:val="Hyperlink"/>
              </w:rPr>
            </w:pPr>
            <w:r w:rsidRPr="006F1D2E">
              <w:t>+41 22 730 5780</w:t>
            </w:r>
          </w:p>
        </w:tc>
        <w:tc>
          <w:tcPr>
            <w:tcW w:w="5329" w:type="dxa"/>
            <w:vMerge/>
          </w:tcPr>
          <w:p w14:paraId="7BA38234" w14:textId="77777777" w:rsidR="00A166EA" w:rsidRPr="006F1D2E" w:rsidRDefault="00A166EA" w:rsidP="00A166EA">
            <w:pPr>
              <w:tabs>
                <w:tab w:val="left" w:pos="4111"/>
              </w:tabs>
              <w:spacing w:before="0"/>
              <w:rPr>
                <w:b/>
              </w:rPr>
            </w:pPr>
          </w:p>
        </w:tc>
      </w:tr>
      <w:tr w:rsidR="00A166EA" w:rsidRPr="006F1D2E" w14:paraId="602B66B4" w14:textId="77777777" w:rsidTr="00303D62">
        <w:trPr>
          <w:cantSplit/>
        </w:trPr>
        <w:tc>
          <w:tcPr>
            <w:tcW w:w="993" w:type="dxa"/>
          </w:tcPr>
          <w:p w14:paraId="51434E38" w14:textId="77777777" w:rsidR="00A166EA" w:rsidRPr="006F1D2E" w:rsidRDefault="00A166EA" w:rsidP="00A166EA">
            <w:pPr>
              <w:tabs>
                <w:tab w:val="left" w:pos="4111"/>
              </w:tabs>
              <w:spacing w:before="10"/>
              <w:ind w:left="57"/>
              <w:rPr>
                <w:b/>
                <w:bCs/>
                <w:sz w:val="22"/>
              </w:rPr>
            </w:pPr>
            <w:r w:rsidRPr="006F1D2E">
              <w:rPr>
                <w:b/>
                <w:bCs/>
                <w:sz w:val="22"/>
              </w:rPr>
              <w:t>Fax:</w:t>
            </w:r>
          </w:p>
        </w:tc>
        <w:tc>
          <w:tcPr>
            <w:tcW w:w="3884" w:type="dxa"/>
            <w:gridSpan w:val="2"/>
          </w:tcPr>
          <w:p w14:paraId="1E1C9F33" w14:textId="47E77E06" w:rsidR="00A166EA" w:rsidRPr="006F1D2E" w:rsidRDefault="00A166EA" w:rsidP="00A166EA">
            <w:pPr>
              <w:tabs>
                <w:tab w:val="left" w:pos="4111"/>
              </w:tabs>
              <w:spacing w:before="0"/>
              <w:ind w:left="57"/>
              <w:rPr>
                <w:rStyle w:val="Hyperlink"/>
              </w:rPr>
            </w:pPr>
            <w:r w:rsidRPr="006F1D2E">
              <w:t>+41 22 730 5853</w:t>
            </w:r>
          </w:p>
        </w:tc>
        <w:tc>
          <w:tcPr>
            <w:tcW w:w="5329" w:type="dxa"/>
            <w:vMerge/>
          </w:tcPr>
          <w:p w14:paraId="4B142DBC" w14:textId="77777777" w:rsidR="00A166EA" w:rsidRPr="006F1D2E" w:rsidRDefault="00A166EA" w:rsidP="00A166EA">
            <w:pPr>
              <w:tabs>
                <w:tab w:val="left" w:pos="4111"/>
              </w:tabs>
              <w:spacing w:before="0"/>
              <w:rPr>
                <w:b/>
              </w:rPr>
            </w:pPr>
          </w:p>
        </w:tc>
      </w:tr>
      <w:tr w:rsidR="00A166EA" w:rsidRPr="006F1D2E" w14:paraId="20525DD8" w14:textId="77777777" w:rsidTr="00303D62">
        <w:trPr>
          <w:cantSplit/>
        </w:trPr>
        <w:tc>
          <w:tcPr>
            <w:tcW w:w="993" w:type="dxa"/>
          </w:tcPr>
          <w:p w14:paraId="7C0FE652" w14:textId="77777777" w:rsidR="00A166EA" w:rsidRPr="006F1D2E" w:rsidRDefault="00A166EA" w:rsidP="00A166EA">
            <w:pPr>
              <w:tabs>
                <w:tab w:val="left" w:pos="4111"/>
              </w:tabs>
              <w:spacing w:before="10"/>
              <w:ind w:left="57"/>
              <w:rPr>
                <w:b/>
                <w:bCs/>
                <w:sz w:val="22"/>
              </w:rPr>
            </w:pPr>
            <w:r w:rsidRPr="006F1D2E">
              <w:rPr>
                <w:b/>
                <w:bCs/>
                <w:sz w:val="22"/>
              </w:rPr>
              <w:t>Correo-e:</w:t>
            </w:r>
          </w:p>
        </w:tc>
        <w:tc>
          <w:tcPr>
            <w:tcW w:w="3884" w:type="dxa"/>
            <w:gridSpan w:val="2"/>
          </w:tcPr>
          <w:p w14:paraId="0903DD51" w14:textId="6CB65A86" w:rsidR="00A166EA" w:rsidRPr="006F1D2E" w:rsidRDefault="00776F8A" w:rsidP="00A166EA">
            <w:pPr>
              <w:tabs>
                <w:tab w:val="left" w:pos="4111"/>
              </w:tabs>
              <w:spacing w:before="0"/>
              <w:ind w:left="57"/>
            </w:pPr>
            <w:hyperlink r:id="rId9" w:history="1">
              <w:r w:rsidR="00A166EA" w:rsidRPr="006F1D2E">
                <w:rPr>
                  <w:rStyle w:val="Hyperlink"/>
                </w:rPr>
                <w:t>tsbsg11@itu.int</w:t>
              </w:r>
            </w:hyperlink>
          </w:p>
        </w:tc>
        <w:tc>
          <w:tcPr>
            <w:tcW w:w="5329" w:type="dxa"/>
          </w:tcPr>
          <w:p w14:paraId="744E13E9" w14:textId="77777777" w:rsidR="00A166EA" w:rsidRPr="006F1D2E" w:rsidRDefault="00A166EA" w:rsidP="00A166EA">
            <w:pPr>
              <w:tabs>
                <w:tab w:val="left" w:pos="4111"/>
              </w:tabs>
              <w:spacing w:before="0"/>
            </w:pPr>
            <w:r w:rsidRPr="006F1D2E">
              <w:rPr>
                <w:b/>
              </w:rPr>
              <w:t>Copia</w:t>
            </w:r>
            <w:r w:rsidRPr="006F1D2E">
              <w:t>:</w:t>
            </w:r>
          </w:p>
          <w:p w14:paraId="725EC747" w14:textId="53EB8EC8" w:rsidR="00A166EA" w:rsidRPr="006F1D2E" w:rsidRDefault="00A166EA" w:rsidP="00A166EA">
            <w:pPr>
              <w:tabs>
                <w:tab w:val="clear" w:pos="794"/>
                <w:tab w:val="left" w:pos="226"/>
                <w:tab w:val="left" w:pos="4111"/>
              </w:tabs>
              <w:spacing w:before="0"/>
              <w:ind w:left="226" w:hanging="226"/>
            </w:pPr>
            <w:r w:rsidRPr="006F1D2E">
              <w:t>–</w:t>
            </w:r>
            <w:r w:rsidRPr="006F1D2E">
              <w:tab/>
              <w:t xml:space="preserve">A los </w:t>
            </w:r>
            <w:proofErr w:type="gramStart"/>
            <w:r w:rsidRPr="006F1D2E">
              <w:t>Presidentes</w:t>
            </w:r>
            <w:proofErr w:type="gramEnd"/>
            <w:r w:rsidRPr="006F1D2E">
              <w:t xml:space="preserve"> y Vicepresidentes de las Comisiones de Estudio del UIT-T;</w:t>
            </w:r>
          </w:p>
          <w:p w14:paraId="390FF5E4" w14:textId="2E9018A5" w:rsidR="00A166EA" w:rsidRPr="006F1D2E" w:rsidRDefault="00A166EA" w:rsidP="00A166EA">
            <w:pPr>
              <w:tabs>
                <w:tab w:val="clear" w:pos="794"/>
                <w:tab w:val="left" w:pos="226"/>
                <w:tab w:val="left" w:pos="4111"/>
              </w:tabs>
              <w:spacing w:before="0"/>
              <w:ind w:left="226" w:hanging="226"/>
            </w:pPr>
            <w:r w:rsidRPr="006F1D2E">
              <w:t>–</w:t>
            </w:r>
            <w:r w:rsidRPr="006F1D2E">
              <w:tab/>
              <w:t xml:space="preserve">A la </w:t>
            </w:r>
            <w:proofErr w:type="gramStart"/>
            <w:r w:rsidRPr="006F1D2E">
              <w:t>Directora</w:t>
            </w:r>
            <w:proofErr w:type="gramEnd"/>
            <w:r w:rsidRPr="006F1D2E">
              <w:t xml:space="preserve"> de la Oficina de Desarrollo de las Telecomunicaciones;</w:t>
            </w:r>
          </w:p>
          <w:p w14:paraId="4BF8BC08" w14:textId="2217CEBC" w:rsidR="00A166EA" w:rsidRPr="006F1D2E" w:rsidRDefault="00A166EA" w:rsidP="00A166EA">
            <w:pPr>
              <w:tabs>
                <w:tab w:val="clear" w:pos="794"/>
                <w:tab w:val="left" w:pos="226"/>
                <w:tab w:val="left" w:pos="4111"/>
              </w:tabs>
              <w:spacing w:before="0"/>
            </w:pPr>
            <w:r w:rsidRPr="006F1D2E">
              <w:t>–</w:t>
            </w:r>
            <w:r w:rsidRPr="006F1D2E">
              <w:tab/>
              <w:t xml:space="preserve">Al </w:t>
            </w:r>
            <w:proofErr w:type="gramStart"/>
            <w:r w:rsidRPr="006F1D2E">
              <w:t>Director</w:t>
            </w:r>
            <w:proofErr w:type="gramEnd"/>
            <w:r w:rsidRPr="006F1D2E">
              <w:t xml:space="preserve"> de la Oficina de Radiocomunicaciones</w:t>
            </w:r>
          </w:p>
        </w:tc>
      </w:tr>
      <w:tr w:rsidR="00A166EA" w:rsidRPr="006F1D2E" w14:paraId="46D07D1E" w14:textId="77777777" w:rsidTr="00DA30ED">
        <w:trPr>
          <w:cantSplit/>
        </w:trPr>
        <w:tc>
          <w:tcPr>
            <w:tcW w:w="993" w:type="dxa"/>
          </w:tcPr>
          <w:p w14:paraId="12E6E044" w14:textId="77777777" w:rsidR="00A166EA" w:rsidRPr="006F1D2E" w:rsidRDefault="00A166EA" w:rsidP="006F1D2E">
            <w:pPr>
              <w:tabs>
                <w:tab w:val="left" w:pos="4111"/>
              </w:tabs>
              <w:spacing w:before="240"/>
              <w:ind w:left="57"/>
              <w:rPr>
                <w:b/>
                <w:bCs/>
                <w:sz w:val="22"/>
              </w:rPr>
            </w:pPr>
            <w:r w:rsidRPr="006F1D2E">
              <w:rPr>
                <w:b/>
                <w:bCs/>
                <w:sz w:val="22"/>
              </w:rPr>
              <w:t>Asunto:</w:t>
            </w:r>
          </w:p>
        </w:tc>
        <w:tc>
          <w:tcPr>
            <w:tcW w:w="9213" w:type="dxa"/>
            <w:gridSpan w:val="3"/>
          </w:tcPr>
          <w:p w14:paraId="3E365E67" w14:textId="5E2B9F15" w:rsidR="00A166EA" w:rsidRPr="006F1D2E" w:rsidRDefault="00A166EA" w:rsidP="006F1D2E">
            <w:pPr>
              <w:tabs>
                <w:tab w:val="left" w:pos="4111"/>
              </w:tabs>
              <w:spacing w:before="240"/>
              <w:rPr>
                <w:b/>
              </w:rPr>
            </w:pPr>
            <w:r w:rsidRPr="006F1D2E">
              <w:rPr>
                <w:b/>
                <w:bCs/>
              </w:rPr>
              <w:t>Reconocimiento de laboratorios de pruebas por la UIT</w:t>
            </w:r>
          </w:p>
        </w:tc>
      </w:tr>
    </w:tbl>
    <w:p w14:paraId="475CD0B9" w14:textId="6C574212" w:rsidR="00C34772" w:rsidRPr="006F1D2E" w:rsidRDefault="00C34772" w:rsidP="007B6316">
      <w:pPr>
        <w:spacing w:before="320"/>
      </w:pPr>
      <w:bookmarkStart w:id="1" w:name="StartTyping_S"/>
      <w:bookmarkStart w:id="2" w:name="suitetext"/>
      <w:bookmarkStart w:id="3" w:name="text"/>
      <w:bookmarkEnd w:id="1"/>
      <w:bookmarkEnd w:id="2"/>
      <w:bookmarkEnd w:id="3"/>
      <w:r w:rsidRPr="006F1D2E">
        <w:t>Muy Señora mía/Muy Señor mío</w:t>
      </w:r>
      <w:r w:rsidR="00D002CE">
        <w:t>,</w:t>
      </w:r>
    </w:p>
    <w:p w14:paraId="6D67390E" w14:textId="44696D4B" w:rsidR="00A166EA" w:rsidRPr="00A166EA" w:rsidRDefault="00A166EA" w:rsidP="00A166EA">
      <w:r w:rsidRPr="00A166EA">
        <w:t>1</w:t>
      </w:r>
      <w:r w:rsidRPr="00A166EA">
        <w:tab/>
      </w:r>
      <w:proofErr w:type="gramStart"/>
      <w:r w:rsidRPr="00A166EA">
        <w:t>Me</w:t>
      </w:r>
      <w:proofErr w:type="gramEnd"/>
      <w:r w:rsidRPr="00A166EA">
        <w:t xml:space="preserve"> complace informarle de que, a raíz de la decisión adoptada por la Comisión de Estudio</w:t>
      </w:r>
      <w:r w:rsidR="000E098F">
        <w:t> </w:t>
      </w:r>
      <w:r w:rsidRPr="00A166EA">
        <w:t>11 (</w:t>
      </w:r>
      <w:r w:rsidRPr="00A166EA">
        <w:rPr>
          <w:i/>
          <w:iCs/>
        </w:rPr>
        <w:t>Requisitos de señalización, protocolos, especificaciones de pruebas y lucha contra la falsificación de productos</w:t>
      </w:r>
      <w:r w:rsidRPr="00A166EA">
        <w:t>) (</w:t>
      </w:r>
      <w:hyperlink r:id="rId10" w:history="1">
        <w:r w:rsidRPr="00A166EA">
          <w:rPr>
            <w:rStyle w:val="Hyperlink"/>
          </w:rPr>
          <w:t>https://itu.int/go/tsg11</w:t>
        </w:r>
      </w:hyperlink>
      <w:r w:rsidRPr="00A166EA">
        <w:t>), la UIT reconoce a laboratorios de pruebas cuyo ámbito de acreditación abarque las pruebas con respecto a las normas del UIT-T. La base de datos de la UIT con los laboratorios de pruebas está en funcionamiento desde el 10 de diciembre de 2021.</w:t>
      </w:r>
    </w:p>
    <w:p w14:paraId="2C04B8C9" w14:textId="567F68BF" w:rsidR="00A166EA" w:rsidRPr="00A166EA" w:rsidRDefault="00A166EA" w:rsidP="00A166EA">
      <w:pPr>
        <w:rPr>
          <w:bCs/>
        </w:rPr>
      </w:pPr>
      <w:r w:rsidRPr="00A166EA">
        <w:t>2</w:t>
      </w:r>
      <w:r w:rsidRPr="00A166EA">
        <w:tab/>
      </w:r>
      <w:proofErr w:type="gramStart"/>
      <w:r w:rsidRPr="00A166EA">
        <w:t>En</w:t>
      </w:r>
      <w:proofErr w:type="gramEnd"/>
      <w:r w:rsidRPr="00A166EA">
        <w:t xml:space="preserve"> la Resolución 76 (AMNT-16) se encarga al Comité de Dirección sobre Evaluaciones de Conformidad </w:t>
      </w:r>
      <w:r w:rsidR="000E098F">
        <w:t xml:space="preserve">de la UIT </w:t>
      </w:r>
      <w:r w:rsidRPr="00A166EA">
        <w:t>(CASC) que estudie y defina un procedimiento para el reconocimiento de los laboratorios de pruebas que son competentes para realizar pruebas con arreglo a las Recomendaciones del UIT-T.</w:t>
      </w:r>
    </w:p>
    <w:p w14:paraId="4C31C3AC" w14:textId="77777777" w:rsidR="00A166EA" w:rsidRPr="00A166EA" w:rsidRDefault="00A166EA" w:rsidP="00A166EA">
      <w:r w:rsidRPr="00A166EA">
        <w:t>3</w:t>
      </w:r>
      <w:r w:rsidRPr="00A166EA">
        <w:tab/>
      </w:r>
      <w:proofErr w:type="gramStart"/>
      <w:r w:rsidRPr="00A166EA">
        <w:t>La</w:t>
      </w:r>
      <w:proofErr w:type="gramEnd"/>
      <w:r w:rsidRPr="00A166EA">
        <w:t xml:space="preserve"> CE 11 adoptó las Directrices de la UIT que definen el marco de alto nivel sobre el procedimiento de reconocimiento de los laboratorios de pruebas y el nombramiento de los expertos técnicos de la UIT que pueden participar en el equipo de evaluación de los laboratorios de pruebas. Ambos documentos están disponibles en la página web del CASC (</w:t>
      </w:r>
      <w:hyperlink r:id="rId11" w:history="1">
        <w:r w:rsidRPr="00A166EA">
          <w:rPr>
            <w:rStyle w:val="Hyperlink"/>
          </w:rPr>
          <w:t>https://itu.int/go/casc</w:t>
        </w:r>
      </w:hyperlink>
      <w:r w:rsidRPr="00A166EA">
        <w:t>).</w:t>
      </w:r>
    </w:p>
    <w:p w14:paraId="40F5FCB5" w14:textId="2BF32BCD" w:rsidR="00A166EA" w:rsidRPr="00A166EA" w:rsidRDefault="00A166EA" w:rsidP="00A166EA">
      <w:r w:rsidRPr="00A166EA">
        <w:t>4</w:t>
      </w:r>
      <w:r w:rsidRPr="00A166EA">
        <w:tab/>
      </w:r>
      <w:bookmarkStart w:id="4" w:name="lt_pId068"/>
      <w:r w:rsidRPr="00A166EA">
        <w:t>A raíz de la colaboración entre el Comité de Dirección sobre las Evaluaciones de la Conformidad de la UIT (CASC) y la Cooperación Internacional de Acreditación de Laboratorios (ILAC), la CE 11 del UIT-T decidió que la UIT reconocería los laboratorios de pruebas acreditados por un Organismo de Acreditación (OA) que fuera signatario del Acuerdo de Reconocimiento Mutuo (ARM) de la ILAC para la realización de pruebas (</w:t>
      </w:r>
      <w:hyperlink r:id="rId12" w:history="1">
        <w:r w:rsidRPr="00A166EA">
          <w:rPr>
            <w:rStyle w:val="Hyperlink"/>
          </w:rPr>
          <w:t>https://ilac.org/ilac-mra-and-signatories/</w:t>
        </w:r>
      </w:hyperlink>
      <w:r w:rsidRPr="00A166EA">
        <w:t xml:space="preserve">), y cuyo alcance de la acreditación incluyera las Recomendaciones del UIT-T. La solicitud correspondiente tiene que presentarse mediante el </w:t>
      </w:r>
      <w:hyperlink r:id="rId13" w:history="1">
        <w:r w:rsidRPr="00A166EA">
          <w:rPr>
            <w:rStyle w:val="Hyperlink"/>
          </w:rPr>
          <w:t>formulario en línea</w:t>
        </w:r>
      </w:hyperlink>
      <w:r w:rsidRPr="00A166EA">
        <w:t xml:space="preserve"> que está disponible en el Portal C+I de la UIT (</w:t>
      </w:r>
      <w:hyperlink r:id="rId14" w:history="1">
        <w:r w:rsidRPr="00A166EA">
          <w:rPr>
            <w:rStyle w:val="Hyperlink"/>
          </w:rPr>
          <w:t>https://itu.int/go/citest</w:t>
        </w:r>
      </w:hyperlink>
      <w:r w:rsidRPr="00A166EA">
        <w:t>). El laboratorio de pruebas reconocido figurará en la base de datos de laboratorios de pruebas de la UIT.</w:t>
      </w:r>
      <w:bookmarkEnd w:id="4"/>
    </w:p>
    <w:p w14:paraId="37EC904F" w14:textId="77777777" w:rsidR="00A166EA" w:rsidRPr="00A166EA" w:rsidRDefault="00A166EA" w:rsidP="006F1D2E">
      <w:pPr>
        <w:keepLines/>
      </w:pPr>
      <w:r w:rsidRPr="00A166EA">
        <w:lastRenderedPageBreak/>
        <w:t>5</w:t>
      </w:r>
      <w:r w:rsidRPr="00A166EA">
        <w:tab/>
      </w:r>
      <w:proofErr w:type="gramStart"/>
      <w:r w:rsidRPr="00A166EA">
        <w:t>Todo</w:t>
      </w:r>
      <w:proofErr w:type="gramEnd"/>
      <w:r w:rsidRPr="00A166EA">
        <w:t xml:space="preserve"> laboratorio de pruebas, incluidos los que no son miembros de la UIT, que exprese su interés por ser acreditado con respecto a las Recomendaciones del UIT-T para ser reconocido por la UIT, debe dirigirse a un organismo de pruebas que sea signatario del ARM de la ILAC. La lista de organismos de acreditación está disponible en la dirección: </w:t>
      </w:r>
      <w:hyperlink r:id="rId15" w:history="1">
        <w:r w:rsidRPr="00A166EA">
          <w:rPr>
            <w:rStyle w:val="Hyperlink"/>
          </w:rPr>
          <w:t>https://ilac.org/signatory-search/</w:t>
        </w:r>
      </w:hyperlink>
      <w:r w:rsidRPr="00A166EA">
        <w:t>. Posteriormente, una vez que el laboratorio de pruebas reciba la acreditación y presente el correspondiente formulario de solicitud a la UIT, éste podrá ser reconocido como tal por la UIT.</w:t>
      </w:r>
    </w:p>
    <w:p w14:paraId="0968F767" w14:textId="77777777" w:rsidR="00A166EA" w:rsidRPr="00A166EA" w:rsidRDefault="00A166EA" w:rsidP="00A166EA">
      <w:r w:rsidRPr="00A166EA">
        <w:t>6</w:t>
      </w:r>
      <w:r w:rsidRPr="00A166EA">
        <w:tab/>
      </w:r>
      <w:proofErr w:type="gramStart"/>
      <w:r w:rsidRPr="00A166EA">
        <w:t>Todos</w:t>
      </w:r>
      <w:proofErr w:type="gramEnd"/>
      <w:r w:rsidRPr="00A166EA">
        <w:t xml:space="preserve"> los productos de TIC sometidos a prueba con respecto a una Recomendación UIT-T por parte de los laboratorios de pruebas reconocidos por la UIT pueden registrarse en la base de datos de conformidad de productos de la UIT (</w:t>
      </w:r>
      <w:hyperlink r:id="rId16" w:history="1">
        <w:r w:rsidRPr="00A166EA">
          <w:rPr>
            <w:rStyle w:val="Hyperlink"/>
          </w:rPr>
          <w:t>https://itu.int/go/tcdb</w:t>
        </w:r>
      </w:hyperlink>
      <w:r w:rsidRPr="00A166EA">
        <w:t xml:space="preserve">), sobre la base de la solicitud. En consecuencia, las partes interesadas correspondientes deben presentar las solicitudes pertinentes utilizando el </w:t>
      </w:r>
      <w:hyperlink r:id="rId17" w:history="1">
        <w:r w:rsidRPr="00A166EA">
          <w:rPr>
            <w:rStyle w:val="Hyperlink"/>
          </w:rPr>
          <w:t>formulario en línea</w:t>
        </w:r>
      </w:hyperlink>
      <w:r w:rsidRPr="00A166EA">
        <w:t>.</w:t>
      </w:r>
    </w:p>
    <w:p w14:paraId="1AE7CF96" w14:textId="77777777" w:rsidR="00A166EA" w:rsidRPr="00A166EA" w:rsidRDefault="00A166EA" w:rsidP="00A166EA">
      <w:bookmarkStart w:id="5" w:name="lt_pId075"/>
      <w:r w:rsidRPr="00A166EA">
        <w:t>7</w:t>
      </w:r>
      <w:r w:rsidRPr="00A166EA">
        <w:tab/>
      </w:r>
      <w:bookmarkEnd w:id="5"/>
      <w:proofErr w:type="gramStart"/>
      <w:r w:rsidRPr="00A166EA">
        <w:t>Se</w:t>
      </w:r>
      <w:proofErr w:type="gramEnd"/>
      <w:r w:rsidRPr="00A166EA">
        <w:t xml:space="preserve"> invita a todas las partes interesadas, incluidas las que no son miembros de la UIT, a alimentar la base de datos de los laboratorios de pruebas y la base de datos de conformidad de productos de la UIT. Este enfoque podría utilizarse para aumentar la sensibilización de los clientes respecto de las Recomendaciones del UIT-T implementadas en los equipos de TIC, como una especie de enfoque de empresa a cliente. </w:t>
      </w:r>
    </w:p>
    <w:p w14:paraId="76FC9ABF" w14:textId="4A136490" w:rsidR="007B6316" w:rsidRPr="006F1D2E" w:rsidRDefault="00A166EA" w:rsidP="00A166EA">
      <w:r w:rsidRPr="006F1D2E">
        <w:t>8</w:t>
      </w:r>
      <w:r w:rsidRPr="006F1D2E">
        <w:rPr>
          <w:b/>
          <w:bCs/>
        </w:rPr>
        <w:tab/>
      </w:r>
      <w:proofErr w:type="gramStart"/>
      <w:r w:rsidRPr="006F1D2E">
        <w:t>Sírvase</w:t>
      </w:r>
      <w:proofErr w:type="gramEnd"/>
      <w:r w:rsidRPr="006F1D2E">
        <w:t xml:space="preserve"> dirigir sus preguntas, de haberlas, al Sr. Denis Andreev (TSB, </w:t>
      </w:r>
      <w:hyperlink r:id="rId18" w:history="1">
        <w:r w:rsidRPr="006F1D2E">
          <w:rPr>
            <w:rStyle w:val="Hyperlink"/>
          </w:rPr>
          <w:t>conformity@itu.int</w:t>
        </w:r>
      </w:hyperlink>
      <w:r w:rsidRPr="006F1D2E">
        <w:t>).</w:t>
      </w:r>
    </w:p>
    <w:p w14:paraId="50BE54D8" w14:textId="16B869ED" w:rsidR="007B6316" w:rsidRPr="006F1D2E" w:rsidRDefault="007B6316" w:rsidP="007B6316">
      <w:r w:rsidRPr="006F1D2E">
        <w:t>Atentamente,</w:t>
      </w:r>
    </w:p>
    <w:p w14:paraId="47DC6244" w14:textId="3BC45D9F" w:rsidR="007B6316" w:rsidRPr="006F1D2E" w:rsidRDefault="00776F8A" w:rsidP="00D002CE">
      <w:pPr>
        <w:spacing w:before="960"/>
      </w:pPr>
      <w:r>
        <w:rPr>
          <w:noProof/>
        </w:rPr>
        <w:drawing>
          <wp:anchor distT="0" distB="0" distL="114300" distR="114300" simplePos="0" relativeHeight="251658240" behindDoc="1" locked="0" layoutInCell="1" allowOverlap="1" wp14:anchorId="5D77AC3F" wp14:editId="1F5C6D0C">
            <wp:simplePos x="0" y="0"/>
            <wp:positionH relativeFrom="column">
              <wp:posOffset>-1247</wp:posOffset>
            </wp:positionH>
            <wp:positionV relativeFrom="paragraph">
              <wp:posOffset>151130</wp:posOffset>
            </wp:positionV>
            <wp:extent cx="774700" cy="348911"/>
            <wp:effectExtent l="0" t="0" r="635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74700" cy="348911"/>
                    </a:xfrm>
                    <a:prstGeom prst="rect">
                      <a:avLst/>
                    </a:prstGeom>
                  </pic:spPr>
                </pic:pic>
              </a:graphicData>
            </a:graphic>
            <wp14:sizeRelH relativeFrom="margin">
              <wp14:pctWidth>0</wp14:pctWidth>
            </wp14:sizeRelH>
            <wp14:sizeRelV relativeFrom="margin">
              <wp14:pctHeight>0</wp14:pctHeight>
            </wp14:sizeRelV>
          </wp:anchor>
        </w:drawing>
      </w:r>
      <w:r w:rsidR="007B6316" w:rsidRPr="006F1D2E">
        <w:t>Chaesub Lee</w:t>
      </w:r>
      <w:r w:rsidR="007B6316" w:rsidRPr="006F1D2E">
        <w:br/>
      </w:r>
      <w:proofErr w:type="gramStart"/>
      <w:r w:rsidR="007B6316" w:rsidRPr="006F1D2E">
        <w:t>Director</w:t>
      </w:r>
      <w:proofErr w:type="gramEnd"/>
      <w:r w:rsidR="007B6316" w:rsidRPr="006F1D2E">
        <w:t xml:space="preserve"> de la Oficina de </w:t>
      </w:r>
      <w:r w:rsidR="007B6316" w:rsidRPr="006F1D2E">
        <w:br/>
        <w:t>Normalización de las Telecomunicaciones</w:t>
      </w:r>
    </w:p>
    <w:sectPr w:rsidR="007B6316" w:rsidRPr="006F1D2E" w:rsidSect="00B87E9E">
      <w:head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10F9" w14:textId="77777777" w:rsidR="00A166EA" w:rsidRDefault="00A166EA">
      <w:r>
        <w:separator/>
      </w:r>
    </w:p>
  </w:endnote>
  <w:endnote w:type="continuationSeparator" w:id="0">
    <w:p w14:paraId="1BB5FEE5" w14:textId="77777777" w:rsidR="00A166EA" w:rsidRDefault="00A1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1E89"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B195" w14:textId="77777777" w:rsidR="00A166EA" w:rsidRDefault="00A166EA">
      <w:r>
        <w:t>____________________</w:t>
      </w:r>
    </w:p>
  </w:footnote>
  <w:footnote w:type="continuationSeparator" w:id="0">
    <w:p w14:paraId="2F1185CE" w14:textId="77777777" w:rsidR="00A166EA" w:rsidRDefault="00A1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8EB6" w14:textId="77777777" w:rsidR="00A166EA" w:rsidRPr="00A166EA" w:rsidRDefault="00A166EA" w:rsidP="00A166EA">
    <w:pPr>
      <w:pStyle w:val="Header"/>
      <w:rPr>
        <w:sz w:val="18"/>
        <w:szCs w:val="18"/>
        <w:lang w:val="en-US"/>
      </w:rPr>
    </w:pPr>
    <w:r w:rsidRPr="00A166EA">
      <w:rPr>
        <w:sz w:val="18"/>
        <w:szCs w:val="18"/>
      </w:rPr>
      <w:t xml:space="preserve">- </w:t>
    </w:r>
    <w:r w:rsidRPr="00A166EA">
      <w:rPr>
        <w:sz w:val="18"/>
        <w:szCs w:val="18"/>
      </w:rPr>
      <w:fldChar w:fldCharType="begin"/>
    </w:r>
    <w:r w:rsidRPr="00A166EA">
      <w:rPr>
        <w:sz w:val="18"/>
        <w:szCs w:val="18"/>
      </w:rPr>
      <w:instrText xml:space="preserve"> PAGE </w:instrText>
    </w:r>
    <w:r w:rsidRPr="00A166EA">
      <w:rPr>
        <w:sz w:val="18"/>
        <w:szCs w:val="18"/>
      </w:rPr>
      <w:fldChar w:fldCharType="separate"/>
    </w:r>
    <w:r w:rsidRPr="00A166EA">
      <w:rPr>
        <w:sz w:val="18"/>
        <w:szCs w:val="18"/>
      </w:rPr>
      <w:t>2</w:t>
    </w:r>
    <w:r w:rsidRPr="00A166EA">
      <w:rPr>
        <w:sz w:val="18"/>
        <w:szCs w:val="18"/>
      </w:rPr>
      <w:fldChar w:fldCharType="end"/>
    </w:r>
    <w:r w:rsidRPr="00A166EA">
      <w:rPr>
        <w:sz w:val="18"/>
        <w:szCs w:val="18"/>
      </w:rPr>
      <w:t xml:space="preserve"> -</w:t>
    </w:r>
    <w:r w:rsidRPr="00A166EA">
      <w:rPr>
        <w:sz w:val="18"/>
        <w:szCs w:val="18"/>
      </w:rPr>
      <w:br/>
    </w:r>
    <w:r w:rsidRPr="00A166EA">
      <w:rPr>
        <w:sz w:val="18"/>
        <w:szCs w:val="18"/>
        <w:lang w:val="en-GB"/>
      </w:rPr>
      <w:t>Circular TSB 368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EA"/>
    <w:rsid w:val="00002529"/>
    <w:rsid w:val="00085662"/>
    <w:rsid w:val="000C382F"/>
    <w:rsid w:val="000E098F"/>
    <w:rsid w:val="001173CC"/>
    <w:rsid w:val="0014464D"/>
    <w:rsid w:val="001A54CC"/>
    <w:rsid w:val="00257FB4"/>
    <w:rsid w:val="002E496E"/>
    <w:rsid w:val="00303D62"/>
    <w:rsid w:val="00335367"/>
    <w:rsid w:val="00370C2D"/>
    <w:rsid w:val="003D1E8D"/>
    <w:rsid w:val="003D673B"/>
    <w:rsid w:val="003F2855"/>
    <w:rsid w:val="00401C20"/>
    <w:rsid w:val="004A7957"/>
    <w:rsid w:val="004C4144"/>
    <w:rsid w:val="0055719E"/>
    <w:rsid w:val="006969B4"/>
    <w:rsid w:val="006E4F7B"/>
    <w:rsid w:val="006F1D2E"/>
    <w:rsid w:val="00776F8A"/>
    <w:rsid w:val="00781E2A"/>
    <w:rsid w:val="007933A2"/>
    <w:rsid w:val="007B6316"/>
    <w:rsid w:val="00814503"/>
    <w:rsid w:val="008258C2"/>
    <w:rsid w:val="008505BD"/>
    <w:rsid w:val="00850C78"/>
    <w:rsid w:val="00862FFB"/>
    <w:rsid w:val="00876165"/>
    <w:rsid w:val="00884D12"/>
    <w:rsid w:val="008C17AD"/>
    <w:rsid w:val="008D02CD"/>
    <w:rsid w:val="0091370C"/>
    <w:rsid w:val="0095172A"/>
    <w:rsid w:val="00987122"/>
    <w:rsid w:val="009A0BA0"/>
    <w:rsid w:val="00A166EA"/>
    <w:rsid w:val="00A54E47"/>
    <w:rsid w:val="00AB6E3A"/>
    <w:rsid w:val="00AE7093"/>
    <w:rsid w:val="00B422BC"/>
    <w:rsid w:val="00B43F77"/>
    <w:rsid w:val="00B55A3E"/>
    <w:rsid w:val="00B87E9E"/>
    <w:rsid w:val="00B95F0A"/>
    <w:rsid w:val="00B96180"/>
    <w:rsid w:val="00C116FE"/>
    <w:rsid w:val="00C17AC0"/>
    <w:rsid w:val="00C34772"/>
    <w:rsid w:val="00C5465A"/>
    <w:rsid w:val="00D002CE"/>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0951D"/>
  <w15:docId w15:val="{D91A5857-9BA0-4134-909B-F1AF3BDE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A1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cdb/secured/reg-tldb.aspx" TargetMode="External"/><Relationship Id="rId18" Type="http://schemas.openxmlformats.org/officeDocument/2006/relationships/hyperlink" Target="mailto:conformity@itu.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lac.org/ilac-mra-and-signatories/" TargetMode="External"/><Relationship Id="rId17" Type="http://schemas.openxmlformats.org/officeDocument/2006/relationships/hyperlink" Target="https://www.itu.int/net/itu-t/cdb/secured/Register16.aspx" TargetMode="External"/><Relationship Id="rId2" Type="http://schemas.openxmlformats.org/officeDocument/2006/relationships/numbering" Target="numbering.xml"/><Relationship Id="rId16" Type="http://schemas.openxmlformats.org/officeDocument/2006/relationships/hyperlink" Target="https://itu.int/go/tcd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casc" TargetMode="External"/><Relationship Id="rId5" Type="http://schemas.openxmlformats.org/officeDocument/2006/relationships/webSettings" Target="webSettings.xml"/><Relationship Id="rId15" Type="http://schemas.openxmlformats.org/officeDocument/2006/relationships/hyperlink" Target="https://ilac.org/signatory-search/" TargetMode="External"/><Relationship Id="rId23" Type="http://schemas.openxmlformats.org/officeDocument/2006/relationships/theme" Target="theme/theme1.xml"/><Relationship Id="rId10" Type="http://schemas.openxmlformats.org/officeDocument/2006/relationships/hyperlink" Target="https://itu.int/go/tsg11"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itu.int/go/cites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25</TotalTime>
  <Pages>2</Pages>
  <Words>666</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4773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5</cp:revision>
  <cp:lastPrinted>2022-02-09T13:57:00Z</cp:lastPrinted>
  <dcterms:created xsi:type="dcterms:W3CDTF">2022-02-01T14:53:00Z</dcterms:created>
  <dcterms:modified xsi:type="dcterms:W3CDTF">2022-02-09T13:58:00Z</dcterms:modified>
</cp:coreProperties>
</file>