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8D58948" w14:textId="77777777" w:rsidTr="00D517B2">
        <w:trPr>
          <w:cantSplit/>
          <w:trHeight w:val="1134"/>
        </w:trPr>
        <w:tc>
          <w:tcPr>
            <w:tcW w:w="798" w:type="pct"/>
          </w:tcPr>
          <w:p w14:paraId="5B8EDD6D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0D89513" wp14:editId="3FDC004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2D18314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A9E600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86234E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33009295" w14:textId="77777777" w:rsidR="00D517B2" w:rsidRPr="00D517B2" w:rsidRDefault="00D517B2" w:rsidP="00B14E9C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80428AF" w14:textId="77777777" w:rsidR="00D517B2" w:rsidRPr="00D517B2" w:rsidRDefault="00D517B2" w:rsidP="00B14E9C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2999127" w14:textId="77777777" w:rsidR="00D517B2" w:rsidRPr="00873469" w:rsidRDefault="00D517B2" w:rsidP="00B14E9C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104DFF5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5A942A1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11F28E5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37094B0" w14:textId="31BCF064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B14E9C">
              <w:rPr>
                <w:position w:val="2"/>
              </w:rPr>
              <w:t>11</w:t>
            </w:r>
            <w:r w:rsidR="00B14E9C">
              <w:rPr>
                <w:rFonts w:hint="cs"/>
                <w:position w:val="2"/>
                <w:rtl/>
                <w:lang w:bidi="ar-EG"/>
              </w:rPr>
              <w:t xml:space="preserve"> يناير </w:t>
            </w:r>
            <w:r w:rsidR="00B14E9C">
              <w:rPr>
                <w:position w:val="2"/>
                <w:lang w:bidi="ar-EG"/>
              </w:rPr>
              <w:t>2022</w:t>
            </w:r>
          </w:p>
        </w:tc>
      </w:tr>
      <w:tr w:rsidR="00B14E9C" w:rsidRPr="00D517B2" w14:paraId="29A5C70E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23108BF1" w14:textId="77777777" w:rsidR="00B14E9C" w:rsidRPr="00A9156F" w:rsidRDefault="00B14E9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4CD554C9" w14:textId="3C06ACE7" w:rsidR="00B14E9C" w:rsidRPr="00D517B2" w:rsidRDefault="00B14E9C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373</w:t>
            </w:r>
            <w:r>
              <w:rPr>
                <w:b/>
                <w:position w:val="2"/>
              </w:rPr>
              <w:br/>
            </w:r>
            <w:r>
              <w:rPr>
                <w:bCs/>
                <w:position w:val="2"/>
              </w:rPr>
              <w:t>SG17</w:t>
            </w:r>
            <w:r w:rsidRPr="00E84438">
              <w:rPr>
                <w:bCs/>
                <w:position w:val="2"/>
              </w:rPr>
              <w:t>/</w:t>
            </w:r>
            <w:r>
              <w:rPr>
                <w:bCs/>
                <w:position w:val="2"/>
              </w:rPr>
              <w:t>XY</w:t>
            </w:r>
          </w:p>
        </w:tc>
        <w:tc>
          <w:tcPr>
            <w:tcW w:w="2206" w:type="pct"/>
            <w:vMerge w:val="restart"/>
          </w:tcPr>
          <w:p w14:paraId="29D51968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DDE4EC5" w14:textId="3B90A0B4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D2F26">
              <w:rPr>
                <w:rFonts w:hint="cs"/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</w:r>
            <w:r w:rsidRPr="00ED2F26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480D0D4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ED2F2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CD83931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أعضاء قطاع تقييس الاتصالات</w:t>
            </w:r>
            <w:r w:rsidRPr="00ED2F26">
              <w:rPr>
                <w:position w:val="2"/>
                <w:rtl/>
                <w:lang w:bidi="ar-EG"/>
              </w:rPr>
              <w:t xml:space="preserve"> في الاتحاد</w:t>
            </w:r>
            <w:r w:rsidRPr="00ED2F26">
              <w:rPr>
                <w:position w:val="2"/>
                <w:rtl/>
              </w:rPr>
              <w:t>؛</w:t>
            </w:r>
          </w:p>
          <w:p w14:paraId="3E170762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المنتسبين إلى</w:t>
            </w:r>
            <w:r w:rsidRPr="00ED2F26">
              <w:rPr>
                <w:rFonts w:hint="cs"/>
                <w:position w:val="2"/>
                <w:rtl/>
              </w:rPr>
              <w:t xml:space="preserve"> قطاع تقييس الاتصالات المشاركين في</w:t>
            </w:r>
            <w:r w:rsidRPr="00ED2F26">
              <w:rPr>
                <w:rFonts w:hint="eastAsia"/>
                <w:position w:val="2"/>
                <w:rtl/>
              </w:rPr>
              <w:t> </w:t>
            </w:r>
            <w:r w:rsidRPr="00ED2F26">
              <w:rPr>
                <w:rFonts w:hint="cs"/>
                <w:position w:val="2"/>
                <w:rtl/>
              </w:rPr>
              <w:t>أعمال لجنة الدراسات</w:t>
            </w:r>
            <w:r w:rsidRPr="00ED2F26">
              <w:rPr>
                <w:rFonts w:hint="eastAsia"/>
                <w:position w:val="2"/>
                <w:rtl/>
              </w:rPr>
              <w:t> </w:t>
            </w:r>
            <w:r w:rsidRPr="00ED2F26">
              <w:rPr>
                <w:position w:val="2"/>
              </w:rPr>
              <w:t>17</w:t>
            </w:r>
            <w:r w:rsidRPr="00ED2F26">
              <w:rPr>
                <w:position w:val="2"/>
                <w:rtl/>
              </w:rPr>
              <w:t>؛</w:t>
            </w:r>
          </w:p>
          <w:p w14:paraId="14831ABD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  <w:lang w:bidi="ar-EG"/>
              </w:rPr>
              <w:tab/>
              <w:t>الهيئات الأكاديمية المنضمة إلى الاتحاد؛</w:t>
            </w:r>
          </w:p>
          <w:p w14:paraId="04A579DD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 xml:space="preserve">رئيس لجنة الدراسات </w:t>
            </w:r>
            <w:r w:rsidRPr="00ED2F26">
              <w:rPr>
                <w:position w:val="2"/>
              </w:rPr>
              <w:t>17</w:t>
            </w:r>
            <w:r w:rsidRPr="00ED2F26">
              <w:rPr>
                <w:position w:val="2"/>
                <w:rtl/>
                <w:lang w:bidi="ar-EG"/>
              </w:rPr>
              <w:t xml:space="preserve"> لقطاع تقييس الاتصالات ونوابه؛</w:t>
            </w:r>
          </w:p>
          <w:p w14:paraId="5B40C569" w14:textId="77777777" w:rsidR="00B14E9C" w:rsidRPr="00ED2F26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</w:t>
            </w:r>
            <w:r w:rsidRPr="00ED2F26">
              <w:rPr>
                <w:rFonts w:hint="cs"/>
                <w:position w:val="2"/>
                <w:rtl/>
                <w:lang w:bidi="ar-EG"/>
              </w:rPr>
              <w:t>ة</w:t>
            </w:r>
            <w:r w:rsidRPr="00ED2F26">
              <w:rPr>
                <w:position w:val="2"/>
                <w:rtl/>
              </w:rPr>
              <w:t xml:space="preserve"> مكتب تنمية الاتصالات؛</w:t>
            </w:r>
          </w:p>
          <w:p w14:paraId="05159FF2" w14:textId="5EE23AD7" w:rsidR="00B14E9C" w:rsidRPr="00D517B2" w:rsidRDefault="00B14E9C" w:rsidP="00B14E9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ED2F26">
              <w:rPr>
                <w:position w:val="2"/>
                <w:rtl/>
              </w:rPr>
              <w:t>-</w:t>
            </w:r>
            <w:r w:rsidRPr="00ED2F26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B14E9C" w:rsidRPr="00D517B2" w14:paraId="0D4DE3B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7D22A25" w14:textId="77777777" w:rsidR="00B14E9C" w:rsidRPr="00A9156F" w:rsidRDefault="00B14E9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34A7A0EA" w14:textId="38C6AFB6" w:rsidR="00B14E9C" w:rsidRPr="00D517B2" w:rsidRDefault="00B14E9C" w:rsidP="00B14E9C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B14E9C">
              <w:rPr>
                <w:position w:val="2"/>
              </w:rPr>
              <w:t>+41 22 730 6206</w:t>
            </w:r>
          </w:p>
        </w:tc>
        <w:tc>
          <w:tcPr>
            <w:tcW w:w="2206" w:type="pct"/>
            <w:vMerge/>
          </w:tcPr>
          <w:p w14:paraId="1DD4F1D3" w14:textId="77777777" w:rsidR="00B14E9C" w:rsidRPr="00D517B2" w:rsidRDefault="00B14E9C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B14E9C" w:rsidRPr="00D517B2" w14:paraId="72A11F88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0251EC7" w14:textId="77777777" w:rsidR="00B14E9C" w:rsidRPr="00A9156F" w:rsidRDefault="00B14E9C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2B1A561E" w14:textId="7748B986" w:rsidR="00B14E9C" w:rsidRPr="00D517B2" w:rsidRDefault="00B14E9C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B14E9C">
              <w:rPr>
                <w:position w:val="2"/>
              </w:rPr>
              <w:t>+41 22 730 5853</w:t>
            </w:r>
          </w:p>
        </w:tc>
        <w:tc>
          <w:tcPr>
            <w:tcW w:w="2206" w:type="pct"/>
            <w:vMerge/>
          </w:tcPr>
          <w:p w14:paraId="2C667B9E" w14:textId="77777777" w:rsidR="00B14E9C" w:rsidRPr="00D517B2" w:rsidRDefault="00B14E9C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B14E9C" w:rsidRPr="00D517B2" w14:paraId="5BD7AB05" w14:textId="77777777" w:rsidTr="00D517B2">
        <w:trPr>
          <w:cantSplit/>
          <w:jc w:val="center"/>
        </w:trPr>
        <w:tc>
          <w:tcPr>
            <w:tcW w:w="796" w:type="pct"/>
          </w:tcPr>
          <w:p w14:paraId="2A439B05" w14:textId="77777777" w:rsidR="00B14E9C" w:rsidRPr="00A9156F" w:rsidRDefault="00B14E9C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E9ED6F8" w14:textId="67758EDE" w:rsidR="00B14E9C" w:rsidRPr="00FC7782" w:rsidRDefault="00CF033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hyperlink r:id="rId9" w:history="1">
              <w:r w:rsidR="00FC7782" w:rsidRPr="00FC7782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14:paraId="58F2208D" w14:textId="3ABFE441" w:rsidR="00B14E9C" w:rsidRPr="00D517B2" w:rsidRDefault="00B14E9C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48964819" w14:textId="77777777" w:rsidTr="00D517B2">
        <w:trPr>
          <w:cantSplit/>
          <w:jc w:val="center"/>
        </w:trPr>
        <w:tc>
          <w:tcPr>
            <w:tcW w:w="796" w:type="pct"/>
          </w:tcPr>
          <w:p w14:paraId="7BC8CAEF" w14:textId="77777777" w:rsidR="00CE1C08" w:rsidRPr="00B14E9C" w:rsidRDefault="00CE1C08" w:rsidP="00B14E9C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1998" w:type="pct"/>
          </w:tcPr>
          <w:p w14:paraId="611E3725" w14:textId="77777777" w:rsidR="00CE1C08" w:rsidRPr="00D517B2" w:rsidRDefault="00CE1C08" w:rsidP="00B14E9C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F367E40" w14:textId="77777777" w:rsidR="00CE1C08" w:rsidRPr="00D517B2" w:rsidRDefault="00CE1C08" w:rsidP="00B14E9C">
            <w:pPr>
              <w:spacing w:before="0" w:line="24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4C66515" w14:textId="77777777" w:rsidTr="00D517B2">
        <w:trPr>
          <w:cantSplit/>
          <w:jc w:val="center"/>
        </w:trPr>
        <w:tc>
          <w:tcPr>
            <w:tcW w:w="796" w:type="pct"/>
          </w:tcPr>
          <w:p w14:paraId="4858C1A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00AAE1E" w14:textId="32AAFB19" w:rsidR="00CE1C08" w:rsidRPr="00B14E9C" w:rsidRDefault="00B14E9C" w:rsidP="00B14E9C">
            <w:pPr>
              <w:spacing w:before="80" w:after="60" w:line="300" w:lineRule="exact"/>
              <w:jc w:val="left"/>
              <w:rPr>
                <w:b/>
                <w:bCs/>
                <w:rtl/>
                <w:lang w:bidi="ar-EG"/>
              </w:rPr>
            </w:pPr>
            <w:r w:rsidRPr="00FC7782">
              <w:rPr>
                <w:b/>
                <w:bCs/>
                <w:rtl/>
              </w:rPr>
              <w:t xml:space="preserve">حالة </w:t>
            </w:r>
            <w:r w:rsidR="003411AD">
              <w:rPr>
                <w:rFonts w:hint="cs"/>
                <w:b/>
                <w:bCs/>
                <w:rtl/>
              </w:rPr>
              <w:t>تعديل التوصيتين</w:t>
            </w:r>
            <w:r w:rsidRPr="00B14E9C">
              <w:rPr>
                <w:b/>
                <w:bCs/>
              </w:rPr>
              <w:t xml:space="preserve"> </w:t>
            </w:r>
            <w:r w:rsidRPr="00B14E9C">
              <w:rPr>
                <w:b/>
                <w:bCs/>
                <w:rtl/>
              </w:rPr>
              <w:t xml:space="preserve"> </w:t>
            </w:r>
            <w:r w:rsidRPr="00B14E9C">
              <w:rPr>
                <w:b/>
                <w:bCs/>
              </w:rPr>
              <w:t xml:space="preserve">  ITU-T X.1246</w:t>
            </w:r>
            <w:r w:rsidRPr="00B14E9C">
              <w:rPr>
                <w:rFonts w:hint="cs"/>
                <w:b/>
                <w:bCs/>
                <w:rtl/>
                <w:lang w:bidi="ar-EG"/>
              </w:rPr>
              <w:t>و</w:t>
            </w:r>
            <w:r w:rsidRPr="00B14E9C">
              <w:rPr>
                <w:b/>
                <w:bCs/>
              </w:rPr>
              <w:t>ITU-T X.1247</w:t>
            </w:r>
            <w:r w:rsidRPr="00B14E9C">
              <w:rPr>
                <w:b/>
                <w:bCs/>
                <w:rtl/>
                <w:lang w:bidi="ar-EG"/>
              </w:rPr>
              <w:t xml:space="preserve"> والتوصيات </w:t>
            </w:r>
            <w:r w:rsidRPr="00B14E9C">
              <w:rPr>
                <w:rFonts w:hint="cs"/>
                <w:b/>
                <w:bCs/>
                <w:rtl/>
                <w:lang w:bidi="ar-EG"/>
              </w:rPr>
              <w:t xml:space="preserve">الجديدة </w:t>
            </w:r>
            <w:r w:rsidRPr="00B14E9C">
              <w:rPr>
                <w:b/>
                <w:bCs/>
              </w:rPr>
              <w:t>ITU</w:t>
            </w:r>
            <w:r>
              <w:rPr>
                <w:b/>
                <w:bCs/>
              </w:rPr>
              <w:noBreakHyphen/>
            </w:r>
            <w:r w:rsidRPr="00B14E9C">
              <w:rPr>
                <w:b/>
                <w:bCs/>
              </w:rPr>
              <w:t>T</w:t>
            </w:r>
            <w:r>
              <w:rPr>
                <w:b/>
                <w:bCs/>
              </w:rPr>
              <w:t> </w:t>
            </w:r>
            <w:r w:rsidRPr="00B14E9C">
              <w:rPr>
                <w:b/>
                <w:bCs/>
              </w:rPr>
              <w:t>X.1234</w:t>
            </w:r>
            <w:r>
              <w:rPr>
                <w:b/>
                <w:bCs/>
              </w:rPr>
              <w:t> </w:t>
            </w:r>
            <w:r w:rsidRPr="00B14E9C">
              <w:rPr>
                <w:b/>
                <w:bCs/>
              </w:rPr>
              <w:t>(</w:t>
            </w:r>
            <w:proofErr w:type="spellStart"/>
            <w:proofErr w:type="gramStart"/>
            <w:r w:rsidRPr="00B14E9C">
              <w:rPr>
                <w:b/>
                <w:bCs/>
              </w:rPr>
              <w:t>X.gcmms</w:t>
            </w:r>
            <w:proofErr w:type="spellEnd"/>
            <w:proofErr w:type="gramEnd"/>
            <w:r w:rsidRPr="00B14E9C">
              <w:rPr>
                <w:b/>
                <w:bCs/>
              </w:rPr>
              <w:t>)</w:t>
            </w:r>
            <w:r w:rsidRPr="00B14E9C">
              <w:rPr>
                <w:b/>
                <w:bCs/>
                <w:rtl/>
              </w:rPr>
              <w:t xml:space="preserve"> و</w:t>
            </w:r>
            <w:r w:rsidRPr="00B14E9C">
              <w:rPr>
                <w:b/>
                <w:bCs/>
              </w:rPr>
              <w:t xml:space="preserve"> ITU-T  X.1235 (</w:t>
            </w:r>
            <w:proofErr w:type="spellStart"/>
            <w:r w:rsidRPr="00B14E9C">
              <w:rPr>
                <w:b/>
                <w:bCs/>
              </w:rPr>
              <w:t>X.tecwes</w:t>
            </w:r>
            <w:proofErr w:type="spellEnd"/>
            <w:r w:rsidRPr="00B14E9C">
              <w:rPr>
                <w:b/>
                <w:bCs/>
              </w:rPr>
              <w:t>)</w:t>
            </w:r>
            <w:r w:rsidRPr="00B14E9C">
              <w:rPr>
                <w:b/>
                <w:bCs/>
                <w:rtl/>
              </w:rPr>
              <w:t xml:space="preserve"> و</w:t>
            </w:r>
            <w:r w:rsidRPr="00B14E9C">
              <w:rPr>
                <w:b/>
                <w:bCs/>
              </w:rPr>
              <w:t xml:space="preserve"> ITU-T  X.1333 (X.sg-rat)</w:t>
            </w:r>
            <w:r w:rsidR="003411AD">
              <w:rPr>
                <w:b/>
                <w:bCs/>
                <w:rtl/>
              </w:rPr>
              <w:br/>
            </w:r>
            <w:r w:rsidRPr="00B14E9C">
              <w:rPr>
                <w:b/>
                <w:bCs/>
                <w:rtl/>
              </w:rPr>
              <w:t>و</w:t>
            </w:r>
            <w:r w:rsidRPr="00B14E9C">
              <w:rPr>
                <w:b/>
                <w:bCs/>
              </w:rPr>
              <w:t xml:space="preserve"> ITU-T   X.1369 (</w:t>
            </w:r>
            <w:proofErr w:type="spellStart"/>
            <w:r w:rsidRPr="00B14E9C">
              <w:rPr>
                <w:b/>
                <w:bCs/>
              </w:rPr>
              <w:t>X.ssp-iot</w:t>
            </w:r>
            <w:proofErr w:type="spellEnd"/>
            <w:r w:rsidRPr="00B14E9C">
              <w:rPr>
                <w:b/>
                <w:bCs/>
              </w:rPr>
              <w:t>)</w:t>
            </w:r>
            <w:r w:rsidRPr="00B14E9C">
              <w:rPr>
                <w:b/>
                <w:bCs/>
                <w:rtl/>
              </w:rPr>
              <w:t>و</w:t>
            </w:r>
            <w:r w:rsidRPr="00B14E9C">
              <w:rPr>
                <w:b/>
                <w:bCs/>
              </w:rPr>
              <w:t xml:space="preserve"> ITU-T    X.1407 (</w:t>
            </w:r>
            <w:proofErr w:type="spellStart"/>
            <w:r w:rsidRPr="00B14E9C">
              <w:rPr>
                <w:b/>
                <w:bCs/>
              </w:rPr>
              <w:t>X.srip-dlt</w:t>
            </w:r>
            <w:proofErr w:type="spellEnd"/>
            <w:r w:rsidRPr="00B14E9C">
              <w:rPr>
                <w:b/>
                <w:bCs/>
              </w:rPr>
              <w:t>)</w:t>
            </w:r>
            <w:r w:rsidRPr="00B14E9C">
              <w:rPr>
                <w:b/>
                <w:bCs/>
                <w:rtl/>
              </w:rPr>
              <w:t xml:space="preserve"> و</w:t>
            </w:r>
            <w:r w:rsidRPr="00B14E9C">
              <w:rPr>
                <w:b/>
                <w:bCs/>
              </w:rPr>
              <w:t xml:space="preserve"> ITU-T  X.1453 (</w:t>
            </w:r>
            <w:proofErr w:type="spellStart"/>
            <w:r w:rsidRPr="00B14E9C">
              <w:rPr>
                <w:b/>
                <w:bCs/>
              </w:rPr>
              <w:t>X.strvms</w:t>
            </w:r>
            <w:proofErr w:type="spellEnd"/>
            <w:r w:rsidRPr="00B14E9C">
              <w:rPr>
                <w:b/>
                <w:bCs/>
              </w:rPr>
              <w:t>)</w:t>
            </w:r>
            <w:r w:rsidR="00CA6909">
              <w:rPr>
                <w:b/>
                <w:bCs/>
                <w:rtl/>
              </w:rPr>
              <w:br/>
            </w:r>
            <w:r w:rsidRPr="00B14E9C">
              <w:rPr>
                <w:b/>
                <w:bCs/>
                <w:rtl/>
              </w:rPr>
              <w:t>و</w:t>
            </w:r>
            <w:r w:rsidRPr="00B14E9C">
              <w:rPr>
                <w:b/>
                <w:bCs/>
              </w:rPr>
              <w:t xml:space="preserve"> ITU-T   X.1752 (</w:t>
            </w:r>
            <w:proofErr w:type="spellStart"/>
            <w:r w:rsidRPr="00B14E9C">
              <w:rPr>
                <w:b/>
                <w:bCs/>
              </w:rPr>
              <w:t>x.sgBDIP</w:t>
            </w:r>
            <w:proofErr w:type="spellEnd"/>
            <w:r w:rsidRPr="00B14E9C">
              <w:rPr>
                <w:b/>
                <w:bCs/>
              </w:rPr>
              <w:t>)</w:t>
            </w:r>
            <w:r w:rsidRPr="00B14E9C">
              <w:rPr>
                <w:b/>
                <w:bCs/>
                <w:rtl/>
              </w:rPr>
              <w:t>و</w:t>
            </w:r>
            <w:r w:rsidRPr="00B14E9C">
              <w:rPr>
                <w:b/>
                <w:bCs/>
              </w:rPr>
              <w:t xml:space="preserve"> ITU-T X.1643 (</w:t>
            </w:r>
            <w:proofErr w:type="spellStart"/>
            <w:r w:rsidRPr="00B14E9C">
              <w:rPr>
                <w:b/>
                <w:bCs/>
              </w:rPr>
              <w:t>X.sgcc</w:t>
            </w:r>
            <w:proofErr w:type="spellEnd"/>
            <w:r w:rsidRPr="00B14E9C">
              <w:rPr>
                <w:b/>
                <w:bCs/>
              </w:rPr>
              <w:t>)</w:t>
            </w:r>
            <w:r w:rsidRPr="00B14E9C">
              <w:rPr>
                <w:b/>
                <w:bCs/>
                <w:rtl/>
              </w:rPr>
              <w:t xml:space="preserve"> و</w:t>
            </w:r>
            <w:r w:rsidRPr="00B14E9C">
              <w:rPr>
                <w:b/>
                <w:bCs/>
              </w:rPr>
              <w:t xml:space="preserve"> ITU-T  X.1812 (X.5Gsec-t)</w:t>
            </w:r>
            <w:r w:rsidR="00CA6909">
              <w:rPr>
                <w:rFonts w:hint="cs"/>
                <w:b/>
                <w:bCs/>
                <w:rtl/>
              </w:rPr>
              <w:t>،</w:t>
            </w:r>
            <w:r w:rsidRPr="00B14E9C">
              <w:rPr>
                <w:b/>
                <w:bCs/>
              </w:rPr>
              <w:br/>
            </w:r>
            <w:r w:rsidRPr="00B14E9C">
              <w:rPr>
                <w:b/>
                <w:bCs/>
                <w:rtl/>
              </w:rPr>
              <w:t xml:space="preserve">بعد اجتماع لجنة الدراسات 17 لقطاع تقييس الاتصالات (اجتماع افتراضي، 7 يناير </w:t>
            </w:r>
            <w:r w:rsidRPr="00B14E9C">
              <w:rPr>
                <w:b/>
                <w:bCs/>
              </w:rPr>
              <w:t>2022</w:t>
            </w:r>
            <w:r w:rsidRPr="00B14E9C">
              <w:rPr>
                <w:b/>
                <w:bCs/>
                <w:rtl/>
              </w:rPr>
              <w:t>)</w:t>
            </w:r>
          </w:p>
        </w:tc>
      </w:tr>
    </w:tbl>
    <w:p w14:paraId="4A20823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5C312D0F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34098C3" w14:textId="0F8C7D63" w:rsidR="00B14E9C" w:rsidRDefault="00B14E9C" w:rsidP="00FC7782">
      <w:pPr>
        <w:spacing w:after="120"/>
        <w:rPr>
          <w:rtl/>
          <w:lang w:bidi="ar-EG"/>
        </w:rPr>
      </w:pPr>
      <w:r w:rsidRPr="00ED2F26">
        <w:rPr>
          <w:lang w:bidi="ar-SY"/>
        </w:rPr>
        <w:t>1</w:t>
      </w:r>
      <w:r w:rsidRPr="00ED2F26">
        <w:rPr>
          <w:rtl/>
          <w:lang w:bidi="ar-EG"/>
        </w:rPr>
        <w:tab/>
      </w:r>
      <w:r w:rsidRPr="00ED2F26">
        <w:rPr>
          <w:rtl/>
          <w:lang w:bidi="ar-SY"/>
        </w:rPr>
        <w:t xml:space="preserve">إلحاقاً </w:t>
      </w:r>
      <w:r w:rsidRPr="0069115A">
        <w:rPr>
          <w:rtl/>
          <w:lang w:bidi="ar-SY"/>
        </w:rPr>
        <w:t>بالرسالة المعممة</w:t>
      </w:r>
      <w:r w:rsidRPr="0069115A">
        <w:rPr>
          <w:rtl/>
          <w:lang w:bidi="ar-EG"/>
        </w:rPr>
        <w:t xml:space="preserve"> </w:t>
      </w:r>
      <w:hyperlink r:id="rId10" w:history="1">
        <w:r w:rsidR="0069115A" w:rsidRPr="0069115A">
          <w:rPr>
            <w:rStyle w:val="Hyperlink"/>
            <w:lang w:bidi="ar-SY"/>
          </w:rPr>
          <w:t>342</w:t>
        </w:r>
      </w:hyperlink>
      <w:r w:rsidRPr="0069115A">
        <w:rPr>
          <w:rtl/>
        </w:rPr>
        <w:t xml:space="preserve"> لمكتب تقييس الاتصالات</w:t>
      </w:r>
      <w:r w:rsidRPr="00ED2F26">
        <w:rPr>
          <w:rtl/>
        </w:rPr>
        <w:t xml:space="preserve"> المؤرخة </w:t>
      </w:r>
      <w:r w:rsidR="0069115A">
        <w:rPr>
          <w:lang w:bidi="ar-SY"/>
        </w:rPr>
        <w:t>23</w:t>
      </w:r>
      <w:r w:rsidRPr="00ED2F26">
        <w:rPr>
          <w:rFonts w:hint="cs"/>
          <w:rtl/>
          <w:lang w:bidi="ar-EG"/>
        </w:rPr>
        <w:t> </w:t>
      </w:r>
      <w:r>
        <w:rPr>
          <w:rFonts w:hint="cs"/>
          <w:rtl/>
          <w:lang w:bidi="ar-EG"/>
        </w:rPr>
        <w:t xml:space="preserve">سبتمبر </w:t>
      </w:r>
      <w:r w:rsidR="0069115A">
        <w:rPr>
          <w:lang w:bidi="ar-SY"/>
        </w:rPr>
        <w:t>2021</w:t>
      </w:r>
      <w:r w:rsidRPr="00ED2F26">
        <w:rPr>
          <w:rFonts w:hint="cs"/>
          <w:rtl/>
          <w:lang w:bidi="ar-EG"/>
        </w:rPr>
        <w:t xml:space="preserve">، </w:t>
      </w:r>
      <w:r w:rsidRPr="00ED2F26">
        <w:rPr>
          <w:rtl/>
          <w:lang w:bidi="ar-EG"/>
        </w:rPr>
        <w:t>وعملاً بالفقرة</w:t>
      </w:r>
      <w:r w:rsidRPr="00ED2F26">
        <w:rPr>
          <w:rFonts w:hint="cs"/>
          <w:rtl/>
          <w:lang w:bidi="ar-EG"/>
        </w:rPr>
        <w:t> </w:t>
      </w:r>
      <w:r w:rsidRPr="00ED2F26">
        <w:rPr>
          <w:lang w:bidi="ar-SY"/>
        </w:rPr>
        <w:t>5.9</w:t>
      </w:r>
      <w:r w:rsidRPr="00ED2F26">
        <w:rPr>
          <w:rtl/>
          <w:lang w:bidi="ar-EG"/>
        </w:rPr>
        <w:t xml:space="preserve"> من القرار </w:t>
      </w:r>
      <w:r w:rsidRPr="00ED2F26">
        <w:rPr>
          <w:lang w:bidi="ar-SY"/>
        </w:rPr>
        <w:t>1</w:t>
      </w:r>
      <w:r w:rsidRPr="00ED2F26">
        <w:rPr>
          <w:rtl/>
          <w:lang w:bidi="ar-EG"/>
        </w:rPr>
        <w:t xml:space="preserve"> (المراجَع في الحمامات،</w:t>
      </w:r>
      <w:r w:rsidRPr="00ED2F26">
        <w:rPr>
          <w:rFonts w:hint="cs"/>
          <w:rtl/>
          <w:lang w:bidi="ar-EG"/>
        </w:rPr>
        <w:t> </w:t>
      </w:r>
      <w:r w:rsidRPr="00ED2F26">
        <w:rPr>
          <w:lang w:bidi="ar-SY"/>
        </w:rPr>
        <w:t>2016</w:t>
      </w:r>
      <w:r w:rsidRPr="00ED2F26">
        <w:rPr>
          <w:rtl/>
          <w:lang w:bidi="ar-EG"/>
        </w:rPr>
        <w:t>)، أود إفادتكم بأن لجنة الدراسات</w:t>
      </w:r>
      <w:r w:rsidRPr="00ED2F26">
        <w:rPr>
          <w:rFonts w:hint="cs"/>
          <w:rtl/>
          <w:lang w:bidi="ar-EG"/>
        </w:rPr>
        <w:t> </w:t>
      </w:r>
      <w:r w:rsidRPr="00ED2F26">
        <w:rPr>
          <w:lang w:bidi="ar-SY"/>
        </w:rPr>
        <w:t>17</w:t>
      </w:r>
      <w:r w:rsidRPr="00ED2F26">
        <w:rPr>
          <w:rtl/>
          <w:lang w:bidi="ar-EG"/>
        </w:rPr>
        <w:t xml:space="preserve"> </w:t>
      </w:r>
      <w:r w:rsidRPr="00ED2F26">
        <w:rPr>
          <w:rFonts w:hint="cs"/>
          <w:rtl/>
          <w:lang w:bidi="ar-EG"/>
        </w:rPr>
        <w:t xml:space="preserve">لقطاع تقييس الاتصالات </w:t>
      </w:r>
      <w:r w:rsidRPr="00ED2F26">
        <w:rPr>
          <w:rtl/>
          <w:lang w:bidi="ar-EG"/>
        </w:rPr>
        <w:t>قد توصلت إلى القرارات التالية في جلستها العامة التي عُقدت في </w:t>
      </w:r>
      <w:r>
        <w:rPr>
          <w:rFonts w:hint="cs"/>
          <w:rtl/>
          <w:lang w:bidi="ar-SY"/>
        </w:rPr>
        <w:t>7</w:t>
      </w:r>
      <w:r w:rsidRPr="00ED2F26">
        <w:rPr>
          <w:rtl/>
          <w:lang w:bidi="ar-EG"/>
        </w:rPr>
        <w:t> </w:t>
      </w:r>
      <w:r>
        <w:rPr>
          <w:rFonts w:hint="cs"/>
          <w:rtl/>
          <w:lang w:bidi="ar-EG"/>
        </w:rPr>
        <w:t xml:space="preserve">يناير </w:t>
      </w:r>
      <w:r w:rsidR="0069115A">
        <w:rPr>
          <w:lang w:bidi="ar-SY"/>
        </w:rPr>
        <w:t>2022</w:t>
      </w:r>
      <w:r>
        <w:rPr>
          <w:rFonts w:hint="cs"/>
          <w:rtl/>
          <w:lang w:bidi="ar-SY"/>
        </w:rPr>
        <w:t xml:space="preserve"> </w:t>
      </w:r>
      <w:r w:rsidRPr="00ED2F26">
        <w:rPr>
          <w:rtl/>
          <w:lang w:bidi="ar-EG"/>
        </w:rPr>
        <w:t xml:space="preserve">فيما يتعلق بمشاريع </w:t>
      </w:r>
      <w:r w:rsidRPr="00ED2F26">
        <w:rPr>
          <w:rtl/>
        </w:rPr>
        <w:t xml:space="preserve">نصوص </w:t>
      </w:r>
      <w:r w:rsidRPr="00ED2F26">
        <w:rPr>
          <w:rtl/>
          <w:lang w:bidi="ar-EG"/>
        </w:rPr>
        <w:t>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6045"/>
        <w:gridCol w:w="1934"/>
      </w:tblGrid>
      <w:tr w:rsidR="00B14E9C" w:rsidRPr="00293CDD" w14:paraId="294E93A7" w14:textId="77777777" w:rsidTr="005E2DA7">
        <w:trPr>
          <w:cantSplit/>
          <w:tblHeader/>
          <w:jc w:val="center"/>
        </w:trPr>
        <w:tc>
          <w:tcPr>
            <w:tcW w:w="1650" w:type="dxa"/>
            <w:vAlign w:val="center"/>
          </w:tcPr>
          <w:p w14:paraId="5DDA898A" w14:textId="77777777" w:rsidR="00B14E9C" w:rsidRPr="00293CDD" w:rsidRDefault="00B14E9C" w:rsidP="00293CDD">
            <w:pPr>
              <w:keepNext/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b/>
                <w:position w:val="2"/>
                <w:lang w:val="en-GB" w:eastAsia="en-US"/>
              </w:rPr>
            </w:pPr>
            <w:r w:rsidRPr="00293CDD">
              <w:rPr>
                <w:b/>
                <w:bCs/>
                <w:position w:val="2"/>
                <w:rtl/>
                <w:lang w:bidi="ar-EG"/>
              </w:rPr>
              <w:t>رقم التوصية</w:t>
            </w:r>
          </w:p>
        </w:tc>
        <w:tc>
          <w:tcPr>
            <w:tcW w:w="6045" w:type="dxa"/>
            <w:vAlign w:val="center"/>
          </w:tcPr>
          <w:p w14:paraId="23DB5D3C" w14:textId="77777777" w:rsidR="00B14E9C" w:rsidRPr="00293CDD" w:rsidRDefault="00B14E9C" w:rsidP="00293CDD">
            <w:pPr>
              <w:keepNext/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b/>
                <w:position w:val="2"/>
                <w:lang w:val="en-GB" w:eastAsia="en-US"/>
              </w:rPr>
            </w:pPr>
            <w:r w:rsidRPr="00293CDD">
              <w:rPr>
                <w:b/>
                <w:bCs/>
                <w:position w:val="2"/>
                <w:rtl/>
                <w:lang w:bidi="ar-EG"/>
              </w:rPr>
              <w:t>العنوان</w:t>
            </w:r>
          </w:p>
        </w:tc>
        <w:tc>
          <w:tcPr>
            <w:tcW w:w="1934" w:type="dxa"/>
            <w:vAlign w:val="center"/>
          </w:tcPr>
          <w:p w14:paraId="31948211" w14:textId="77777777" w:rsidR="00B14E9C" w:rsidRPr="00293CDD" w:rsidRDefault="00B14E9C" w:rsidP="00293CDD">
            <w:pPr>
              <w:keepNext/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b/>
                <w:color w:val="800000"/>
                <w:position w:val="2"/>
                <w:lang w:val="en-GB" w:eastAsia="en-US"/>
              </w:rPr>
            </w:pPr>
            <w:r w:rsidRPr="00293CDD">
              <w:rPr>
                <w:b/>
                <w:bCs/>
                <w:position w:val="2"/>
                <w:rtl/>
                <w:lang w:bidi="ar-EG"/>
              </w:rPr>
              <w:t>القرار</w:t>
            </w:r>
          </w:p>
        </w:tc>
      </w:tr>
      <w:tr w:rsidR="00FC7782" w:rsidRPr="00293CDD" w14:paraId="18BBBE15" w14:textId="77777777" w:rsidTr="005E2DA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4077" w14:textId="446A26F1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X.1234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proofErr w:type="gram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X.gcmms</w:t>
            </w:r>
            <w:proofErr w:type="spellEnd"/>
            <w:proofErr w:type="gram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E40E" w14:textId="13365FBA" w:rsidR="00FC7782" w:rsidRPr="00293CDD" w:rsidRDefault="00FC7782" w:rsidP="00293CDD">
            <w:pPr>
              <w:spacing w:before="60" w:after="60" w:line="300" w:lineRule="exact"/>
              <w:rPr>
                <w:rFonts w:eastAsia="SimSun"/>
                <w:color w:val="800000"/>
                <w:position w:val="2"/>
                <w:lang w:val="en-GB" w:eastAsia="en-US"/>
              </w:rPr>
            </w:pPr>
            <w:r w:rsidRPr="00293CDD">
              <w:rPr>
                <w:position w:val="2"/>
                <w:rtl/>
                <w:lang w:bidi="ar-EG"/>
              </w:rPr>
              <w:t xml:space="preserve">مبادئ توجيهية بشأن مكافحة الرسائل </w:t>
            </w:r>
            <w:proofErr w:type="spellStart"/>
            <w:r w:rsidRPr="00293CDD">
              <w:rPr>
                <w:position w:val="2"/>
                <w:rtl/>
                <w:lang w:bidi="ar-EG"/>
              </w:rPr>
              <w:t>الاقتحامية</w:t>
            </w:r>
            <w:proofErr w:type="spellEnd"/>
            <w:r w:rsidRPr="00293CDD">
              <w:rPr>
                <w:position w:val="2"/>
                <w:rtl/>
                <w:lang w:bidi="ar-EG"/>
              </w:rPr>
              <w:t xml:space="preserve"> </w:t>
            </w:r>
            <w:r w:rsidRPr="00293CDD">
              <w:rPr>
                <w:rFonts w:hint="cs"/>
                <w:color w:val="000000"/>
                <w:position w:val="2"/>
                <w:rtl/>
              </w:rPr>
              <w:t xml:space="preserve">الموجهة عبر </w:t>
            </w:r>
            <w:r w:rsidRPr="00293CDD">
              <w:rPr>
                <w:color w:val="000000"/>
                <w:position w:val="2"/>
                <w:rtl/>
              </w:rPr>
              <w:t xml:space="preserve">خدمة </w:t>
            </w:r>
            <w:r w:rsidRPr="00293CDD">
              <w:rPr>
                <w:rFonts w:hint="cs"/>
                <w:color w:val="000000"/>
                <w:position w:val="2"/>
                <w:rtl/>
              </w:rPr>
              <w:t>ال</w:t>
            </w:r>
            <w:r w:rsidRPr="00293CDD">
              <w:rPr>
                <w:color w:val="000000"/>
                <w:position w:val="2"/>
                <w:rtl/>
              </w:rPr>
              <w:t>رسائل متعددة الوسائط</w:t>
            </w:r>
            <w:r w:rsidRPr="00293CDD">
              <w:rPr>
                <w:color w:val="000000"/>
                <w:position w:val="2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CA3A" w14:textId="77777777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2904AA4D" w14:textId="77777777" w:rsidTr="005E2DA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E924" w14:textId="2D7A1B95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X.1235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proofErr w:type="gram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X.tecwes</w:t>
            </w:r>
            <w:proofErr w:type="spellEnd"/>
            <w:proofErr w:type="gram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0F27" w14:textId="5FFF8D61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color w:val="800000"/>
                <w:position w:val="2"/>
                <w:lang w:val="en-GB" w:eastAsia="en-US"/>
              </w:rPr>
            </w:pPr>
            <w:r w:rsidRPr="00293CDD">
              <w:rPr>
                <w:rFonts w:hint="cs"/>
                <w:position w:val="2"/>
                <w:rtl/>
                <w:lang w:bidi="ar-EG"/>
              </w:rPr>
              <w:t>التكنولوجيات المستخدمة في</w:t>
            </w:r>
            <w:r w:rsidRPr="00293CDD">
              <w:rPr>
                <w:position w:val="2"/>
                <w:rtl/>
                <w:lang w:bidi="ar-EG"/>
              </w:rPr>
              <w:t xml:space="preserve"> مكافحة انتحال </w:t>
            </w:r>
            <w:r w:rsidRPr="00293CDD">
              <w:rPr>
                <w:rFonts w:hint="cs"/>
                <w:position w:val="2"/>
                <w:rtl/>
                <w:lang w:bidi="ar-EG"/>
              </w:rPr>
              <w:t>المواقع الإلكترونية</w:t>
            </w:r>
            <w:r w:rsidRPr="00293CDD">
              <w:rPr>
                <w:position w:val="2"/>
                <w:rtl/>
                <w:lang w:bidi="ar-EG"/>
              </w:rPr>
              <w:t xml:space="preserve"> لمنظمات الاتصالات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156C" w14:textId="77777777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25535352" w14:textId="77777777" w:rsidTr="005E2DA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0C30" w14:textId="2DE5F9BE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X.1333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(X.sg-rat)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A78" w14:textId="2AD406EB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color w:val="800000"/>
                <w:position w:val="2"/>
                <w:lang w:val="en-GB" w:eastAsia="en-US"/>
              </w:rPr>
            </w:pPr>
            <w:r w:rsidRPr="00293CDD">
              <w:rPr>
                <w:position w:val="2"/>
                <w:rtl/>
              </w:rPr>
              <w:t>المبادئ التوجيهية الأمنية لاستعمال أدوات النفاذ عن بُعد في أنظمة التحكم الموصولة بالإنترنت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5694" w14:textId="77777777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602B73C4" w14:textId="77777777" w:rsidTr="009E6164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551" w14:textId="344C6043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X.1369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X.ssp-iot</w:t>
            </w:r>
            <w:proofErr w:type="spell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5490" w14:textId="40FEF0AF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color w:val="800000"/>
                <w:position w:val="2"/>
                <w:lang w:val="en-GB" w:eastAsia="en-US" w:bidi="ar-EG"/>
              </w:rPr>
            </w:pPr>
            <w:r w:rsidRPr="00293CDD">
              <w:rPr>
                <w:rFonts w:hint="cs"/>
                <w:position w:val="2"/>
                <w:rtl/>
                <w:lang w:bidi="ar-EG"/>
              </w:rPr>
              <w:t>المتطلبات الأمنية لمنصة خدمة إنترنت الأشياء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04BC" w14:textId="36A848D4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0C6F97E9" w14:textId="77777777" w:rsidTr="0064724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D60" w14:textId="6795F29A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X.1407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proofErr w:type="gram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X.srip</w:t>
            </w:r>
            <w:proofErr w:type="gram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-dlt</w:t>
            </w:r>
            <w:proofErr w:type="spell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0A6" w14:textId="18DFFAA7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color w:val="800000"/>
                <w:position w:val="2"/>
                <w:lang w:val="en-GB" w:eastAsia="en-US"/>
              </w:rPr>
            </w:pPr>
            <w:r w:rsidRPr="00293CDD">
              <w:rPr>
                <w:rFonts w:hint="cs"/>
                <w:color w:val="000000"/>
                <w:position w:val="2"/>
                <w:rtl/>
              </w:rPr>
              <w:t>المتطلبات الأمنية</w:t>
            </w:r>
            <w:r w:rsidRPr="00293CDD">
              <w:rPr>
                <w:color w:val="000000"/>
                <w:position w:val="2"/>
                <w:rtl/>
              </w:rPr>
              <w:t xml:space="preserve"> لخدمات </w:t>
            </w:r>
            <w:r w:rsidRPr="00293CDD">
              <w:rPr>
                <w:rFonts w:hint="cs"/>
                <w:color w:val="000000"/>
                <w:position w:val="2"/>
                <w:rtl/>
              </w:rPr>
              <w:t>تدقيق السلامة الرقمية</w:t>
            </w:r>
            <w:r w:rsidRPr="00293CDD">
              <w:rPr>
                <w:color w:val="000000"/>
                <w:position w:val="2"/>
                <w:rtl/>
              </w:rPr>
              <w:t xml:space="preserve"> القائمة على تكنولوجيا السجلات الموزَّعة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550C" w14:textId="2B0D0B66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00883F2B" w14:textId="77777777" w:rsidTr="0064724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9D3" w14:textId="6515714F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lastRenderedPageBreak/>
              <w:t>ITU-T X.1453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proofErr w:type="gram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X.strvms</w:t>
            </w:r>
            <w:proofErr w:type="spellEnd"/>
            <w:proofErr w:type="gram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E9E" w14:textId="760ECA88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position w:val="2"/>
                <w:rtl/>
                <w:lang w:val="en-GB" w:eastAsia="en-US" w:bidi="ar-EG"/>
              </w:rPr>
            </w:pPr>
            <w:r w:rsidRPr="00293CDD">
              <w:rPr>
                <w:rFonts w:hint="cs"/>
                <w:position w:val="2"/>
                <w:rtl/>
                <w:lang w:bidi="ar-EG"/>
              </w:rPr>
              <w:t>التهديدات والمتطلبات الأمنية لأنظمة الإدارة الفيديوية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EA82" w14:textId="2E7B16BB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rtl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03040514" w14:textId="77777777" w:rsidTr="0064724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A0C" w14:textId="1EEF23A2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X.1643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proofErr w:type="gram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X.sgcc</w:t>
            </w:r>
            <w:proofErr w:type="spellEnd"/>
            <w:proofErr w:type="gram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AA25" w14:textId="2C35F950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position w:val="2"/>
                <w:rtl/>
                <w:lang w:val="en-GB" w:eastAsia="en-US" w:bidi="ar-EG"/>
              </w:rPr>
            </w:pPr>
            <w:r w:rsidRPr="00293CDD">
              <w:rPr>
                <w:rFonts w:hint="cs"/>
                <w:position w:val="2"/>
                <w:rtl/>
                <w:lang w:bidi="ar-EG"/>
              </w:rPr>
              <w:t>المتطلبات والمبادئ التوجيهية بشأن أمن الحاويات في بيئة الحوسبة السحابية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3AD6" w14:textId="4323D322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rtl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4106C839" w14:textId="77777777" w:rsidTr="00647247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18A" w14:textId="6C375E68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X.1752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</w:t>
            </w:r>
            <w:proofErr w:type="spellStart"/>
            <w:proofErr w:type="gramStart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X.sgBDIP</w:t>
            </w:r>
            <w:proofErr w:type="spellEnd"/>
            <w:proofErr w:type="gramEnd"/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306" w14:textId="4B4B9A9C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position w:val="2"/>
                <w:rtl/>
                <w:lang w:val="en-GB" w:eastAsia="en-US" w:bidi="ar-EG"/>
              </w:rPr>
            </w:pPr>
            <w:r w:rsidRPr="00293CDD">
              <w:rPr>
                <w:rFonts w:hint="cs"/>
                <w:position w:val="2"/>
                <w:rtl/>
                <w:lang w:bidi="ar-EG"/>
              </w:rPr>
              <w:t>مبادئ توجيهية بشأن أمن البنية التحتية للبيانات الضخمة ومنصتها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197E" w14:textId="506798F7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rtl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>تمت الموافقة عليها</w:t>
            </w:r>
          </w:p>
        </w:tc>
      </w:tr>
      <w:tr w:rsidR="00FC7782" w:rsidRPr="00293CDD" w14:paraId="668415E5" w14:textId="77777777" w:rsidTr="009E6164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908C" w14:textId="2AFC369B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>ITU-T X.1812</w:t>
            </w: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br/>
              <w:t>(X.5Gsec-t)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1CD6" w14:textId="61BD1E79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position w:val="2"/>
                <w:rtl/>
                <w:lang w:val="en-GB" w:eastAsia="en-US" w:bidi="ar-EG"/>
              </w:rPr>
            </w:pPr>
            <w:r w:rsidRPr="00293CDD">
              <w:rPr>
                <w:rFonts w:hint="cs"/>
                <w:position w:val="2"/>
                <w:rtl/>
                <w:lang w:bidi="ar-EG"/>
              </w:rPr>
              <w:t>إطا</w:t>
            </w:r>
            <w:r w:rsidRPr="00293CDD">
              <w:rPr>
                <w:position w:val="2"/>
                <w:rtl/>
                <w:lang w:bidi="ar-EG"/>
              </w:rPr>
              <w:t xml:space="preserve">ر أمني قائم على علاقات الثقة </w:t>
            </w:r>
            <w:r w:rsidRPr="00293CDD">
              <w:rPr>
                <w:rFonts w:hint="cs"/>
                <w:position w:val="2"/>
                <w:rtl/>
                <w:lang w:bidi="ar-EG"/>
              </w:rPr>
              <w:t>ل</w:t>
            </w:r>
            <w:r w:rsidRPr="00293CDD">
              <w:rPr>
                <w:position w:val="2"/>
                <w:rtl/>
                <w:lang w:bidi="ar-EG"/>
              </w:rPr>
              <w:t>لنظام الإيكولوجي للاتصالات المتنقلة الدولية</w:t>
            </w:r>
            <w:r w:rsidRPr="00293CDD">
              <w:rPr>
                <w:position w:val="2"/>
                <w:lang w:val="en-GB" w:bidi="ar-EG"/>
              </w:rPr>
              <w:t>2020-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648" w14:textId="4E9F45DB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rtl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 xml:space="preserve">تأجل القرار إلى اجتماع لجنة الدراسات </w:t>
            </w:r>
            <w:r w:rsidRPr="00293CDD">
              <w:rPr>
                <w:rFonts w:eastAsia="SimSun"/>
                <w:position w:val="2"/>
                <w:lang w:eastAsia="en-US"/>
              </w:rPr>
              <w:t>17</w:t>
            </w:r>
            <w:r w:rsidRPr="00293CDD">
              <w:rPr>
                <w:rFonts w:eastAsia="SimSun" w:hint="cs"/>
                <w:position w:val="2"/>
                <w:rtl/>
                <w:lang w:val="en-GB" w:eastAsia="en-US" w:bidi="ar-EG"/>
              </w:rPr>
              <w:t xml:space="preserve"> في مايو</w:t>
            </w:r>
          </w:p>
        </w:tc>
      </w:tr>
      <w:tr w:rsidR="00FC7782" w:rsidRPr="00293CDD" w14:paraId="5A910C8C" w14:textId="77777777" w:rsidTr="009E6164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D3F" w14:textId="0D276EB7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 xml:space="preserve">ITU-T </w:t>
            </w:r>
            <w:r w:rsidRPr="00293CDD">
              <w:rPr>
                <w:rFonts w:asciiTheme="minorHAnsi" w:hAnsiTheme="minorHAnsi" w:cstheme="minorHAnsi"/>
                <w:position w:val="2"/>
              </w:rPr>
              <w:t>X.1246</w:t>
            </w:r>
            <w:r w:rsidRPr="00293CDD">
              <w:rPr>
                <w:rFonts w:asciiTheme="minorHAnsi" w:hAnsiTheme="minorHAnsi" w:cstheme="minorHAnsi"/>
                <w:position w:val="2"/>
              </w:rPr>
              <w:br/>
              <w:t>Amd.1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5418" w14:textId="1AC8FE90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position w:val="2"/>
                <w:rtl/>
                <w:lang w:val="en-GB" w:eastAsia="en-US" w:bidi="ar-EG"/>
              </w:rPr>
            </w:pPr>
            <w:r w:rsidRPr="00293CDD">
              <w:rPr>
                <w:rFonts w:eastAsia="SimSun"/>
                <w:position w:val="2"/>
                <w:rtl/>
              </w:rPr>
              <w:t xml:space="preserve">التكنولوجيات </w:t>
            </w:r>
            <w:r w:rsidRPr="00293CDD">
              <w:rPr>
                <w:rFonts w:eastAsia="SimSun" w:hint="cs"/>
                <w:position w:val="2"/>
                <w:rtl/>
                <w:lang w:bidi="ar-EG"/>
              </w:rPr>
              <w:t>المشاركة</w:t>
            </w:r>
            <w:r w:rsidRPr="00293CDD">
              <w:rPr>
                <w:rFonts w:eastAsia="SimSun"/>
                <w:position w:val="2"/>
                <w:rtl/>
              </w:rPr>
              <w:t xml:space="preserve"> في مكافحة الرسائل</w:t>
            </w:r>
            <w:r w:rsidRPr="00293CDD">
              <w:rPr>
                <w:rFonts w:eastAsia="SimSun" w:hint="cs"/>
                <w:position w:val="2"/>
                <w:rtl/>
              </w:rPr>
              <w:t xml:space="preserve"> </w:t>
            </w:r>
            <w:proofErr w:type="spellStart"/>
            <w:r w:rsidRPr="00293CDD">
              <w:rPr>
                <w:rFonts w:eastAsia="SimSun" w:hint="cs"/>
                <w:position w:val="2"/>
                <w:rtl/>
                <w:lang w:bidi="ar-EG"/>
              </w:rPr>
              <w:t>الاقتحامية</w:t>
            </w:r>
            <w:proofErr w:type="spellEnd"/>
            <w:r w:rsidRPr="00293CDD">
              <w:rPr>
                <w:rFonts w:eastAsia="SimSun"/>
                <w:position w:val="2"/>
                <w:rtl/>
              </w:rPr>
              <w:t xml:space="preserve"> الصوتية</w:t>
            </w:r>
            <w:r w:rsidRPr="00293CDD">
              <w:rPr>
                <w:rFonts w:eastAsia="SimSun" w:hint="cs"/>
                <w:position w:val="2"/>
                <w:rtl/>
                <w:lang w:bidi="ar-EG"/>
              </w:rPr>
              <w:t xml:space="preserve"> </w:t>
            </w:r>
            <w:r w:rsidRPr="00293CDD">
              <w:rPr>
                <w:rFonts w:eastAsia="SimSun"/>
                <w:position w:val="2"/>
                <w:rtl/>
              </w:rPr>
              <w:t>في منظمات الاتصالات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074" w14:textId="51D7C67C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rtl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 xml:space="preserve">تأجل القرار إلى اجتماع لجنة الدراسات </w:t>
            </w:r>
            <w:r w:rsidRPr="00293CDD">
              <w:rPr>
                <w:rFonts w:eastAsia="SimSun"/>
                <w:position w:val="2"/>
                <w:lang w:eastAsia="en-US"/>
              </w:rPr>
              <w:t>17</w:t>
            </w:r>
            <w:r w:rsidRPr="00293CDD">
              <w:rPr>
                <w:rFonts w:eastAsia="SimSun" w:hint="cs"/>
                <w:position w:val="2"/>
                <w:rtl/>
                <w:lang w:val="en-GB" w:eastAsia="en-US" w:bidi="ar-EG"/>
              </w:rPr>
              <w:t xml:space="preserve"> في مايو</w:t>
            </w:r>
          </w:p>
        </w:tc>
      </w:tr>
      <w:tr w:rsidR="00FC7782" w:rsidRPr="00293CDD" w14:paraId="28CD8AA5" w14:textId="77777777" w:rsidTr="009E6164">
        <w:trPr>
          <w:cantSplit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325" w14:textId="72F6E23B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lang w:val="fr-CH" w:eastAsia="en-US"/>
              </w:rPr>
            </w:pPr>
            <w:r w:rsidRPr="00293CDD">
              <w:rPr>
                <w:rFonts w:asciiTheme="minorHAnsi" w:hAnsiTheme="minorHAnsi" w:cstheme="minorHAnsi"/>
                <w:position w:val="2"/>
                <w:lang w:val="fr-CH"/>
              </w:rPr>
              <w:t xml:space="preserve">ITU-T </w:t>
            </w:r>
            <w:r w:rsidRPr="00293CDD">
              <w:rPr>
                <w:rFonts w:asciiTheme="minorHAnsi" w:hAnsiTheme="minorHAnsi" w:cstheme="minorHAnsi"/>
                <w:position w:val="2"/>
              </w:rPr>
              <w:t>X.1247</w:t>
            </w:r>
            <w:r w:rsidRPr="00293CDD">
              <w:rPr>
                <w:rFonts w:asciiTheme="minorHAnsi" w:hAnsiTheme="minorHAnsi" w:cstheme="minorHAnsi"/>
                <w:position w:val="2"/>
              </w:rPr>
              <w:br/>
              <w:t>Amd.1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581" w14:textId="312CA166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textAlignment w:val="baseline"/>
              <w:rPr>
                <w:rFonts w:eastAsia="SimSun"/>
                <w:position w:val="2"/>
                <w:rtl/>
                <w:lang w:val="en-GB" w:eastAsia="en-US" w:bidi="ar-EG"/>
              </w:rPr>
            </w:pPr>
            <w:r w:rsidRPr="00293CDD">
              <w:rPr>
                <w:rFonts w:hint="cs"/>
                <w:position w:val="2"/>
                <w:rtl/>
              </w:rPr>
              <w:t xml:space="preserve">الإطار التقني لمكافحة الرسائل </w:t>
            </w:r>
            <w:proofErr w:type="spellStart"/>
            <w:r w:rsidRPr="00293CDD">
              <w:rPr>
                <w:rFonts w:hint="cs"/>
                <w:position w:val="2"/>
                <w:rtl/>
              </w:rPr>
              <w:t>الاقتحامية</w:t>
            </w:r>
            <w:proofErr w:type="spellEnd"/>
            <w:r w:rsidRPr="00293CDD">
              <w:rPr>
                <w:rFonts w:hint="cs"/>
                <w:position w:val="2"/>
                <w:rtl/>
              </w:rPr>
              <w:t xml:space="preserve"> المتنقلة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CF25" w14:textId="05DCBB6F" w:rsidR="00FC7782" w:rsidRPr="00293CDD" w:rsidRDefault="00FC7782" w:rsidP="00293CDD">
            <w:pPr>
              <w:tabs>
                <w:tab w:val="left" w:pos="284"/>
                <w:tab w:val="left" w:pos="567"/>
                <w:tab w:val="left" w:pos="851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center"/>
              <w:textAlignment w:val="baseline"/>
              <w:rPr>
                <w:rFonts w:eastAsia="SimSun"/>
                <w:position w:val="2"/>
                <w:rtl/>
                <w:lang w:val="en-GB" w:eastAsia="en-US"/>
              </w:rPr>
            </w:pPr>
            <w:r w:rsidRPr="00293CDD">
              <w:rPr>
                <w:rFonts w:eastAsia="SimSun" w:hint="cs"/>
                <w:position w:val="2"/>
                <w:rtl/>
                <w:lang w:val="en-GB" w:eastAsia="en-US"/>
              </w:rPr>
              <w:t xml:space="preserve">تأجل القرار إلى اجتماع لجنة الدراسات </w:t>
            </w:r>
            <w:r w:rsidRPr="00293CDD">
              <w:rPr>
                <w:rFonts w:eastAsia="SimSun"/>
                <w:position w:val="2"/>
                <w:lang w:eastAsia="en-US"/>
              </w:rPr>
              <w:t>17</w:t>
            </w:r>
            <w:r w:rsidRPr="00293CDD">
              <w:rPr>
                <w:rFonts w:eastAsia="SimSun" w:hint="cs"/>
                <w:position w:val="2"/>
                <w:rtl/>
                <w:lang w:val="en-GB" w:eastAsia="en-US" w:bidi="ar-EG"/>
              </w:rPr>
              <w:t xml:space="preserve"> في مايو</w:t>
            </w:r>
          </w:p>
        </w:tc>
      </w:tr>
    </w:tbl>
    <w:p w14:paraId="199BA0A4" w14:textId="34645995" w:rsidR="0069115A" w:rsidRPr="00ED2F26" w:rsidRDefault="0069115A" w:rsidP="00293CDD">
      <w:pPr>
        <w:spacing w:before="240"/>
        <w:rPr>
          <w:rtl/>
          <w:lang w:val="en-GB" w:bidi="ar-EG"/>
        </w:rPr>
      </w:pPr>
      <w:r w:rsidRPr="00ED2F26">
        <w:rPr>
          <w:lang w:bidi="ar-SY"/>
        </w:rPr>
        <w:t>2</w:t>
      </w:r>
      <w:r w:rsidRPr="00ED2F26">
        <w:rPr>
          <w:rtl/>
          <w:lang w:val="en-GB" w:bidi="ar-EG"/>
        </w:rPr>
        <w:tab/>
        <w:t xml:space="preserve">ويمكن الاطلاع على المعلومات الخاصة ببراءات الاختراع </w:t>
      </w:r>
      <w:r w:rsidRPr="00ED2F26">
        <w:rPr>
          <w:rFonts w:hint="cs"/>
          <w:rtl/>
          <w:lang w:val="en-GB" w:bidi="ar-EG"/>
        </w:rPr>
        <w:t>في</w:t>
      </w:r>
      <w:r w:rsidRPr="00ED2F26">
        <w:rPr>
          <w:rtl/>
          <w:lang w:val="en-GB" w:bidi="ar-EG"/>
        </w:rPr>
        <w:t xml:space="preserve"> </w:t>
      </w:r>
      <w:hyperlink r:id="rId11" w:history="1">
        <w:r w:rsidRPr="00ED2F26">
          <w:rPr>
            <w:rStyle w:val="Hyperlink"/>
            <w:rtl/>
            <w:lang w:val="en-GB" w:bidi="ar-EG"/>
          </w:rPr>
          <w:t>الموقع الإلكتروني لقطاع تقييس الاتصالات</w:t>
        </w:r>
      </w:hyperlink>
      <w:r w:rsidRPr="00ED2F26">
        <w:rPr>
          <w:rtl/>
          <w:lang w:val="en-GB" w:bidi="ar-EG"/>
        </w:rPr>
        <w:t>.</w:t>
      </w:r>
    </w:p>
    <w:p w14:paraId="026E7AC4" w14:textId="76A9390C" w:rsidR="0069115A" w:rsidRPr="00ED2F26" w:rsidRDefault="0069115A" w:rsidP="0069115A">
      <w:pPr>
        <w:rPr>
          <w:rtl/>
          <w:lang w:val="en-GB" w:bidi="ar-EG"/>
        </w:rPr>
      </w:pPr>
      <w:r w:rsidRPr="00ED2F26">
        <w:rPr>
          <w:lang w:bidi="ar-SY"/>
        </w:rPr>
        <w:t>3</w:t>
      </w:r>
      <w:r w:rsidRPr="00ED2F26">
        <w:rPr>
          <w:rtl/>
          <w:lang w:val="en-GB" w:bidi="ar-EG"/>
        </w:rPr>
        <w:tab/>
        <w:t>وستتاح نصوص التوصيات في صيغتها السابقة للنشر في الموقع الإلكتروني لقطاع تقييس الاتصالات</w:t>
      </w:r>
      <w:r w:rsidRPr="00ED2F26">
        <w:rPr>
          <w:rFonts w:hint="cs"/>
          <w:rtl/>
          <w:lang w:val="en-GB" w:bidi="ar-EG"/>
        </w:rPr>
        <w:t xml:space="preserve"> في العنوان:</w:t>
      </w:r>
      <w:r w:rsidR="00293CDD">
        <w:rPr>
          <w:rFonts w:hint="cs"/>
          <w:rtl/>
          <w:lang w:val="en-GB" w:bidi="ar-EG"/>
        </w:rPr>
        <w:t xml:space="preserve"> </w:t>
      </w:r>
      <w:hyperlink r:id="rId12" w:history="1">
        <w:r w:rsidR="00FC7782" w:rsidRPr="00626A3A">
          <w:rPr>
            <w:rStyle w:val="Hyperlink"/>
            <w:rFonts w:asciiTheme="minorHAnsi" w:hAnsiTheme="minorHAnsi" w:cstheme="minorHAnsi"/>
          </w:rPr>
          <w:t>https://www.itu.int/itu-t/recommendations/</w:t>
        </w:r>
      </w:hyperlink>
      <w:r w:rsidRPr="00ED2F26">
        <w:rPr>
          <w:rtl/>
          <w:lang w:val="en-GB" w:bidi="ar-EG"/>
        </w:rPr>
        <w:t>.</w:t>
      </w:r>
    </w:p>
    <w:p w14:paraId="636853BE" w14:textId="77777777" w:rsidR="0069115A" w:rsidRPr="00ED2F26" w:rsidRDefault="0069115A" w:rsidP="0069115A">
      <w:pPr>
        <w:rPr>
          <w:rtl/>
          <w:lang w:val="en-GB" w:bidi="ar-EG"/>
        </w:rPr>
      </w:pPr>
      <w:r w:rsidRPr="00ED2F26">
        <w:rPr>
          <w:lang w:bidi="ar-SY"/>
        </w:rPr>
        <w:t>4</w:t>
      </w:r>
      <w:r w:rsidRPr="00ED2F26">
        <w:rPr>
          <w:lang w:bidi="ar-SY"/>
        </w:rPr>
        <w:tab/>
      </w:r>
      <w:r w:rsidRPr="00ED2F26">
        <w:rPr>
          <w:rtl/>
          <w:lang w:val="en-GB" w:bidi="ar-EG"/>
        </w:rPr>
        <w:t xml:space="preserve">وسوف ينشر الاتحاد </w:t>
      </w:r>
      <w:r w:rsidRPr="00ED2F26">
        <w:rPr>
          <w:rFonts w:hint="cs"/>
          <w:rtl/>
          <w:lang w:val="en-GB" w:bidi="ar-EG"/>
        </w:rPr>
        <w:t>نصوص التوصيات الموافَق عليها</w:t>
      </w:r>
      <w:r w:rsidRPr="00ED2F26">
        <w:rPr>
          <w:rtl/>
          <w:lang w:val="en-GB" w:bidi="ar-EG"/>
        </w:rPr>
        <w:t xml:space="preserve"> في أقرب وقت ممكن.</w:t>
      </w:r>
    </w:p>
    <w:p w14:paraId="3461961D" w14:textId="63529EBA" w:rsidR="0069115A" w:rsidRPr="00D517B2" w:rsidRDefault="0069115A" w:rsidP="0069115A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A5032F9" w14:textId="73A043E6" w:rsidR="00E84438" w:rsidRPr="00D517B2" w:rsidRDefault="00CF0338" w:rsidP="005974F6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B7430FE" wp14:editId="57D114F0">
            <wp:simplePos x="0" y="0"/>
            <wp:positionH relativeFrom="column">
              <wp:posOffset>5354038</wp:posOffset>
            </wp:positionH>
            <wp:positionV relativeFrom="paragraph">
              <wp:posOffset>3175</wp:posOffset>
            </wp:positionV>
            <wp:extent cx="793397" cy="549275"/>
            <wp:effectExtent l="0" t="0" r="6985" b="3175"/>
            <wp:wrapNone/>
            <wp:docPr id="3" name="Picture 3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etter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97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99B3" w14:textId="77777777" w:rsidR="00B14E9C" w:rsidRDefault="00B14E9C" w:rsidP="006C3242">
      <w:pPr>
        <w:spacing w:before="0" w:line="240" w:lineRule="auto"/>
      </w:pPr>
      <w:r>
        <w:separator/>
      </w:r>
    </w:p>
  </w:endnote>
  <w:endnote w:type="continuationSeparator" w:id="0">
    <w:p w14:paraId="5FC42A78" w14:textId="77777777" w:rsidR="00B14E9C" w:rsidRDefault="00B14E9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3FB5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64F3" w14:textId="77777777" w:rsidR="00B14E9C" w:rsidRDefault="00B14E9C" w:rsidP="006C3242">
      <w:pPr>
        <w:spacing w:before="0" w:line="240" w:lineRule="auto"/>
      </w:pPr>
      <w:r>
        <w:separator/>
      </w:r>
    </w:p>
  </w:footnote>
  <w:footnote w:type="continuationSeparator" w:id="0">
    <w:p w14:paraId="55D750A5" w14:textId="77777777" w:rsidR="00B14E9C" w:rsidRDefault="00B14E9C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F46" w14:textId="4E74EC6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69115A">
      <w:rPr>
        <w:sz w:val="20"/>
        <w:szCs w:val="20"/>
        <w:lang w:val="en-GB"/>
      </w:rPr>
      <w:t>373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9C"/>
    <w:rsid w:val="00002A63"/>
    <w:rsid w:val="0006468A"/>
    <w:rsid w:val="00090574"/>
    <w:rsid w:val="000C1C0E"/>
    <w:rsid w:val="000C548A"/>
    <w:rsid w:val="000E327F"/>
    <w:rsid w:val="00146EB3"/>
    <w:rsid w:val="00146FE2"/>
    <w:rsid w:val="001C0169"/>
    <w:rsid w:val="001D1D50"/>
    <w:rsid w:val="001D6745"/>
    <w:rsid w:val="001E446E"/>
    <w:rsid w:val="002154EE"/>
    <w:rsid w:val="002276D2"/>
    <w:rsid w:val="0023283D"/>
    <w:rsid w:val="00240C3D"/>
    <w:rsid w:val="0026373E"/>
    <w:rsid w:val="00271C43"/>
    <w:rsid w:val="00290728"/>
    <w:rsid w:val="00293CDD"/>
    <w:rsid w:val="002978F4"/>
    <w:rsid w:val="002B028D"/>
    <w:rsid w:val="002E196B"/>
    <w:rsid w:val="002E6541"/>
    <w:rsid w:val="00334924"/>
    <w:rsid w:val="003409BC"/>
    <w:rsid w:val="003411AD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70360"/>
    <w:rsid w:val="004E11DC"/>
    <w:rsid w:val="00506394"/>
    <w:rsid w:val="00525DDD"/>
    <w:rsid w:val="005409AC"/>
    <w:rsid w:val="0055501D"/>
    <w:rsid w:val="0055516A"/>
    <w:rsid w:val="005731DD"/>
    <w:rsid w:val="0058491B"/>
    <w:rsid w:val="00592EA5"/>
    <w:rsid w:val="00595613"/>
    <w:rsid w:val="00595B52"/>
    <w:rsid w:val="00596808"/>
    <w:rsid w:val="005974F6"/>
    <w:rsid w:val="005A3170"/>
    <w:rsid w:val="006635B2"/>
    <w:rsid w:val="00677396"/>
    <w:rsid w:val="0069115A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D09F2"/>
    <w:rsid w:val="009D313F"/>
    <w:rsid w:val="009E4D34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14E9C"/>
    <w:rsid w:val="00B64B47"/>
    <w:rsid w:val="00B916A7"/>
    <w:rsid w:val="00BB0F08"/>
    <w:rsid w:val="00C002DE"/>
    <w:rsid w:val="00C53BF8"/>
    <w:rsid w:val="00C66157"/>
    <w:rsid w:val="00C674FE"/>
    <w:rsid w:val="00C67501"/>
    <w:rsid w:val="00C75633"/>
    <w:rsid w:val="00CA6909"/>
    <w:rsid w:val="00CE1C08"/>
    <w:rsid w:val="00CE2EE1"/>
    <w:rsid w:val="00CE3349"/>
    <w:rsid w:val="00CE36E5"/>
    <w:rsid w:val="00CF0338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C778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2264C"/>
  <w15:chartTrackingRefBased/>
  <w15:docId w15:val="{2BFCC665-7AF8-4052-B679-07E4DFDB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3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10</cp:revision>
  <cp:lastPrinted>2022-01-17T13:39:00Z</cp:lastPrinted>
  <dcterms:created xsi:type="dcterms:W3CDTF">2022-01-12T13:27:00Z</dcterms:created>
  <dcterms:modified xsi:type="dcterms:W3CDTF">2022-01-17T13:39:00Z</dcterms:modified>
</cp:coreProperties>
</file>