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804"/>
        <w:gridCol w:w="3007"/>
      </w:tblGrid>
      <w:tr w:rsidR="00CF2532" w:rsidRPr="00A16FCA" w14:paraId="14FD449D" w14:textId="77777777" w:rsidTr="00CF2532">
        <w:trPr>
          <w:cantSplit/>
        </w:trPr>
        <w:tc>
          <w:tcPr>
            <w:tcW w:w="6804" w:type="dxa"/>
            <w:vAlign w:val="center"/>
          </w:tcPr>
          <w:p w14:paraId="3E2976D5" w14:textId="77777777" w:rsidR="00CF2532" w:rsidRPr="00A16FCA" w:rsidRDefault="00CF2532" w:rsidP="001C5436">
            <w:pPr>
              <w:rPr>
                <w:rFonts w:ascii="Verdana" w:hAnsi="Verdana" w:cs="Times New Roman Bold"/>
                <w:b/>
                <w:bCs/>
                <w:sz w:val="22"/>
                <w:szCs w:val="22"/>
                <w:lang w:val="fr-FR"/>
              </w:rPr>
            </w:pPr>
            <w:r w:rsidRPr="00A16FCA">
              <w:rPr>
                <w:rFonts w:ascii="Verdana" w:hAnsi="Verdana" w:cs="Times New Roman Bold"/>
                <w:b/>
                <w:bCs/>
                <w:sz w:val="22"/>
                <w:szCs w:val="22"/>
                <w:lang w:val="fr-FR"/>
              </w:rPr>
              <w:t xml:space="preserve">Assemblée mondiale de normalisation </w:t>
            </w:r>
            <w:r w:rsidRPr="00A16FCA">
              <w:rPr>
                <w:rFonts w:ascii="Verdana" w:hAnsi="Verdana" w:cs="Times New Roman Bold"/>
                <w:b/>
                <w:bCs/>
                <w:sz w:val="22"/>
                <w:szCs w:val="22"/>
                <w:lang w:val="fr-FR"/>
              </w:rPr>
              <w:br/>
              <w:t>des télécommunications (AMNT-20)</w:t>
            </w:r>
            <w:r w:rsidRPr="00A16FCA">
              <w:rPr>
                <w:rFonts w:ascii="Verdana" w:hAnsi="Verdana" w:cs="Times New Roman Bold"/>
                <w:b/>
                <w:bCs/>
                <w:sz w:val="26"/>
                <w:szCs w:val="26"/>
                <w:lang w:val="fr-FR"/>
              </w:rPr>
              <w:br/>
            </w:r>
            <w:r w:rsidR="00A4071B">
              <w:rPr>
                <w:rFonts w:ascii="Verdana" w:hAnsi="Verdana" w:cs="Times New Roman Bold"/>
                <w:b/>
                <w:bCs/>
                <w:sz w:val="18"/>
                <w:szCs w:val="18"/>
                <w:lang w:val="fr-FR"/>
              </w:rPr>
              <w:t>Genève</w:t>
            </w:r>
            <w:r w:rsidR="004B35D2">
              <w:rPr>
                <w:rFonts w:ascii="Verdana" w:hAnsi="Verdana" w:cs="Times New Roman Bold"/>
                <w:b/>
                <w:bCs/>
                <w:sz w:val="18"/>
                <w:szCs w:val="18"/>
                <w:lang w:val="fr-FR"/>
              </w:rPr>
              <w:t>,</w:t>
            </w:r>
            <w:r w:rsidR="004B35D2" w:rsidRPr="004B35D2">
              <w:rPr>
                <w:rFonts w:ascii="Verdana" w:hAnsi="Verdana" w:cs="Times New Roman Bold"/>
                <w:b/>
                <w:bCs/>
                <w:sz w:val="18"/>
                <w:szCs w:val="18"/>
                <w:lang w:val="fr-FR"/>
              </w:rPr>
              <w:t xml:space="preserve"> </w:t>
            </w:r>
            <w:r w:rsidR="004B35D2">
              <w:rPr>
                <w:rFonts w:ascii="Verdana" w:hAnsi="Verdana" w:cs="Times New Roman Bold"/>
                <w:b/>
                <w:bCs/>
                <w:sz w:val="18"/>
                <w:szCs w:val="18"/>
                <w:lang w:val="fr-FR"/>
              </w:rPr>
              <w:t>1</w:t>
            </w:r>
            <w:r w:rsidR="00153859">
              <w:rPr>
                <w:rFonts w:ascii="Verdana" w:hAnsi="Verdana" w:cs="Times New Roman Bold"/>
                <w:b/>
                <w:bCs/>
                <w:sz w:val="18"/>
                <w:szCs w:val="18"/>
                <w:lang w:val="fr-FR"/>
              </w:rPr>
              <w:t>er</w:t>
            </w:r>
            <w:r w:rsidR="00CE36EA" w:rsidRPr="00A16FCA">
              <w:rPr>
                <w:rFonts w:ascii="Verdana" w:hAnsi="Verdana" w:cs="Times New Roman Bold"/>
                <w:b/>
                <w:bCs/>
                <w:sz w:val="18"/>
                <w:szCs w:val="18"/>
                <w:lang w:val="fr-FR"/>
              </w:rPr>
              <w:t>-</w:t>
            </w:r>
            <w:r w:rsidR="005E28A3">
              <w:rPr>
                <w:rFonts w:ascii="Verdana" w:hAnsi="Verdana" w:cs="Times New Roman Bold"/>
                <w:b/>
                <w:bCs/>
                <w:sz w:val="18"/>
                <w:szCs w:val="18"/>
                <w:lang w:val="fr-FR"/>
              </w:rPr>
              <w:t>9</w:t>
            </w:r>
            <w:r w:rsidR="00CE36EA">
              <w:rPr>
                <w:rFonts w:ascii="Verdana" w:hAnsi="Verdana" w:cs="Times New Roman Bold"/>
                <w:b/>
                <w:bCs/>
                <w:sz w:val="18"/>
                <w:szCs w:val="18"/>
                <w:lang w:val="fr-FR"/>
              </w:rPr>
              <w:t xml:space="preserve"> mars</w:t>
            </w:r>
            <w:r w:rsidR="00CE36EA" w:rsidRPr="00A16FCA">
              <w:rPr>
                <w:rFonts w:ascii="Verdana" w:hAnsi="Verdana" w:cs="Times New Roman Bold"/>
                <w:b/>
                <w:bCs/>
                <w:sz w:val="18"/>
                <w:szCs w:val="18"/>
                <w:lang w:val="fr-FR"/>
              </w:rPr>
              <w:t xml:space="preserve"> 202</w:t>
            </w:r>
            <w:r w:rsidR="004B35D2">
              <w:rPr>
                <w:rFonts w:ascii="Verdana" w:hAnsi="Verdana" w:cs="Times New Roman Bold"/>
                <w:b/>
                <w:bCs/>
                <w:sz w:val="18"/>
                <w:szCs w:val="18"/>
                <w:lang w:val="fr-FR"/>
              </w:rPr>
              <w:t>2</w:t>
            </w:r>
          </w:p>
        </w:tc>
        <w:tc>
          <w:tcPr>
            <w:tcW w:w="3007" w:type="dxa"/>
            <w:vAlign w:val="center"/>
          </w:tcPr>
          <w:p w14:paraId="57C0A816" w14:textId="77777777" w:rsidR="00CF2532" w:rsidRPr="00A16FCA" w:rsidRDefault="00CF2532" w:rsidP="001C5436">
            <w:pPr>
              <w:spacing w:before="0"/>
              <w:rPr>
                <w:lang w:val="fr-FR"/>
              </w:rPr>
            </w:pPr>
            <w:r w:rsidRPr="00A16FCA">
              <w:rPr>
                <w:noProof/>
                <w:lang w:val="en-US"/>
              </w:rPr>
              <w:drawing>
                <wp:inline distT="0" distB="0" distL="0" distR="0" wp14:anchorId="39405B83" wp14:editId="7503897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A16FCA" w14:paraId="381BC667" w14:textId="77777777" w:rsidTr="00530525">
        <w:trPr>
          <w:cantSplit/>
        </w:trPr>
        <w:tc>
          <w:tcPr>
            <w:tcW w:w="6804" w:type="dxa"/>
            <w:tcBorders>
              <w:bottom w:val="single" w:sz="12" w:space="0" w:color="auto"/>
            </w:tcBorders>
          </w:tcPr>
          <w:p w14:paraId="533DEEBC" w14:textId="77777777" w:rsidR="00595780" w:rsidRPr="00A16FCA" w:rsidRDefault="00595780" w:rsidP="001C5436">
            <w:pPr>
              <w:spacing w:before="0"/>
              <w:rPr>
                <w:lang w:val="fr-FR"/>
              </w:rPr>
            </w:pPr>
          </w:p>
        </w:tc>
        <w:tc>
          <w:tcPr>
            <w:tcW w:w="3007" w:type="dxa"/>
            <w:tcBorders>
              <w:bottom w:val="single" w:sz="12" w:space="0" w:color="auto"/>
            </w:tcBorders>
          </w:tcPr>
          <w:p w14:paraId="09FC88E1" w14:textId="77777777" w:rsidR="00595780" w:rsidRPr="00A16FCA" w:rsidRDefault="00595780" w:rsidP="001C5436">
            <w:pPr>
              <w:spacing w:before="0"/>
              <w:rPr>
                <w:lang w:val="fr-FR"/>
              </w:rPr>
            </w:pPr>
          </w:p>
        </w:tc>
      </w:tr>
      <w:tr w:rsidR="001D581B" w:rsidRPr="00A16FCA" w14:paraId="2216C101" w14:textId="77777777" w:rsidTr="00530525">
        <w:trPr>
          <w:cantSplit/>
        </w:trPr>
        <w:tc>
          <w:tcPr>
            <w:tcW w:w="6804" w:type="dxa"/>
            <w:tcBorders>
              <w:top w:val="single" w:sz="12" w:space="0" w:color="auto"/>
            </w:tcBorders>
          </w:tcPr>
          <w:p w14:paraId="1C972CC5" w14:textId="77777777" w:rsidR="00595780" w:rsidRPr="00A16FCA" w:rsidRDefault="00595780" w:rsidP="001C5436">
            <w:pPr>
              <w:spacing w:before="0"/>
              <w:rPr>
                <w:lang w:val="fr-FR"/>
              </w:rPr>
            </w:pPr>
          </w:p>
        </w:tc>
        <w:tc>
          <w:tcPr>
            <w:tcW w:w="3007" w:type="dxa"/>
          </w:tcPr>
          <w:p w14:paraId="6E9D42C0" w14:textId="77777777" w:rsidR="00595780" w:rsidRPr="00A16FCA" w:rsidRDefault="00595780" w:rsidP="001C5436">
            <w:pPr>
              <w:spacing w:before="0"/>
              <w:rPr>
                <w:rFonts w:ascii="Verdana" w:hAnsi="Verdana"/>
                <w:b/>
                <w:bCs/>
                <w:sz w:val="20"/>
                <w:lang w:val="fr-FR"/>
              </w:rPr>
            </w:pPr>
          </w:p>
        </w:tc>
      </w:tr>
      <w:tr w:rsidR="00C26BA2" w:rsidRPr="00A16FCA" w14:paraId="09246819" w14:textId="77777777" w:rsidTr="00530525">
        <w:trPr>
          <w:cantSplit/>
        </w:trPr>
        <w:tc>
          <w:tcPr>
            <w:tcW w:w="6804" w:type="dxa"/>
          </w:tcPr>
          <w:p w14:paraId="5DF70393" w14:textId="77777777" w:rsidR="00C26BA2" w:rsidRPr="00A16FCA" w:rsidRDefault="00C26BA2" w:rsidP="001C5436">
            <w:pPr>
              <w:spacing w:before="0"/>
              <w:rPr>
                <w:lang w:val="fr-FR"/>
              </w:rPr>
            </w:pPr>
            <w:r w:rsidRPr="00A16FCA">
              <w:rPr>
                <w:rFonts w:ascii="Verdana" w:hAnsi="Verdana"/>
                <w:b/>
                <w:sz w:val="20"/>
                <w:lang w:val="fr-FR"/>
              </w:rPr>
              <w:t>SÉANCE PLÉNIÈRE</w:t>
            </w:r>
          </w:p>
        </w:tc>
        <w:tc>
          <w:tcPr>
            <w:tcW w:w="3007" w:type="dxa"/>
          </w:tcPr>
          <w:p w14:paraId="685111CA" w14:textId="69C57966" w:rsidR="00C26BA2" w:rsidRPr="00A16FCA" w:rsidRDefault="00C26BA2" w:rsidP="001C5436">
            <w:pPr>
              <w:pStyle w:val="DocNumber"/>
              <w:rPr>
                <w:lang w:val="fr-FR"/>
              </w:rPr>
            </w:pPr>
            <w:r>
              <w:rPr>
                <w:lang w:val="fr-FR"/>
              </w:rPr>
              <w:t>Addendum 32 au</w:t>
            </w:r>
            <w:r>
              <w:rPr>
                <w:lang w:val="fr-FR"/>
              </w:rPr>
              <w:br/>
              <w:t>Document 36</w:t>
            </w:r>
            <w:r w:rsidR="00C61EE2">
              <w:rPr>
                <w:lang w:val="fr-FR"/>
              </w:rPr>
              <w:t>-F</w:t>
            </w:r>
          </w:p>
        </w:tc>
      </w:tr>
      <w:tr w:rsidR="001D581B" w:rsidRPr="00A16FCA" w14:paraId="294ECC25" w14:textId="77777777" w:rsidTr="00530525">
        <w:trPr>
          <w:cantSplit/>
        </w:trPr>
        <w:tc>
          <w:tcPr>
            <w:tcW w:w="6804" w:type="dxa"/>
          </w:tcPr>
          <w:p w14:paraId="54BA4845" w14:textId="77777777" w:rsidR="00595780" w:rsidRPr="00A16FCA" w:rsidRDefault="00595780" w:rsidP="001C5436">
            <w:pPr>
              <w:spacing w:before="0"/>
              <w:rPr>
                <w:lang w:val="fr-FR"/>
              </w:rPr>
            </w:pPr>
          </w:p>
        </w:tc>
        <w:tc>
          <w:tcPr>
            <w:tcW w:w="3007" w:type="dxa"/>
          </w:tcPr>
          <w:p w14:paraId="097359F5" w14:textId="77777777" w:rsidR="00595780" w:rsidRPr="00A16FCA" w:rsidRDefault="00C26BA2" w:rsidP="001C5436">
            <w:pPr>
              <w:spacing w:before="0"/>
              <w:rPr>
                <w:lang w:val="fr-FR"/>
              </w:rPr>
            </w:pPr>
            <w:r w:rsidRPr="00A16FCA">
              <w:rPr>
                <w:rFonts w:ascii="Verdana" w:hAnsi="Verdana"/>
                <w:b/>
                <w:sz w:val="20"/>
                <w:lang w:val="fr-FR"/>
              </w:rPr>
              <w:t>31 janvier 2022</w:t>
            </w:r>
          </w:p>
        </w:tc>
      </w:tr>
      <w:tr w:rsidR="001D581B" w:rsidRPr="00A16FCA" w14:paraId="6E110344" w14:textId="77777777" w:rsidTr="00530525">
        <w:trPr>
          <w:cantSplit/>
        </w:trPr>
        <w:tc>
          <w:tcPr>
            <w:tcW w:w="6804" w:type="dxa"/>
          </w:tcPr>
          <w:p w14:paraId="4EFA6D80" w14:textId="77777777" w:rsidR="00595780" w:rsidRPr="00A16FCA" w:rsidRDefault="00595780" w:rsidP="001C5436">
            <w:pPr>
              <w:spacing w:before="0"/>
              <w:rPr>
                <w:lang w:val="fr-FR"/>
              </w:rPr>
            </w:pPr>
          </w:p>
        </w:tc>
        <w:tc>
          <w:tcPr>
            <w:tcW w:w="3007" w:type="dxa"/>
          </w:tcPr>
          <w:p w14:paraId="78479AF8" w14:textId="77777777" w:rsidR="00595780" w:rsidRPr="00A16FCA" w:rsidRDefault="00C26BA2" w:rsidP="001C5436">
            <w:pPr>
              <w:spacing w:before="0"/>
              <w:rPr>
                <w:lang w:val="fr-FR"/>
              </w:rPr>
            </w:pPr>
            <w:r w:rsidRPr="00A16FCA">
              <w:rPr>
                <w:rFonts w:ascii="Verdana" w:hAnsi="Verdana"/>
                <w:b/>
                <w:sz w:val="20"/>
                <w:lang w:val="fr-FR"/>
              </w:rPr>
              <w:t>Original: anglais</w:t>
            </w:r>
          </w:p>
        </w:tc>
      </w:tr>
      <w:tr w:rsidR="000032AD" w:rsidRPr="00A16FCA" w14:paraId="1C009903" w14:textId="77777777" w:rsidTr="00530525">
        <w:trPr>
          <w:cantSplit/>
        </w:trPr>
        <w:tc>
          <w:tcPr>
            <w:tcW w:w="9811" w:type="dxa"/>
            <w:gridSpan w:val="2"/>
          </w:tcPr>
          <w:p w14:paraId="1DB74C8E" w14:textId="77777777" w:rsidR="000032AD" w:rsidRPr="00A16FCA" w:rsidRDefault="000032AD" w:rsidP="001C5436">
            <w:pPr>
              <w:spacing w:before="0"/>
              <w:rPr>
                <w:rFonts w:ascii="Verdana" w:hAnsi="Verdana"/>
                <w:b/>
                <w:bCs/>
                <w:sz w:val="20"/>
                <w:lang w:val="fr-FR"/>
              </w:rPr>
            </w:pPr>
          </w:p>
        </w:tc>
      </w:tr>
      <w:tr w:rsidR="00595780" w:rsidRPr="00A16FCA" w14:paraId="79E8B997" w14:textId="77777777" w:rsidTr="00530525">
        <w:trPr>
          <w:cantSplit/>
        </w:trPr>
        <w:tc>
          <w:tcPr>
            <w:tcW w:w="9811" w:type="dxa"/>
            <w:gridSpan w:val="2"/>
          </w:tcPr>
          <w:p w14:paraId="5DFACF1F" w14:textId="1E9708D1" w:rsidR="00595780" w:rsidRPr="00A16FCA" w:rsidRDefault="00C26BA2" w:rsidP="001C5436">
            <w:pPr>
              <w:pStyle w:val="Source"/>
              <w:rPr>
                <w:lang w:val="fr-FR"/>
              </w:rPr>
            </w:pPr>
            <w:r w:rsidRPr="00A16FCA">
              <w:rPr>
                <w:lang w:val="fr-FR"/>
              </w:rPr>
              <w:t xml:space="preserve">Administrations des </w:t>
            </w:r>
            <w:r w:rsidR="00C61EE2" w:rsidRPr="00A16FCA">
              <w:rPr>
                <w:lang w:val="fr-FR"/>
              </w:rPr>
              <w:t>États</w:t>
            </w:r>
            <w:r w:rsidRPr="00A16FCA">
              <w:rPr>
                <w:lang w:val="fr-FR"/>
              </w:rPr>
              <w:t xml:space="preserve"> arabes</w:t>
            </w:r>
          </w:p>
        </w:tc>
      </w:tr>
      <w:tr w:rsidR="00595780" w:rsidRPr="001C5436" w14:paraId="4FECF281" w14:textId="77777777" w:rsidTr="00530525">
        <w:trPr>
          <w:cantSplit/>
        </w:trPr>
        <w:tc>
          <w:tcPr>
            <w:tcW w:w="9811" w:type="dxa"/>
            <w:gridSpan w:val="2"/>
          </w:tcPr>
          <w:p w14:paraId="7024D42F" w14:textId="2374516F" w:rsidR="00595780" w:rsidRPr="000C0A69" w:rsidRDefault="000C0A69" w:rsidP="001C5436">
            <w:pPr>
              <w:pStyle w:val="Title1"/>
              <w:rPr>
                <w:lang w:val="fr-FR"/>
              </w:rPr>
            </w:pPr>
            <w:r w:rsidRPr="000C0A69">
              <w:rPr>
                <w:lang w:val="fr-FR"/>
              </w:rPr>
              <w:t xml:space="preserve">Proposition de nouvelle résolution </w:t>
            </w:r>
            <w:r w:rsidR="00C26BA2" w:rsidRPr="000C0A69">
              <w:rPr>
                <w:lang w:val="fr-FR"/>
              </w:rPr>
              <w:t xml:space="preserve">[ARB-3] </w:t>
            </w:r>
            <w:r w:rsidRPr="000C0A69">
              <w:rPr>
                <w:lang w:val="fr-FR"/>
              </w:rPr>
              <w:t>–</w:t>
            </w:r>
            <w:r w:rsidR="00C26BA2" w:rsidRPr="000C0A69">
              <w:rPr>
                <w:lang w:val="fr-FR"/>
              </w:rPr>
              <w:t xml:space="preserve"> </w:t>
            </w:r>
            <w:r w:rsidR="001C5436">
              <w:rPr>
                <w:lang w:val="fr-FR"/>
              </w:rPr>
              <w:t>analyse de la </w:t>
            </w:r>
            <w:r w:rsidRPr="000C0A69">
              <w:rPr>
                <w:lang w:val="fr-FR"/>
              </w:rPr>
              <w:t>réforme instit</w:t>
            </w:r>
            <w:r>
              <w:rPr>
                <w:lang w:val="fr-FR"/>
              </w:rPr>
              <w:t>utionn</w:t>
            </w:r>
            <w:r w:rsidR="001C5436">
              <w:rPr>
                <w:lang w:val="fr-FR"/>
              </w:rPr>
              <w:t>elle des commissions d'études du secteur de la normalisation des </w:t>
            </w:r>
            <w:r>
              <w:rPr>
                <w:lang w:val="fr-FR"/>
              </w:rPr>
              <w:t>télécommunications de l</w:t>
            </w:r>
            <w:r w:rsidR="001C5436">
              <w:rPr>
                <w:lang w:val="fr-FR"/>
              </w:rPr>
              <w:t>'</w:t>
            </w:r>
            <w:r>
              <w:rPr>
                <w:lang w:val="fr-FR"/>
              </w:rPr>
              <w:t>uit</w:t>
            </w:r>
            <w:r w:rsidR="00C26BA2" w:rsidRPr="000C0A69">
              <w:rPr>
                <w:lang w:val="fr-FR"/>
              </w:rPr>
              <w:t xml:space="preserve"> </w:t>
            </w:r>
          </w:p>
        </w:tc>
      </w:tr>
      <w:tr w:rsidR="00595780" w:rsidRPr="001C5436" w14:paraId="7A9A0079" w14:textId="77777777" w:rsidTr="00530525">
        <w:trPr>
          <w:cantSplit/>
        </w:trPr>
        <w:tc>
          <w:tcPr>
            <w:tcW w:w="9811" w:type="dxa"/>
            <w:gridSpan w:val="2"/>
          </w:tcPr>
          <w:p w14:paraId="50201A33" w14:textId="77777777" w:rsidR="00595780" w:rsidRPr="000C0A69" w:rsidRDefault="00595780" w:rsidP="001C5436">
            <w:pPr>
              <w:pStyle w:val="Title2"/>
              <w:rPr>
                <w:lang w:val="fr-FR"/>
              </w:rPr>
            </w:pPr>
          </w:p>
        </w:tc>
      </w:tr>
      <w:tr w:rsidR="00C26BA2" w:rsidRPr="001C5436" w14:paraId="086C9B40" w14:textId="77777777" w:rsidTr="00D300B0">
        <w:trPr>
          <w:cantSplit/>
          <w:trHeight w:hRule="exact" w:val="120"/>
        </w:trPr>
        <w:tc>
          <w:tcPr>
            <w:tcW w:w="9811" w:type="dxa"/>
            <w:gridSpan w:val="2"/>
          </w:tcPr>
          <w:p w14:paraId="01111C05" w14:textId="77777777" w:rsidR="00C26BA2" w:rsidRPr="000C0A69" w:rsidRDefault="00C26BA2" w:rsidP="001C5436">
            <w:pPr>
              <w:pStyle w:val="Agendaitem"/>
              <w:rPr>
                <w:lang w:val="fr-FR"/>
              </w:rPr>
            </w:pPr>
          </w:p>
        </w:tc>
      </w:tr>
    </w:tbl>
    <w:p w14:paraId="498C98E7" w14:textId="77777777" w:rsidR="00E11197" w:rsidRPr="000C0A69" w:rsidRDefault="00E11197" w:rsidP="001C5436">
      <w:pPr>
        <w:rPr>
          <w:lang w:val="fr-FR"/>
        </w:rPr>
      </w:pPr>
    </w:p>
    <w:p w14:paraId="22B9EE9A" w14:textId="77777777" w:rsidR="00F776DF" w:rsidRPr="000C0A69" w:rsidRDefault="00F776DF" w:rsidP="001C5436">
      <w:pPr>
        <w:rPr>
          <w:lang w:val="fr-FR"/>
        </w:rPr>
      </w:pPr>
      <w:r w:rsidRPr="000C0A69">
        <w:rPr>
          <w:lang w:val="fr-FR"/>
        </w:rPr>
        <w:br w:type="page"/>
      </w:r>
    </w:p>
    <w:p w14:paraId="66B06C58" w14:textId="553251B3" w:rsidR="00D9056B" w:rsidRPr="000C0A69" w:rsidRDefault="00B6123B" w:rsidP="001C5436">
      <w:pPr>
        <w:pStyle w:val="Proposal"/>
        <w:tabs>
          <w:tab w:val="center" w:pos="4819"/>
        </w:tabs>
        <w:rPr>
          <w:lang w:val="fr-FR"/>
        </w:rPr>
      </w:pPr>
      <w:r w:rsidRPr="000C0A69">
        <w:rPr>
          <w:lang w:val="fr-FR"/>
        </w:rPr>
        <w:lastRenderedPageBreak/>
        <w:t>ADD</w:t>
      </w:r>
      <w:r w:rsidRPr="000C0A69">
        <w:rPr>
          <w:lang w:val="fr-FR"/>
        </w:rPr>
        <w:tab/>
        <w:t>ARB/36A32/1</w:t>
      </w:r>
    </w:p>
    <w:p w14:paraId="193966A1" w14:textId="772CD613" w:rsidR="00987C1F" w:rsidRPr="007607B5" w:rsidRDefault="00B6123B" w:rsidP="001C5436">
      <w:pPr>
        <w:pStyle w:val="ResNo"/>
        <w:rPr>
          <w:lang w:val="fr-CH"/>
        </w:rPr>
      </w:pPr>
      <w:r>
        <w:rPr>
          <w:lang w:val="fr-CH"/>
        </w:rPr>
        <w:t xml:space="preserve">PROJET DE </w:t>
      </w:r>
      <w:r w:rsidRPr="000C0A69">
        <w:rPr>
          <w:lang w:val="fr-FR"/>
        </w:rPr>
        <w:t>NOUVELLE</w:t>
      </w:r>
      <w:r>
        <w:rPr>
          <w:lang w:val="fr-CH"/>
        </w:rPr>
        <w:t xml:space="preserve"> RÉSOLUTION</w:t>
      </w:r>
      <w:r w:rsidR="00C61EE2">
        <w:rPr>
          <w:lang w:val="fr-CH"/>
        </w:rPr>
        <w:t xml:space="preserve"> [ARB-3]</w:t>
      </w:r>
    </w:p>
    <w:p w14:paraId="1E42A2C1" w14:textId="764F9019" w:rsidR="00C61EE2" w:rsidRPr="00D82088" w:rsidRDefault="00C61EE2" w:rsidP="001C5436">
      <w:pPr>
        <w:pStyle w:val="Restitle"/>
        <w:rPr>
          <w:lang w:val="fr-FR"/>
        </w:rPr>
      </w:pPr>
      <w:r w:rsidRPr="000C0A69">
        <w:rPr>
          <w:lang w:val="fr-FR"/>
        </w:rPr>
        <w:t>A</w:t>
      </w:r>
      <w:r w:rsidR="000C0A69" w:rsidRPr="000C0A69">
        <w:rPr>
          <w:lang w:val="fr-FR"/>
        </w:rPr>
        <w:t>nalyse de la r</w:t>
      </w:r>
      <w:r w:rsidR="000C0A69" w:rsidRPr="000C0A69">
        <w:rPr>
          <w:lang w:val="fr-FR"/>
        </w:rPr>
        <w:t>é</w:t>
      </w:r>
      <w:r w:rsidR="000C0A69" w:rsidRPr="000C0A69">
        <w:rPr>
          <w:lang w:val="fr-FR"/>
        </w:rPr>
        <w:t>forme i</w:t>
      </w:r>
      <w:r w:rsidR="000C0A69">
        <w:rPr>
          <w:lang w:val="fr-FR"/>
        </w:rPr>
        <w:t xml:space="preserve">nstitutionnelle des </w:t>
      </w:r>
      <w:r w:rsidR="005E54E7">
        <w:rPr>
          <w:lang w:val="fr-FR"/>
        </w:rPr>
        <w:t xml:space="preserve">commissions </w:t>
      </w:r>
      <w:r w:rsidR="000C0A69">
        <w:rPr>
          <w:lang w:val="fr-FR"/>
        </w:rPr>
        <w:t>d</w:t>
      </w:r>
      <w:r w:rsidR="001C5436">
        <w:rPr>
          <w:lang w:val="fr-FR"/>
        </w:rPr>
        <w:t>'</w:t>
      </w:r>
      <w:r w:rsidR="000C0A69">
        <w:rPr>
          <w:lang w:val="fr-FR"/>
        </w:rPr>
        <w:t>é</w:t>
      </w:r>
      <w:r w:rsidR="001C5436">
        <w:rPr>
          <w:lang w:val="fr-FR"/>
        </w:rPr>
        <w:t>tudes du Secteur de</w:t>
      </w:r>
      <w:r w:rsidR="001C5436">
        <w:rPr>
          <w:lang w:val="fr-FR"/>
        </w:rPr>
        <w:t> </w:t>
      </w:r>
      <w:r w:rsidR="001C5436">
        <w:rPr>
          <w:lang w:val="fr-FR"/>
        </w:rPr>
        <w:t>la</w:t>
      </w:r>
      <w:r w:rsidR="001C5436">
        <w:rPr>
          <w:lang w:val="fr-FR"/>
        </w:rPr>
        <w:t> </w:t>
      </w:r>
      <w:r w:rsidR="000C0A69">
        <w:rPr>
          <w:lang w:val="fr-FR"/>
        </w:rPr>
        <w:t>normalisation des t</w:t>
      </w:r>
      <w:r w:rsidR="000C0A69">
        <w:rPr>
          <w:lang w:val="fr-FR"/>
        </w:rPr>
        <w:t>é</w:t>
      </w:r>
      <w:r w:rsidR="000C0A69">
        <w:rPr>
          <w:lang w:val="fr-FR"/>
        </w:rPr>
        <w:t>l</w:t>
      </w:r>
      <w:r w:rsidR="000C0A69">
        <w:rPr>
          <w:lang w:val="fr-FR"/>
        </w:rPr>
        <w:t>é</w:t>
      </w:r>
      <w:r w:rsidR="000C0A69">
        <w:rPr>
          <w:lang w:val="fr-FR"/>
        </w:rPr>
        <w:t>communications de l</w:t>
      </w:r>
      <w:r w:rsidR="001C5436">
        <w:rPr>
          <w:lang w:val="fr-FR"/>
        </w:rPr>
        <w:t>'</w:t>
      </w:r>
      <w:r w:rsidR="000C0A69">
        <w:rPr>
          <w:lang w:val="fr-FR"/>
        </w:rPr>
        <w:t>UIT</w:t>
      </w:r>
    </w:p>
    <w:p w14:paraId="7D6A91DD" w14:textId="3BE8C271" w:rsidR="00C61EE2" w:rsidRDefault="00C61EE2" w:rsidP="001C5436">
      <w:pPr>
        <w:pStyle w:val="Resref"/>
      </w:pPr>
      <w:r w:rsidRPr="00C61EE2">
        <w:t>(Gen</w:t>
      </w:r>
      <w:r w:rsidR="002159FC">
        <w:t>ève</w:t>
      </w:r>
      <w:r w:rsidRPr="00C61EE2">
        <w:t>, 2022)</w:t>
      </w:r>
    </w:p>
    <w:p w14:paraId="65DBB32D" w14:textId="60FBDC6D" w:rsidR="00C61EE2" w:rsidRPr="000C0A69" w:rsidRDefault="002159FC" w:rsidP="001C5436">
      <w:pPr>
        <w:pStyle w:val="Normalaftertitle"/>
        <w:rPr>
          <w:lang w:val="fr-FR"/>
        </w:rPr>
      </w:pPr>
      <w:r w:rsidRPr="000C0A69">
        <w:rPr>
          <w:lang w:val="fr-FR"/>
        </w:rPr>
        <w:t>L</w:t>
      </w:r>
      <w:r w:rsidR="001C5436">
        <w:rPr>
          <w:lang w:val="fr-FR"/>
        </w:rPr>
        <w:t>'</w:t>
      </w:r>
      <w:r w:rsidRPr="000C0A69">
        <w:rPr>
          <w:lang w:val="fr-FR"/>
        </w:rPr>
        <w:t>Assemblée mon</w:t>
      </w:r>
      <w:bookmarkStart w:id="0" w:name="_GoBack"/>
      <w:bookmarkEnd w:id="0"/>
      <w:r w:rsidRPr="000C0A69">
        <w:rPr>
          <w:lang w:val="fr-FR"/>
        </w:rPr>
        <w:t xml:space="preserve">diale de normalisation des télécommunications </w:t>
      </w:r>
      <w:r w:rsidR="00C61EE2" w:rsidRPr="000C0A69">
        <w:rPr>
          <w:lang w:val="fr-FR"/>
        </w:rPr>
        <w:t>(Gen</w:t>
      </w:r>
      <w:r w:rsidRPr="000C0A69">
        <w:rPr>
          <w:lang w:val="fr-FR"/>
        </w:rPr>
        <w:t>è</w:t>
      </w:r>
      <w:r w:rsidR="00C61EE2" w:rsidRPr="000C0A69">
        <w:rPr>
          <w:lang w:val="fr-FR"/>
        </w:rPr>
        <w:t>v</w:t>
      </w:r>
      <w:r w:rsidRPr="000C0A69">
        <w:rPr>
          <w:lang w:val="fr-FR"/>
        </w:rPr>
        <w:t>e</w:t>
      </w:r>
      <w:r w:rsidR="00C61EE2" w:rsidRPr="000C0A69">
        <w:rPr>
          <w:lang w:val="fr-FR"/>
        </w:rPr>
        <w:t>, 2022),</w:t>
      </w:r>
    </w:p>
    <w:p w14:paraId="30138112" w14:textId="0D05DFE3" w:rsidR="00C61EE2" w:rsidRPr="000C0A69" w:rsidRDefault="002159FC" w:rsidP="001C5436">
      <w:pPr>
        <w:pStyle w:val="Call"/>
        <w:rPr>
          <w:lang w:val="fr-FR" w:bidi="ar-EG"/>
        </w:rPr>
      </w:pPr>
      <w:r w:rsidRPr="000C0A69">
        <w:rPr>
          <w:lang w:val="fr-FR" w:bidi="ar-EG"/>
        </w:rPr>
        <w:t>rappelant</w:t>
      </w:r>
    </w:p>
    <w:p w14:paraId="774B6BEC" w14:textId="5300D17D" w:rsidR="00C61EE2" w:rsidRPr="000C0A69" w:rsidRDefault="00C61EE2" w:rsidP="001C5436">
      <w:pPr>
        <w:rPr>
          <w:lang w:val="fr-FR"/>
        </w:rPr>
      </w:pPr>
      <w:r w:rsidRPr="000C0A69">
        <w:rPr>
          <w:i/>
          <w:iCs/>
          <w:lang w:val="fr-FR"/>
        </w:rPr>
        <w:t>a)</w:t>
      </w:r>
      <w:r w:rsidRPr="000C0A69">
        <w:rPr>
          <w:lang w:val="fr-FR"/>
        </w:rPr>
        <w:tab/>
      </w:r>
      <w:r w:rsidR="000C0A69">
        <w:rPr>
          <w:lang w:val="fr-FR"/>
        </w:rPr>
        <w:t>le numéro 105 de la Constitution de l</w:t>
      </w:r>
      <w:r w:rsidR="001C5436">
        <w:rPr>
          <w:lang w:val="fr-FR"/>
        </w:rPr>
        <w:t>'</w:t>
      </w:r>
      <w:r w:rsidR="000C0A69">
        <w:rPr>
          <w:lang w:val="fr-FR"/>
        </w:rPr>
        <w:t>Union internationale des télécommunications</w:t>
      </w:r>
      <w:r w:rsidR="00D65AFE">
        <w:rPr>
          <w:lang w:val="fr-FR"/>
        </w:rPr>
        <w:t xml:space="preserve"> (UIT), </w:t>
      </w:r>
      <w:r w:rsidR="005E54E7">
        <w:rPr>
          <w:lang w:val="fr-FR"/>
        </w:rPr>
        <w:t>qui dispose que</w:t>
      </w:r>
      <w:r w:rsidR="00D65AFE">
        <w:rPr>
          <w:lang w:val="fr-FR"/>
        </w:rPr>
        <w:t xml:space="preserve"> les</w:t>
      </w:r>
      <w:r w:rsidR="000C0A69">
        <w:rPr>
          <w:lang w:val="fr-FR"/>
        </w:rPr>
        <w:t xml:space="preserve"> </w:t>
      </w:r>
      <w:r w:rsidR="00876ED2" w:rsidRPr="00876ED2">
        <w:rPr>
          <w:lang w:val="fr-CH"/>
        </w:rPr>
        <w:t>attributions précises du Secteur des radiocommunications et du Secteur de la normalisation des télécommunications doivent être réexaminées en permanence, en étroite collaboration, en ce qui concerne les problèmes intéressant les deux Secteurs, conformément aux dispositions pertinentes de la Convention</w:t>
      </w:r>
      <w:r w:rsidR="005E54E7">
        <w:rPr>
          <w:lang w:val="fr-CH"/>
        </w:rPr>
        <w:t xml:space="preserve"> et qu</w:t>
      </w:r>
      <w:r w:rsidR="001C5436">
        <w:rPr>
          <w:lang w:val="fr-CH"/>
        </w:rPr>
        <w:t>'</w:t>
      </w:r>
      <w:r w:rsidR="000C0A69">
        <w:rPr>
          <w:lang w:val="fr-CH"/>
        </w:rPr>
        <w:t>un</w:t>
      </w:r>
      <w:r w:rsidR="00876ED2" w:rsidRPr="00876ED2">
        <w:rPr>
          <w:lang w:val="fr-CH"/>
        </w:rPr>
        <w:t>e coordination étroite doit être assurée entre les Secteurs des radiocommunications, de la normalisation des télécommunications</w:t>
      </w:r>
      <w:r w:rsidR="001C5436">
        <w:rPr>
          <w:lang w:val="fr-CH"/>
        </w:rPr>
        <w:t xml:space="preserve"> </w:t>
      </w:r>
      <w:r w:rsidR="00876ED2" w:rsidRPr="00876ED2">
        <w:rPr>
          <w:lang w:val="fr-CH"/>
        </w:rPr>
        <w:t>et du développement des télécommunications</w:t>
      </w:r>
      <w:r w:rsidR="00BA2007">
        <w:rPr>
          <w:lang w:val="fr-CH"/>
        </w:rPr>
        <w:t>;</w:t>
      </w:r>
    </w:p>
    <w:p w14:paraId="23783B84" w14:textId="19B3B816" w:rsidR="00C61EE2" w:rsidRPr="000C0A69" w:rsidRDefault="00C61EE2" w:rsidP="001C5436">
      <w:pPr>
        <w:rPr>
          <w:lang w:val="fr-FR"/>
        </w:rPr>
      </w:pPr>
      <w:r w:rsidRPr="000C0A69">
        <w:rPr>
          <w:i/>
          <w:iCs/>
          <w:lang w:val="fr-FR"/>
        </w:rPr>
        <w:t>b)</w:t>
      </w:r>
      <w:r w:rsidRPr="000C0A69">
        <w:rPr>
          <w:lang w:val="fr-FR"/>
        </w:rPr>
        <w:tab/>
      </w:r>
      <w:r w:rsidR="000C0A69">
        <w:rPr>
          <w:lang w:val="fr-FR"/>
        </w:rPr>
        <w:t xml:space="preserve">le numéro 197 de la Convention de </w:t>
      </w:r>
      <w:r w:rsidR="005E54E7">
        <w:rPr>
          <w:lang w:val="fr-FR"/>
        </w:rPr>
        <w:t>l</w:t>
      </w:r>
      <w:r w:rsidR="001C5436">
        <w:rPr>
          <w:lang w:val="fr-FR"/>
        </w:rPr>
        <w:t>'</w:t>
      </w:r>
      <w:r w:rsidR="005E54E7">
        <w:rPr>
          <w:lang w:val="fr-FR"/>
        </w:rPr>
        <w:t>UIT</w:t>
      </w:r>
      <w:r w:rsidR="000C0A69">
        <w:rPr>
          <w:lang w:val="fr-FR"/>
        </w:rPr>
        <w:t xml:space="preserve">, </w:t>
      </w:r>
      <w:r w:rsidR="005E54E7">
        <w:rPr>
          <w:lang w:val="fr-FR"/>
        </w:rPr>
        <w:t>qui dispose qu</w:t>
      </w:r>
      <w:r w:rsidR="001C5436">
        <w:rPr>
          <w:lang w:val="fr-FR"/>
        </w:rPr>
        <w:t>'</w:t>
      </w:r>
      <w:r w:rsidR="00D3560A">
        <w:rPr>
          <w:lang w:val="fr-CH"/>
        </w:rPr>
        <w:t>a</w:t>
      </w:r>
      <w:r w:rsidR="00876ED2" w:rsidRPr="005408B5">
        <w:rPr>
          <w:lang w:val="fr-CH"/>
        </w:rPr>
        <w:t>fin de faciliter l</w:t>
      </w:r>
      <w:r w:rsidR="001C5436">
        <w:rPr>
          <w:lang w:val="fr-CH"/>
        </w:rPr>
        <w:t>'</w:t>
      </w:r>
      <w:r w:rsidR="00876ED2" w:rsidRPr="005408B5">
        <w:rPr>
          <w:lang w:val="fr-CH"/>
        </w:rPr>
        <w:t>examen des activités du Secteur de la normalisation des télécommunications, il convient de prendre des mesures propres à encourager la coopération et la coordination avec d</w:t>
      </w:r>
      <w:r w:rsidR="001C5436">
        <w:rPr>
          <w:lang w:val="fr-CH"/>
        </w:rPr>
        <w:t>'</w:t>
      </w:r>
      <w:r w:rsidR="00876ED2" w:rsidRPr="005408B5">
        <w:rPr>
          <w:lang w:val="fr-CH"/>
        </w:rPr>
        <w:t>autres organisations s</w:t>
      </w:r>
      <w:r w:rsidR="001C5436">
        <w:rPr>
          <w:lang w:val="fr-CH"/>
        </w:rPr>
        <w:t>'</w:t>
      </w:r>
      <w:r w:rsidR="00876ED2" w:rsidRPr="005408B5">
        <w:rPr>
          <w:lang w:val="fr-CH"/>
        </w:rPr>
        <w:t>occupant de normalisation, avec le Secteur des radiocommunications et avec le Secteur du développement des télécommunications</w:t>
      </w:r>
      <w:r w:rsidR="005E54E7">
        <w:rPr>
          <w:lang w:val="fr-CH"/>
        </w:rPr>
        <w:t xml:space="preserve"> et qu</w:t>
      </w:r>
      <w:r w:rsidR="001C5436">
        <w:rPr>
          <w:lang w:val="fr-CH"/>
        </w:rPr>
        <w:t>'</w:t>
      </w:r>
      <w:r w:rsidR="000C0A69">
        <w:rPr>
          <w:lang w:val="fr-CH"/>
        </w:rPr>
        <w:t>u</w:t>
      </w:r>
      <w:r w:rsidR="00876ED2" w:rsidRPr="005408B5">
        <w:rPr>
          <w:lang w:val="fr-CH"/>
        </w:rPr>
        <w:t>ne assemblée mondiale de normalisation des télécommunications arrête les obligations spécifiques, les conditions de participation et les règles d</w:t>
      </w:r>
      <w:r w:rsidR="001C5436">
        <w:rPr>
          <w:lang w:val="fr-CH"/>
        </w:rPr>
        <w:t>'</w:t>
      </w:r>
      <w:r w:rsidR="00876ED2" w:rsidRPr="005408B5">
        <w:rPr>
          <w:lang w:val="fr-CH"/>
        </w:rPr>
        <w:t>application de ces mesures</w:t>
      </w:r>
      <w:r w:rsidR="00BA2007">
        <w:rPr>
          <w:lang w:val="fr-CH"/>
        </w:rPr>
        <w:t>;</w:t>
      </w:r>
    </w:p>
    <w:p w14:paraId="568FF751" w14:textId="37C17BE4" w:rsidR="00C61EE2" w:rsidRPr="000C0A69" w:rsidRDefault="00C61EE2" w:rsidP="001C5436">
      <w:pPr>
        <w:rPr>
          <w:lang w:val="fr-FR"/>
        </w:rPr>
      </w:pPr>
      <w:r w:rsidRPr="000C0A69">
        <w:rPr>
          <w:i/>
          <w:iCs/>
          <w:lang w:val="fr-FR"/>
        </w:rPr>
        <w:t>c)</w:t>
      </w:r>
      <w:r w:rsidRPr="000C0A69">
        <w:rPr>
          <w:lang w:val="fr-FR"/>
        </w:rPr>
        <w:tab/>
      </w:r>
      <w:r w:rsidR="003A6437" w:rsidRPr="000C0A69">
        <w:rPr>
          <w:lang w:val="fr-FR"/>
        </w:rPr>
        <w:t>la R</w:t>
      </w:r>
      <w:r w:rsidR="00BA2007" w:rsidRPr="000C0A69">
        <w:rPr>
          <w:lang w:val="fr-FR"/>
        </w:rPr>
        <w:t xml:space="preserve">ésolution 2 (Rév. Hammamet, 2016) </w:t>
      </w:r>
      <w:r w:rsidR="000C0A69">
        <w:rPr>
          <w:lang w:val="fr-FR"/>
        </w:rPr>
        <w:t>de l</w:t>
      </w:r>
      <w:r w:rsidR="001C5436">
        <w:rPr>
          <w:lang w:val="fr-FR"/>
        </w:rPr>
        <w:t>'</w:t>
      </w:r>
      <w:r w:rsidR="000C0A69">
        <w:rPr>
          <w:lang w:val="fr-FR"/>
        </w:rPr>
        <w:t xml:space="preserve">Assemblée mondiale de normalisation des télécommunications (AMNT), </w:t>
      </w:r>
      <w:r w:rsidR="00BB2F23">
        <w:rPr>
          <w:lang w:val="fr-FR"/>
        </w:rPr>
        <w:t>relative au d</w:t>
      </w:r>
      <w:r w:rsidR="00BA2007" w:rsidRPr="000C0A69">
        <w:rPr>
          <w:lang w:val="fr-FR"/>
        </w:rPr>
        <w:t xml:space="preserve">omaine de compétence et </w:t>
      </w:r>
      <w:r w:rsidR="00BB2F23">
        <w:rPr>
          <w:lang w:val="fr-FR"/>
        </w:rPr>
        <w:t xml:space="preserve">au </w:t>
      </w:r>
      <w:r w:rsidR="00BA2007" w:rsidRPr="000C0A69">
        <w:rPr>
          <w:lang w:val="fr-FR"/>
        </w:rPr>
        <w:t>mandat des commissions d</w:t>
      </w:r>
      <w:r w:rsidR="001C5436">
        <w:rPr>
          <w:lang w:val="fr-FR"/>
        </w:rPr>
        <w:t>'</w:t>
      </w:r>
      <w:r w:rsidR="00BA2007" w:rsidRPr="000C0A69">
        <w:rPr>
          <w:lang w:val="fr-FR"/>
        </w:rPr>
        <w:t>études du Secteur de la normalisation des télécommunications de l</w:t>
      </w:r>
      <w:r w:rsidR="001C5436">
        <w:rPr>
          <w:lang w:val="fr-FR"/>
        </w:rPr>
        <w:t>'</w:t>
      </w:r>
      <w:r w:rsidR="00BA2007" w:rsidRPr="000C0A69">
        <w:rPr>
          <w:lang w:val="fr-FR"/>
        </w:rPr>
        <w:t>UIT</w:t>
      </w:r>
      <w:r w:rsidR="00BB2F23">
        <w:rPr>
          <w:lang w:val="fr-FR"/>
        </w:rPr>
        <w:t xml:space="preserve"> (UIT-T)</w:t>
      </w:r>
      <w:r w:rsidRPr="000C0A69">
        <w:rPr>
          <w:lang w:val="fr-FR"/>
        </w:rPr>
        <w:t>;</w:t>
      </w:r>
    </w:p>
    <w:p w14:paraId="7B7230D2" w14:textId="59B8AD44" w:rsidR="00C61EE2" w:rsidRPr="000C0A69" w:rsidRDefault="00C61EE2" w:rsidP="001C5436">
      <w:pPr>
        <w:rPr>
          <w:lang w:val="fr-FR"/>
        </w:rPr>
      </w:pPr>
      <w:r w:rsidRPr="000C0A69">
        <w:rPr>
          <w:i/>
          <w:iCs/>
          <w:lang w:val="fr-FR"/>
        </w:rPr>
        <w:t>d)</w:t>
      </w:r>
      <w:r w:rsidRPr="000C0A69">
        <w:rPr>
          <w:lang w:val="fr-FR"/>
        </w:rPr>
        <w:tab/>
      </w:r>
      <w:r w:rsidR="003A6437" w:rsidRPr="000C0A69">
        <w:rPr>
          <w:lang w:val="fr-FR"/>
        </w:rPr>
        <w:t>la R</w:t>
      </w:r>
      <w:r w:rsidR="00BA2007" w:rsidRPr="000C0A69">
        <w:rPr>
          <w:lang w:val="fr-FR"/>
        </w:rPr>
        <w:t xml:space="preserve">ésolution </w:t>
      </w:r>
      <w:r w:rsidR="000736A1" w:rsidRPr="000C0A69">
        <w:rPr>
          <w:lang w:val="fr-FR"/>
        </w:rPr>
        <w:t>15</w:t>
      </w:r>
      <w:r w:rsidR="000736A1">
        <w:rPr>
          <w:lang w:val="fr-FR"/>
        </w:rPr>
        <w:t>7</w:t>
      </w:r>
      <w:r w:rsidR="001C5436">
        <w:rPr>
          <w:lang w:val="fr-FR"/>
        </w:rPr>
        <w:t xml:space="preserve"> </w:t>
      </w:r>
      <w:r w:rsidR="00BA2007" w:rsidRPr="000C0A69">
        <w:rPr>
          <w:lang w:val="fr-FR"/>
        </w:rPr>
        <w:t>(Rév. Dubaï, 2018)</w:t>
      </w:r>
      <w:r w:rsidR="000C0A69">
        <w:rPr>
          <w:lang w:val="fr-FR"/>
        </w:rPr>
        <w:t xml:space="preserve"> de la Conférence de plénipotentiaires relative à l</w:t>
      </w:r>
      <w:r w:rsidR="001C5436">
        <w:rPr>
          <w:lang w:val="fr-FR"/>
        </w:rPr>
        <w:t>'</w:t>
      </w:r>
      <w:r w:rsidR="000C0A69">
        <w:rPr>
          <w:lang w:val="fr-FR"/>
        </w:rPr>
        <w:t>a</w:t>
      </w:r>
      <w:r w:rsidR="00BA2007" w:rsidRPr="000C0A69">
        <w:rPr>
          <w:lang w:val="fr-FR"/>
        </w:rPr>
        <w:t>mélioration de la gestion axée sur les résultats à l</w:t>
      </w:r>
      <w:r w:rsidR="001C5436">
        <w:rPr>
          <w:lang w:val="fr-FR"/>
        </w:rPr>
        <w:t>'</w:t>
      </w:r>
      <w:r w:rsidR="00BA2007" w:rsidRPr="000C0A69">
        <w:rPr>
          <w:lang w:val="fr-FR"/>
        </w:rPr>
        <w:t>UIT,</w:t>
      </w:r>
    </w:p>
    <w:p w14:paraId="0EE7D947" w14:textId="381BF7E8" w:rsidR="002159FC" w:rsidRDefault="002159FC" w:rsidP="001C5436">
      <w:pPr>
        <w:pStyle w:val="Call"/>
        <w:rPr>
          <w:lang w:val="fr-FR"/>
        </w:rPr>
      </w:pPr>
      <w:r>
        <w:rPr>
          <w:lang w:val="fr-FR"/>
        </w:rPr>
        <w:t>considérant</w:t>
      </w:r>
    </w:p>
    <w:p w14:paraId="19A7265D" w14:textId="7DDE64AA" w:rsidR="001D6CF5" w:rsidRPr="001D6CF5" w:rsidRDefault="001D6CF5" w:rsidP="001C5436">
      <w:pPr>
        <w:rPr>
          <w:lang w:val="fr-FR"/>
        </w:rPr>
      </w:pPr>
      <w:r w:rsidRPr="001D6CF5">
        <w:rPr>
          <w:i/>
          <w:iCs/>
          <w:lang w:val="fr-FR"/>
        </w:rPr>
        <w:t>a)</w:t>
      </w:r>
      <w:r w:rsidRPr="001D6CF5">
        <w:rPr>
          <w:lang w:val="fr-FR"/>
        </w:rPr>
        <w:tab/>
        <w:t>les objectifs et les buts stratégiques du Secteur de la normalisation</w:t>
      </w:r>
      <w:r w:rsidR="00D65AFE">
        <w:rPr>
          <w:lang w:val="fr-FR"/>
        </w:rPr>
        <w:t>,</w:t>
      </w:r>
      <w:r w:rsidRPr="001D6CF5">
        <w:rPr>
          <w:lang w:val="fr-FR"/>
        </w:rPr>
        <w:t xml:space="preserve"> ainsi que leurs critères de mise en œuvre</w:t>
      </w:r>
      <w:r w:rsidR="00D65AFE">
        <w:rPr>
          <w:lang w:val="fr-FR"/>
        </w:rPr>
        <w:t>,</w:t>
      </w:r>
      <w:r w:rsidRPr="001D6CF5">
        <w:rPr>
          <w:lang w:val="fr-FR"/>
        </w:rPr>
        <w:t xml:space="preserve"> énoncés dans l</w:t>
      </w:r>
      <w:r w:rsidR="001C5436">
        <w:rPr>
          <w:lang w:val="fr-FR"/>
        </w:rPr>
        <w:t>'</w:t>
      </w:r>
      <w:r w:rsidRPr="001D6CF5">
        <w:rPr>
          <w:lang w:val="fr-FR"/>
        </w:rPr>
        <w:t>Annexe 1 de la Résolution 71 (Rév. Dubaï, 2018) de la Conférence de plénipotentiaires;</w:t>
      </w:r>
    </w:p>
    <w:p w14:paraId="24025CA5" w14:textId="4C5D2DEA" w:rsidR="002159FC" w:rsidRDefault="001D6CF5" w:rsidP="001C5436">
      <w:pPr>
        <w:rPr>
          <w:lang w:val="fr-FR"/>
        </w:rPr>
      </w:pPr>
      <w:r w:rsidRPr="001D6CF5">
        <w:rPr>
          <w:i/>
          <w:iCs/>
          <w:lang w:val="fr-FR"/>
        </w:rPr>
        <w:t>b)</w:t>
      </w:r>
      <w:r w:rsidRPr="001D6CF5">
        <w:rPr>
          <w:lang w:val="fr-FR"/>
        </w:rPr>
        <w:tab/>
        <w:t>la Résolution 122 (Rév. Guadalajara, 2010) de la Conférence de plénipotentiaires relative à l</w:t>
      </w:r>
      <w:r w:rsidR="001C5436">
        <w:rPr>
          <w:lang w:val="fr-FR"/>
        </w:rPr>
        <w:t>'</w:t>
      </w:r>
      <w:r w:rsidRPr="001D6CF5">
        <w:rPr>
          <w:lang w:val="fr-FR"/>
        </w:rPr>
        <w:t>évolution du rôle de l</w:t>
      </w:r>
      <w:r w:rsidR="001C5436">
        <w:rPr>
          <w:lang w:val="fr-FR"/>
        </w:rPr>
        <w:t>'</w:t>
      </w:r>
      <w:r w:rsidRPr="001D6CF5">
        <w:rPr>
          <w:lang w:val="fr-FR"/>
        </w:rPr>
        <w:t>Assemblée mondiale de normalisation des télécommunications</w:t>
      </w:r>
      <w:r>
        <w:rPr>
          <w:lang w:val="fr-FR"/>
        </w:rPr>
        <w:t>;</w:t>
      </w:r>
    </w:p>
    <w:p w14:paraId="4B021459" w14:textId="16A3A1BE" w:rsidR="002159FC" w:rsidRPr="000C0A69" w:rsidRDefault="001D6CF5" w:rsidP="001C5436">
      <w:pPr>
        <w:rPr>
          <w:lang w:val="fr-FR"/>
        </w:rPr>
      </w:pPr>
      <w:r w:rsidRPr="00B6123B">
        <w:rPr>
          <w:i/>
          <w:iCs/>
          <w:lang w:val="fr-FR"/>
        </w:rPr>
        <w:t>c)</w:t>
      </w:r>
      <w:r>
        <w:rPr>
          <w:lang w:val="fr-FR"/>
        </w:rPr>
        <w:tab/>
      </w:r>
      <w:r w:rsidR="000736A1">
        <w:rPr>
          <w:lang w:val="fr-CH"/>
        </w:rPr>
        <w:t>qu</w:t>
      </w:r>
      <w:r w:rsidR="001C5436">
        <w:rPr>
          <w:lang w:val="fr-CH"/>
        </w:rPr>
        <w:t>'</w:t>
      </w:r>
      <w:r w:rsidR="000736A1">
        <w:rPr>
          <w:lang w:val="fr-CH"/>
        </w:rPr>
        <w:t xml:space="preserve">au </w:t>
      </w:r>
      <w:r>
        <w:rPr>
          <w:lang w:val="fr-CH"/>
        </w:rPr>
        <w:t xml:space="preserve">paragraphe 44 de la Déclaration de principes </w:t>
      </w:r>
      <w:r w:rsidR="00763752">
        <w:rPr>
          <w:lang w:val="fr-CH"/>
        </w:rPr>
        <w:t>du Sommet mondial sur la société de l</w:t>
      </w:r>
      <w:r w:rsidR="001C5436">
        <w:rPr>
          <w:lang w:val="fr-CH"/>
        </w:rPr>
        <w:t>'</w:t>
      </w:r>
      <w:r w:rsidR="00763752">
        <w:rPr>
          <w:lang w:val="fr-CH"/>
        </w:rPr>
        <w:t>information (SMSI),</w:t>
      </w:r>
      <w:r w:rsidR="001C5436">
        <w:rPr>
          <w:lang w:val="fr-CH"/>
        </w:rPr>
        <w:t xml:space="preserve"> </w:t>
      </w:r>
      <w:r w:rsidR="000736A1" w:rsidRPr="001C5436">
        <w:rPr>
          <w:color w:val="000000"/>
          <w:lang w:val="fr-CH"/>
        </w:rPr>
        <w:t>il est souligné que</w:t>
      </w:r>
      <w:r w:rsidR="00763752">
        <w:rPr>
          <w:lang w:val="fr-CH"/>
        </w:rPr>
        <w:t xml:space="preserve"> </w:t>
      </w:r>
      <w:r>
        <w:rPr>
          <w:lang w:val="fr-CH"/>
        </w:rPr>
        <w:t xml:space="preserve">la normalisation </w:t>
      </w:r>
      <w:r w:rsidRPr="000C0A69">
        <w:rPr>
          <w:lang w:val="fr-FR"/>
        </w:rPr>
        <w:t>est l</w:t>
      </w:r>
      <w:r w:rsidR="001C5436">
        <w:rPr>
          <w:lang w:val="fr-FR"/>
        </w:rPr>
        <w:t>'</w:t>
      </w:r>
      <w:r w:rsidRPr="000C0A69">
        <w:rPr>
          <w:lang w:val="fr-FR"/>
        </w:rPr>
        <w:t>un des éléments constitutifs essentiels de la société de l</w:t>
      </w:r>
      <w:r w:rsidR="001C5436">
        <w:rPr>
          <w:lang w:val="fr-FR"/>
        </w:rPr>
        <w:t>'</w:t>
      </w:r>
      <w:r w:rsidRPr="000C0A69">
        <w:rPr>
          <w:lang w:val="fr-FR"/>
        </w:rPr>
        <w:t>information</w:t>
      </w:r>
      <w:r w:rsidR="00763752">
        <w:rPr>
          <w:lang w:val="fr-FR"/>
        </w:rPr>
        <w:t xml:space="preserve"> et</w:t>
      </w:r>
      <w:r w:rsidR="000736A1">
        <w:rPr>
          <w:lang w:val="fr-FR"/>
        </w:rPr>
        <w:t xml:space="preserve"> que</w:t>
      </w:r>
      <w:r w:rsidR="001C5436">
        <w:rPr>
          <w:lang w:val="fr-FR"/>
        </w:rPr>
        <w:t xml:space="preserve"> </w:t>
      </w:r>
      <w:r w:rsidR="00763752">
        <w:rPr>
          <w:lang w:val="fr-FR"/>
        </w:rPr>
        <w:t>l</w:t>
      </w:r>
      <w:r w:rsidR="001C5436">
        <w:rPr>
          <w:lang w:val="fr-FR"/>
        </w:rPr>
        <w:t>'</w:t>
      </w:r>
      <w:r w:rsidRPr="000C0A69">
        <w:rPr>
          <w:lang w:val="fr-FR"/>
        </w:rPr>
        <w:t>élaboration et l</w:t>
      </w:r>
      <w:r w:rsidR="001C5436">
        <w:rPr>
          <w:lang w:val="fr-FR"/>
        </w:rPr>
        <w:t>'</w:t>
      </w:r>
      <w:r w:rsidRPr="000C0A69">
        <w:rPr>
          <w:lang w:val="fr-FR"/>
        </w:rPr>
        <w:t>utilisation de normes ouvertes, compatibles, non discriminatoires et axées sur la demande qui tiennent compte des besoins des usagers et des consommateurs constituent un élément capital pour développer et diffuser les TIC et en rendre l</w:t>
      </w:r>
      <w:r w:rsidR="001C5436">
        <w:rPr>
          <w:lang w:val="fr-FR"/>
        </w:rPr>
        <w:t>'</w:t>
      </w:r>
      <w:r w:rsidRPr="000C0A69">
        <w:rPr>
          <w:lang w:val="fr-FR"/>
        </w:rPr>
        <w:t>accès plus abordable, en particulier dans les pays en développement,</w:t>
      </w:r>
    </w:p>
    <w:p w14:paraId="67F259B1" w14:textId="0CF8487A" w:rsidR="001D6CF5" w:rsidRPr="00D82088" w:rsidRDefault="000C0A69" w:rsidP="001C5436">
      <w:pPr>
        <w:pStyle w:val="Call"/>
        <w:rPr>
          <w:lang w:val="fr-FR"/>
        </w:rPr>
      </w:pPr>
      <w:r w:rsidRPr="00D82088">
        <w:rPr>
          <w:lang w:val="fr-FR" w:bidi="ar-EG"/>
        </w:rPr>
        <w:lastRenderedPageBreak/>
        <w:t>considérant en outre</w:t>
      </w:r>
      <w:r w:rsidR="001D6CF5" w:rsidRPr="00D82088">
        <w:rPr>
          <w:lang w:val="fr-FR"/>
        </w:rPr>
        <w:t xml:space="preserve"> </w:t>
      </w:r>
    </w:p>
    <w:p w14:paraId="5767C76C" w14:textId="08D1D3C6" w:rsidR="001D6CF5" w:rsidRPr="006D2046" w:rsidRDefault="001D6CF5" w:rsidP="001C5436">
      <w:pPr>
        <w:rPr>
          <w:lang w:val="fr-FR"/>
        </w:rPr>
      </w:pPr>
      <w:r w:rsidRPr="006D2046">
        <w:rPr>
          <w:i/>
          <w:iCs/>
          <w:lang w:val="fr-FR"/>
        </w:rPr>
        <w:t>a)</w:t>
      </w:r>
      <w:r w:rsidRPr="006D2046">
        <w:rPr>
          <w:lang w:val="fr-FR"/>
        </w:rPr>
        <w:tab/>
      </w:r>
      <w:r w:rsidR="006D2046" w:rsidRPr="006D2046">
        <w:rPr>
          <w:lang w:val="fr-FR"/>
        </w:rPr>
        <w:t>que l</w:t>
      </w:r>
      <w:r w:rsidR="001C5436">
        <w:rPr>
          <w:lang w:val="fr-FR"/>
        </w:rPr>
        <w:t>'</w:t>
      </w:r>
      <w:r w:rsidR="006D2046" w:rsidRPr="006D2046">
        <w:rPr>
          <w:lang w:val="fr-FR"/>
        </w:rPr>
        <w:t xml:space="preserve">environnement de la normalisation </w:t>
      </w:r>
      <w:r w:rsidR="006D2046">
        <w:rPr>
          <w:lang w:val="fr-FR"/>
        </w:rPr>
        <w:t>a évolué et</w:t>
      </w:r>
      <w:r w:rsidR="001C5436">
        <w:rPr>
          <w:lang w:val="fr-FR"/>
        </w:rPr>
        <w:t xml:space="preserve"> </w:t>
      </w:r>
      <w:r w:rsidR="00D65AFE">
        <w:rPr>
          <w:lang w:val="fr-FR"/>
        </w:rPr>
        <w:t xml:space="preserve">connu de profondes </w:t>
      </w:r>
      <w:r w:rsidR="00406EDF">
        <w:rPr>
          <w:lang w:val="fr-FR"/>
        </w:rPr>
        <w:t>mutations</w:t>
      </w:r>
      <w:r w:rsidR="006D2046">
        <w:rPr>
          <w:lang w:val="fr-FR"/>
        </w:rPr>
        <w:t>, de sorte que l</w:t>
      </w:r>
      <w:r w:rsidR="001C5436">
        <w:rPr>
          <w:lang w:val="fr-FR"/>
        </w:rPr>
        <w:t>'</w:t>
      </w:r>
      <w:r w:rsidR="006D2046">
        <w:rPr>
          <w:lang w:val="fr-FR"/>
        </w:rPr>
        <w:t>UIT-T doit s</w:t>
      </w:r>
      <w:r w:rsidR="001C5436">
        <w:rPr>
          <w:lang w:val="fr-FR"/>
        </w:rPr>
        <w:t>'</w:t>
      </w:r>
      <w:r w:rsidR="006D2046">
        <w:rPr>
          <w:lang w:val="fr-FR"/>
        </w:rPr>
        <w:t>adapter à l</w:t>
      </w:r>
      <w:r w:rsidR="001C5436">
        <w:rPr>
          <w:lang w:val="fr-FR"/>
        </w:rPr>
        <w:t>'</w:t>
      </w:r>
      <w:r w:rsidR="006D2046">
        <w:rPr>
          <w:lang w:val="fr-FR"/>
        </w:rPr>
        <w:t>évolution rapide de la situation, conformément aux attentes des participants issus des secteurs public et privé</w:t>
      </w:r>
      <w:r w:rsidRPr="006D2046">
        <w:rPr>
          <w:lang w:val="fr-FR"/>
        </w:rPr>
        <w:t>;</w:t>
      </w:r>
    </w:p>
    <w:p w14:paraId="435A5832" w14:textId="25A13492" w:rsidR="001D6CF5" w:rsidRPr="00D82088" w:rsidRDefault="001D6CF5" w:rsidP="001C5436">
      <w:pPr>
        <w:rPr>
          <w:lang w:val="fr-FR"/>
        </w:rPr>
      </w:pPr>
      <w:r w:rsidRPr="00D82088">
        <w:rPr>
          <w:i/>
          <w:iCs/>
          <w:lang w:val="fr-FR"/>
        </w:rPr>
        <w:t>b)</w:t>
      </w:r>
      <w:r w:rsidRPr="00D82088">
        <w:rPr>
          <w:lang w:val="fr-FR"/>
        </w:rPr>
        <w:tab/>
      </w:r>
      <w:r w:rsidR="00D82088" w:rsidRPr="00D82088">
        <w:rPr>
          <w:lang w:val="fr-FR"/>
        </w:rPr>
        <w:t>que le renforcement de l</w:t>
      </w:r>
      <w:r w:rsidR="001C5436">
        <w:rPr>
          <w:lang w:val="fr-FR"/>
        </w:rPr>
        <w:t>'</w:t>
      </w:r>
      <w:r w:rsidR="00D82088" w:rsidRPr="00D82088">
        <w:rPr>
          <w:lang w:val="fr-FR"/>
        </w:rPr>
        <w:t>efficience et de l</w:t>
      </w:r>
      <w:r w:rsidR="001C5436">
        <w:rPr>
          <w:lang w:val="fr-FR"/>
        </w:rPr>
        <w:t>'</w:t>
      </w:r>
      <w:r w:rsidR="00D82088" w:rsidRPr="00D82088">
        <w:rPr>
          <w:lang w:val="fr-FR"/>
        </w:rPr>
        <w:t>efficacité o</w:t>
      </w:r>
      <w:r w:rsidR="00D82088">
        <w:rPr>
          <w:lang w:val="fr-FR"/>
        </w:rPr>
        <w:t>pérationnelles des produits de l</w:t>
      </w:r>
      <w:r w:rsidR="001C5436">
        <w:rPr>
          <w:lang w:val="fr-FR"/>
        </w:rPr>
        <w:t>'</w:t>
      </w:r>
      <w:r w:rsidR="00D82088">
        <w:rPr>
          <w:lang w:val="fr-FR"/>
        </w:rPr>
        <w:t xml:space="preserve">UIT-T passe notamment par un examen des processus et procédures, de la structure des </w:t>
      </w:r>
      <w:r w:rsidR="00406EDF">
        <w:rPr>
          <w:lang w:val="fr-FR"/>
        </w:rPr>
        <w:t xml:space="preserve">commissions </w:t>
      </w:r>
      <w:r w:rsidR="00D82088">
        <w:rPr>
          <w:lang w:val="fr-FR"/>
        </w:rPr>
        <w:t>d</w:t>
      </w:r>
      <w:r w:rsidR="001C5436">
        <w:rPr>
          <w:lang w:val="fr-FR"/>
        </w:rPr>
        <w:t>'</w:t>
      </w:r>
      <w:r w:rsidR="00D82088">
        <w:rPr>
          <w:lang w:val="fr-FR"/>
        </w:rPr>
        <w:t>études et de la liste des Questions</w:t>
      </w:r>
      <w:r w:rsidRPr="00D82088">
        <w:rPr>
          <w:lang w:val="fr-FR"/>
        </w:rPr>
        <w:t>;</w:t>
      </w:r>
    </w:p>
    <w:p w14:paraId="7BF64775" w14:textId="0FD097E0" w:rsidR="001D6CF5" w:rsidRPr="00EB0051" w:rsidRDefault="001D6CF5" w:rsidP="001C5436">
      <w:pPr>
        <w:rPr>
          <w:lang w:val="fr-FR"/>
        </w:rPr>
      </w:pPr>
      <w:r w:rsidRPr="00D82088">
        <w:rPr>
          <w:i/>
          <w:iCs/>
          <w:lang w:val="fr-FR"/>
        </w:rPr>
        <w:t>c)</w:t>
      </w:r>
      <w:r w:rsidRPr="00D82088">
        <w:rPr>
          <w:lang w:val="fr-FR"/>
        </w:rPr>
        <w:tab/>
      </w:r>
      <w:r w:rsidR="00D82088" w:rsidRPr="00D82088">
        <w:rPr>
          <w:lang w:val="fr-FR"/>
        </w:rPr>
        <w:t>qu</w:t>
      </w:r>
      <w:r w:rsidR="001C5436">
        <w:rPr>
          <w:lang w:val="fr-FR"/>
        </w:rPr>
        <w:t>'</w:t>
      </w:r>
      <w:r w:rsidR="00406EDF">
        <w:rPr>
          <w:lang w:val="fr-FR"/>
        </w:rPr>
        <w:t xml:space="preserve">il est nécessaire de procéder à </w:t>
      </w:r>
      <w:r w:rsidR="00D82088" w:rsidRPr="00D82088">
        <w:rPr>
          <w:lang w:val="fr-FR"/>
        </w:rPr>
        <w:t xml:space="preserve">une analyse approfondie </w:t>
      </w:r>
      <w:r w:rsidR="00BB2F23">
        <w:rPr>
          <w:lang w:val="fr-FR"/>
        </w:rPr>
        <w:t>concernant</w:t>
      </w:r>
      <w:r w:rsidR="00D82088">
        <w:rPr>
          <w:lang w:val="fr-FR"/>
        </w:rPr>
        <w:t xml:space="preserve"> la réforme institutionnelle des </w:t>
      </w:r>
      <w:r w:rsidR="00406EDF">
        <w:rPr>
          <w:lang w:val="fr-FR"/>
        </w:rPr>
        <w:t xml:space="preserve">commissions </w:t>
      </w:r>
      <w:r w:rsidR="00D82088">
        <w:rPr>
          <w:lang w:val="fr-FR"/>
        </w:rPr>
        <w:t>d</w:t>
      </w:r>
      <w:r w:rsidR="001C5436">
        <w:rPr>
          <w:lang w:val="fr-FR"/>
        </w:rPr>
        <w:t>'</w:t>
      </w:r>
      <w:r w:rsidR="00D82088">
        <w:rPr>
          <w:lang w:val="fr-FR"/>
        </w:rPr>
        <w:t xml:space="preserve">études </w:t>
      </w:r>
      <w:r w:rsidR="00406EDF">
        <w:rPr>
          <w:lang w:val="fr-FR"/>
        </w:rPr>
        <w:t>de l</w:t>
      </w:r>
      <w:r w:rsidR="001C5436">
        <w:rPr>
          <w:lang w:val="fr-FR"/>
        </w:rPr>
        <w:t>'</w:t>
      </w:r>
      <w:r w:rsidR="00406EDF">
        <w:rPr>
          <w:lang w:val="fr-FR"/>
        </w:rPr>
        <w:t>UIT-T</w:t>
      </w:r>
      <w:r w:rsidR="00EB0051">
        <w:rPr>
          <w:lang w:val="fr-FR"/>
        </w:rPr>
        <w:t>, compte tenu de l</w:t>
      </w:r>
      <w:r w:rsidR="001C5436">
        <w:rPr>
          <w:lang w:val="fr-FR"/>
        </w:rPr>
        <w:t>'</w:t>
      </w:r>
      <w:r w:rsidR="00EB0051">
        <w:rPr>
          <w:lang w:val="fr-FR"/>
        </w:rPr>
        <w:t>évolution de l</w:t>
      </w:r>
      <w:r w:rsidR="001C5436">
        <w:rPr>
          <w:lang w:val="fr-FR"/>
        </w:rPr>
        <w:t>'</w:t>
      </w:r>
      <w:r w:rsidR="00EB0051">
        <w:rPr>
          <w:lang w:val="fr-FR"/>
        </w:rPr>
        <w:t xml:space="preserve">environnement de </w:t>
      </w:r>
      <w:r w:rsidR="00406EDF">
        <w:rPr>
          <w:lang w:val="fr-FR"/>
        </w:rPr>
        <w:t xml:space="preserve">la </w:t>
      </w:r>
      <w:r w:rsidR="00EB0051">
        <w:rPr>
          <w:lang w:val="fr-FR"/>
        </w:rPr>
        <w:t>normalisation</w:t>
      </w:r>
      <w:r w:rsidRPr="00EB0051">
        <w:rPr>
          <w:lang w:val="fr-FR"/>
        </w:rPr>
        <w:t>;</w:t>
      </w:r>
    </w:p>
    <w:p w14:paraId="322056C8" w14:textId="5FC4E9E0" w:rsidR="001D6CF5" w:rsidRPr="003A6405" w:rsidRDefault="001D6CF5" w:rsidP="001C5436">
      <w:pPr>
        <w:rPr>
          <w:lang w:val="fr-FR"/>
        </w:rPr>
      </w:pPr>
      <w:r w:rsidRPr="00EB0051">
        <w:rPr>
          <w:i/>
          <w:iCs/>
          <w:lang w:val="fr-FR"/>
        </w:rPr>
        <w:t>d)</w:t>
      </w:r>
      <w:r w:rsidRPr="00EB0051">
        <w:rPr>
          <w:lang w:val="fr-FR"/>
        </w:rPr>
        <w:tab/>
      </w:r>
      <w:r w:rsidR="00EB0051" w:rsidRPr="00EB0051">
        <w:rPr>
          <w:lang w:val="fr-FR"/>
        </w:rPr>
        <w:t xml:space="preserve">que la réorganisation de la structure des </w:t>
      </w:r>
      <w:r w:rsidR="007A3B1C">
        <w:rPr>
          <w:lang w:val="fr-FR"/>
        </w:rPr>
        <w:t>c</w:t>
      </w:r>
      <w:r w:rsidR="007A3B1C" w:rsidRPr="00EB0051">
        <w:rPr>
          <w:lang w:val="fr-FR"/>
        </w:rPr>
        <w:t xml:space="preserve">ommissions </w:t>
      </w:r>
      <w:r w:rsidR="00EB0051" w:rsidRPr="00EB0051">
        <w:rPr>
          <w:lang w:val="fr-FR"/>
        </w:rPr>
        <w:t>d</w:t>
      </w:r>
      <w:r w:rsidR="001C5436">
        <w:rPr>
          <w:lang w:val="fr-FR"/>
        </w:rPr>
        <w:t>'</w:t>
      </w:r>
      <w:r w:rsidR="00EB0051" w:rsidRPr="00EB0051">
        <w:rPr>
          <w:lang w:val="fr-FR"/>
        </w:rPr>
        <w:t>études de l</w:t>
      </w:r>
      <w:r w:rsidR="001C5436">
        <w:rPr>
          <w:lang w:val="fr-FR"/>
        </w:rPr>
        <w:t>'</w:t>
      </w:r>
      <w:r w:rsidR="00EB0051" w:rsidRPr="00EB0051">
        <w:rPr>
          <w:lang w:val="fr-FR"/>
        </w:rPr>
        <w:t>UIT-T doit être la</w:t>
      </w:r>
      <w:r w:rsidR="00EB0051">
        <w:rPr>
          <w:lang w:val="fr-FR"/>
        </w:rPr>
        <w:t xml:space="preserve"> conséquence et le résultat d</w:t>
      </w:r>
      <w:r w:rsidR="001C5436">
        <w:rPr>
          <w:lang w:val="fr-FR"/>
        </w:rPr>
        <w:t>'</w:t>
      </w:r>
      <w:r w:rsidR="00EB0051">
        <w:rPr>
          <w:lang w:val="fr-FR"/>
        </w:rPr>
        <w:t xml:space="preserve">une analyse claire et approfondie, qui permettra </w:t>
      </w:r>
      <w:r w:rsidR="003A6405">
        <w:rPr>
          <w:lang w:val="fr-FR"/>
        </w:rPr>
        <w:t>aux commissions d</w:t>
      </w:r>
      <w:r w:rsidR="001C5436">
        <w:rPr>
          <w:lang w:val="fr-FR"/>
        </w:rPr>
        <w:t>'</w:t>
      </w:r>
      <w:r w:rsidR="003A6405">
        <w:rPr>
          <w:lang w:val="fr-FR"/>
        </w:rPr>
        <w:t xml:space="preserve">études </w:t>
      </w:r>
      <w:r w:rsidR="003D3F98">
        <w:rPr>
          <w:lang w:val="fr-FR"/>
        </w:rPr>
        <w:t>d</w:t>
      </w:r>
      <w:r w:rsidR="001C5436">
        <w:rPr>
          <w:lang w:val="fr-FR"/>
        </w:rPr>
        <w:t>'</w:t>
      </w:r>
      <w:r w:rsidR="003D3F98">
        <w:rPr>
          <w:lang w:val="fr-FR"/>
        </w:rPr>
        <w:t>être investies</w:t>
      </w:r>
      <w:r w:rsidR="001C5436">
        <w:rPr>
          <w:lang w:val="fr-FR"/>
        </w:rPr>
        <w:t xml:space="preserve"> </w:t>
      </w:r>
      <w:r w:rsidR="003A6405">
        <w:rPr>
          <w:lang w:val="fr-FR"/>
        </w:rPr>
        <w:t>d</w:t>
      </w:r>
      <w:r w:rsidR="001C5436">
        <w:rPr>
          <w:lang w:val="fr-FR"/>
        </w:rPr>
        <w:t>'</w:t>
      </w:r>
      <w:r w:rsidR="003A6405">
        <w:rPr>
          <w:lang w:val="fr-FR"/>
        </w:rPr>
        <w:t xml:space="preserve">un mandat </w:t>
      </w:r>
      <w:r w:rsidR="003D3F98">
        <w:rPr>
          <w:lang w:val="fr-FR"/>
        </w:rPr>
        <w:t>suffisamment souple pour répondre</w:t>
      </w:r>
      <w:r w:rsidR="00932A85">
        <w:rPr>
          <w:lang w:val="fr-FR"/>
        </w:rPr>
        <w:t xml:space="preserve"> </w:t>
      </w:r>
      <w:r w:rsidR="003A6405">
        <w:rPr>
          <w:lang w:val="fr-FR"/>
        </w:rPr>
        <w:t>aux besoins du secteur et du marché</w:t>
      </w:r>
      <w:r w:rsidRPr="003A6405">
        <w:rPr>
          <w:lang w:val="fr-FR"/>
        </w:rPr>
        <w:t>;</w:t>
      </w:r>
    </w:p>
    <w:p w14:paraId="1DADF320" w14:textId="490AD09C" w:rsidR="001D6CF5" w:rsidRPr="003A6405" w:rsidRDefault="001D6CF5" w:rsidP="001C5436">
      <w:pPr>
        <w:rPr>
          <w:lang w:val="fr-FR"/>
        </w:rPr>
      </w:pPr>
      <w:r w:rsidRPr="003A6405">
        <w:rPr>
          <w:i/>
          <w:iCs/>
          <w:lang w:val="fr-FR"/>
        </w:rPr>
        <w:t>e)</w:t>
      </w:r>
      <w:r w:rsidRPr="003A6405">
        <w:rPr>
          <w:lang w:val="fr-FR"/>
        </w:rPr>
        <w:tab/>
      </w:r>
      <w:r w:rsidR="003A6405" w:rsidRPr="003A6405">
        <w:rPr>
          <w:lang w:val="fr-FR"/>
        </w:rPr>
        <w:t xml:space="preserve">que la réorganisation de la structure des </w:t>
      </w:r>
      <w:r w:rsidR="007A3B1C">
        <w:rPr>
          <w:lang w:val="fr-FR"/>
        </w:rPr>
        <w:t>c</w:t>
      </w:r>
      <w:r w:rsidR="007A3B1C" w:rsidRPr="003A6405">
        <w:rPr>
          <w:lang w:val="fr-FR"/>
        </w:rPr>
        <w:t xml:space="preserve">ommissions </w:t>
      </w:r>
      <w:r w:rsidR="003A6405" w:rsidRPr="003A6405">
        <w:rPr>
          <w:lang w:val="fr-FR"/>
        </w:rPr>
        <w:t>d</w:t>
      </w:r>
      <w:r w:rsidR="001C5436">
        <w:rPr>
          <w:lang w:val="fr-FR"/>
        </w:rPr>
        <w:t>'</w:t>
      </w:r>
      <w:r w:rsidR="003A6405" w:rsidRPr="003A6405">
        <w:rPr>
          <w:lang w:val="fr-FR"/>
        </w:rPr>
        <w:t>ét</w:t>
      </w:r>
      <w:r w:rsidR="003A6405">
        <w:rPr>
          <w:lang w:val="fr-FR"/>
        </w:rPr>
        <w:t>udes de l</w:t>
      </w:r>
      <w:r w:rsidR="001C5436">
        <w:rPr>
          <w:lang w:val="fr-FR"/>
        </w:rPr>
        <w:t>'</w:t>
      </w:r>
      <w:r w:rsidR="003A6405">
        <w:rPr>
          <w:lang w:val="fr-FR"/>
        </w:rPr>
        <w:t>UIT-T doit permettre de renforcer la collaboration au sein de l</w:t>
      </w:r>
      <w:r w:rsidR="001C5436">
        <w:rPr>
          <w:lang w:val="fr-FR"/>
        </w:rPr>
        <w:t>'</w:t>
      </w:r>
      <w:r w:rsidR="003A6405">
        <w:rPr>
          <w:lang w:val="fr-FR"/>
        </w:rPr>
        <w:t>UIT et avec d</w:t>
      </w:r>
      <w:r w:rsidR="001C5436">
        <w:rPr>
          <w:lang w:val="fr-FR"/>
        </w:rPr>
        <w:t>'</w:t>
      </w:r>
      <w:r w:rsidR="003A6405">
        <w:rPr>
          <w:lang w:val="fr-FR"/>
        </w:rPr>
        <w:t>autres organisations</w:t>
      </w:r>
      <w:r w:rsidRPr="003A6405">
        <w:rPr>
          <w:lang w:val="fr-FR"/>
        </w:rPr>
        <w:t>,</w:t>
      </w:r>
    </w:p>
    <w:p w14:paraId="3554DC81" w14:textId="40FAA18A" w:rsidR="001D6CF5" w:rsidRPr="001C5436" w:rsidRDefault="00BC2CCD" w:rsidP="001C5436">
      <w:pPr>
        <w:pStyle w:val="Call"/>
        <w:rPr>
          <w:lang w:val="fr-CH"/>
        </w:rPr>
      </w:pPr>
      <w:r>
        <w:rPr>
          <w:lang w:val="fr-CH"/>
        </w:rPr>
        <w:t>prenant note</w:t>
      </w:r>
    </w:p>
    <w:p w14:paraId="139C1E74" w14:textId="225296F3" w:rsidR="001D6CF5" w:rsidRPr="007A1045" w:rsidRDefault="00BC2CCD" w:rsidP="001C5436">
      <w:pPr>
        <w:rPr>
          <w:lang w:val="fr-CH"/>
        </w:rPr>
      </w:pPr>
      <w:r>
        <w:rPr>
          <w:lang w:val="fr-FR"/>
        </w:rPr>
        <w:t>d</w:t>
      </w:r>
      <w:r w:rsidR="003A6405" w:rsidRPr="003A6405">
        <w:rPr>
          <w:lang w:val="fr-FR"/>
        </w:rPr>
        <w:t xml:space="preserve">es discussions menées lors des réunions du </w:t>
      </w:r>
      <w:r w:rsidRPr="001C5436">
        <w:rPr>
          <w:color w:val="000000"/>
          <w:lang w:val="fr-CH"/>
        </w:rPr>
        <w:t>Groupe consultatif de la normalisation des télécommunications (GCNT)</w:t>
      </w:r>
      <w:r w:rsidR="00932A85">
        <w:rPr>
          <w:lang w:val="fr-FR"/>
        </w:rPr>
        <w:t>,</w:t>
      </w:r>
      <w:r w:rsidR="003A6405" w:rsidRPr="003A6405">
        <w:rPr>
          <w:lang w:val="fr-FR"/>
        </w:rPr>
        <w:t xml:space="preserve"> sur la base d</w:t>
      </w:r>
      <w:r w:rsidR="003A6405">
        <w:rPr>
          <w:lang w:val="fr-FR"/>
        </w:rPr>
        <w:t xml:space="preserve">es éléments de réflexion présentés par le Directeur du </w:t>
      </w:r>
      <w:r w:rsidRPr="001C5436">
        <w:rPr>
          <w:color w:val="000000"/>
          <w:lang w:val="fr-CH"/>
        </w:rPr>
        <w:t>Bureau de la normalisation des télécommunications (TSB),</w:t>
      </w:r>
    </w:p>
    <w:p w14:paraId="6748F698" w14:textId="704044E4" w:rsidR="001D6CF5" w:rsidRPr="001C5436" w:rsidRDefault="003A6405" w:rsidP="001C5436">
      <w:pPr>
        <w:pStyle w:val="Call"/>
        <w:rPr>
          <w:lang w:val="fr-CH"/>
        </w:rPr>
      </w:pPr>
      <w:r w:rsidRPr="001C5436">
        <w:rPr>
          <w:lang w:val="fr-CH"/>
        </w:rPr>
        <w:t>décide</w:t>
      </w:r>
    </w:p>
    <w:p w14:paraId="752916BB" w14:textId="7FE8903B" w:rsidR="001D6CF5" w:rsidRPr="002A700E" w:rsidRDefault="001D6CF5" w:rsidP="001C5436">
      <w:pPr>
        <w:rPr>
          <w:lang w:val="fr-FR"/>
        </w:rPr>
      </w:pPr>
      <w:r w:rsidRPr="002A700E">
        <w:rPr>
          <w:lang w:val="fr-FR"/>
        </w:rPr>
        <w:t>1</w:t>
      </w:r>
      <w:r w:rsidRPr="002A700E">
        <w:rPr>
          <w:lang w:val="fr-FR"/>
        </w:rPr>
        <w:tab/>
      </w:r>
      <w:r w:rsidR="002A700E" w:rsidRPr="002A700E">
        <w:rPr>
          <w:lang w:val="fr-FR"/>
        </w:rPr>
        <w:t xml:space="preserve">que les </w:t>
      </w:r>
      <w:r w:rsidR="003D3F98">
        <w:rPr>
          <w:lang w:val="fr-FR"/>
        </w:rPr>
        <w:t>c</w:t>
      </w:r>
      <w:r w:rsidR="003D3F98" w:rsidRPr="002A700E">
        <w:rPr>
          <w:lang w:val="fr-FR"/>
        </w:rPr>
        <w:t xml:space="preserve">ommissions </w:t>
      </w:r>
      <w:r w:rsidR="002A700E" w:rsidRPr="002A700E">
        <w:rPr>
          <w:lang w:val="fr-FR"/>
        </w:rPr>
        <w:t>d</w:t>
      </w:r>
      <w:r w:rsidR="001C5436">
        <w:rPr>
          <w:lang w:val="fr-FR"/>
        </w:rPr>
        <w:t>'</w:t>
      </w:r>
      <w:r w:rsidR="002A700E" w:rsidRPr="002A700E">
        <w:rPr>
          <w:lang w:val="fr-FR"/>
        </w:rPr>
        <w:t>études d</w:t>
      </w:r>
      <w:r w:rsidR="002A700E">
        <w:rPr>
          <w:lang w:val="fr-FR"/>
        </w:rPr>
        <w:t>e l</w:t>
      </w:r>
      <w:r w:rsidR="001C5436">
        <w:rPr>
          <w:lang w:val="fr-FR"/>
        </w:rPr>
        <w:t>'</w:t>
      </w:r>
      <w:r w:rsidR="002A700E">
        <w:rPr>
          <w:lang w:val="fr-FR"/>
        </w:rPr>
        <w:t>UIT-T, dans le cadre de leurs</w:t>
      </w:r>
      <w:r w:rsidR="00230579">
        <w:rPr>
          <w:lang w:val="fr-FR"/>
        </w:rPr>
        <w:t xml:space="preserve"> responsabilités</w:t>
      </w:r>
      <w:r w:rsidR="002A700E">
        <w:rPr>
          <w:lang w:val="fr-FR"/>
        </w:rPr>
        <w:t xml:space="preserve"> et conformément à leur mandat, poursuivront leurs travaux sur la base de la Résolution 2</w:t>
      </w:r>
      <w:r w:rsidRPr="002A700E">
        <w:rPr>
          <w:lang w:val="fr-FR"/>
        </w:rPr>
        <w:t>;</w:t>
      </w:r>
    </w:p>
    <w:p w14:paraId="445A0B41" w14:textId="71FE335F" w:rsidR="001D6CF5" w:rsidRPr="002A700E" w:rsidRDefault="001D6CF5" w:rsidP="001C5436">
      <w:pPr>
        <w:rPr>
          <w:lang w:val="fr-FR"/>
        </w:rPr>
      </w:pPr>
      <w:r w:rsidRPr="002A700E">
        <w:rPr>
          <w:lang w:val="fr-FR"/>
        </w:rPr>
        <w:t>2</w:t>
      </w:r>
      <w:r w:rsidRPr="002A700E">
        <w:rPr>
          <w:lang w:val="fr-FR"/>
        </w:rPr>
        <w:tab/>
      </w:r>
      <w:r w:rsidR="002A700E" w:rsidRPr="002A700E">
        <w:rPr>
          <w:lang w:val="fr-FR"/>
        </w:rPr>
        <w:t>que des contributions concernant l</w:t>
      </w:r>
      <w:r w:rsidR="002A700E">
        <w:rPr>
          <w:lang w:val="fr-FR"/>
        </w:rPr>
        <w:t xml:space="preserve">a </w:t>
      </w:r>
      <w:r w:rsidR="00230579">
        <w:rPr>
          <w:lang w:val="fr-FR"/>
        </w:rPr>
        <w:t>restructuration</w:t>
      </w:r>
      <w:r w:rsidR="002A700E">
        <w:rPr>
          <w:lang w:val="fr-FR"/>
        </w:rPr>
        <w:t>, la réforme et l</w:t>
      </w:r>
      <w:r w:rsidR="001C5436">
        <w:rPr>
          <w:lang w:val="fr-FR"/>
        </w:rPr>
        <w:t>'</w:t>
      </w:r>
      <w:r w:rsidR="002A700E">
        <w:rPr>
          <w:lang w:val="fr-FR"/>
        </w:rPr>
        <w:t>examen pourront être soumises par tous les États Membres de l</w:t>
      </w:r>
      <w:r w:rsidR="001C5436">
        <w:rPr>
          <w:lang w:val="fr-FR"/>
        </w:rPr>
        <w:t>'</w:t>
      </w:r>
      <w:r w:rsidR="002A700E">
        <w:rPr>
          <w:lang w:val="fr-FR"/>
        </w:rPr>
        <w:t>UIT et</w:t>
      </w:r>
      <w:r w:rsidR="001C5436">
        <w:rPr>
          <w:lang w:val="fr-FR"/>
        </w:rPr>
        <w:t xml:space="preserve"> </w:t>
      </w:r>
      <w:r w:rsidR="002A700E">
        <w:rPr>
          <w:lang w:val="fr-FR"/>
        </w:rPr>
        <w:t>tous les Membres d</w:t>
      </w:r>
      <w:r w:rsidR="00932A85">
        <w:rPr>
          <w:lang w:val="fr-FR"/>
        </w:rPr>
        <w:t>u</w:t>
      </w:r>
      <w:r w:rsidR="002A700E">
        <w:rPr>
          <w:lang w:val="fr-FR"/>
        </w:rPr>
        <w:t xml:space="preserve"> Secteur UIT-T</w:t>
      </w:r>
      <w:r w:rsidRPr="002A700E">
        <w:rPr>
          <w:lang w:val="fr-FR"/>
        </w:rPr>
        <w:t>;</w:t>
      </w:r>
    </w:p>
    <w:p w14:paraId="4D6E9840" w14:textId="1BD66601" w:rsidR="001D6CF5" w:rsidRPr="002A700E" w:rsidRDefault="001D6CF5" w:rsidP="001C5436">
      <w:pPr>
        <w:rPr>
          <w:lang w:val="fr-FR"/>
        </w:rPr>
      </w:pPr>
      <w:r w:rsidRPr="002A700E">
        <w:rPr>
          <w:lang w:val="fr-FR"/>
        </w:rPr>
        <w:t>3</w:t>
      </w:r>
      <w:r w:rsidRPr="002A700E">
        <w:rPr>
          <w:lang w:val="fr-FR"/>
        </w:rPr>
        <w:tab/>
      </w:r>
      <w:r w:rsidR="002A700E" w:rsidRPr="002A700E">
        <w:rPr>
          <w:lang w:val="fr-FR"/>
        </w:rPr>
        <w:t>que dans le cadre de l</w:t>
      </w:r>
      <w:r w:rsidR="001C5436">
        <w:rPr>
          <w:lang w:val="fr-FR"/>
        </w:rPr>
        <w:t>'</w:t>
      </w:r>
      <w:r w:rsidR="002A700E" w:rsidRPr="002A700E">
        <w:rPr>
          <w:lang w:val="fr-FR"/>
        </w:rPr>
        <w:t>examen, un rapport d</w:t>
      </w:r>
      <w:r w:rsidR="001C5436">
        <w:rPr>
          <w:lang w:val="fr-FR"/>
        </w:rPr>
        <w:t>'</w:t>
      </w:r>
      <w:r w:rsidR="002A700E">
        <w:rPr>
          <w:lang w:val="fr-FR"/>
        </w:rPr>
        <w:t xml:space="preserve">activité sera élaboré en vue de chaque </w:t>
      </w:r>
      <w:r w:rsidR="00230579">
        <w:rPr>
          <w:lang w:val="fr-FR"/>
        </w:rPr>
        <w:t xml:space="preserve">réunion </w:t>
      </w:r>
      <w:r w:rsidR="002A700E">
        <w:rPr>
          <w:lang w:val="fr-FR"/>
        </w:rPr>
        <w:t>du GCNT</w:t>
      </w:r>
      <w:r w:rsidRPr="002A700E">
        <w:rPr>
          <w:lang w:val="fr-FR"/>
        </w:rPr>
        <w:t>;</w:t>
      </w:r>
    </w:p>
    <w:p w14:paraId="26D3AEB6" w14:textId="55E19EC7" w:rsidR="001D6CF5" w:rsidRPr="009C259E" w:rsidRDefault="001D6CF5" w:rsidP="001C5436">
      <w:pPr>
        <w:rPr>
          <w:lang w:val="fr-FR"/>
        </w:rPr>
      </w:pPr>
      <w:r w:rsidRPr="009C259E">
        <w:rPr>
          <w:lang w:val="fr-FR"/>
        </w:rPr>
        <w:t>4</w:t>
      </w:r>
      <w:r w:rsidRPr="009C259E">
        <w:rPr>
          <w:lang w:val="fr-FR"/>
        </w:rPr>
        <w:tab/>
      </w:r>
      <w:r w:rsidR="009C259E" w:rsidRPr="009C259E">
        <w:rPr>
          <w:lang w:val="fr-FR"/>
        </w:rPr>
        <w:t>que les</w:t>
      </w:r>
      <w:r w:rsidR="001C5436">
        <w:rPr>
          <w:lang w:val="fr-FR"/>
        </w:rPr>
        <w:t xml:space="preserve"> </w:t>
      </w:r>
      <w:r w:rsidR="00230579">
        <w:rPr>
          <w:lang w:val="fr-FR"/>
        </w:rPr>
        <w:t>résultats de</w:t>
      </w:r>
      <w:r w:rsidR="001C5436">
        <w:rPr>
          <w:lang w:val="fr-FR"/>
        </w:rPr>
        <w:t xml:space="preserve"> </w:t>
      </w:r>
      <w:r w:rsidR="009C259E" w:rsidRPr="009C259E">
        <w:rPr>
          <w:lang w:val="fr-FR"/>
        </w:rPr>
        <w:t>l</w:t>
      </w:r>
      <w:r w:rsidR="009C259E">
        <w:rPr>
          <w:lang w:val="fr-FR"/>
        </w:rPr>
        <w:t xml:space="preserve">a réforme </w:t>
      </w:r>
      <w:r w:rsidR="00230579">
        <w:rPr>
          <w:lang w:val="fr-FR"/>
        </w:rPr>
        <w:t xml:space="preserve">éventuelle </w:t>
      </w:r>
      <w:r w:rsidR="009C259E">
        <w:rPr>
          <w:lang w:val="fr-FR"/>
        </w:rPr>
        <w:t xml:space="preserve">et </w:t>
      </w:r>
      <w:r w:rsidR="00230579">
        <w:rPr>
          <w:lang w:val="fr-FR"/>
        </w:rPr>
        <w:t>de</w:t>
      </w:r>
      <w:r w:rsidR="001C5436">
        <w:rPr>
          <w:lang w:val="fr-FR"/>
        </w:rPr>
        <w:t xml:space="preserve"> </w:t>
      </w:r>
      <w:r w:rsidR="009C259E">
        <w:rPr>
          <w:lang w:val="fr-FR"/>
        </w:rPr>
        <w:t>l</w:t>
      </w:r>
      <w:r w:rsidR="001C5436">
        <w:rPr>
          <w:lang w:val="fr-FR"/>
        </w:rPr>
        <w:t>'</w:t>
      </w:r>
      <w:r w:rsidR="009C259E">
        <w:rPr>
          <w:lang w:val="fr-FR"/>
        </w:rPr>
        <w:t xml:space="preserve">examen, assortis des orientations du GCNT, </w:t>
      </w:r>
      <w:r w:rsidR="00230579">
        <w:rPr>
          <w:lang w:val="fr-FR"/>
        </w:rPr>
        <w:t>seront</w:t>
      </w:r>
      <w:r w:rsidR="009C259E">
        <w:rPr>
          <w:lang w:val="fr-FR"/>
        </w:rPr>
        <w:t xml:space="preserve"> présentés </w:t>
      </w:r>
      <w:r w:rsidR="00406C57">
        <w:rPr>
          <w:lang w:val="fr-FR"/>
        </w:rPr>
        <w:t>dans un</w:t>
      </w:r>
      <w:r w:rsidR="009C259E">
        <w:rPr>
          <w:lang w:val="fr-FR"/>
        </w:rPr>
        <w:t xml:space="preserve"> rapport final </w:t>
      </w:r>
      <w:r w:rsidR="00230579">
        <w:rPr>
          <w:lang w:val="fr-FR"/>
        </w:rPr>
        <w:t>à l</w:t>
      </w:r>
      <w:r w:rsidR="001C5436">
        <w:rPr>
          <w:lang w:val="fr-FR"/>
        </w:rPr>
        <w:t>'</w:t>
      </w:r>
      <w:r w:rsidR="00230579">
        <w:rPr>
          <w:lang w:val="fr-FR"/>
        </w:rPr>
        <w:t>intention</w:t>
      </w:r>
      <w:r w:rsidR="001C5436">
        <w:rPr>
          <w:lang w:val="fr-FR"/>
        </w:rPr>
        <w:t xml:space="preserve"> </w:t>
      </w:r>
      <w:r w:rsidR="009C259E">
        <w:rPr>
          <w:lang w:val="fr-FR"/>
        </w:rPr>
        <w:t>de l</w:t>
      </w:r>
      <w:r w:rsidR="001C5436">
        <w:rPr>
          <w:lang w:val="fr-FR"/>
        </w:rPr>
        <w:t>'</w:t>
      </w:r>
      <w:r w:rsidR="009C259E">
        <w:rPr>
          <w:lang w:val="fr-FR"/>
        </w:rPr>
        <w:t>AMNT-24</w:t>
      </w:r>
      <w:r w:rsidRPr="009C259E">
        <w:rPr>
          <w:lang w:val="fr-FR"/>
        </w:rPr>
        <w:t>;</w:t>
      </w:r>
    </w:p>
    <w:p w14:paraId="21E23F54" w14:textId="31F93750" w:rsidR="001D6CF5" w:rsidRPr="00406C57" w:rsidRDefault="001D6CF5" w:rsidP="001C5436">
      <w:pPr>
        <w:rPr>
          <w:lang w:val="fr-FR"/>
        </w:rPr>
      </w:pPr>
      <w:r w:rsidRPr="009C259E">
        <w:rPr>
          <w:lang w:val="fr-FR"/>
        </w:rPr>
        <w:t>5</w:t>
      </w:r>
      <w:r w:rsidRPr="009C259E">
        <w:rPr>
          <w:lang w:val="fr-FR"/>
        </w:rPr>
        <w:tab/>
      </w:r>
      <w:r w:rsidR="009C259E" w:rsidRPr="009C259E">
        <w:rPr>
          <w:lang w:val="fr-FR"/>
        </w:rPr>
        <w:t xml:space="preserve">que les </w:t>
      </w:r>
      <w:r w:rsidR="003A61C1">
        <w:rPr>
          <w:lang w:val="fr-FR"/>
        </w:rPr>
        <w:t>résultats de</w:t>
      </w:r>
      <w:r w:rsidR="001C5436">
        <w:rPr>
          <w:lang w:val="fr-FR"/>
        </w:rPr>
        <w:t xml:space="preserve"> </w:t>
      </w:r>
      <w:r w:rsidR="009C259E" w:rsidRPr="009C259E">
        <w:rPr>
          <w:lang w:val="fr-FR"/>
        </w:rPr>
        <w:t xml:space="preserve">la réforme </w:t>
      </w:r>
      <w:r w:rsidR="003A61C1">
        <w:rPr>
          <w:lang w:val="fr-FR"/>
        </w:rPr>
        <w:t>éventuelle</w:t>
      </w:r>
      <w:r w:rsidR="001C5436">
        <w:rPr>
          <w:lang w:val="fr-FR"/>
        </w:rPr>
        <w:t xml:space="preserve"> </w:t>
      </w:r>
      <w:r w:rsidR="009C259E" w:rsidRPr="009C259E">
        <w:rPr>
          <w:lang w:val="fr-FR"/>
        </w:rPr>
        <w:t xml:space="preserve">et </w:t>
      </w:r>
      <w:r w:rsidR="003A61C1">
        <w:rPr>
          <w:lang w:val="fr-FR"/>
        </w:rPr>
        <w:t>de</w:t>
      </w:r>
      <w:r w:rsidR="001C5436">
        <w:rPr>
          <w:lang w:val="fr-FR"/>
        </w:rPr>
        <w:t xml:space="preserve"> </w:t>
      </w:r>
      <w:r w:rsidR="009C259E" w:rsidRPr="009C259E">
        <w:rPr>
          <w:lang w:val="fr-FR"/>
        </w:rPr>
        <w:t>l</w:t>
      </w:r>
      <w:r w:rsidR="001C5436">
        <w:rPr>
          <w:lang w:val="fr-FR"/>
        </w:rPr>
        <w:t>'</w:t>
      </w:r>
      <w:r w:rsidR="009C259E" w:rsidRPr="009C259E">
        <w:rPr>
          <w:lang w:val="fr-FR"/>
        </w:rPr>
        <w:t>examen</w:t>
      </w:r>
      <w:r w:rsidR="001C5436">
        <w:rPr>
          <w:lang w:val="fr-FR"/>
        </w:rPr>
        <w:t xml:space="preserve"> </w:t>
      </w:r>
      <w:r w:rsidR="009C259E">
        <w:rPr>
          <w:lang w:val="fr-FR"/>
        </w:rPr>
        <w:t>seront présentés sous la forme d</w:t>
      </w:r>
      <w:r w:rsidR="001C5436">
        <w:rPr>
          <w:lang w:val="fr-FR"/>
        </w:rPr>
        <w:t>'</w:t>
      </w:r>
      <w:r w:rsidR="009C259E">
        <w:rPr>
          <w:lang w:val="fr-FR"/>
        </w:rPr>
        <w:t>un document d</w:t>
      </w:r>
      <w:r w:rsidR="001C5436">
        <w:rPr>
          <w:lang w:val="fr-FR"/>
        </w:rPr>
        <w:t>'</w:t>
      </w:r>
      <w:r w:rsidR="009C259E">
        <w:rPr>
          <w:lang w:val="fr-FR"/>
        </w:rPr>
        <w:t xml:space="preserve">orientation </w:t>
      </w:r>
      <w:r w:rsidR="00564EE8">
        <w:rPr>
          <w:lang w:val="fr-FR"/>
        </w:rPr>
        <w:t xml:space="preserve">à </w:t>
      </w:r>
      <w:r w:rsidR="003A61C1">
        <w:rPr>
          <w:lang w:val="fr-FR"/>
        </w:rPr>
        <w:t xml:space="preserve">caractère </w:t>
      </w:r>
      <w:r w:rsidR="00564EE8">
        <w:rPr>
          <w:lang w:val="fr-FR"/>
        </w:rPr>
        <w:t>consultati</w:t>
      </w:r>
      <w:r w:rsidR="003A61C1">
        <w:rPr>
          <w:lang w:val="fr-FR"/>
        </w:rPr>
        <w:t>f</w:t>
      </w:r>
      <w:r w:rsidR="00406C57">
        <w:rPr>
          <w:lang w:val="fr-FR"/>
        </w:rPr>
        <w:t>,</w:t>
      </w:r>
      <w:r w:rsidR="00564EE8">
        <w:rPr>
          <w:lang w:val="fr-FR"/>
        </w:rPr>
        <w:t xml:space="preserve"> dont la mise en œuvre </w:t>
      </w:r>
      <w:r w:rsidR="009734AC">
        <w:rPr>
          <w:lang w:val="fr-FR"/>
        </w:rPr>
        <w:t>ne sera</w:t>
      </w:r>
      <w:r w:rsidR="00406C57">
        <w:rPr>
          <w:lang w:val="fr-FR"/>
        </w:rPr>
        <w:t xml:space="preserve"> pas </w:t>
      </w:r>
      <w:r w:rsidR="009734AC">
        <w:rPr>
          <w:lang w:val="fr-FR"/>
        </w:rPr>
        <w:t>de nature</w:t>
      </w:r>
      <w:r w:rsidR="00564EE8">
        <w:rPr>
          <w:lang w:val="fr-FR"/>
        </w:rPr>
        <w:t xml:space="preserve"> obligatoire,</w:t>
      </w:r>
    </w:p>
    <w:p w14:paraId="7FA450BB" w14:textId="08F1CC8A" w:rsidR="001D6CF5" w:rsidRPr="001C5436" w:rsidRDefault="001566EF" w:rsidP="001C5436">
      <w:pPr>
        <w:pStyle w:val="Call"/>
        <w:rPr>
          <w:lang w:val="fr-CH"/>
        </w:rPr>
      </w:pPr>
      <w:r w:rsidRPr="001C5436">
        <w:rPr>
          <w:lang w:val="fr-CH"/>
        </w:rPr>
        <w:t>invite le Conseil</w:t>
      </w:r>
    </w:p>
    <w:p w14:paraId="5DBA0041" w14:textId="326298B9" w:rsidR="001D6CF5" w:rsidRPr="001566EF" w:rsidRDefault="001566EF" w:rsidP="001C5436">
      <w:pPr>
        <w:rPr>
          <w:lang w:val="fr-FR"/>
        </w:rPr>
      </w:pPr>
      <w:r w:rsidRPr="001566EF">
        <w:rPr>
          <w:lang w:val="fr-FR"/>
        </w:rPr>
        <w:t>à charger le TSB de</w:t>
      </w:r>
      <w:r>
        <w:rPr>
          <w:lang w:val="fr-FR"/>
        </w:rPr>
        <w:t xml:space="preserve"> procéder à l</w:t>
      </w:r>
      <w:r w:rsidR="001C5436">
        <w:rPr>
          <w:lang w:val="fr-FR"/>
        </w:rPr>
        <w:t>'</w:t>
      </w:r>
      <w:r>
        <w:rPr>
          <w:lang w:val="fr-FR"/>
        </w:rPr>
        <w:t xml:space="preserve">examen et de </w:t>
      </w:r>
      <w:r w:rsidR="00406C57">
        <w:rPr>
          <w:lang w:val="fr-FR"/>
        </w:rPr>
        <w:t xml:space="preserve">lui </w:t>
      </w:r>
      <w:r>
        <w:rPr>
          <w:lang w:val="fr-FR"/>
        </w:rPr>
        <w:t>présenter un rapport d</w:t>
      </w:r>
      <w:r w:rsidR="001C5436">
        <w:rPr>
          <w:lang w:val="fr-FR"/>
        </w:rPr>
        <w:t>'</w:t>
      </w:r>
      <w:r>
        <w:rPr>
          <w:lang w:val="fr-FR"/>
        </w:rPr>
        <w:t xml:space="preserve">activité sur </w:t>
      </w:r>
      <w:r w:rsidR="00406C57">
        <w:rPr>
          <w:lang w:val="fr-FR"/>
        </w:rPr>
        <w:t xml:space="preserve">les </w:t>
      </w:r>
      <w:r w:rsidR="009734AC">
        <w:rPr>
          <w:lang w:val="fr-FR"/>
        </w:rPr>
        <w:t>résultats obtenus</w:t>
      </w:r>
      <w:r w:rsidR="001D6CF5" w:rsidRPr="001566EF">
        <w:rPr>
          <w:lang w:val="fr-FR"/>
        </w:rPr>
        <w:t xml:space="preserve">, </w:t>
      </w:r>
    </w:p>
    <w:p w14:paraId="43A8B43A" w14:textId="207369F3" w:rsidR="001D6CF5" w:rsidRPr="001566EF" w:rsidRDefault="001566EF" w:rsidP="001C5436">
      <w:pPr>
        <w:pStyle w:val="Call"/>
        <w:rPr>
          <w:lang w:val="fr-FR"/>
        </w:rPr>
      </w:pPr>
      <w:r w:rsidRPr="001566EF">
        <w:rPr>
          <w:lang w:val="fr-FR"/>
        </w:rPr>
        <w:t>charge le Directeur du B</w:t>
      </w:r>
      <w:r>
        <w:rPr>
          <w:lang w:val="fr-FR"/>
        </w:rPr>
        <w:t>ureau de la normalisation des télécommunications</w:t>
      </w:r>
    </w:p>
    <w:p w14:paraId="3A16DD27" w14:textId="760592CE" w:rsidR="001D6CF5" w:rsidRPr="001566EF" w:rsidRDefault="001566EF" w:rsidP="001C5436">
      <w:pPr>
        <w:rPr>
          <w:lang w:val="fr-FR"/>
        </w:rPr>
      </w:pPr>
      <w:r w:rsidRPr="001566EF">
        <w:rPr>
          <w:lang w:val="fr-FR"/>
        </w:rPr>
        <w:t>de prendre les mesures nécessaires po</w:t>
      </w:r>
      <w:r>
        <w:rPr>
          <w:lang w:val="fr-FR"/>
        </w:rPr>
        <w:t>ur mettre en œuvre la présente Résolution</w:t>
      </w:r>
      <w:r w:rsidR="001D6CF5" w:rsidRPr="001566EF">
        <w:rPr>
          <w:lang w:val="fr-FR"/>
        </w:rPr>
        <w:t>,</w:t>
      </w:r>
    </w:p>
    <w:p w14:paraId="1A2EF0F8" w14:textId="64F81A38" w:rsidR="001D6CF5" w:rsidRPr="001566EF" w:rsidRDefault="001566EF" w:rsidP="001C5436">
      <w:pPr>
        <w:pStyle w:val="Call"/>
        <w:rPr>
          <w:lang w:val="fr-FR"/>
        </w:rPr>
      </w:pPr>
      <w:r w:rsidRPr="001566EF">
        <w:rPr>
          <w:lang w:val="fr-FR"/>
        </w:rPr>
        <w:t>charge le Groupe consultatif de la normalisation de</w:t>
      </w:r>
      <w:r>
        <w:rPr>
          <w:lang w:val="fr-FR"/>
        </w:rPr>
        <w:t>s télécommunications</w:t>
      </w:r>
    </w:p>
    <w:p w14:paraId="15DF1EBB" w14:textId="3D919DDF" w:rsidR="001D6CF5" w:rsidRPr="00A97410" w:rsidRDefault="001D6CF5" w:rsidP="001C5436">
      <w:pPr>
        <w:rPr>
          <w:lang w:val="fr-FR"/>
        </w:rPr>
      </w:pPr>
      <w:r w:rsidRPr="00BD5CB5">
        <w:rPr>
          <w:lang w:val="fr-FR"/>
        </w:rPr>
        <w:t>1</w:t>
      </w:r>
      <w:r w:rsidRPr="00BD5CB5">
        <w:rPr>
          <w:lang w:val="fr-FR"/>
        </w:rPr>
        <w:tab/>
      </w:r>
      <w:r w:rsidR="00BD5CB5" w:rsidRPr="00BD5CB5">
        <w:rPr>
          <w:lang w:val="fr-FR"/>
        </w:rPr>
        <w:t>de suivre et d</w:t>
      </w:r>
      <w:r w:rsidR="001C5436">
        <w:rPr>
          <w:lang w:val="fr-FR"/>
        </w:rPr>
        <w:t>'</w:t>
      </w:r>
      <w:r w:rsidR="00BD5CB5" w:rsidRPr="00BD5CB5">
        <w:rPr>
          <w:lang w:val="fr-FR"/>
        </w:rPr>
        <w:t xml:space="preserve">orienter les travaux </w:t>
      </w:r>
      <w:r w:rsidR="00BD5CB5">
        <w:rPr>
          <w:lang w:val="fr-FR"/>
        </w:rPr>
        <w:t>dont les résultats seront présentés au Conseil</w:t>
      </w:r>
      <w:r w:rsidRPr="00A97410">
        <w:rPr>
          <w:lang w:val="fr-FR"/>
        </w:rPr>
        <w:t>;</w:t>
      </w:r>
    </w:p>
    <w:p w14:paraId="2BAAAE19" w14:textId="294B1250" w:rsidR="001D6CF5" w:rsidRPr="00A97410" w:rsidRDefault="001D6CF5" w:rsidP="001C5436">
      <w:pPr>
        <w:rPr>
          <w:lang w:val="fr-FR"/>
        </w:rPr>
      </w:pPr>
      <w:r w:rsidRPr="00A97410">
        <w:rPr>
          <w:lang w:val="fr-FR"/>
        </w:rPr>
        <w:t>2</w:t>
      </w:r>
      <w:r w:rsidRPr="00A97410">
        <w:rPr>
          <w:lang w:val="fr-FR"/>
        </w:rPr>
        <w:tab/>
      </w:r>
      <w:r w:rsidR="00A97410" w:rsidRPr="00A97410">
        <w:rPr>
          <w:lang w:val="fr-FR"/>
        </w:rPr>
        <w:t xml:space="preserve">de soumettre </w:t>
      </w:r>
      <w:r w:rsidR="009734AC" w:rsidRPr="00A97410">
        <w:rPr>
          <w:lang w:val="fr-FR"/>
        </w:rPr>
        <w:t>à l</w:t>
      </w:r>
      <w:r w:rsidR="001C5436">
        <w:rPr>
          <w:lang w:val="fr-FR"/>
        </w:rPr>
        <w:t>'</w:t>
      </w:r>
      <w:r w:rsidR="009734AC">
        <w:rPr>
          <w:lang w:val="fr-FR"/>
        </w:rPr>
        <w:t xml:space="preserve">AMNT-24 </w:t>
      </w:r>
      <w:r w:rsidR="00A97410" w:rsidRPr="00A97410">
        <w:rPr>
          <w:lang w:val="fr-FR"/>
        </w:rPr>
        <w:t>un rapport final sur l</w:t>
      </w:r>
      <w:r w:rsidR="001C5436">
        <w:rPr>
          <w:lang w:val="fr-FR"/>
        </w:rPr>
        <w:t>'</w:t>
      </w:r>
      <w:r w:rsidR="00A97410" w:rsidRPr="00A97410">
        <w:rPr>
          <w:lang w:val="fr-FR"/>
        </w:rPr>
        <w:t>examen</w:t>
      </w:r>
      <w:r w:rsidRPr="00A97410">
        <w:rPr>
          <w:lang w:val="fr-FR"/>
        </w:rPr>
        <w:t>,</w:t>
      </w:r>
    </w:p>
    <w:p w14:paraId="4DE5B778" w14:textId="65577C13" w:rsidR="001D6CF5" w:rsidRPr="00406C57" w:rsidRDefault="00A97410" w:rsidP="001C5436">
      <w:pPr>
        <w:pStyle w:val="Call"/>
        <w:rPr>
          <w:lang w:val="fr-FR"/>
        </w:rPr>
      </w:pPr>
      <w:r w:rsidRPr="00406C57">
        <w:rPr>
          <w:lang w:val="fr-FR"/>
        </w:rPr>
        <w:lastRenderedPageBreak/>
        <w:t xml:space="preserve">charge les </w:t>
      </w:r>
      <w:r w:rsidR="009734AC">
        <w:rPr>
          <w:lang w:val="fr-FR"/>
        </w:rPr>
        <w:t>c</w:t>
      </w:r>
      <w:r w:rsidR="009734AC" w:rsidRPr="00406C57">
        <w:rPr>
          <w:lang w:val="fr-FR"/>
        </w:rPr>
        <w:t xml:space="preserve">ommissions </w:t>
      </w:r>
      <w:r w:rsidRPr="00406C57">
        <w:rPr>
          <w:lang w:val="fr-FR"/>
        </w:rPr>
        <w:t>d</w:t>
      </w:r>
      <w:r w:rsidR="001C5436">
        <w:rPr>
          <w:lang w:val="fr-FR"/>
        </w:rPr>
        <w:t>'</w:t>
      </w:r>
      <w:r w:rsidRPr="00406C57">
        <w:rPr>
          <w:lang w:val="fr-FR"/>
        </w:rPr>
        <w:t>études</w:t>
      </w:r>
    </w:p>
    <w:p w14:paraId="00BC4DE4" w14:textId="11A1044A" w:rsidR="001D6CF5" w:rsidRPr="00A97410" w:rsidRDefault="001D6CF5" w:rsidP="001C5436">
      <w:pPr>
        <w:rPr>
          <w:lang w:val="fr-FR"/>
        </w:rPr>
      </w:pPr>
      <w:r w:rsidRPr="00A97410">
        <w:rPr>
          <w:lang w:val="fr-FR"/>
        </w:rPr>
        <w:t>1</w:t>
      </w:r>
      <w:r w:rsidRPr="00A97410">
        <w:rPr>
          <w:lang w:val="fr-FR"/>
        </w:rPr>
        <w:tab/>
      </w:r>
      <w:r w:rsidR="00A97410" w:rsidRPr="00A97410">
        <w:rPr>
          <w:lang w:val="fr-FR"/>
        </w:rPr>
        <w:t>d</w:t>
      </w:r>
      <w:r w:rsidR="001C5436">
        <w:rPr>
          <w:lang w:val="fr-FR"/>
        </w:rPr>
        <w:t>'</w:t>
      </w:r>
      <w:r w:rsidR="00A97410" w:rsidRPr="00A97410">
        <w:rPr>
          <w:lang w:val="fr-FR"/>
        </w:rPr>
        <w:t xml:space="preserve">examiner les mécanismes les </w:t>
      </w:r>
      <w:r w:rsidR="00B8287B">
        <w:rPr>
          <w:lang w:val="fr-FR"/>
        </w:rPr>
        <w:t>mieux adaptés</w:t>
      </w:r>
      <w:r w:rsidR="00A97410">
        <w:rPr>
          <w:lang w:val="fr-FR"/>
        </w:rPr>
        <w:t xml:space="preserve"> pour convenir de recommandations éventuelles sur la </w:t>
      </w:r>
      <w:r w:rsidR="00B8287B">
        <w:rPr>
          <w:lang w:val="fr-FR"/>
        </w:rPr>
        <w:t>restructuration</w:t>
      </w:r>
      <w:r w:rsidR="001C5436">
        <w:rPr>
          <w:lang w:val="fr-FR"/>
        </w:rPr>
        <w:t xml:space="preserve"> </w:t>
      </w:r>
      <w:r w:rsidR="00B8287B">
        <w:rPr>
          <w:lang w:val="fr-FR"/>
        </w:rPr>
        <w:t>à l</w:t>
      </w:r>
      <w:r w:rsidR="001C5436">
        <w:rPr>
          <w:lang w:val="fr-FR"/>
        </w:rPr>
        <w:t>'</w:t>
      </w:r>
      <w:r w:rsidR="00B8287B">
        <w:rPr>
          <w:lang w:val="fr-FR"/>
        </w:rPr>
        <w:t>intention du</w:t>
      </w:r>
      <w:r w:rsidR="00406C57" w:rsidRPr="00406C57">
        <w:rPr>
          <w:lang w:val="fr-FR"/>
        </w:rPr>
        <w:t xml:space="preserve"> GCNT</w:t>
      </w:r>
      <w:r w:rsidRPr="00A97410">
        <w:rPr>
          <w:lang w:val="fr-FR"/>
        </w:rPr>
        <w:t>;</w:t>
      </w:r>
    </w:p>
    <w:p w14:paraId="5304C864" w14:textId="0182C100" w:rsidR="001D6CF5" w:rsidRPr="00A97410" w:rsidRDefault="001D6CF5" w:rsidP="001C5436">
      <w:pPr>
        <w:rPr>
          <w:lang w:val="fr-FR"/>
        </w:rPr>
      </w:pPr>
      <w:r w:rsidRPr="00A97410">
        <w:rPr>
          <w:lang w:val="fr-FR"/>
        </w:rPr>
        <w:t>2</w:t>
      </w:r>
      <w:r w:rsidRPr="00A97410">
        <w:rPr>
          <w:lang w:val="fr-FR"/>
        </w:rPr>
        <w:tab/>
      </w:r>
      <w:r w:rsidR="00A97410" w:rsidRPr="00A97410">
        <w:rPr>
          <w:lang w:val="fr-FR"/>
        </w:rPr>
        <w:t>de soumettre les résultats de leurs travaux au GC</w:t>
      </w:r>
      <w:r w:rsidR="00A97410">
        <w:rPr>
          <w:lang w:val="fr-FR"/>
        </w:rPr>
        <w:t>NT</w:t>
      </w:r>
      <w:r w:rsidRPr="00A97410">
        <w:rPr>
          <w:lang w:val="fr-FR"/>
        </w:rPr>
        <w:t>,</w:t>
      </w:r>
    </w:p>
    <w:p w14:paraId="798896BE" w14:textId="75800005" w:rsidR="001D6CF5" w:rsidRPr="00A97410" w:rsidRDefault="00A97410" w:rsidP="001C5436">
      <w:pPr>
        <w:pStyle w:val="Call"/>
        <w:rPr>
          <w:lang w:val="fr-FR"/>
        </w:rPr>
      </w:pPr>
      <w:r>
        <w:rPr>
          <w:lang w:val="fr-FR"/>
        </w:rPr>
        <w:t>i</w:t>
      </w:r>
      <w:r w:rsidRPr="00A97410">
        <w:rPr>
          <w:lang w:val="fr-FR"/>
        </w:rPr>
        <w:t>nvite les États Membres et le</w:t>
      </w:r>
      <w:r>
        <w:rPr>
          <w:lang w:val="fr-FR"/>
        </w:rPr>
        <w:t>s Membres de Secteur</w:t>
      </w:r>
      <w:r w:rsidR="001D6CF5" w:rsidRPr="00A97410">
        <w:rPr>
          <w:lang w:val="fr-FR"/>
        </w:rPr>
        <w:t xml:space="preserve"> </w:t>
      </w:r>
    </w:p>
    <w:p w14:paraId="080BEA58" w14:textId="526775B3" w:rsidR="001D6CF5" w:rsidRPr="00A97410" w:rsidRDefault="00406C57" w:rsidP="001C5436">
      <w:pPr>
        <w:rPr>
          <w:lang w:val="fr-FR"/>
        </w:rPr>
      </w:pPr>
      <w:r>
        <w:rPr>
          <w:lang w:val="fr-FR"/>
        </w:rPr>
        <w:t>à</w:t>
      </w:r>
      <w:r w:rsidR="00A97410" w:rsidRPr="00A97410">
        <w:rPr>
          <w:lang w:val="fr-FR"/>
        </w:rPr>
        <w:t xml:space="preserve"> participer et </w:t>
      </w:r>
      <w:r>
        <w:rPr>
          <w:lang w:val="fr-FR"/>
        </w:rPr>
        <w:t>à</w:t>
      </w:r>
      <w:r w:rsidR="00A97410" w:rsidRPr="00A97410">
        <w:rPr>
          <w:lang w:val="fr-FR"/>
        </w:rPr>
        <w:t xml:space="preserve"> contribuer au processus d</w:t>
      </w:r>
      <w:r w:rsidR="001C5436">
        <w:rPr>
          <w:lang w:val="fr-FR"/>
        </w:rPr>
        <w:t>'</w:t>
      </w:r>
      <w:r w:rsidR="00A97410" w:rsidRPr="00A97410">
        <w:rPr>
          <w:lang w:val="fr-FR"/>
        </w:rPr>
        <w:t>ex</w:t>
      </w:r>
      <w:r w:rsidR="00A97410">
        <w:rPr>
          <w:lang w:val="fr-FR"/>
        </w:rPr>
        <w:t>amen</w:t>
      </w:r>
      <w:r w:rsidR="001D6CF5" w:rsidRPr="00A97410">
        <w:rPr>
          <w:lang w:val="fr-FR"/>
        </w:rPr>
        <w:t>.</w:t>
      </w:r>
    </w:p>
    <w:p w14:paraId="71CA018D" w14:textId="77777777" w:rsidR="001D6CF5" w:rsidRPr="00A97410" w:rsidRDefault="001D6CF5" w:rsidP="00DE7B41">
      <w:pPr>
        <w:pStyle w:val="Reasons"/>
        <w:spacing w:line="480" w:lineRule="auto"/>
        <w:rPr>
          <w:lang w:val="fr-FR"/>
        </w:rPr>
      </w:pPr>
    </w:p>
    <w:p w14:paraId="6DAA6266" w14:textId="77777777" w:rsidR="001D6CF5" w:rsidRPr="00A97410" w:rsidRDefault="001D6CF5" w:rsidP="00DE7B41">
      <w:pPr>
        <w:spacing w:line="480" w:lineRule="auto"/>
        <w:jc w:val="center"/>
        <w:rPr>
          <w:lang w:val="fr-FR"/>
        </w:rPr>
      </w:pPr>
      <w:r w:rsidRPr="00A97410">
        <w:rPr>
          <w:lang w:val="fr-FR"/>
        </w:rPr>
        <w:t>______________</w:t>
      </w:r>
    </w:p>
    <w:sectPr w:rsidR="001D6CF5" w:rsidRPr="00A97410">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0E239" w14:textId="77777777" w:rsidR="005A0BC8" w:rsidRDefault="005A0BC8">
      <w:r>
        <w:separator/>
      </w:r>
    </w:p>
  </w:endnote>
  <w:endnote w:type="continuationSeparator" w:id="0">
    <w:p w14:paraId="396B80E3"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F3CAA" w14:textId="77777777" w:rsidR="00E45D05" w:rsidRDefault="00E45D05">
    <w:pPr>
      <w:framePr w:wrap="around" w:vAnchor="text" w:hAnchor="margin" w:xAlign="right" w:y="1"/>
    </w:pPr>
    <w:r>
      <w:fldChar w:fldCharType="begin"/>
    </w:r>
    <w:r>
      <w:instrText xml:space="preserve">PAGE  </w:instrText>
    </w:r>
    <w:r>
      <w:fldChar w:fldCharType="end"/>
    </w:r>
  </w:p>
  <w:p w14:paraId="16D718B5" w14:textId="699BB860" w:rsidR="00E45D05" w:rsidRPr="008C5D88" w:rsidRDefault="00E45D05">
    <w:pPr>
      <w:ind w:right="360"/>
      <w:rPr>
        <w:lang w:val="fr-FR"/>
      </w:rPr>
    </w:pPr>
    <w:r>
      <w:fldChar w:fldCharType="begin"/>
    </w:r>
    <w:r w:rsidRPr="008C5D88">
      <w:rPr>
        <w:lang w:val="fr-FR"/>
      </w:rPr>
      <w:instrText xml:space="preserve"> FILENAME \p  \* MERGEFORMAT </w:instrText>
    </w:r>
    <w:r>
      <w:fldChar w:fldCharType="separate"/>
    </w:r>
    <w:r w:rsidR="008C5D88" w:rsidRPr="008C5D88">
      <w:rPr>
        <w:noProof/>
        <w:lang w:val="fr-FR"/>
      </w:rPr>
      <w:t>P:\FRA\ITU-T\CONF-T\WTSA20\000\036ADD32F.docx</w:t>
    </w:r>
    <w:r>
      <w:fldChar w:fldCharType="end"/>
    </w:r>
    <w:r w:rsidRPr="008C5D88">
      <w:rPr>
        <w:lang w:val="fr-FR"/>
      </w:rPr>
      <w:tab/>
    </w:r>
    <w:r>
      <w:fldChar w:fldCharType="begin"/>
    </w:r>
    <w:r>
      <w:instrText xml:space="preserve"> SAVEDATE \@ DD.MM.YY </w:instrText>
    </w:r>
    <w:r>
      <w:fldChar w:fldCharType="separate"/>
    </w:r>
    <w:r w:rsidR="008C5D88">
      <w:rPr>
        <w:noProof/>
      </w:rPr>
      <w:t>08.02.22</w:t>
    </w:r>
    <w:r>
      <w:fldChar w:fldCharType="end"/>
    </w:r>
    <w:r w:rsidRPr="008C5D88">
      <w:rPr>
        <w:lang w:val="fr-FR"/>
      </w:rPr>
      <w:tab/>
    </w:r>
    <w:r>
      <w:fldChar w:fldCharType="begin"/>
    </w:r>
    <w:r>
      <w:instrText xml:space="preserve"> PRINTDATE \@ DD.MM.YY </w:instrText>
    </w:r>
    <w:r>
      <w:fldChar w:fldCharType="separate"/>
    </w:r>
    <w:r w:rsidR="008C5D88">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2B2D8" w14:textId="2ED8DF8D" w:rsidR="001C5436" w:rsidRPr="000C0A69" w:rsidRDefault="001C5436" w:rsidP="001C5436">
    <w:pPr>
      <w:pStyle w:val="Footer"/>
      <w:rPr>
        <w:lang w:val="fr-FR"/>
      </w:rPr>
    </w:pPr>
    <w:r>
      <w:fldChar w:fldCharType="begin"/>
    </w:r>
    <w:r w:rsidRPr="001C5436">
      <w:rPr>
        <w:lang w:val="fr-FR"/>
      </w:rPr>
      <w:instrText xml:space="preserve"> FILENAME \p  \* MERGEFORMAT </w:instrText>
    </w:r>
    <w:r>
      <w:fldChar w:fldCharType="separate"/>
    </w:r>
    <w:r w:rsidR="008C5D88">
      <w:rPr>
        <w:lang w:val="fr-FR"/>
      </w:rPr>
      <w:t>P:\FRA\ITU-T\CONF-T\WTSA20\000\036ADD32F.docx</w:t>
    </w:r>
    <w:r>
      <w:fldChar w:fldCharType="end"/>
    </w:r>
    <w:r w:rsidRPr="000C0A69">
      <w:rPr>
        <w:lang w:val="fr-FR"/>
      </w:rPr>
      <w:t xml:space="preserve"> (501386)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2CA89" w14:textId="45A7F399" w:rsidR="00DE7B41" w:rsidRPr="000C0A69" w:rsidRDefault="001C5436" w:rsidP="001C5436">
    <w:pPr>
      <w:pStyle w:val="Footer"/>
      <w:rPr>
        <w:lang w:val="fr-FR"/>
      </w:rPr>
    </w:pPr>
    <w:r>
      <w:fldChar w:fldCharType="begin"/>
    </w:r>
    <w:r w:rsidRPr="001C5436">
      <w:rPr>
        <w:lang w:val="fr-FR"/>
      </w:rPr>
      <w:instrText xml:space="preserve"> FILENAME \p  \* MERGEFORMAT </w:instrText>
    </w:r>
    <w:r>
      <w:fldChar w:fldCharType="separate"/>
    </w:r>
    <w:r w:rsidR="008C5D88">
      <w:rPr>
        <w:lang w:val="fr-FR"/>
      </w:rPr>
      <w:t>P:\FRA\ITU-T\CONF-T\WTSA20\000\036ADD32F.docx</w:t>
    </w:r>
    <w:r>
      <w:fldChar w:fldCharType="end"/>
    </w:r>
    <w:r w:rsidRPr="000C0A69">
      <w:rPr>
        <w:lang w:val="fr-FR"/>
      </w:rPr>
      <w:t xml:space="preserve"> </w:t>
    </w:r>
    <w:r w:rsidR="00DE7B41" w:rsidRPr="000C0A69">
      <w:rPr>
        <w:lang w:val="fr-FR"/>
      </w:rPr>
      <w:t>(501386)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E12BD" w14:textId="77777777" w:rsidR="005A0BC8" w:rsidRDefault="005A0BC8">
      <w:r>
        <w:rPr>
          <w:b/>
        </w:rPr>
        <w:t>_______________</w:t>
      </w:r>
    </w:p>
  </w:footnote>
  <w:footnote w:type="continuationSeparator" w:id="0">
    <w:p w14:paraId="01C60E9A" w14:textId="77777777" w:rsidR="005A0BC8" w:rsidRDefault="005A0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FE822" w14:textId="5997CA2F" w:rsidR="00DE7B41" w:rsidRDefault="00DE7B41" w:rsidP="00DE7B41">
    <w:pPr>
      <w:pStyle w:val="Header"/>
    </w:pPr>
    <w:r>
      <w:fldChar w:fldCharType="begin"/>
    </w:r>
    <w:r>
      <w:instrText xml:space="preserve"> PAGE </w:instrText>
    </w:r>
    <w:r>
      <w:fldChar w:fldCharType="separate"/>
    </w:r>
    <w:r w:rsidR="008C5D88">
      <w:rPr>
        <w:noProof/>
      </w:rPr>
      <w:t>4</w:t>
    </w:r>
    <w:r>
      <w:fldChar w:fldCharType="end"/>
    </w:r>
  </w:p>
  <w:p w14:paraId="62AB911C" w14:textId="4017CAE8" w:rsidR="00987C1F" w:rsidRDefault="00DE7B41" w:rsidP="00DE7B41">
    <w:pPr>
      <w:pStyle w:val="Header"/>
    </w:pPr>
    <w:r>
      <w:t>Addendum</w:t>
    </w:r>
    <w:r w:rsidR="000F30AA">
      <w:t xml:space="preserve"> </w:t>
    </w:r>
    <w:r>
      <w:t>32</w:t>
    </w:r>
    <w:r w:rsidR="000F30AA">
      <w:t xml:space="preserve"> </w:t>
    </w:r>
    <w:r>
      <w:t>au</w:t>
    </w:r>
  </w:p>
  <w:p w14:paraId="720F9397" w14:textId="22B8F86E" w:rsidR="00DE7B41" w:rsidRDefault="00DE7B41" w:rsidP="001C5436">
    <w:pPr>
      <w:pStyle w:val="Header"/>
      <w:spacing w:after="240"/>
    </w:pPr>
    <w:r>
      <w:t>Document</w:t>
    </w:r>
    <w:r w:rsidR="000F30AA">
      <w:t xml:space="preserve"> </w:t>
    </w:r>
    <w:r>
      <w:t>36-F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activeWritingStyle w:appName="MSWord" w:lang="fr-FR" w:vendorID="64" w:dllVersion="131078" w:nlCheck="1" w:checkStyle="0"/>
  <w:activeWritingStyle w:appName="MSWord" w:lang="fr-CH"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054254B-8C72-4C71-A3A4-3BD7926EE619}"/>
    <w:docVar w:name="dgnword-eventsink" w:val="2472124240656"/>
  </w:docVars>
  <w:rsids>
    <w:rsidRoot w:val="00B31EF6"/>
    <w:rsid w:val="000032AD"/>
    <w:rsid w:val="000041EA"/>
    <w:rsid w:val="00022A29"/>
    <w:rsid w:val="000355FD"/>
    <w:rsid w:val="00051E39"/>
    <w:rsid w:val="000736A1"/>
    <w:rsid w:val="00077239"/>
    <w:rsid w:val="00081194"/>
    <w:rsid w:val="00086491"/>
    <w:rsid w:val="00091346"/>
    <w:rsid w:val="0009706C"/>
    <w:rsid w:val="000A14AF"/>
    <w:rsid w:val="000C0A69"/>
    <w:rsid w:val="000E05BB"/>
    <w:rsid w:val="000F30AA"/>
    <w:rsid w:val="000F73FF"/>
    <w:rsid w:val="00114CF7"/>
    <w:rsid w:val="00123B68"/>
    <w:rsid w:val="00126F2E"/>
    <w:rsid w:val="00146F6F"/>
    <w:rsid w:val="00153859"/>
    <w:rsid w:val="001566EF"/>
    <w:rsid w:val="00164C14"/>
    <w:rsid w:val="00187BD9"/>
    <w:rsid w:val="00190B55"/>
    <w:rsid w:val="001978FA"/>
    <w:rsid w:val="001A0F27"/>
    <w:rsid w:val="001C3B5F"/>
    <w:rsid w:val="001C5436"/>
    <w:rsid w:val="001D058F"/>
    <w:rsid w:val="001D581B"/>
    <w:rsid w:val="001D6CF5"/>
    <w:rsid w:val="001D77E9"/>
    <w:rsid w:val="001E1430"/>
    <w:rsid w:val="002009EA"/>
    <w:rsid w:val="00202CA0"/>
    <w:rsid w:val="002159FC"/>
    <w:rsid w:val="00216B6D"/>
    <w:rsid w:val="00230579"/>
    <w:rsid w:val="00250AF4"/>
    <w:rsid w:val="00271316"/>
    <w:rsid w:val="002728A0"/>
    <w:rsid w:val="002A700E"/>
    <w:rsid w:val="002B2A75"/>
    <w:rsid w:val="002D4D50"/>
    <w:rsid w:val="002D58BE"/>
    <w:rsid w:val="002E210D"/>
    <w:rsid w:val="003236A6"/>
    <w:rsid w:val="00332C56"/>
    <w:rsid w:val="00345A52"/>
    <w:rsid w:val="003468BE"/>
    <w:rsid w:val="00377BD3"/>
    <w:rsid w:val="003832C0"/>
    <w:rsid w:val="00384088"/>
    <w:rsid w:val="0039169B"/>
    <w:rsid w:val="003A61C1"/>
    <w:rsid w:val="003A6405"/>
    <w:rsid w:val="003A6437"/>
    <w:rsid w:val="003A7F8C"/>
    <w:rsid w:val="003B532E"/>
    <w:rsid w:val="003D0F8B"/>
    <w:rsid w:val="003D3F98"/>
    <w:rsid w:val="004054F5"/>
    <w:rsid w:val="00406C57"/>
    <w:rsid w:val="00406EDF"/>
    <w:rsid w:val="004079B0"/>
    <w:rsid w:val="0041348E"/>
    <w:rsid w:val="00417AD4"/>
    <w:rsid w:val="00444030"/>
    <w:rsid w:val="00445297"/>
    <w:rsid w:val="004508E2"/>
    <w:rsid w:val="00476533"/>
    <w:rsid w:val="00492075"/>
    <w:rsid w:val="004969AD"/>
    <w:rsid w:val="004A26C4"/>
    <w:rsid w:val="004B13CB"/>
    <w:rsid w:val="004B35D2"/>
    <w:rsid w:val="004D5D5C"/>
    <w:rsid w:val="004E42A3"/>
    <w:rsid w:val="0050139F"/>
    <w:rsid w:val="00526703"/>
    <w:rsid w:val="00530525"/>
    <w:rsid w:val="0055140B"/>
    <w:rsid w:val="00556F6A"/>
    <w:rsid w:val="00564EE8"/>
    <w:rsid w:val="00595780"/>
    <w:rsid w:val="005964AB"/>
    <w:rsid w:val="005A0BC8"/>
    <w:rsid w:val="005C099A"/>
    <w:rsid w:val="005C31A5"/>
    <w:rsid w:val="005E10C9"/>
    <w:rsid w:val="005E28A3"/>
    <w:rsid w:val="005E54E7"/>
    <w:rsid w:val="005E61DD"/>
    <w:rsid w:val="006023DF"/>
    <w:rsid w:val="00657DE0"/>
    <w:rsid w:val="00685313"/>
    <w:rsid w:val="0069092B"/>
    <w:rsid w:val="00692833"/>
    <w:rsid w:val="006A6E9B"/>
    <w:rsid w:val="006B249F"/>
    <w:rsid w:val="006B7C2A"/>
    <w:rsid w:val="006C23DA"/>
    <w:rsid w:val="006D2046"/>
    <w:rsid w:val="006E013B"/>
    <w:rsid w:val="006E3D45"/>
    <w:rsid w:val="006F580E"/>
    <w:rsid w:val="007149F9"/>
    <w:rsid w:val="00733A30"/>
    <w:rsid w:val="00736521"/>
    <w:rsid w:val="00745AEE"/>
    <w:rsid w:val="00750F10"/>
    <w:rsid w:val="00763752"/>
    <w:rsid w:val="007742CA"/>
    <w:rsid w:val="00790D70"/>
    <w:rsid w:val="007A1045"/>
    <w:rsid w:val="007A3B1C"/>
    <w:rsid w:val="007D5320"/>
    <w:rsid w:val="008006C5"/>
    <w:rsid w:val="00800972"/>
    <w:rsid w:val="00804475"/>
    <w:rsid w:val="00811633"/>
    <w:rsid w:val="00813B79"/>
    <w:rsid w:val="00864CD2"/>
    <w:rsid w:val="00872FC8"/>
    <w:rsid w:val="00876ED2"/>
    <w:rsid w:val="008845D0"/>
    <w:rsid w:val="008A69FB"/>
    <w:rsid w:val="008B1AEA"/>
    <w:rsid w:val="008B43F2"/>
    <w:rsid w:val="008B6CFF"/>
    <w:rsid w:val="008C27E9"/>
    <w:rsid w:val="008C5D88"/>
    <w:rsid w:val="008C6BAA"/>
    <w:rsid w:val="009019FD"/>
    <w:rsid w:val="0092425C"/>
    <w:rsid w:val="009274B4"/>
    <w:rsid w:val="00932A85"/>
    <w:rsid w:val="00934EA2"/>
    <w:rsid w:val="00940614"/>
    <w:rsid w:val="00944A5C"/>
    <w:rsid w:val="00952A66"/>
    <w:rsid w:val="00957670"/>
    <w:rsid w:val="009734AC"/>
    <w:rsid w:val="00987C1F"/>
    <w:rsid w:val="009C259E"/>
    <w:rsid w:val="009C3191"/>
    <w:rsid w:val="009C56E5"/>
    <w:rsid w:val="009E5FC8"/>
    <w:rsid w:val="009E687A"/>
    <w:rsid w:val="009F63E2"/>
    <w:rsid w:val="00A066F1"/>
    <w:rsid w:val="00A141AF"/>
    <w:rsid w:val="00A16D29"/>
    <w:rsid w:val="00A16FCA"/>
    <w:rsid w:val="00A30305"/>
    <w:rsid w:val="00A31D2D"/>
    <w:rsid w:val="00A4071B"/>
    <w:rsid w:val="00A4600A"/>
    <w:rsid w:val="00A538A6"/>
    <w:rsid w:val="00A54C25"/>
    <w:rsid w:val="00A710E7"/>
    <w:rsid w:val="00A7372E"/>
    <w:rsid w:val="00A76E35"/>
    <w:rsid w:val="00A811DC"/>
    <w:rsid w:val="00A90939"/>
    <w:rsid w:val="00A93B85"/>
    <w:rsid w:val="00A94A88"/>
    <w:rsid w:val="00A97410"/>
    <w:rsid w:val="00AA0B18"/>
    <w:rsid w:val="00AA666F"/>
    <w:rsid w:val="00AB5A50"/>
    <w:rsid w:val="00AB7C5F"/>
    <w:rsid w:val="00B31EF6"/>
    <w:rsid w:val="00B429A1"/>
    <w:rsid w:val="00B6123B"/>
    <w:rsid w:val="00B639E9"/>
    <w:rsid w:val="00B817CD"/>
    <w:rsid w:val="00B8287B"/>
    <w:rsid w:val="00B94AD0"/>
    <w:rsid w:val="00BA2007"/>
    <w:rsid w:val="00BA5265"/>
    <w:rsid w:val="00BB2F23"/>
    <w:rsid w:val="00BB3A95"/>
    <w:rsid w:val="00BB6D50"/>
    <w:rsid w:val="00BC2CCD"/>
    <w:rsid w:val="00BD5CB5"/>
    <w:rsid w:val="00BF3F06"/>
    <w:rsid w:val="00C0018F"/>
    <w:rsid w:val="00C16A5A"/>
    <w:rsid w:val="00C20466"/>
    <w:rsid w:val="00C214ED"/>
    <w:rsid w:val="00C234E6"/>
    <w:rsid w:val="00C26BA2"/>
    <w:rsid w:val="00C324A8"/>
    <w:rsid w:val="00C54517"/>
    <w:rsid w:val="00C61EE2"/>
    <w:rsid w:val="00C64CD8"/>
    <w:rsid w:val="00C72D1B"/>
    <w:rsid w:val="00C94561"/>
    <w:rsid w:val="00C97C68"/>
    <w:rsid w:val="00CA1A47"/>
    <w:rsid w:val="00CC247A"/>
    <w:rsid w:val="00CE36EA"/>
    <w:rsid w:val="00CE388F"/>
    <w:rsid w:val="00CE5E47"/>
    <w:rsid w:val="00CF020F"/>
    <w:rsid w:val="00CF1E9D"/>
    <w:rsid w:val="00CF2532"/>
    <w:rsid w:val="00CF2B5B"/>
    <w:rsid w:val="00D14CE0"/>
    <w:rsid w:val="00D300B0"/>
    <w:rsid w:val="00D3560A"/>
    <w:rsid w:val="00D54009"/>
    <w:rsid w:val="00D5651D"/>
    <w:rsid w:val="00D57A34"/>
    <w:rsid w:val="00D6112A"/>
    <w:rsid w:val="00D65AFE"/>
    <w:rsid w:val="00D74898"/>
    <w:rsid w:val="00D801ED"/>
    <w:rsid w:val="00D82088"/>
    <w:rsid w:val="00D9056B"/>
    <w:rsid w:val="00D936BC"/>
    <w:rsid w:val="00D96530"/>
    <w:rsid w:val="00DD44AF"/>
    <w:rsid w:val="00DE2AC3"/>
    <w:rsid w:val="00DE5692"/>
    <w:rsid w:val="00DE7B41"/>
    <w:rsid w:val="00E03C94"/>
    <w:rsid w:val="00E07AF5"/>
    <w:rsid w:val="00E11197"/>
    <w:rsid w:val="00E14E2A"/>
    <w:rsid w:val="00E26226"/>
    <w:rsid w:val="00E341B0"/>
    <w:rsid w:val="00E45D05"/>
    <w:rsid w:val="00E55816"/>
    <w:rsid w:val="00E55AEF"/>
    <w:rsid w:val="00E84ED7"/>
    <w:rsid w:val="00E917FD"/>
    <w:rsid w:val="00E976C1"/>
    <w:rsid w:val="00EA12E5"/>
    <w:rsid w:val="00EB0051"/>
    <w:rsid w:val="00EB55C6"/>
    <w:rsid w:val="00EF2B09"/>
    <w:rsid w:val="00F02766"/>
    <w:rsid w:val="00F05BD4"/>
    <w:rsid w:val="00F6155B"/>
    <w:rsid w:val="00F65C19"/>
    <w:rsid w:val="00F7356B"/>
    <w:rsid w:val="00F776DF"/>
    <w:rsid w:val="00F840C7"/>
    <w:rsid w:val="00FA771F"/>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B895FFA"/>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link w:val="CallChar"/>
    <w:uiPriority w:val="99"/>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styleId="Hyperlink">
    <w:name w:val="Hyperlink"/>
    <w:basedOn w:val="DefaultParagraphFont"/>
    <w:uiPriority w:val="99"/>
    <w:semiHidden/>
    <w:unhideWhenUsed/>
    <w:rPr>
      <w:color w:val="0000FF" w:themeColor="hyperlink"/>
      <w:u w:val="single"/>
    </w:rPr>
  </w:style>
  <w:style w:type="character" w:customStyle="1" w:styleId="CallChar">
    <w:name w:val="Call Char"/>
    <w:link w:val="Call"/>
    <w:uiPriority w:val="99"/>
    <w:rsid w:val="00C61EE2"/>
    <w:rPr>
      <w:rFonts w:ascii="Times New Roman" w:hAnsi="Times New Roman"/>
      <w:i/>
      <w:sz w:val="24"/>
      <w:lang w:val="en-GB" w:eastAsia="en-US"/>
    </w:rPr>
  </w:style>
  <w:style w:type="paragraph" w:styleId="ListParagraph">
    <w:name w:val="List Paragraph"/>
    <w:basedOn w:val="Normal"/>
    <w:uiPriority w:val="34"/>
    <w:qFormat/>
    <w:rsid w:val="006D2046"/>
    <w:pPr>
      <w:ind w:left="720"/>
      <w:contextualSpacing/>
    </w:pPr>
  </w:style>
  <w:style w:type="paragraph" w:styleId="Revision">
    <w:name w:val="Revision"/>
    <w:hidden/>
    <w:uiPriority w:val="99"/>
    <w:semiHidden/>
    <w:rsid w:val="005E54E7"/>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aa6cbcb-4846-436a-a7cb-59d8b807d319" targetNamespace="http://schemas.microsoft.com/office/2006/metadata/properties" ma:root="true" ma:fieldsID="d41af5c836d734370eb92e7ee5f83852" ns2:_="" ns3:_="">
    <xsd:import namespace="996b2e75-67fd-4955-a3b0-5ab9934cb50b"/>
    <xsd:import namespace="faa6cbcb-4846-436a-a7cb-59d8b807d31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aa6cbcb-4846-436a-a7cb-59d8b807d31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faa6cbcb-4846-436a-a7cb-59d8b807d319">DPM</DPM_x0020_Author>
    <DPM_x0020_File_x0020_name xmlns="faa6cbcb-4846-436a-a7cb-59d8b807d319">T17-WTSA.20-C-0036!A32!MSW-F</DPM_x0020_File_x0020_name>
    <DPM_x0020_Version xmlns="faa6cbcb-4846-436a-a7cb-59d8b807d319">DPM_2019.11.13.01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aa6cbcb-4846-436a-a7cb-59d8b807d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schemas.microsoft.com/office/2006/documentManagement/types"/>
    <ds:schemaRef ds:uri="996b2e75-67fd-4955-a3b0-5ab9934cb50b"/>
    <ds:schemaRef ds:uri="http://schemas.openxmlformats.org/package/2006/metadata/core-properties"/>
    <ds:schemaRef ds:uri="http://schemas.microsoft.com/office/2006/metadata/properties"/>
    <ds:schemaRef ds:uri="http://purl.org/dc/dcmitype/"/>
    <ds:schemaRef ds:uri="http://purl.org/dc/elements/1.1/"/>
    <ds:schemaRef ds:uri="http://schemas.microsoft.com/office/infopath/2007/PartnerControls"/>
    <ds:schemaRef ds:uri="faa6cbcb-4846-436a-a7cb-59d8b807d319"/>
    <ds:schemaRef ds:uri="http://www.w3.org/XML/1998/namespace"/>
  </ds:schemaRefs>
</ds:datastoreItem>
</file>

<file path=customXml/itemProps3.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4.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E15DFF-FBBC-4EE8-B2BB-C34E93653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918</Words>
  <Characters>5392</Characters>
  <Application>Microsoft Office Word</Application>
  <DocSecurity>0</DocSecurity>
  <Lines>2696</Lines>
  <Paragraphs>157</Paragraphs>
  <ScaleCrop>false</ScaleCrop>
  <HeadingPairs>
    <vt:vector size="2" baseType="variant">
      <vt:variant>
        <vt:lpstr>Title</vt:lpstr>
      </vt:variant>
      <vt:variant>
        <vt:i4>1</vt:i4>
      </vt:variant>
    </vt:vector>
  </HeadingPairs>
  <TitlesOfParts>
    <vt:vector size="1" baseType="lpstr">
      <vt:lpstr>T17-WTSA.20-C-0036!A32!MSW-F</vt:lpstr>
    </vt:vector>
  </TitlesOfParts>
  <Manager>General Secretariat - Pool</Manager>
  <Company>International Telecommunication Union (ITU)</Company>
  <LinksUpToDate>false</LinksUpToDate>
  <CharactersWithSpaces>6153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T17-WTSA.20-C-0036!A32!MSW-F</dc:title>
  <dc:subject>World Telecommunication Standardization Assembly</dc:subject>
  <dc:creator>Documents Proposals Manager (DPM)</dc:creator>
  <cp:keywords>DPM_v2022.1.20.1_prod</cp:keywords>
  <dc:description>Template used by DPM and CPI for the WTSA-16</dc:description>
  <cp:lastModifiedBy>Royer, Veronique</cp:lastModifiedBy>
  <cp:revision>4</cp:revision>
  <cp:lastPrinted>2016-06-07T13:22:00Z</cp:lastPrinted>
  <dcterms:created xsi:type="dcterms:W3CDTF">2022-02-08T08:16:00Z</dcterms:created>
  <dcterms:modified xsi:type="dcterms:W3CDTF">2022-02-08T08:32:00Z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