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5A64A7" w:rsidRPr="0037415F" w14:paraId="491BEE0C" w14:textId="77777777" w:rsidTr="003D6C8C">
        <w:trPr>
          <w:cantSplit/>
          <w:jc w:val="center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672A6659" w14:textId="77777777" w:rsidR="005A64A7" w:rsidRPr="00567F52" w:rsidRDefault="005A64A7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383EE62" wp14:editId="03C5BDB2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5BBF5846" w14:textId="77777777" w:rsidR="005A64A7" w:rsidRPr="00F70513" w:rsidRDefault="005A64A7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057C4F48" w14:textId="77777777" w:rsidR="005A64A7" w:rsidRPr="006264C9" w:rsidRDefault="005A64A7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31012A2" w14:textId="77777777" w:rsidR="005A64A7" w:rsidRPr="007F664D" w:rsidRDefault="005A64A7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14:paraId="60FD0993" w14:textId="72D857CA" w:rsidR="005A64A7" w:rsidRPr="00722F2F" w:rsidRDefault="005A64A7" w:rsidP="005A64A7">
            <w:pPr>
              <w:pStyle w:val="Docnumber"/>
            </w:pPr>
            <w:r w:rsidRPr="00722F2F">
              <w:rPr>
                <w:noProof/>
              </w:rPr>
              <w:t>TSAG</w:t>
            </w:r>
            <w:r w:rsidRPr="00722F2F">
              <w:t>-</w:t>
            </w:r>
            <w:proofErr w:type="spellStart"/>
            <w:r w:rsidRPr="00722F2F">
              <w:t>C</w:t>
            </w:r>
            <w:r w:rsidR="00723636">
              <w:t>078</w:t>
            </w:r>
            <w:proofErr w:type="spellEnd"/>
          </w:p>
        </w:tc>
      </w:tr>
      <w:tr w:rsidR="005A64A7" w:rsidRPr="0095099F" w14:paraId="27047D3B" w14:textId="77777777" w:rsidTr="003D6C8C">
        <w:trPr>
          <w:cantSplit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A37501D" w14:textId="77777777" w:rsidR="005A64A7" w:rsidRPr="00072A4E" w:rsidRDefault="005A64A7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5DAB6C7B" w14:textId="77777777" w:rsidR="005A64A7" w:rsidRPr="00072A4E" w:rsidRDefault="005A64A7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14:paraId="73CCB08D" w14:textId="77777777" w:rsidR="005A64A7" w:rsidRPr="00722F2F" w:rsidRDefault="005A64A7" w:rsidP="00FD35D4">
            <w:pPr>
              <w:pStyle w:val="TSBHeaderRight14"/>
            </w:pPr>
            <w:r w:rsidRPr="00722F2F">
              <w:rPr>
                <w:noProof/>
              </w:rPr>
              <w:t>TSAG</w:t>
            </w:r>
            <w:r w:rsidRPr="00722F2F">
              <w:t xml:space="preserve"> </w:t>
            </w:r>
          </w:p>
        </w:tc>
      </w:tr>
      <w:tr w:rsidR="005A64A7" w:rsidRPr="0037415F" w14:paraId="24ED268E" w14:textId="77777777" w:rsidTr="003D6C8C">
        <w:trPr>
          <w:cantSplit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2EB378F" w14:textId="77777777" w:rsidR="005A64A7" w:rsidRPr="0037415F" w:rsidRDefault="005A64A7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6A05A809" w14:textId="77777777" w:rsidR="005A64A7" w:rsidRPr="0037415F" w:rsidRDefault="005A64A7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  <w:vAlign w:val="center"/>
          </w:tcPr>
          <w:p w14:paraId="0B1DA3DE" w14:textId="77777777" w:rsidR="005A64A7" w:rsidRPr="00722F2F" w:rsidRDefault="005A64A7" w:rsidP="006F4361">
            <w:pPr>
              <w:pStyle w:val="TSBHeaderRight14"/>
            </w:pPr>
            <w:r w:rsidRPr="00722F2F">
              <w:t>Original: English</w:t>
            </w:r>
          </w:p>
        </w:tc>
      </w:tr>
      <w:tr w:rsidR="005A64A7" w:rsidRPr="00722F2F" w14:paraId="0C934A69" w14:textId="77777777" w:rsidTr="6DE77F34">
        <w:trPr>
          <w:cantSplit/>
          <w:jc w:val="center"/>
        </w:trPr>
        <w:tc>
          <w:tcPr>
            <w:tcW w:w="1418" w:type="dxa"/>
            <w:gridSpan w:val="2"/>
          </w:tcPr>
          <w:p w14:paraId="555A6758" w14:textId="77777777" w:rsidR="005A64A7" w:rsidRPr="0037415F" w:rsidRDefault="005A64A7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14:paraId="1039805C" w14:textId="77777777" w:rsidR="005A64A7" w:rsidRPr="00FA2E6D" w:rsidRDefault="00BE4085" w:rsidP="002534C9">
            <w:pPr>
              <w:pStyle w:val="TSBHeaderQuestion"/>
              <w:rPr>
                <w:highlight w:val="yellow"/>
              </w:rPr>
            </w:pPr>
            <w:r w:rsidRPr="00BE4085">
              <w:rPr>
                <w:noProof/>
              </w:rPr>
              <w:t>PLEN</w:t>
            </w:r>
          </w:p>
        </w:tc>
        <w:tc>
          <w:tcPr>
            <w:tcW w:w="4395" w:type="dxa"/>
            <w:gridSpan w:val="2"/>
          </w:tcPr>
          <w:p w14:paraId="311E1081" w14:textId="77777777" w:rsidR="005A64A7" w:rsidRPr="00722F2F" w:rsidRDefault="008072ED" w:rsidP="0081064E">
            <w:pPr>
              <w:pStyle w:val="VenueDate"/>
            </w:pPr>
            <w:r w:rsidRPr="00722F2F">
              <w:t>Geneva</w:t>
            </w:r>
            <w:r w:rsidR="005A64A7" w:rsidRPr="00722F2F">
              <w:t xml:space="preserve">, </w:t>
            </w:r>
            <w:r w:rsidRPr="00722F2F">
              <w:t>22</w:t>
            </w:r>
            <w:r w:rsidR="005A64A7" w:rsidRPr="00722F2F">
              <w:t>-</w:t>
            </w:r>
            <w:r w:rsidRPr="00722F2F">
              <w:t>26</w:t>
            </w:r>
            <w:r w:rsidR="005A64A7" w:rsidRPr="00722F2F">
              <w:t xml:space="preserve"> </w:t>
            </w:r>
            <w:r w:rsidR="00722F2F" w:rsidRPr="00722F2F">
              <w:t>Jan</w:t>
            </w:r>
            <w:r w:rsidR="00E87148">
              <w:t>uary</w:t>
            </w:r>
            <w:r w:rsidR="005A64A7" w:rsidRPr="00722F2F">
              <w:t xml:space="preserve"> </w:t>
            </w:r>
            <w:r w:rsidR="00722F2F" w:rsidRPr="00722F2F">
              <w:t>2024</w:t>
            </w:r>
          </w:p>
        </w:tc>
      </w:tr>
      <w:tr w:rsidR="005A64A7" w:rsidRPr="00A4045F" w14:paraId="5A24468D" w14:textId="77777777" w:rsidTr="6DE77F34">
        <w:trPr>
          <w:cantSplit/>
          <w:jc w:val="center"/>
        </w:trPr>
        <w:tc>
          <w:tcPr>
            <w:tcW w:w="9640" w:type="dxa"/>
            <w:gridSpan w:val="6"/>
          </w:tcPr>
          <w:p w14:paraId="3BB8ADB7" w14:textId="77777777" w:rsidR="005A64A7" w:rsidRPr="002534C9" w:rsidRDefault="005A64A7" w:rsidP="0095099F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5A64A7" w:rsidRPr="0037415F" w14:paraId="1F18DC0C" w14:textId="77777777" w:rsidTr="6DE77F34">
        <w:trPr>
          <w:cantSplit/>
          <w:jc w:val="center"/>
        </w:trPr>
        <w:tc>
          <w:tcPr>
            <w:tcW w:w="1418" w:type="dxa"/>
            <w:gridSpan w:val="2"/>
          </w:tcPr>
          <w:p w14:paraId="5BA74EA5" w14:textId="77777777" w:rsidR="005A64A7" w:rsidRPr="0037415F" w:rsidRDefault="005A64A7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14:paraId="6AFCE4AF" w14:textId="77777777" w:rsidR="005A64A7" w:rsidRPr="00CE51D1" w:rsidRDefault="00722F2F" w:rsidP="002534C9">
            <w:pPr>
              <w:pStyle w:val="TSBHeaderSource"/>
            </w:pPr>
            <w:r w:rsidRPr="00CE51D1">
              <w:t>Japan</w:t>
            </w:r>
          </w:p>
        </w:tc>
      </w:tr>
      <w:tr w:rsidR="005A64A7" w:rsidRPr="0037415F" w14:paraId="6951C8A9" w14:textId="77777777" w:rsidTr="6DE77F34">
        <w:trPr>
          <w:cantSplit/>
          <w:jc w:val="center"/>
        </w:trPr>
        <w:tc>
          <w:tcPr>
            <w:tcW w:w="1418" w:type="dxa"/>
            <w:gridSpan w:val="2"/>
          </w:tcPr>
          <w:p w14:paraId="3728E60B" w14:textId="77777777" w:rsidR="005A64A7" w:rsidRPr="0037415F" w:rsidRDefault="005A64A7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02F04907" w14:textId="77777777" w:rsidR="005A64A7" w:rsidRPr="00CE51D1" w:rsidRDefault="00CE51D1" w:rsidP="00054813">
            <w:pPr>
              <w:pStyle w:val="TSBHeaderTitle"/>
            </w:pPr>
            <w:r w:rsidRPr="00CE51D1">
              <w:t xml:space="preserve">Proposal on ITU-T </w:t>
            </w:r>
            <w:r w:rsidR="00A0065F">
              <w:t>s</w:t>
            </w:r>
            <w:r w:rsidRPr="00CE51D1">
              <w:t xml:space="preserve">tudy </w:t>
            </w:r>
            <w:r w:rsidR="00A0065F">
              <w:t>g</w:t>
            </w:r>
            <w:r w:rsidRPr="00CE51D1">
              <w:t>roup restructuring</w:t>
            </w:r>
          </w:p>
        </w:tc>
      </w:tr>
      <w:tr w:rsidR="005A64A7" w:rsidRPr="0037415F" w14:paraId="261AFE71" w14:textId="77777777" w:rsidTr="6DE77F34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9F07A" w14:textId="77777777" w:rsidR="005A64A7" w:rsidRPr="008F7104" w:rsidRDefault="005A64A7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2EA7AFD" w14:textId="77777777" w:rsidR="005A64A7" w:rsidRPr="00E87148" w:rsidRDefault="00CE51D1" w:rsidP="00E87148">
            <w:pPr>
              <w:rPr>
                <w:highlight w:val="yellow"/>
              </w:rPr>
            </w:pPr>
            <w:r w:rsidRPr="00E87148">
              <w:t>Junichiro TOBE</w:t>
            </w:r>
            <w:r w:rsidR="00E87148" w:rsidRPr="00E87148">
              <w:br/>
              <w:t>Ministry of Internal Affairs and Communications</w:t>
            </w:r>
            <w:r w:rsidR="00E87148" w:rsidRPr="00E87148">
              <w:br/>
            </w:r>
            <w:r w:rsidRPr="00E87148">
              <w:t>Japan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7221AAB8" w14:textId="76185D12" w:rsidR="005A64A7" w:rsidRPr="00D44EEB" w:rsidRDefault="24E95BF2" w:rsidP="00B57342">
            <w:pPr>
              <w:tabs>
                <w:tab w:val="left" w:pos="794"/>
              </w:tabs>
              <w:rPr>
                <w:highlight w:val="yellow"/>
              </w:rPr>
            </w:pPr>
            <w:r>
              <w:t>E-mail:</w:t>
            </w:r>
            <w:r w:rsidR="00CE51D1">
              <w:tab/>
            </w:r>
            <w:hyperlink r:id="rId11" w:history="1">
              <w:r w:rsidR="00C26AEE" w:rsidRPr="006547C0">
                <w:rPr>
                  <w:rStyle w:val="Hyperlink"/>
                </w:rPr>
                <w:t>itu-t@ml.soumu.go.jp</w:t>
              </w:r>
            </w:hyperlink>
          </w:p>
        </w:tc>
      </w:tr>
      <w:tr w:rsidR="005A64A7" w:rsidRPr="003D6C8C" w14:paraId="00DB524C" w14:textId="77777777" w:rsidTr="6DE77F34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156575" w14:textId="77777777" w:rsidR="005A64A7" w:rsidRPr="008F7104" w:rsidRDefault="005A64A7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83F15DE" w14:textId="77777777" w:rsidR="005A64A7" w:rsidRPr="00E87148" w:rsidRDefault="00CE51D1" w:rsidP="00E87148">
            <w:pPr>
              <w:rPr>
                <w:rFonts w:eastAsia="MS Mincho"/>
              </w:rPr>
            </w:pPr>
            <w:r w:rsidRPr="00E87148">
              <w:t>Yukiko TERAYAMA</w:t>
            </w:r>
            <w:r w:rsidR="00E87148" w:rsidRPr="00E87148">
              <w:br/>
              <w:t>Ministry of Internal Affairs and Communications</w:t>
            </w:r>
            <w:r w:rsidR="00E87148" w:rsidRPr="00E87148">
              <w:br/>
              <w:t>Japan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6AC2E230" w14:textId="0423827D" w:rsidR="00CE51D1" w:rsidRPr="003D6C8C" w:rsidRDefault="24E95BF2" w:rsidP="00CE51D1">
            <w:pPr>
              <w:rPr>
                <w:rFonts w:eastAsia="MS Mincho"/>
                <w:highlight w:val="yellow"/>
                <w:lang w:val="de-DE"/>
              </w:rPr>
            </w:pPr>
            <w:r w:rsidRPr="003D6C8C">
              <w:rPr>
                <w:lang w:val="de-DE"/>
              </w:rPr>
              <w:t xml:space="preserve">E-mail: </w:t>
            </w:r>
            <w:hyperlink r:id="rId12" w:history="1">
              <w:r w:rsidR="003D6C8C" w:rsidRPr="00E93729">
                <w:rPr>
                  <w:rStyle w:val="Hyperlink"/>
                  <w:lang w:val="de-DE"/>
                </w:rPr>
                <w:t>itu-t@ml.soumu.go.jp</w:t>
              </w:r>
            </w:hyperlink>
            <w:r w:rsidR="003D6C8C">
              <w:rPr>
                <w:lang w:val="de-DE"/>
              </w:rPr>
              <w:t xml:space="preserve"> </w:t>
            </w:r>
          </w:p>
        </w:tc>
      </w:tr>
      <w:tr w:rsidR="6DE77F34" w14:paraId="0F548F56" w14:textId="77777777" w:rsidTr="6DE77F34">
        <w:trPr>
          <w:cantSplit/>
          <w:trHeight w:val="300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D2CEE77" w14:textId="2490DC42" w:rsidR="7A78AC0F" w:rsidRDefault="7A78AC0F" w:rsidP="6DE77F34">
            <w:pPr>
              <w:rPr>
                <w:rFonts w:eastAsia="Times New Roman"/>
                <w:b/>
                <w:bCs/>
              </w:rPr>
            </w:pPr>
            <w:r w:rsidRPr="6DE77F34">
              <w:rPr>
                <w:rFonts w:eastAsia="Times New Roman"/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2780320" w14:textId="252A0672" w:rsidR="7A78AC0F" w:rsidRDefault="7A78AC0F" w:rsidP="6DE77F34">
            <w:pPr>
              <w:rPr>
                <w:rFonts w:eastAsia="Times New Roman"/>
              </w:rPr>
            </w:pPr>
            <w:r w:rsidRPr="6DE77F34">
              <w:rPr>
                <w:rFonts w:eastAsia="Times New Roman"/>
              </w:rPr>
              <w:t>Satoshi MIYAJI</w:t>
            </w:r>
            <w:r>
              <w:br/>
            </w:r>
            <w:r w:rsidRPr="6DE77F34">
              <w:rPr>
                <w:rFonts w:eastAsia="Times New Roman"/>
              </w:rPr>
              <w:t>KDDI Corporation</w:t>
            </w:r>
            <w:r>
              <w:br/>
            </w:r>
            <w:r w:rsidRPr="6DE77F34">
              <w:rPr>
                <w:rFonts w:eastAsia="Times New Roman"/>
              </w:rPr>
              <w:t>Japan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74BCBFD6" w14:textId="0F0AA11F" w:rsidR="7A78AC0F" w:rsidRDefault="7A78AC0F" w:rsidP="6DE77F34">
            <w:pPr>
              <w:rPr>
                <w:rFonts w:eastAsia="Times New Roman"/>
              </w:rPr>
            </w:pPr>
            <w:r w:rsidRPr="6DE77F34">
              <w:rPr>
                <w:rFonts w:eastAsia="Times New Roman"/>
              </w:rPr>
              <w:t xml:space="preserve">Tel: </w:t>
            </w:r>
            <w:r>
              <w:tab/>
            </w:r>
            <w:r w:rsidRPr="6DE77F34">
              <w:rPr>
                <w:rFonts w:eastAsia="Times New Roman"/>
              </w:rPr>
              <w:t>+81-</w:t>
            </w:r>
            <w:r w:rsidR="00E64A4D">
              <w:rPr>
                <w:rFonts w:eastAsia="Times New Roman"/>
              </w:rPr>
              <w:t>80-5060-9134</w:t>
            </w:r>
            <w:r>
              <w:br/>
            </w:r>
            <w:r w:rsidRPr="6DE77F34">
              <w:rPr>
                <w:rFonts w:eastAsia="Times New Roman"/>
              </w:rPr>
              <w:t xml:space="preserve">Fax: </w:t>
            </w:r>
            <w:r>
              <w:tab/>
            </w:r>
            <w:r w:rsidRPr="6DE77F34">
              <w:rPr>
                <w:rFonts w:eastAsia="Times New Roman"/>
              </w:rPr>
              <w:t>+81-3-</w:t>
            </w:r>
            <w:r w:rsidR="00E64A4D">
              <w:rPr>
                <w:rFonts w:eastAsia="Times New Roman"/>
              </w:rPr>
              <w:t>6678-0287</w:t>
            </w:r>
            <w:r>
              <w:br/>
            </w:r>
            <w:r w:rsidRPr="6DE77F34">
              <w:rPr>
                <w:rFonts w:eastAsia="Times New Roman"/>
              </w:rPr>
              <w:t>Email:</w:t>
            </w:r>
            <w:r>
              <w:tab/>
            </w:r>
            <w:hyperlink r:id="rId13" w:history="1">
              <w:r w:rsidR="003D6C8C" w:rsidRPr="00E93729">
                <w:rPr>
                  <w:rStyle w:val="Hyperlink"/>
                  <w:rFonts w:eastAsia="Times New Roman"/>
                </w:rPr>
                <w:t>sa-miyaji@kddi.com</w:t>
              </w:r>
            </w:hyperlink>
            <w:r w:rsidR="003D6C8C">
              <w:rPr>
                <w:rFonts w:eastAsia="Times New Roman"/>
              </w:rPr>
              <w:t xml:space="preserve"> </w:t>
            </w:r>
          </w:p>
        </w:tc>
      </w:tr>
      <w:tr w:rsidR="6DE77F34" w:rsidRPr="003D6C8C" w14:paraId="12F22767" w14:textId="77777777" w:rsidTr="6DE77F34">
        <w:trPr>
          <w:cantSplit/>
          <w:trHeight w:val="300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8AEB62" w14:textId="0B41137E" w:rsidR="7A78AC0F" w:rsidRDefault="7A78AC0F" w:rsidP="6DE77F34">
            <w:pPr>
              <w:rPr>
                <w:rFonts w:eastAsia="Times New Roman"/>
                <w:b/>
                <w:bCs/>
              </w:rPr>
            </w:pPr>
            <w:r w:rsidRPr="6DE77F34">
              <w:rPr>
                <w:rFonts w:eastAsia="Times New Roman"/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EFECD89" w14:textId="5773F04C" w:rsidR="7A78AC0F" w:rsidRDefault="7A78AC0F" w:rsidP="6DE77F34">
            <w:pPr>
              <w:rPr>
                <w:rFonts w:eastAsia="Times New Roman"/>
              </w:rPr>
            </w:pPr>
            <w:r w:rsidRPr="6DE77F34">
              <w:rPr>
                <w:rFonts w:eastAsia="Times New Roman"/>
              </w:rPr>
              <w:t>Hideki YAMAMOTO</w:t>
            </w:r>
            <w:r>
              <w:br/>
            </w:r>
            <w:r w:rsidRPr="6DE77F34">
              <w:rPr>
                <w:rFonts w:eastAsia="Times New Roman"/>
              </w:rPr>
              <w:t>OKI</w:t>
            </w:r>
            <w:r>
              <w:br/>
            </w:r>
            <w:r w:rsidRPr="6DE77F34">
              <w:rPr>
                <w:rFonts w:eastAsia="Times New Roman"/>
              </w:rPr>
              <w:t>Japan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2616B6FA" w14:textId="0F637160" w:rsidR="7A78AC0F" w:rsidRPr="003D6C8C" w:rsidRDefault="7A78AC0F" w:rsidP="6DE77F34">
            <w:pPr>
              <w:rPr>
                <w:rFonts w:eastAsia="Times New Roman"/>
                <w:lang w:val="de-DE"/>
              </w:rPr>
            </w:pPr>
            <w:r w:rsidRPr="003D6C8C">
              <w:rPr>
                <w:rFonts w:eastAsia="Times New Roman"/>
                <w:lang w:val="de-DE"/>
              </w:rPr>
              <w:t xml:space="preserve">Tel: </w:t>
            </w:r>
            <w:r w:rsidRPr="003D6C8C">
              <w:rPr>
                <w:lang w:val="de-DE"/>
              </w:rPr>
              <w:tab/>
            </w:r>
            <w:r w:rsidRPr="003D6C8C">
              <w:rPr>
                <w:rFonts w:eastAsia="Times New Roman"/>
                <w:lang w:val="de-DE"/>
              </w:rPr>
              <w:t>+81-90-7342-2860</w:t>
            </w:r>
            <w:r w:rsidRPr="003D6C8C">
              <w:rPr>
                <w:lang w:val="de-DE"/>
              </w:rPr>
              <w:br/>
            </w:r>
            <w:r w:rsidRPr="003D6C8C">
              <w:rPr>
                <w:rFonts w:eastAsia="Times New Roman"/>
                <w:lang w:val="de-DE"/>
              </w:rPr>
              <w:t>Email:</w:t>
            </w:r>
            <w:r w:rsidRPr="003D6C8C">
              <w:rPr>
                <w:lang w:val="de-DE"/>
              </w:rPr>
              <w:tab/>
            </w:r>
            <w:hyperlink r:id="rId14" w:history="1">
              <w:r w:rsidR="003D6C8C" w:rsidRPr="003D6C8C">
                <w:rPr>
                  <w:rStyle w:val="Hyperlink"/>
                  <w:rFonts w:eastAsia="Times New Roman"/>
                  <w:lang w:val="de-DE"/>
                </w:rPr>
                <w:t>yamamoto436@oki.com</w:t>
              </w:r>
            </w:hyperlink>
            <w:r w:rsidR="003D6C8C" w:rsidRPr="003D6C8C">
              <w:rPr>
                <w:rFonts w:eastAsia="Times New Roman"/>
                <w:lang w:val="de-DE"/>
              </w:rPr>
              <w:t xml:space="preserve"> </w:t>
            </w:r>
          </w:p>
        </w:tc>
      </w:tr>
    </w:tbl>
    <w:p w14:paraId="5A39BBE3" w14:textId="77777777" w:rsidR="005A64A7" w:rsidRPr="003D6C8C" w:rsidRDefault="005A64A7" w:rsidP="0089088E">
      <w:pPr>
        <w:rPr>
          <w:lang w:val="de-DE"/>
        </w:rPr>
      </w:pPr>
    </w:p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5A64A7" w:rsidRPr="0037415F" w14:paraId="2EDE5559" w14:textId="77777777" w:rsidTr="00D57D7F">
        <w:trPr>
          <w:cantSplit/>
          <w:jc w:val="center"/>
        </w:trPr>
        <w:tc>
          <w:tcPr>
            <w:tcW w:w="1418" w:type="dxa"/>
          </w:tcPr>
          <w:p w14:paraId="1D64A6CD" w14:textId="77777777" w:rsidR="005A64A7" w:rsidRPr="008F7104" w:rsidRDefault="005A64A7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14:paraId="4C4960F8" w14:textId="44DBE82F" w:rsidR="005A64A7" w:rsidRPr="00165942" w:rsidRDefault="001967B3" w:rsidP="00165942">
            <w:pPr>
              <w:pStyle w:val="TSBHeaderSummary"/>
              <w:rPr>
                <w:highlight w:val="yellow"/>
              </w:rPr>
            </w:pPr>
            <w:r w:rsidRPr="001967B3">
              <w:t xml:space="preserve">Regarding </w:t>
            </w:r>
            <w:r w:rsidR="00E535A7">
              <w:rPr>
                <w:rFonts w:eastAsia="MS Mincho" w:hint="eastAsia"/>
              </w:rPr>
              <w:t>r</w:t>
            </w:r>
            <w:r w:rsidR="00E535A7">
              <w:rPr>
                <w:rFonts w:eastAsia="MS Mincho"/>
              </w:rPr>
              <w:t xml:space="preserve">estructuring of </w:t>
            </w:r>
            <w:r w:rsidRPr="001967B3">
              <w:t xml:space="preserve">the </w:t>
            </w:r>
            <w:r w:rsidR="00A0065F">
              <w:t>s</w:t>
            </w:r>
            <w:r w:rsidRPr="001967B3">
              <w:t xml:space="preserve">tudy </w:t>
            </w:r>
            <w:r w:rsidR="00A0065F">
              <w:t>g</w:t>
            </w:r>
            <w:r w:rsidRPr="001967B3">
              <w:t xml:space="preserve">roups </w:t>
            </w:r>
            <w:r w:rsidR="00EF197A">
              <w:t>of</w:t>
            </w:r>
            <w:r w:rsidRPr="001967B3">
              <w:t xml:space="preserve"> ITU-T for the next study </w:t>
            </w:r>
            <w:r w:rsidR="00474C8C">
              <w:t>period</w:t>
            </w:r>
            <w:r w:rsidRPr="001967B3">
              <w:t xml:space="preserve"> (2025-2028), </w:t>
            </w:r>
            <w:r w:rsidR="00ED7350">
              <w:t>this contribut</w:t>
            </w:r>
            <w:r w:rsidR="00A37ABA">
              <w:t>i</w:t>
            </w:r>
            <w:r w:rsidR="00ED7350">
              <w:t>on</w:t>
            </w:r>
            <w:r w:rsidR="00ED7350" w:rsidRPr="001967B3">
              <w:t xml:space="preserve"> </w:t>
            </w:r>
            <w:r w:rsidRPr="001967B3">
              <w:t>propose</w:t>
            </w:r>
            <w:r w:rsidR="00A0065F">
              <w:t>s</w:t>
            </w:r>
            <w:r w:rsidRPr="001967B3">
              <w:t xml:space="preserve"> </w:t>
            </w:r>
            <w:r w:rsidR="00ED7350">
              <w:t>an</w:t>
            </w:r>
            <w:r w:rsidRPr="001967B3">
              <w:t xml:space="preserve"> integration of SG9 and SG16.</w:t>
            </w:r>
          </w:p>
        </w:tc>
      </w:tr>
    </w:tbl>
    <w:p w14:paraId="41C8F396" w14:textId="77777777" w:rsidR="005A64A7" w:rsidRPr="00A37ABA" w:rsidRDefault="005A64A7" w:rsidP="00DE3062">
      <w:pPr>
        <w:rPr>
          <w:rFonts w:eastAsia="MS Mincho"/>
        </w:rPr>
      </w:pPr>
    </w:p>
    <w:p w14:paraId="3E7A9F1C" w14:textId="77777777" w:rsidR="001967B3" w:rsidRPr="00312D7A" w:rsidRDefault="005A0D38" w:rsidP="00A0065F">
      <w:pPr>
        <w:jc w:val="both"/>
        <w:rPr>
          <w:rFonts w:eastAsia="MS Mincho"/>
          <w:b/>
        </w:rPr>
      </w:pPr>
      <w:r w:rsidRPr="00312D7A">
        <w:rPr>
          <w:rFonts w:eastAsia="MS Mincho" w:hint="eastAsia"/>
          <w:b/>
        </w:rPr>
        <w:t>I</w:t>
      </w:r>
      <w:r w:rsidRPr="00312D7A">
        <w:rPr>
          <w:rFonts w:eastAsia="MS Mincho"/>
          <w:b/>
        </w:rPr>
        <w:t>ntroduction</w:t>
      </w:r>
    </w:p>
    <w:p w14:paraId="2A3CFACD" w14:textId="77777777" w:rsidR="000F7643" w:rsidRDefault="00ED7350" w:rsidP="00A0065F">
      <w:pPr>
        <w:jc w:val="both"/>
        <w:rPr>
          <w:rFonts w:eastAsia="MS Mincho"/>
        </w:rPr>
      </w:pPr>
      <w:r>
        <w:rPr>
          <w:rFonts w:eastAsia="MS Mincho" w:hint="eastAsia"/>
        </w:rPr>
        <w:t>I</w:t>
      </w:r>
      <w:r>
        <w:rPr>
          <w:rFonts w:eastAsia="MS Mincho"/>
        </w:rPr>
        <w:t>TU-T</w:t>
      </w:r>
      <w:r w:rsidR="00C43DDB">
        <w:rPr>
          <w:rFonts w:eastAsia="MS Mincho"/>
        </w:rPr>
        <w:t xml:space="preserve"> SG9 is</w:t>
      </w:r>
      <w:r w:rsidR="000F7643">
        <w:rPr>
          <w:rFonts w:eastAsia="MS Mincho"/>
        </w:rPr>
        <w:t xml:space="preserve"> </w:t>
      </w:r>
      <w:r w:rsidR="00C43DDB">
        <w:rPr>
          <w:rFonts w:eastAsia="MS Mincho"/>
        </w:rPr>
        <w:t>responsible for audiovisual content transmission over broadband cable network</w:t>
      </w:r>
      <w:r w:rsidR="000F7643">
        <w:rPr>
          <w:rFonts w:eastAsia="MS Mincho"/>
        </w:rPr>
        <w:t xml:space="preserve">s, and SG16 is responsible for multimedia content transport and related digital services over IP networks. Based on the nature of these study groups’ mandates, </w:t>
      </w:r>
      <w:r>
        <w:rPr>
          <w:rFonts w:eastAsia="MS Mincho"/>
        </w:rPr>
        <w:t>SG9 and SG16 are conducting some study items having close relevancy between these two groups such as terminal device</w:t>
      </w:r>
      <w:r w:rsidR="000F7643">
        <w:rPr>
          <w:rFonts w:eastAsia="MS Mincho"/>
        </w:rPr>
        <w:t>s</w:t>
      </w:r>
      <w:r>
        <w:rPr>
          <w:rFonts w:eastAsia="MS Mincho"/>
        </w:rPr>
        <w:t>, accessibility and AI-assisted media services.</w:t>
      </w:r>
    </w:p>
    <w:p w14:paraId="005522EA" w14:textId="1ED9A960" w:rsidR="00ED7350" w:rsidRDefault="00ED7350" w:rsidP="00A0065F">
      <w:pPr>
        <w:jc w:val="both"/>
        <w:rPr>
          <w:rFonts w:eastAsia="MS Mincho"/>
        </w:rPr>
      </w:pPr>
      <w:r>
        <w:rPr>
          <w:rFonts w:eastAsia="MS Mincho"/>
        </w:rPr>
        <w:t xml:space="preserve">In addition, both cable </w:t>
      </w:r>
      <w:r w:rsidR="00C43DDB">
        <w:rPr>
          <w:rFonts w:eastAsia="MS Mincho"/>
        </w:rPr>
        <w:t>television industry</w:t>
      </w:r>
      <w:r>
        <w:rPr>
          <w:rFonts w:eastAsia="MS Mincho"/>
        </w:rPr>
        <w:t xml:space="preserve"> and telecom network operators are </w:t>
      </w:r>
      <w:r w:rsidR="00C43DDB">
        <w:rPr>
          <w:rFonts w:eastAsia="MS Mincho"/>
        </w:rPr>
        <w:t xml:space="preserve">getting </w:t>
      </w:r>
      <w:r>
        <w:rPr>
          <w:rFonts w:eastAsia="MS Mincho"/>
        </w:rPr>
        <w:t xml:space="preserve">interested in new digital services that will be provided over IP networks. </w:t>
      </w:r>
      <w:r w:rsidR="000F7643">
        <w:rPr>
          <w:rFonts w:eastAsia="MS Mincho"/>
        </w:rPr>
        <w:t xml:space="preserve">For example, the emerging technology metaverse are now of interest to SG9 as well as SG16 [LS-from-SG9] [LS-from-SG16]. </w:t>
      </w:r>
      <w:r>
        <w:rPr>
          <w:rFonts w:eastAsia="MS Mincho"/>
        </w:rPr>
        <w:t>These tendencies may cause more overlaps in future.</w:t>
      </w:r>
    </w:p>
    <w:p w14:paraId="65AFD402" w14:textId="5CDB8C90" w:rsidR="00C43DDB" w:rsidRPr="00C43DDB" w:rsidRDefault="00432BC7" w:rsidP="00A0065F">
      <w:pPr>
        <w:jc w:val="both"/>
        <w:rPr>
          <w:rFonts w:eastAsia="MS Mincho"/>
        </w:rPr>
      </w:pPr>
      <w:bookmarkStart w:id="0" w:name="_Hlk154421829"/>
      <w:r>
        <w:rPr>
          <w:rFonts w:eastAsia="MS Mincho"/>
        </w:rPr>
        <w:t>Actually, there are a number of liaison communication</w:t>
      </w:r>
      <w:r w:rsidR="00EF1335">
        <w:rPr>
          <w:rFonts w:eastAsia="MS Mincho"/>
        </w:rPr>
        <w:t>s</w:t>
      </w:r>
      <w:r>
        <w:rPr>
          <w:rFonts w:eastAsia="MS Mincho"/>
        </w:rPr>
        <w:t xml:space="preserve"> between SG9 and SG16. However, i</w:t>
      </w:r>
      <w:r w:rsidR="00C43DDB">
        <w:rPr>
          <w:rFonts w:eastAsia="MS Mincho"/>
        </w:rPr>
        <w:t xml:space="preserve">n order to </w:t>
      </w:r>
      <w:r>
        <w:rPr>
          <w:rFonts w:eastAsia="MS Mincho"/>
        </w:rPr>
        <w:t xml:space="preserve">further </w:t>
      </w:r>
      <w:r w:rsidR="00C43DDB">
        <w:rPr>
          <w:rFonts w:eastAsia="MS Mincho"/>
        </w:rPr>
        <w:t>improve work efficiency, it is important to consider an integration of SG9 and SG16 in the next study period</w:t>
      </w:r>
      <w:r>
        <w:rPr>
          <w:rFonts w:eastAsia="MS Mincho"/>
        </w:rPr>
        <w:t xml:space="preserve"> to minimize the work overlaps</w:t>
      </w:r>
      <w:r w:rsidR="00C43DDB">
        <w:rPr>
          <w:rFonts w:eastAsia="MS Mincho"/>
        </w:rPr>
        <w:t>.</w:t>
      </w:r>
      <w:bookmarkEnd w:id="0"/>
    </w:p>
    <w:p w14:paraId="0CE1BD93" w14:textId="5249FB55" w:rsidR="001967B3" w:rsidRDefault="001967B3" w:rsidP="00A0065F">
      <w:pPr>
        <w:jc w:val="both"/>
        <w:rPr>
          <w:rFonts w:eastAsia="MS Mincho"/>
        </w:rPr>
      </w:pPr>
    </w:p>
    <w:p w14:paraId="3AC109F1" w14:textId="77777777" w:rsidR="000F7643" w:rsidRPr="00381509" w:rsidRDefault="000F7643" w:rsidP="000F7643">
      <w:pPr>
        <w:jc w:val="both"/>
        <w:rPr>
          <w:rFonts w:eastAsia="MS Mincho"/>
          <w:b/>
          <w:bCs/>
        </w:rPr>
      </w:pPr>
      <w:r w:rsidRPr="00381509">
        <w:rPr>
          <w:rFonts w:eastAsia="MS Mincho"/>
          <w:b/>
          <w:bCs/>
        </w:rPr>
        <w:t>Discussion</w:t>
      </w:r>
    </w:p>
    <w:p w14:paraId="299FCF89" w14:textId="4D07DE95" w:rsidR="000F7643" w:rsidRDefault="000F7643" w:rsidP="000F7643">
      <w:pPr>
        <w:jc w:val="both"/>
        <w:rPr>
          <w:rFonts w:eastAsia="MS Mincho"/>
        </w:rPr>
      </w:pPr>
      <w:r>
        <w:rPr>
          <w:rFonts w:eastAsia="MS Mincho" w:hint="eastAsia"/>
        </w:rPr>
        <w:lastRenderedPageBreak/>
        <w:t>T</w:t>
      </w:r>
      <w:r>
        <w:rPr>
          <w:rFonts w:eastAsia="MS Mincho"/>
        </w:rPr>
        <w:t>able 1 indicates examples of the work areas having relevancy to SG9 and SG16</w:t>
      </w:r>
      <w:r w:rsidR="00A37ABA">
        <w:rPr>
          <w:rFonts w:eastAsia="MS Mincho"/>
        </w:rPr>
        <w:t xml:space="preserve"> in this study period</w:t>
      </w:r>
      <w:r>
        <w:rPr>
          <w:rFonts w:eastAsia="MS Mincho"/>
        </w:rPr>
        <w:t xml:space="preserve">. </w:t>
      </w:r>
      <w:r w:rsidR="00432BC7">
        <w:rPr>
          <w:rFonts w:eastAsia="MS Mincho"/>
        </w:rPr>
        <w:t>Note that t</w:t>
      </w:r>
      <w:r>
        <w:rPr>
          <w:rFonts w:eastAsia="MS Mincho"/>
        </w:rPr>
        <w:t xml:space="preserve">here </w:t>
      </w:r>
      <w:r w:rsidR="00A37ABA">
        <w:rPr>
          <w:rFonts w:eastAsia="MS Mincho"/>
        </w:rPr>
        <w:t>will</w:t>
      </w:r>
      <w:r>
        <w:rPr>
          <w:rFonts w:eastAsia="MS Mincho"/>
        </w:rPr>
        <w:t xml:space="preserve"> be also other potential </w:t>
      </w:r>
      <w:r w:rsidR="00432BC7">
        <w:rPr>
          <w:rFonts w:eastAsia="MS Mincho"/>
        </w:rPr>
        <w:t xml:space="preserve">work </w:t>
      </w:r>
      <w:r>
        <w:rPr>
          <w:rFonts w:eastAsia="MS Mincho"/>
        </w:rPr>
        <w:t>overlaps between these two groups</w:t>
      </w:r>
      <w:r w:rsidR="00A37ABA">
        <w:rPr>
          <w:rFonts w:eastAsia="MS Mincho"/>
        </w:rPr>
        <w:t xml:space="preserve"> in the future because they are interested in new digital services over IP networks.</w:t>
      </w:r>
    </w:p>
    <w:p w14:paraId="1276E166" w14:textId="77777777" w:rsidR="00A37ABA" w:rsidRDefault="00A37ABA" w:rsidP="000F7643">
      <w:pPr>
        <w:jc w:val="both"/>
        <w:rPr>
          <w:rFonts w:eastAsia="MS Mincho"/>
        </w:rPr>
      </w:pPr>
    </w:p>
    <w:p w14:paraId="1A604FA3" w14:textId="1CCE965A" w:rsidR="00432BC7" w:rsidRPr="00381509" w:rsidRDefault="00432BC7" w:rsidP="00381509">
      <w:pPr>
        <w:jc w:val="center"/>
        <w:rPr>
          <w:rFonts w:eastAsia="MS Mincho"/>
          <w:b/>
          <w:bCs/>
        </w:rPr>
      </w:pPr>
      <w:r w:rsidRPr="00381509">
        <w:rPr>
          <w:rFonts w:eastAsia="MS Mincho"/>
          <w:b/>
          <w:bCs/>
        </w:rPr>
        <w:t>Table 1</w:t>
      </w:r>
      <w:r w:rsidR="00A37ABA">
        <w:rPr>
          <w:rFonts w:eastAsia="MS Mincho"/>
          <w:b/>
          <w:bCs/>
        </w:rPr>
        <w:t>-</w:t>
      </w:r>
      <w:r w:rsidRPr="00381509">
        <w:rPr>
          <w:rFonts w:eastAsia="MS Mincho"/>
          <w:b/>
          <w:bCs/>
        </w:rPr>
        <w:t xml:space="preserve"> </w:t>
      </w:r>
      <w:r w:rsidR="00A37ABA">
        <w:rPr>
          <w:rFonts w:eastAsia="MS Mincho"/>
          <w:b/>
          <w:bCs/>
        </w:rPr>
        <w:t>Close relevant</w:t>
      </w:r>
      <w:r w:rsidRPr="00381509">
        <w:rPr>
          <w:rFonts w:eastAsia="MS Mincho"/>
          <w:b/>
          <w:bCs/>
        </w:rPr>
        <w:t xml:space="preserve"> work areas between SG9 and SG16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1889"/>
        <w:gridCol w:w="1985"/>
      </w:tblGrid>
      <w:tr w:rsidR="000F7643" w14:paraId="306B69B5" w14:textId="77777777" w:rsidTr="00381509">
        <w:trPr>
          <w:jc w:val="center"/>
        </w:trPr>
        <w:tc>
          <w:tcPr>
            <w:tcW w:w="3209" w:type="dxa"/>
          </w:tcPr>
          <w:p w14:paraId="5701781C" w14:textId="628F163C" w:rsidR="000F7643" w:rsidRPr="00381509" w:rsidRDefault="000F7643" w:rsidP="00381509">
            <w:pPr>
              <w:jc w:val="center"/>
              <w:rPr>
                <w:rFonts w:eastAsia="MS Mincho"/>
                <w:b/>
                <w:bCs/>
              </w:rPr>
            </w:pPr>
            <w:r w:rsidRPr="00381509">
              <w:rPr>
                <w:rFonts w:eastAsia="MS Mincho"/>
                <w:b/>
                <w:bCs/>
              </w:rPr>
              <w:t>Work area</w:t>
            </w:r>
          </w:p>
        </w:tc>
        <w:tc>
          <w:tcPr>
            <w:tcW w:w="1889" w:type="dxa"/>
          </w:tcPr>
          <w:p w14:paraId="6E69BFE2" w14:textId="6CD2ACD5" w:rsidR="000F7643" w:rsidRPr="00381509" w:rsidRDefault="00432BC7" w:rsidP="00381509">
            <w:pPr>
              <w:jc w:val="center"/>
              <w:rPr>
                <w:rFonts w:eastAsia="MS Mincho"/>
                <w:b/>
                <w:bCs/>
              </w:rPr>
            </w:pPr>
            <w:r w:rsidRPr="00381509">
              <w:rPr>
                <w:rFonts w:eastAsia="MS Mincho"/>
                <w:b/>
                <w:bCs/>
              </w:rPr>
              <w:t>SG9 Question</w:t>
            </w:r>
          </w:p>
        </w:tc>
        <w:tc>
          <w:tcPr>
            <w:tcW w:w="1985" w:type="dxa"/>
          </w:tcPr>
          <w:p w14:paraId="69F328A6" w14:textId="2A88C8B0" w:rsidR="000F7643" w:rsidRPr="00381509" w:rsidRDefault="00432BC7" w:rsidP="00381509">
            <w:pPr>
              <w:jc w:val="center"/>
              <w:rPr>
                <w:rFonts w:eastAsia="MS Mincho"/>
                <w:b/>
                <w:bCs/>
              </w:rPr>
            </w:pPr>
            <w:r w:rsidRPr="00381509">
              <w:rPr>
                <w:rFonts w:eastAsia="MS Mincho"/>
                <w:b/>
                <w:bCs/>
              </w:rPr>
              <w:t>SG16 Question</w:t>
            </w:r>
          </w:p>
        </w:tc>
      </w:tr>
      <w:tr w:rsidR="000F7643" w14:paraId="4A5E64BC" w14:textId="77777777" w:rsidTr="00381509">
        <w:trPr>
          <w:jc w:val="center"/>
        </w:trPr>
        <w:tc>
          <w:tcPr>
            <w:tcW w:w="3209" w:type="dxa"/>
          </w:tcPr>
          <w:p w14:paraId="23C312D5" w14:textId="49A8203A" w:rsidR="000F7643" w:rsidRDefault="00432BC7" w:rsidP="000F7643">
            <w:pPr>
              <w:jc w:val="both"/>
              <w:rPr>
                <w:rFonts w:eastAsia="MS Mincho"/>
              </w:rPr>
            </w:pPr>
            <w:r>
              <w:rPr>
                <w:rFonts w:eastAsia="MS Mincho" w:hint="eastAsia"/>
              </w:rPr>
              <w:t>T</w:t>
            </w:r>
            <w:r>
              <w:rPr>
                <w:rFonts w:eastAsia="MS Mincho"/>
              </w:rPr>
              <w:t>erminal devices</w:t>
            </w:r>
          </w:p>
        </w:tc>
        <w:tc>
          <w:tcPr>
            <w:tcW w:w="1889" w:type="dxa"/>
          </w:tcPr>
          <w:p w14:paraId="0DB63333" w14:textId="53F478A8" w:rsidR="000F7643" w:rsidRDefault="00432BC7" w:rsidP="000F7643">
            <w:pPr>
              <w:jc w:val="both"/>
              <w:rPr>
                <w:rFonts w:eastAsia="MS Mincho"/>
              </w:rPr>
            </w:pPr>
            <w:r>
              <w:rPr>
                <w:rFonts w:eastAsia="MS Mincho" w:hint="eastAsia"/>
              </w:rPr>
              <w:t>Q</w:t>
            </w:r>
            <w:r>
              <w:rPr>
                <w:rFonts w:eastAsia="MS Mincho"/>
              </w:rPr>
              <w:t>6/9</w:t>
            </w:r>
          </w:p>
        </w:tc>
        <w:tc>
          <w:tcPr>
            <w:tcW w:w="1985" w:type="dxa"/>
          </w:tcPr>
          <w:p w14:paraId="21D6D963" w14:textId="11016BF5" w:rsidR="000F7643" w:rsidRDefault="00432BC7" w:rsidP="000F7643">
            <w:pPr>
              <w:jc w:val="both"/>
              <w:rPr>
                <w:rFonts w:eastAsia="MS Mincho"/>
              </w:rPr>
            </w:pPr>
            <w:r>
              <w:rPr>
                <w:rFonts w:eastAsia="MS Mincho" w:hint="eastAsia"/>
              </w:rPr>
              <w:t>Q</w:t>
            </w:r>
            <w:r>
              <w:rPr>
                <w:rFonts w:eastAsia="MS Mincho"/>
              </w:rPr>
              <w:t>13/16</w:t>
            </w:r>
          </w:p>
        </w:tc>
      </w:tr>
      <w:tr w:rsidR="000F7643" w14:paraId="1AC58AF3" w14:textId="77777777" w:rsidTr="00381509">
        <w:trPr>
          <w:jc w:val="center"/>
        </w:trPr>
        <w:tc>
          <w:tcPr>
            <w:tcW w:w="3209" w:type="dxa"/>
          </w:tcPr>
          <w:p w14:paraId="224B5BDD" w14:textId="2C7DD02B" w:rsidR="000F7643" w:rsidRDefault="00432BC7" w:rsidP="000F7643">
            <w:pPr>
              <w:jc w:val="both"/>
              <w:rPr>
                <w:rFonts w:eastAsia="MS Mincho"/>
              </w:rPr>
            </w:pPr>
            <w:r>
              <w:rPr>
                <w:rFonts w:eastAsia="MS Mincho" w:hint="eastAsia"/>
              </w:rPr>
              <w:t>A</w:t>
            </w:r>
            <w:r>
              <w:rPr>
                <w:rFonts w:eastAsia="MS Mincho"/>
              </w:rPr>
              <w:t>ccessibility</w:t>
            </w:r>
          </w:p>
        </w:tc>
        <w:tc>
          <w:tcPr>
            <w:tcW w:w="1889" w:type="dxa"/>
          </w:tcPr>
          <w:p w14:paraId="400FDF6A" w14:textId="30517022" w:rsidR="000F7643" w:rsidRDefault="00432BC7" w:rsidP="000F7643">
            <w:pPr>
              <w:jc w:val="both"/>
              <w:rPr>
                <w:rFonts w:eastAsia="MS Mincho"/>
              </w:rPr>
            </w:pPr>
            <w:r>
              <w:rPr>
                <w:rFonts w:eastAsia="MS Mincho" w:hint="eastAsia"/>
              </w:rPr>
              <w:t>Q</w:t>
            </w:r>
            <w:r>
              <w:rPr>
                <w:rFonts w:eastAsia="MS Mincho"/>
              </w:rPr>
              <w:t>11/9</w:t>
            </w:r>
          </w:p>
        </w:tc>
        <w:tc>
          <w:tcPr>
            <w:tcW w:w="1985" w:type="dxa"/>
          </w:tcPr>
          <w:p w14:paraId="3BFAACD7" w14:textId="389C6F38" w:rsidR="000F7643" w:rsidRDefault="00432BC7" w:rsidP="000F7643">
            <w:pPr>
              <w:jc w:val="both"/>
              <w:rPr>
                <w:rFonts w:eastAsia="MS Mincho"/>
              </w:rPr>
            </w:pPr>
            <w:r>
              <w:rPr>
                <w:rFonts w:eastAsia="MS Mincho" w:hint="eastAsia"/>
              </w:rPr>
              <w:t>Q</w:t>
            </w:r>
            <w:r>
              <w:rPr>
                <w:rFonts w:eastAsia="MS Mincho"/>
              </w:rPr>
              <w:t>26/16</w:t>
            </w:r>
          </w:p>
        </w:tc>
      </w:tr>
      <w:tr w:rsidR="000F7643" w14:paraId="55D7E882" w14:textId="77777777" w:rsidTr="00381509">
        <w:trPr>
          <w:jc w:val="center"/>
        </w:trPr>
        <w:tc>
          <w:tcPr>
            <w:tcW w:w="3209" w:type="dxa"/>
          </w:tcPr>
          <w:p w14:paraId="277053C3" w14:textId="1F744C00" w:rsidR="000F7643" w:rsidRDefault="00432BC7" w:rsidP="000F7643">
            <w:pPr>
              <w:jc w:val="both"/>
              <w:rPr>
                <w:rFonts w:eastAsia="MS Mincho"/>
              </w:rPr>
            </w:pPr>
            <w:r>
              <w:rPr>
                <w:rFonts w:eastAsia="MS Mincho" w:hint="eastAsia"/>
              </w:rPr>
              <w:t>A</w:t>
            </w:r>
            <w:r>
              <w:rPr>
                <w:rFonts w:eastAsia="MS Mincho"/>
              </w:rPr>
              <w:t>I utilization</w:t>
            </w:r>
          </w:p>
        </w:tc>
        <w:tc>
          <w:tcPr>
            <w:tcW w:w="1889" w:type="dxa"/>
          </w:tcPr>
          <w:p w14:paraId="1B4A1E42" w14:textId="51F4AA0D" w:rsidR="000F7643" w:rsidRDefault="00432BC7" w:rsidP="000F7643">
            <w:pPr>
              <w:jc w:val="both"/>
              <w:rPr>
                <w:rFonts w:eastAsia="MS Mincho"/>
              </w:rPr>
            </w:pPr>
            <w:r>
              <w:rPr>
                <w:rFonts w:eastAsia="MS Mincho" w:hint="eastAsia"/>
              </w:rPr>
              <w:t>Q</w:t>
            </w:r>
            <w:r>
              <w:rPr>
                <w:rFonts w:eastAsia="MS Mincho"/>
              </w:rPr>
              <w:t>3/9</w:t>
            </w:r>
          </w:p>
        </w:tc>
        <w:tc>
          <w:tcPr>
            <w:tcW w:w="1985" w:type="dxa"/>
          </w:tcPr>
          <w:p w14:paraId="05778938" w14:textId="5CE7C222" w:rsidR="000F7643" w:rsidRDefault="00432BC7" w:rsidP="000F7643">
            <w:pPr>
              <w:jc w:val="both"/>
              <w:rPr>
                <w:rFonts w:eastAsia="MS Mincho"/>
              </w:rPr>
            </w:pPr>
            <w:r>
              <w:rPr>
                <w:rFonts w:eastAsia="MS Mincho" w:hint="eastAsia"/>
              </w:rPr>
              <w:t>Q</w:t>
            </w:r>
            <w:r>
              <w:rPr>
                <w:rFonts w:eastAsia="MS Mincho"/>
              </w:rPr>
              <w:t>5/16</w:t>
            </w:r>
          </w:p>
        </w:tc>
      </w:tr>
    </w:tbl>
    <w:p w14:paraId="03391057" w14:textId="77777777" w:rsidR="00432BC7" w:rsidRDefault="00432BC7" w:rsidP="000F7643">
      <w:pPr>
        <w:jc w:val="both"/>
        <w:rPr>
          <w:rFonts w:eastAsia="MS Mincho"/>
        </w:rPr>
      </w:pPr>
    </w:p>
    <w:p w14:paraId="1AA745AF" w14:textId="565FBDF7" w:rsidR="000F7643" w:rsidRDefault="003D7F6D" w:rsidP="000F7643">
      <w:pPr>
        <w:jc w:val="both"/>
        <w:rPr>
          <w:rFonts w:eastAsia="MS Mincho"/>
        </w:rPr>
      </w:pPr>
      <w:r>
        <w:rPr>
          <w:rFonts w:eastAsia="MS Mincho"/>
        </w:rPr>
        <w:t xml:space="preserve">From a different point of view, </w:t>
      </w:r>
      <w:r w:rsidR="000F7643">
        <w:rPr>
          <w:rFonts w:eastAsia="MS Mincho"/>
        </w:rPr>
        <w:t xml:space="preserve">Table 2 </w:t>
      </w:r>
      <w:r>
        <w:rPr>
          <w:rFonts w:eastAsia="MS Mincho"/>
        </w:rPr>
        <w:t>provides snapshots of</w:t>
      </w:r>
      <w:r w:rsidR="000F7643">
        <w:rPr>
          <w:rFonts w:eastAsia="MS Mincho"/>
        </w:rPr>
        <w:t xml:space="preserve"> the number of participants </w:t>
      </w:r>
      <w:r>
        <w:rPr>
          <w:rFonts w:eastAsia="MS Mincho"/>
        </w:rPr>
        <w:t>of each</w:t>
      </w:r>
      <w:r w:rsidR="000F7643">
        <w:rPr>
          <w:rFonts w:eastAsia="MS Mincho"/>
        </w:rPr>
        <w:t xml:space="preserve"> SG meeting in 2023. After COVID-19 happened, the number of remote participants were increasing and around half of remote participants participated in SG meetings in person. Based on this table, </w:t>
      </w:r>
      <w:r>
        <w:rPr>
          <w:rFonts w:eastAsia="MS Mincho"/>
        </w:rPr>
        <w:t xml:space="preserve">SG9 is the smallest SG in ITU-T and independently organizing a physical SG9 meeting seems not to be efficient. If SG9 and SG16 are integrated, an expected number of participants in person will be </w:t>
      </w:r>
      <w:r w:rsidR="000F7643">
        <w:rPr>
          <w:rFonts w:eastAsia="MS Mincho"/>
        </w:rPr>
        <w:t>229 (=30+199)</w:t>
      </w:r>
      <w:r>
        <w:rPr>
          <w:rFonts w:eastAsia="MS Mincho"/>
        </w:rPr>
        <w:t>, which is approximately 15% increase of the number of attendees of SG16</w:t>
      </w:r>
      <w:r w:rsidR="000F7643">
        <w:rPr>
          <w:rFonts w:eastAsia="MS Mincho"/>
        </w:rPr>
        <w:t xml:space="preserve">. If the overlapped experts </w:t>
      </w:r>
      <w:r>
        <w:rPr>
          <w:rFonts w:eastAsia="MS Mincho"/>
        </w:rPr>
        <w:t>are counted</w:t>
      </w:r>
      <w:r w:rsidR="000F7643">
        <w:rPr>
          <w:rFonts w:eastAsia="MS Mincho"/>
        </w:rPr>
        <w:t xml:space="preserve">, the number may be </w:t>
      </w:r>
      <w:r>
        <w:rPr>
          <w:rFonts w:eastAsia="MS Mincho"/>
        </w:rPr>
        <w:t xml:space="preserve">reduced </w:t>
      </w:r>
      <w:r w:rsidR="000F7643">
        <w:rPr>
          <w:rFonts w:eastAsia="MS Mincho"/>
        </w:rPr>
        <w:t xml:space="preserve">and this is </w:t>
      </w:r>
      <w:r w:rsidR="001679F9">
        <w:rPr>
          <w:rFonts w:eastAsia="MS Mincho"/>
        </w:rPr>
        <w:t xml:space="preserve">almost the same level of </w:t>
      </w:r>
      <w:r w:rsidR="000F7643">
        <w:rPr>
          <w:rFonts w:eastAsia="MS Mincho"/>
        </w:rPr>
        <w:t xml:space="preserve">SG15. </w:t>
      </w:r>
      <w:r w:rsidR="000F7643">
        <w:rPr>
          <w:rFonts w:eastAsia="MS Mincho" w:hint="eastAsia"/>
        </w:rPr>
        <w:t>T</w:t>
      </w:r>
      <w:r w:rsidR="000F7643">
        <w:rPr>
          <w:rFonts w:eastAsia="MS Mincho"/>
        </w:rPr>
        <w:t xml:space="preserve">his </w:t>
      </w:r>
      <w:r w:rsidR="001679F9">
        <w:rPr>
          <w:rFonts w:eastAsia="MS Mincho"/>
        </w:rPr>
        <w:t>indicates</w:t>
      </w:r>
      <w:r w:rsidR="000F7643">
        <w:rPr>
          <w:rFonts w:eastAsia="MS Mincho"/>
        </w:rPr>
        <w:t xml:space="preserve"> that it is </w:t>
      </w:r>
      <w:r w:rsidR="001679F9">
        <w:rPr>
          <w:rFonts w:eastAsia="MS Mincho"/>
        </w:rPr>
        <w:t>feasible</w:t>
      </w:r>
      <w:r w:rsidR="00C20BA1">
        <w:rPr>
          <w:rFonts w:eastAsia="MS Mincho"/>
        </w:rPr>
        <w:t xml:space="preserve"> </w:t>
      </w:r>
      <w:r w:rsidR="000F7643">
        <w:rPr>
          <w:rFonts w:eastAsia="MS Mincho"/>
        </w:rPr>
        <w:t xml:space="preserve">to establish </w:t>
      </w:r>
      <w:r w:rsidR="001679F9">
        <w:rPr>
          <w:rFonts w:eastAsia="MS Mincho"/>
        </w:rPr>
        <w:t>a</w:t>
      </w:r>
      <w:r w:rsidR="000F7643">
        <w:rPr>
          <w:rFonts w:eastAsia="MS Mincho"/>
        </w:rPr>
        <w:t xml:space="preserve"> new SG by merging SG9 and SG16.</w:t>
      </w:r>
    </w:p>
    <w:p w14:paraId="46DA37EF" w14:textId="77777777" w:rsidR="00EF1335" w:rsidRDefault="00EF1335" w:rsidP="000F7643">
      <w:pPr>
        <w:jc w:val="both"/>
        <w:rPr>
          <w:rFonts w:eastAsia="MS Mincho"/>
        </w:rPr>
      </w:pPr>
    </w:p>
    <w:p w14:paraId="1E2909F7" w14:textId="29B96BE2" w:rsidR="000F7643" w:rsidRDefault="000F7643" w:rsidP="00381509">
      <w:pPr>
        <w:jc w:val="center"/>
        <w:rPr>
          <w:rFonts w:eastAsia="MS Mincho"/>
        </w:rPr>
      </w:pPr>
      <w:r w:rsidRPr="00381509">
        <w:rPr>
          <w:rFonts w:eastAsia="MS Mincho"/>
          <w:b/>
          <w:bCs/>
        </w:rPr>
        <w:t xml:space="preserve">Table </w:t>
      </w:r>
      <w:r w:rsidR="003D7F6D">
        <w:rPr>
          <w:rFonts w:eastAsia="MS Mincho"/>
          <w:b/>
          <w:bCs/>
        </w:rPr>
        <w:t>2</w:t>
      </w:r>
      <w:r w:rsidRPr="00381509">
        <w:rPr>
          <w:rFonts w:eastAsia="MS Mincho"/>
          <w:b/>
          <w:bCs/>
        </w:rPr>
        <w:t xml:space="preserve"> – Participants in SG meeting in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1470"/>
        <w:gridCol w:w="2551"/>
      </w:tblGrid>
      <w:tr w:rsidR="000F7643" w14:paraId="553A412A" w14:textId="77777777" w:rsidTr="00381509">
        <w:trPr>
          <w:jc w:val="center"/>
        </w:trPr>
        <w:tc>
          <w:tcPr>
            <w:tcW w:w="846" w:type="dxa"/>
          </w:tcPr>
          <w:p w14:paraId="277015D5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  <w:lang w:val="en-US" w:eastAsia="zh-CN"/>
              </w:rPr>
              <w:t>SG</w:t>
            </w:r>
          </w:p>
        </w:tc>
        <w:tc>
          <w:tcPr>
            <w:tcW w:w="3827" w:type="dxa"/>
          </w:tcPr>
          <w:p w14:paraId="120262B3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  <w:lang w:val="en-US" w:eastAsia="zh-CN"/>
              </w:rPr>
              <w:t>Meeting</w:t>
            </w:r>
          </w:p>
        </w:tc>
        <w:tc>
          <w:tcPr>
            <w:tcW w:w="1418" w:type="dxa"/>
          </w:tcPr>
          <w:p w14:paraId="00912A19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  <w:lang w:val="en-US" w:eastAsia="zh-CN"/>
              </w:rPr>
              <w:t>Participants (in-person)</w:t>
            </w:r>
          </w:p>
        </w:tc>
        <w:tc>
          <w:tcPr>
            <w:tcW w:w="2551" w:type="dxa"/>
          </w:tcPr>
          <w:p w14:paraId="5C08B5FB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  <w:lang w:val="en-US" w:eastAsia="zh-CN"/>
              </w:rPr>
              <w:t>TD</w:t>
            </w:r>
          </w:p>
        </w:tc>
      </w:tr>
      <w:tr w:rsidR="000F7643" w14:paraId="1656D4C1" w14:textId="77777777" w:rsidTr="00381509">
        <w:trPr>
          <w:jc w:val="center"/>
        </w:trPr>
        <w:tc>
          <w:tcPr>
            <w:tcW w:w="846" w:type="dxa"/>
          </w:tcPr>
          <w:p w14:paraId="36E2CB8A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SG2</w:t>
            </w:r>
          </w:p>
        </w:tc>
        <w:tc>
          <w:tcPr>
            <w:tcW w:w="3827" w:type="dxa"/>
          </w:tcPr>
          <w:p w14:paraId="35A73A76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2023/11/8</w:t>
            </w:r>
            <w:r>
              <w:rPr>
                <w:rFonts w:eastAsia="MS Mincho" w:hint="eastAsia"/>
                <w:lang w:val="en-US" w:eastAsia="zh-CN"/>
              </w:rPr>
              <w:t>～</w:t>
            </w:r>
            <w:r>
              <w:rPr>
                <w:rFonts w:eastAsia="MS Mincho"/>
                <w:lang w:val="en-US" w:eastAsia="zh-CN"/>
              </w:rPr>
              <w:t>11/17, Geneva</w:t>
            </w:r>
          </w:p>
        </w:tc>
        <w:tc>
          <w:tcPr>
            <w:tcW w:w="1418" w:type="dxa"/>
          </w:tcPr>
          <w:p w14:paraId="6B7A85B9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152 (62)</w:t>
            </w:r>
          </w:p>
        </w:tc>
        <w:tc>
          <w:tcPr>
            <w:tcW w:w="2551" w:type="dxa"/>
          </w:tcPr>
          <w:p w14:paraId="566907A3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SG2-TD253R1-PLEN</w:t>
            </w:r>
          </w:p>
        </w:tc>
      </w:tr>
      <w:tr w:rsidR="000F7643" w14:paraId="4FE41C99" w14:textId="77777777" w:rsidTr="00381509">
        <w:trPr>
          <w:jc w:val="center"/>
        </w:trPr>
        <w:tc>
          <w:tcPr>
            <w:tcW w:w="846" w:type="dxa"/>
          </w:tcPr>
          <w:p w14:paraId="1C2CB01B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SG3</w:t>
            </w:r>
          </w:p>
        </w:tc>
        <w:tc>
          <w:tcPr>
            <w:tcW w:w="3827" w:type="dxa"/>
          </w:tcPr>
          <w:p w14:paraId="796CB3ED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2023/3/1</w:t>
            </w:r>
            <w:r>
              <w:rPr>
                <w:rFonts w:eastAsia="MS Mincho" w:hint="eastAsia"/>
                <w:lang w:val="en-US" w:eastAsia="zh-CN"/>
              </w:rPr>
              <w:t>～</w:t>
            </w:r>
            <w:r>
              <w:rPr>
                <w:rFonts w:eastAsia="MS Mincho"/>
                <w:lang w:val="en-US" w:eastAsia="zh-CN"/>
              </w:rPr>
              <w:t>3/10, Geneva</w:t>
            </w:r>
          </w:p>
        </w:tc>
        <w:tc>
          <w:tcPr>
            <w:tcW w:w="1418" w:type="dxa"/>
          </w:tcPr>
          <w:p w14:paraId="5A3F8D2C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175 (81)</w:t>
            </w:r>
          </w:p>
        </w:tc>
        <w:tc>
          <w:tcPr>
            <w:tcW w:w="2551" w:type="dxa"/>
          </w:tcPr>
          <w:p w14:paraId="5317B769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SG3-TD80R1-PLEN</w:t>
            </w:r>
          </w:p>
        </w:tc>
      </w:tr>
      <w:tr w:rsidR="000F7643" w14:paraId="2D2B40CD" w14:textId="77777777" w:rsidTr="00381509">
        <w:trPr>
          <w:jc w:val="center"/>
        </w:trPr>
        <w:tc>
          <w:tcPr>
            <w:tcW w:w="846" w:type="dxa"/>
          </w:tcPr>
          <w:p w14:paraId="7D29F12B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SG5</w:t>
            </w:r>
          </w:p>
        </w:tc>
        <w:tc>
          <w:tcPr>
            <w:tcW w:w="3827" w:type="dxa"/>
          </w:tcPr>
          <w:p w14:paraId="4D160BC9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2023/11/13</w:t>
            </w:r>
            <w:r>
              <w:rPr>
                <w:rFonts w:eastAsia="MS Mincho" w:hint="eastAsia"/>
                <w:lang w:val="en-US" w:eastAsia="zh-CN"/>
              </w:rPr>
              <w:t>～</w:t>
            </w:r>
            <w:r>
              <w:rPr>
                <w:rFonts w:eastAsia="MS Mincho"/>
                <w:lang w:val="en-US" w:eastAsia="zh-CN"/>
              </w:rPr>
              <w:t>11/22, Geneva</w:t>
            </w:r>
          </w:p>
        </w:tc>
        <w:tc>
          <w:tcPr>
            <w:tcW w:w="1418" w:type="dxa"/>
          </w:tcPr>
          <w:p w14:paraId="61CEFFF3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201 (89)</w:t>
            </w:r>
          </w:p>
        </w:tc>
        <w:tc>
          <w:tcPr>
            <w:tcW w:w="2551" w:type="dxa"/>
          </w:tcPr>
          <w:p w14:paraId="5D3DF6A0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SG5-TD1060R2-GEN</w:t>
            </w:r>
          </w:p>
        </w:tc>
      </w:tr>
      <w:tr w:rsidR="000F7643" w14:paraId="014AC40B" w14:textId="77777777" w:rsidTr="00381509">
        <w:trPr>
          <w:jc w:val="center"/>
        </w:trPr>
        <w:tc>
          <w:tcPr>
            <w:tcW w:w="846" w:type="dxa"/>
          </w:tcPr>
          <w:p w14:paraId="6F61C8CB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SG9</w:t>
            </w:r>
          </w:p>
        </w:tc>
        <w:tc>
          <w:tcPr>
            <w:tcW w:w="3827" w:type="dxa"/>
          </w:tcPr>
          <w:p w14:paraId="15610929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2023/5/9</w:t>
            </w:r>
            <w:r>
              <w:rPr>
                <w:rFonts w:eastAsia="MS Mincho" w:hint="eastAsia"/>
                <w:lang w:val="en-US" w:eastAsia="zh-CN"/>
              </w:rPr>
              <w:t>～</w:t>
            </w:r>
            <w:r>
              <w:rPr>
                <w:rFonts w:eastAsia="MS Mincho"/>
                <w:lang w:val="en-US" w:eastAsia="zh-CN"/>
              </w:rPr>
              <w:t xml:space="preserve">5/18, </w:t>
            </w:r>
            <w:r>
              <w:t>Bangalore (</w:t>
            </w:r>
            <w:r>
              <w:rPr>
                <w:rFonts w:eastAsia="MS Mincho"/>
                <w:lang w:val="en-US" w:eastAsia="zh-CN"/>
              </w:rPr>
              <w:t>India)</w:t>
            </w:r>
          </w:p>
        </w:tc>
        <w:tc>
          <w:tcPr>
            <w:tcW w:w="1418" w:type="dxa"/>
          </w:tcPr>
          <w:p w14:paraId="46A935A6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69 (30)</w:t>
            </w:r>
          </w:p>
        </w:tc>
        <w:tc>
          <w:tcPr>
            <w:tcW w:w="2551" w:type="dxa"/>
          </w:tcPr>
          <w:p w14:paraId="647BED48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SG9-TD210R1-GEN</w:t>
            </w:r>
          </w:p>
        </w:tc>
      </w:tr>
      <w:tr w:rsidR="000F7643" w14:paraId="5B6F5781" w14:textId="77777777" w:rsidTr="00381509">
        <w:trPr>
          <w:jc w:val="center"/>
        </w:trPr>
        <w:tc>
          <w:tcPr>
            <w:tcW w:w="846" w:type="dxa"/>
          </w:tcPr>
          <w:p w14:paraId="2C4F8827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SG11</w:t>
            </w:r>
          </w:p>
        </w:tc>
        <w:tc>
          <w:tcPr>
            <w:tcW w:w="3827" w:type="dxa"/>
          </w:tcPr>
          <w:p w14:paraId="022715D1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2023/10/10</w:t>
            </w:r>
            <w:r>
              <w:rPr>
                <w:rFonts w:eastAsia="MS Mincho" w:hint="eastAsia"/>
                <w:lang w:val="en-US" w:eastAsia="zh-CN"/>
              </w:rPr>
              <w:t>～</w:t>
            </w:r>
            <w:r>
              <w:rPr>
                <w:rFonts w:eastAsia="MS Mincho"/>
                <w:lang w:val="en-US" w:eastAsia="zh-CN"/>
              </w:rPr>
              <w:t>10/20, Geneva</w:t>
            </w:r>
          </w:p>
        </w:tc>
        <w:tc>
          <w:tcPr>
            <w:tcW w:w="1418" w:type="dxa"/>
          </w:tcPr>
          <w:p w14:paraId="307CA325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190 (78)</w:t>
            </w:r>
          </w:p>
        </w:tc>
        <w:tc>
          <w:tcPr>
            <w:tcW w:w="2551" w:type="dxa"/>
          </w:tcPr>
          <w:p w14:paraId="388B84B8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SG11-TD657-GEN</w:t>
            </w:r>
          </w:p>
        </w:tc>
      </w:tr>
      <w:tr w:rsidR="000F7643" w14:paraId="52CC62A9" w14:textId="77777777" w:rsidTr="00381509">
        <w:trPr>
          <w:jc w:val="center"/>
        </w:trPr>
        <w:tc>
          <w:tcPr>
            <w:tcW w:w="846" w:type="dxa"/>
          </w:tcPr>
          <w:p w14:paraId="597CCB20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SG12</w:t>
            </w:r>
          </w:p>
        </w:tc>
        <w:tc>
          <w:tcPr>
            <w:tcW w:w="3827" w:type="dxa"/>
          </w:tcPr>
          <w:p w14:paraId="23896D9B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2023/1/18</w:t>
            </w:r>
            <w:r>
              <w:rPr>
                <w:rFonts w:eastAsia="MS Mincho" w:hint="eastAsia"/>
                <w:lang w:val="en-US" w:eastAsia="zh-CN"/>
              </w:rPr>
              <w:t>～</w:t>
            </w:r>
            <w:r>
              <w:rPr>
                <w:rFonts w:eastAsia="MS Mincho"/>
                <w:lang w:val="en-US" w:eastAsia="zh-CN"/>
              </w:rPr>
              <w:t>1/26, Geneva</w:t>
            </w:r>
          </w:p>
        </w:tc>
        <w:tc>
          <w:tcPr>
            <w:tcW w:w="1418" w:type="dxa"/>
          </w:tcPr>
          <w:p w14:paraId="6A3EAB1F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191 (103)</w:t>
            </w:r>
          </w:p>
        </w:tc>
        <w:tc>
          <w:tcPr>
            <w:tcW w:w="2551" w:type="dxa"/>
          </w:tcPr>
          <w:p w14:paraId="0137BFF9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SG12-TD277R1-GEN</w:t>
            </w:r>
          </w:p>
        </w:tc>
      </w:tr>
      <w:tr w:rsidR="000F7643" w14:paraId="1F77CDB3" w14:textId="77777777" w:rsidTr="00381509">
        <w:trPr>
          <w:jc w:val="center"/>
        </w:trPr>
        <w:tc>
          <w:tcPr>
            <w:tcW w:w="846" w:type="dxa"/>
          </w:tcPr>
          <w:p w14:paraId="05F1D7DF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SG13</w:t>
            </w:r>
          </w:p>
        </w:tc>
        <w:tc>
          <w:tcPr>
            <w:tcW w:w="3827" w:type="dxa"/>
          </w:tcPr>
          <w:p w14:paraId="29F34939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2023/10/23</w:t>
            </w:r>
            <w:r>
              <w:rPr>
                <w:rFonts w:eastAsia="MS Mincho" w:hint="eastAsia"/>
                <w:lang w:val="en-US" w:eastAsia="zh-CN"/>
              </w:rPr>
              <w:t>～</w:t>
            </w:r>
            <w:r>
              <w:rPr>
                <w:rFonts w:eastAsia="MS Mincho"/>
                <w:lang w:val="en-US" w:eastAsia="zh-CN"/>
              </w:rPr>
              <w:t>11/3, Geneva</w:t>
            </w:r>
          </w:p>
        </w:tc>
        <w:tc>
          <w:tcPr>
            <w:tcW w:w="1418" w:type="dxa"/>
          </w:tcPr>
          <w:p w14:paraId="754CE6EC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328 (129)</w:t>
            </w:r>
          </w:p>
        </w:tc>
        <w:tc>
          <w:tcPr>
            <w:tcW w:w="2551" w:type="dxa"/>
          </w:tcPr>
          <w:p w14:paraId="2243D60F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SG13-TD135R1-PLEN</w:t>
            </w:r>
          </w:p>
        </w:tc>
      </w:tr>
      <w:tr w:rsidR="000F7643" w14:paraId="6C93287C" w14:textId="77777777" w:rsidTr="00381509">
        <w:trPr>
          <w:jc w:val="center"/>
        </w:trPr>
        <w:tc>
          <w:tcPr>
            <w:tcW w:w="846" w:type="dxa"/>
          </w:tcPr>
          <w:p w14:paraId="521B141C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SG15</w:t>
            </w:r>
          </w:p>
        </w:tc>
        <w:tc>
          <w:tcPr>
            <w:tcW w:w="3827" w:type="dxa"/>
          </w:tcPr>
          <w:p w14:paraId="73DF45F8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2023/11/20</w:t>
            </w:r>
            <w:r>
              <w:rPr>
                <w:rFonts w:eastAsia="MS Mincho" w:hint="eastAsia"/>
                <w:lang w:val="en-US" w:eastAsia="zh-CN"/>
              </w:rPr>
              <w:t>～</w:t>
            </w:r>
            <w:r>
              <w:rPr>
                <w:rFonts w:eastAsia="MS Mincho"/>
                <w:lang w:val="en-US" w:eastAsia="zh-CN"/>
              </w:rPr>
              <w:t>12/1, Geneva</w:t>
            </w:r>
          </w:p>
        </w:tc>
        <w:tc>
          <w:tcPr>
            <w:tcW w:w="1418" w:type="dxa"/>
          </w:tcPr>
          <w:p w14:paraId="578C2617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345 (211)</w:t>
            </w:r>
          </w:p>
        </w:tc>
        <w:tc>
          <w:tcPr>
            <w:tcW w:w="2551" w:type="dxa"/>
          </w:tcPr>
          <w:p w14:paraId="369E28E2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SG15-TD265R1-GEN</w:t>
            </w:r>
          </w:p>
        </w:tc>
      </w:tr>
      <w:tr w:rsidR="000F7643" w14:paraId="29B5A5AE" w14:textId="77777777" w:rsidTr="00381509">
        <w:trPr>
          <w:jc w:val="center"/>
        </w:trPr>
        <w:tc>
          <w:tcPr>
            <w:tcW w:w="846" w:type="dxa"/>
          </w:tcPr>
          <w:p w14:paraId="64851AB3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SG16</w:t>
            </w:r>
          </w:p>
        </w:tc>
        <w:tc>
          <w:tcPr>
            <w:tcW w:w="3827" w:type="dxa"/>
          </w:tcPr>
          <w:p w14:paraId="615E3664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2023/7/10</w:t>
            </w:r>
            <w:r>
              <w:rPr>
                <w:rFonts w:eastAsia="MS Mincho" w:hint="eastAsia"/>
                <w:lang w:val="en-US" w:eastAsia="zh-CN"/>
              </w:rPr>
              <w:t>～</w:t>
            </w:r>
            <w:r>
              <w:rPr>
                <w:rFonts w:eastAsia="MS Mincho"/>
                <w:lang w:val="en-US" w:eastAsia="zh-CN"/>
              </w:rPr>
              <w:t>7/21, Geneva</w:t>
            </w:r>
          </w:p>
        </w:tc>
        <w:tc>
          <w:tcPr>
            <w:tcW w:w="1418" w:type="dxa"/>
          </w:tcPr>
          <w:p w14:paraId="765993B5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416 (199)</w:t>
            </w:r>
          </w:p>
        </w:tc>
        <w:tc>
          <w:tcPr>
            <w:tcW w:w="2551" w:type="dxa"/>
          </w:tcPr>
          <w:p w14:paraId="658490D8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SG16-TD190-PLEN</w:t>
            </w:r>
          </w:p>
        </w:tc>
      </w:tr>
      <w:tr w:rsidR="000F7643" w14:paraId="5BCD9D77" w14:textId="77777777" w:rsidTr="00381509">
        <w:trPr>
          <w:jc w:val="center"/>
        </w:trPr>
        <w:tc>
          <w:tcPr>
            <w:tcW w:w="846" w:type="dxa"/>
          </w:tcPr>
          <w:p w14:paraId="38A1DDAD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SG17</w:t>
            </w:r>
          </w:p>
        </w:tc>
        <w:tc>
          <w:tcPr>
            <w:tcW w:w="3827" w:type="dxa"/>
          </w:tcPr>
          <w:p w14:paraId="34C20B0B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2023/2/21</w:t>
            </w:r>
            <w:r>
              <w:rPr>
                <w:rFonts w:eastAsia="MS Mincho" w:hint="eastAsia"/>
                <w:lang w:val="en-US" w:eastAsia="zh-CN"/>
              </w:rPr>
              <w:t>～</w:t>
            </w:r>
            <w:r>
              <w:rPr>
                <w:rFonts w:eastAsia="MS Mincho"/>
                <w:lang w:val="en-US" w:eastAsia="zh-CN"/>
              </w:rPr>
              <w:t>3/3, Geneva</w:t>
            </w:r>
          </w:p>
        </w:tc>
        <w:tc>
          <w:tcPr>
            <w:tcW w:w="1418" w:type="dxa"/>
          </w:tcPr>
          <w:p w14:paraId="132E6CA1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325 (147)</w:t>
            </w:r>
          </w:p>
        </w:tc>
        <w:tc>
          <w:tcPr>
            <w:tcW w:w="2551" w:type="dxa"/>
          </w:tcPr>
          <w:p w14:paraId="770A28D6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SG17-TD677R1-PLEN</w:t>
            </w:r>
          </w:p>
        </w:tc>
      </w:tr>
      <w:tr w:rsidR="000F7643" w14:paraId="20D1FD51" w14:textId="77777777" w:rsidTr="00381509">
        <w:trPr>
          <w:jc w:val="center"/>
        </w:trPr>
        <w:tc>
          <w:tcPr>
            <w:tcW w:w="846" w:type="dxa"/>
          </w:tcPr>
          <w:p w14:paraId="7A1EC4A7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SG20</w:t>
            </w:r>
          </w:p>
        </w:tc>
        <w:tc>
          <w:tcPr>
            <w:tcW w:w="3827" w:type="dxa"/>
          </w:tcPr>
          <w:p w14:paraId="096B467D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2023/1/30</w:t>
            </w:r>
            <w:r>
              <w:rPr>
                <w:rFonts w:eastAsia="MS Mincho" w:hint="eastAsia"/>
                <w:lang w:val="en-US" w:eastAsia="zh-CN"/>
              </w:rPr>
              <w:t>～</w:t>
            </w:r>
            <w:r>
              <w:rPr>
                <w:rFonts w:eastAsia="MS Mincho"/>
                <w:lang w:val="en-US" w:eastAsia="zh-CN"/>
              </w:rPr>
              <w:t>2/10, Geneva</w:t>
            </w:r>
          </w:p>
        </w:tc>
        <w:tc>
          <w:tcPr>
            <w:tcW w:w="1418" w:type="dxa"/>
          </w:tcPr>
          <w:p w14:paraId="737BDAC9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331 (109)</w:t>
            </w:r>
          </w:p>
        </w:tc>
        <w:tc>
          <w:tcPr>
            <w:tcW w:w="2551" w:type="dxa"/>
          </w:tcPr>
          <w:p w14:paraId="718545C1" w14:textId="77777777" w:rsidR="000F7643" w:rsidRDefault="000F7643" w:rsidP="00B9660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 w:eastAsia="zh-CN"/>
              </w:rPr>
              <w:t>SG20-TD398-GEN</w:t>
            </w:r>
          </w:p>
        </w:tc>
      </w:tr>
    </w:tbl>
    <w:p w14:paraId="2959C1D5" w14:textId="77777777" w:rsidR="00EF1335" w:rsidRDefault="00EF1335" w:rsidP="000F7643">
      <w:pPr>
        <w:jc w:val="both"/>
        <w:rPr>
          <w:rFonts w:eastAsia="MS Mincho"/>
        </w:rPr>
      </w:pPr>
    </w:p>
    <w:p w14:paraId="32EFDE2C" w14:textId="464A3ED8" w:rsidR="000F7643" w:rsidRDefault="001679F9" w:rsidP="000F7643">
      <w:pPr>
        <w:jc w:val="both"/>
        <w:rPr>
          <w:rFonts w:eastAsia="MS Mincho"/>
        </w:rPr>
      </w:pPr>
      <w:r>
        <w:rPr>
          <w:rFonts w:eastAsia="MS Mincho" w:hint="eastAsia"/>
        </w:rPr>
        <w:t>N</w:t>
      </w:r>
      <w:r>
        <w:rPr>
          <w:rFonts w:eastAsia="MS Mincho"/>
        </w:rPr>
        <w:t>ote that table 2 provides just “snapshots” and will not always apply to other meetings.</w:t>
      </w:r>
    </w:p>
    <w:p w14:paraId="372B1E58" w14:textId="71CCE2A3" w:rsidR="000F7643" w:rsidRDefault="000F7643" w:rsidP="000F7643">
      <w:pPr>
        <w:jc w:val="both"/>
        <w:rPr>
          <w:rFonts w:eastAsia="MS Mincho"/>
        </w:rPr>
      </w:pPr>
      <w:r>
        <w:rPr>
          <w:rFonts w:eastAsia="MS Mincho"/>
        </w:rPr>
        <w:t>It is expected that the integration will lead to further enhancement and acceleration of the work on advanced multimedia technologies such as metaverse</w:t>
      </w:r>
      <w:r w:rsidR="001679F9">
        <w:rPr>
          <w:rFonts w:eastAsia="MS Mincho"/>
        </w:rPr>
        <w:t>, immersive content experiences, advanced terminal devices, etc.</w:t>
      </w:r>
      <w:r>
        <w:rPr>
          <w:rFonts w:eastAsia="MS Mincho"/>
        </w:rPr>
        <w:t>, for which the need</w:t>
      </w:r>
      <w:r w:rsidR="00A37ABA">
        <w:rPr>
          <w:rFonts w:eastAsia="MS Mincho"/>
        </w:rPr>
        <w:t>s</w:t>
      </w:r>
      <w:r>
        <w:rPr>
          <w:rFonts w:eastAsia="MS Mincho"/>
        </w:rPr>
        <w:t xml:space="preserve"> for standardization </w:t>
      </w:r>
      <w:r w:rsidR="00A37ABA">
        <w:rPr>
          <w:rFonts w:eastAsia="MS Mincho"/>
        </w:rPr>
        <w:t>are</w:t>
      </w:r>
      <w:r>
        <w:rPr>
          <w:rFonts w:eastAsia="MS Mincho"/>
        </w:rPr>
        <w:t xml:space="preserve"> increasing. A</w:t>
      </w:r>
      <w:r w:rsidR="001679F9">
        <w:rPr>
          <w:rFonts w:eastAsia="MS Mincho"/>
        </w:rPr>
        <w:t>ppendix</w:t>
      </w:r>
      <w:r>
        <w:rPr>
          <w:rFonts w:eastAsia="MS Mincho"/>
        </w:rPr>
        <w:t xml:space="preserve"> A shows an example of the structure </w:t>
      </w:r>
      <w:r w:rsidR="001679F9">
        <w:rPr>
          <w:rFonts w:eastAsia="MS Mincho"/>
        </w:rPr>
        <w:t>of</w:t>
      </w:r>
      <w:r>
        <w:rPr>
          <w:rFonts w:eastAsia="MS Mincho"/>
        </w:rPr>
        <w:t xml:space="preserve"> this </w:t>
      </w:r>
      <w:r w:rsidR="001679F9">
        <w:rPr>
          <w:rFonts w:eastAsia="MS Mincho"/>
        </w:rPr>
        <w:t xml:space="preserve">proposed </w:t>
      </w:r>
      <w:r>
        <w:rPr>
          <w:rFonts w:eastAsia="MS Mincho"/>
        </w:rPr>
        <w:t>new SG</w:t>
      </w:r>
      <w:r w:rsidR="001679F9">
        <w:rPr>
          <w:rFonts w:eastAsia="MS Mincho"/>
        </w:rPr>
        <w:t xml:space="preserve">. </w:t>
      </w:r>
      <w:r w:rsidR="00ED2DA2">
        <w:rPr>
          <w:rFonts w:eastAsia="MS Mincho"/>
        </w:rPr>
        <w:t xml:space="preserve">Although this is beyond the scope of TSAG and </w:t>
      </w:r>
      <w:r w:rsidR="00ED2DA2">
        <w:rPr>
          <w:rFonts w:eastAsia="MS Mincho"/>
        </w:rPr>
        <w:lastRenderedPageBreak/>
        <w:t>WTSA, t</w:t>
      </w:r>
      <w:r w:rsidR="001679F9">
        <w:rPr>
          <w:rFonts w:eastAsia="MS Mincho"/>
        </w:rPr>
        <w:t xml:space="preserve">his </w:t>
      </w:r>
      <w:r w:rsidR="00ED2DA2">
        <w:rPr>
          <w:rFonts w:eastAsia="MS Mincho"/>
        </w:rPr>
        <w:t>A</w:t>
      </w:r>
      <w:r w:rsidR="001679F9">
        <w:rPr>
          <w:rFonts w:eastAsia="MS Mincho"/>
        </w:rPr>
        <w:t xml:space="preserve">ppendix is intended to give a preliminary view to those Member States that may have a concern on their administrative structures on </w:t>
      </w:r>
      <w:r w:rsidR="005C580E">
        <w:rPr>
          <w:rFonts w:eastAsia="MS Mincho"/>
        </w:rPr>
        <w:t>telecommunication</w:t>
      </w:r>
      <w:r w:rsidR="001679F9">
        <w:rPr>
          <w:rFonts w:eastAsia="MS Mincho"/>
        </w:rPr>
        <w:t xml:space="preserve"> industry and cable television industry.</w:t>
      </w:r>
      <w:r>
        <w:rPr>
          <w:rFonts w:eastAsia="MS Mincho"/>
        </w:rPr>
        <w:t xml:space="preserve"> </w:t>
      </w:r>
      <w:r w:rsidR="00ED2DA2">
        <w:rPr>
          <w:rFonts w:eastAsia="MS Mincho"/>
        </w:rPr>
        <w:t>As exemplified in Appendix</w:t>
      </w:r>
      <w:r>
        <w:rPr>
          <w:rFonts w:eastAsia="MS Mincho"/>
        </w:rPr>
        <w:t xml:space="preserve"> A, </w:t>
      </w:r>
      <w:r w:rsidR="00AB5EDB">
        <w:rPr>
          <w:rFonts w:eastAsia="MS Mincho"/>
        </w:rPr>
        <w:t xml:space="preserve">in addition to the current Working Parties (WPs) of SG16, </w:t>
      </w:r>
      <w:r>
        <w:rPr>
          <w:rFonts w:eastAsia="MS Mincho"/>
        </w:rPr>
        <w:t xml:space="preserve">by creating a new WP that </w:t>
      </w:r>
      <w:r w:rsidR="00ED2DA2">
        <w:rPr>
          <w:rFonts w:eastAsia="MS Mincho"/>
        </w:rPr>
        <w:t>dedicates to</w:t>
      </w:r>
      <w:r>
        <w:rPr>
          <w:rFonts w:eastAsia="MS Mincho"/>
        </w:rPr>
        <w:t xml:space="preserve"> the </w:t>
      </w:r>
      <w:r w:rsidR="00ED2DA2">
        <w:rPr>
          <w:rFonts w:eastAsia="MS Mincho"/>
        </w:rPr>
        <w:t>Q</w:t>
      </w:r>
      <w:r>
        <w:rPr>
          <w:rFonts w:eastAsia="MS Mincho"/>
        </w:rPr>
        <w:t xml:space="preserve">uestions specific to </w:t>
      </w:r>
      <w:r w:rsidR="00ED2DA2">
        <w:rPr>
          <w:rFonts w:eastAsia="MS Mincho"/>
        </w:rPr>
        <w:t xml:space="preserve">cable television and integrated broadband </w:t>
      </w:r>
      <w:r>
        <w:rPr>
          <w:rFonts w:eastAsia="MS Mincho"/>
        </w:rPr>
        <w:t xml:space="preserve">cable networks </w:t>
      </w:r>
      <w:r w:rsidR="00ED2DA2">
        <w:rPr>
          <w:rFonts w:eastAsia="MS Mincho"/>
        </w:rPr>
        <w:t>of</w:t>
      </w:r>
      <w:r>
        <w:rPr>
          <w:rFonts w:eastAsia="MS Mincho"/>
        </w:rPr>
        <w:t xml:space="preserve"> SG9, it is expected that </w:t>
      </w:r>
      <w:r w:rsidR="00ED2DA2">
        <w:rPr>
          <w:rFonts w:eastAsia="MS Mincho"/>
        </w:rPr>
        <w:t xml:space="preserve">those Member States </w:t>
      </w:r>
      <w:r>
        <w:rPr>
          <w:rFonts w:eastAsia="MS Mincho"/>
        </w:rPr>
        <w:t xml:space="preserve">where the agencies handling </w:t>
      </w:r>
      <w:r w:rsidR="005C580E">
        <w:rPr>
          <w:rFonts w:eastAsia="MS Mincho"/>
        </w:rPr>
        <w:t>tele</w:t>
      </w:r>
      <w:r>
        <w:rPr>
          <w:rFonts w:eastAsia="MS Mincho"/>
        </w:rPr>
        <w:t xml:space="preserve">communication and cable </w:t>
      </w:r>
      <w:r w:rsidR="00ED2DA2">
        <w:rPr>
          <w:rFonts w:eastAsia="MS Mincho"/>
        </w:rPr>
        <w:t>television</w:t>
      </w:r>
      <w:r>
        <w:rPr>
          <w:rFonts w:eastAsia="MS Mincho"/>
        </w:rPr>
        <w:t xml:space="preserve"> are different can deal with the </w:t>
      </w:r>
      <w:r w:rsidR="00ED2DA2">
        <w:rPr>
          <w:rFonts w:eastAsia="MS Mincho"/>
        </w:rPr>
        <w:t>Q</w:t>
      </w:r>
      <w:r>
        <w:rPr>
          <w:rFonts w:eastAsia="MS Mincho"/>
        </w:rPr>
        <w:t xml:space="preserve">uestions more efficiently in the new </w:t>
      </w:r>
      <w:r w:rsidR="00ED2DA2">
        <w:rPr>
          <w:rFonts w:eastAsia="MS Mincho"/>
        </w:rPr>
        <w:t xml:space="preserve">proposed </w:t>
      </w:r>
      <w:r>
        <w:rPr>
          <w:rFonts w:eastAsia="MS Mincho"/>
        </w:rPr>
        <w:t>SG.</w:t>
      </w:r>
    </w:p>
    <w:p w14:paraId="241318C4" w14:textId="77777777" w:rsidR="00EF1335" w:rsidRDefault="00EF1335" w:rsidP="000F7643">
      <w:pPr>
        <w:jc w:val="both"/>
        <w:rPr>
          <w:rFonts w:eastAsia="MS Mincho"/>
        </w:rPr>
      </w:pPr>
    </w:p>
    <w:p w14:paraId="4D03FF51" w14:textId="4DD33ECF" w:rsidR="00A41963" w:rsidRDefault="00A41963" w:rsidP="00A41963">
      <w:pPr>
        <w:jc w:val="both"/>
        <w:rPr>
          <w:rFonts w:eastAsia="MS Mincho"/>
          <w:b/>
        </w:rPr>
      </w:pPr>
      <w:bookmarkStart w:id="1" w:name="OLE_LINK10"/>
      <w:r>
        <w:rPr>
          <w:rFonts w:eastAsia="MS Mincho"/>
          <w:b/>
        </w:rPr>
        <w:t>Proposals</w:t>
      </w:r>
    </w:p>
    <w:p w14:paraId="6A3CEB89" w14:textId="77777777" w:rsidR="00A41963" w:rsidRPr="00A41963" w:rsidRDefault="00A41963" w:rsidP="00A41963">
      <w:pPr>
        <w:jc w:val="both"/>
        <w:rPr>
          <w:rFonts w:eastAsia="MS Mincho"/>
          <w:bCs/>
        </w:rPr>
      </w:pPr>
      <w:bookmarkStart w:id="2" w:name="OLE_LINK12"/>
      <w:r w:rsidRPr="00381509">
        <w:rPr>
          <w:rFonts w:eastAsia="MS Mincho"/>
          <w:bCs/>
        </w:rPr>
        <w:t>Japan proposes the followings:</w:t>
      </w:r>
    </w:p>
    <w:p w14:paraId="2D669F4B" w14:textId="3CC0F1E7" w:rsidR="00A41963" w:rsidRDefault="00EC7DD9" w:rsidP="00A41963">
      <w:pPr>
        <w:pStyle w:val="ListParagraph"/>
        <w:numPr>
          <w:ilvl w:val="0"/>
          <w:numId w:val="16"/>
        </w:numPr>
        <w:jc w:val="both"/>
        <w:rPr>
          <w:rFonts w:eastAsia="MS Mincho"/>
        </w:rPr>
      </w:pPr>
      <w:r>
        <w:rPr>
          <w:rFonts w:eastAsia="MS Mincho"/>
        </w:rPr>
        <w:t>A</w:t>
      </w:r>
      <w:r w:rsidR="00A41963">
        <w:rPr>
          <w:rFonts w:eastAsia="MS Mincho"/>
        </w:rPr>
        <w:t xml:space="preserve"> new SG derived from the integration of SG9 and SG16, "Multimedia, broadband cable and related digital technologies"</w:t>
      </w:r>
      <w:r>
        <w:rPr>
          <w:rFonts w:eastAsia="MS Mincho"/>
        </w:rPr>
        <w:t xml:space="preserve"> </w:t>
      </w:r>
      <w:r w:rsidR="004C3024">
        <w:rPr>
          <w:rFonts w:eastAsia="MS Mincho"/>
        </w:rPr>
        <w:t>should</w:t>
      </w:r>
      <w:r>
        <w:rPr>
          <w:rFonts w:eastAsia="MS Mincho"/>
        </w:rPr>
        <w:t xml:space="preserve"> be established in WTSA-24</w:t>
      </w:r>
      <w:r w:rsidR="00A41963">
        <w:rPr>
          <w:rFonts w:eastAsia="MS Mincho"/>
        </w:rPr>
        <w:t>.</w:t>
      </w:r>
    </w:p>
    <w:bookmarkEnd w:id="2"/>
    <w:p w14:paraId="54F9C40E" w14:textId="510CFE63" w:rsidR="00A41963" w:rsidRDefault="000543FB" w:rsidP="00A41963">
      <w:pPr>
        <w:pStyle w:val="ListParagraph"/>
        <w:numPr>
          <w:ilvl w:val="0"/>
          <w:numId w:val="16"/>
        </w:numPr>
        <w:jc w:val="both"/>
        <w:rPr>
          <w:rFonts w:eastAsia="MS Mincho"/>
        </w:rPr>
      </w:pPr>
      <w:r>
        <w:rPr>
          <w:rFonts w:eastAsia="MS Mincho" w:hint="eastAsia"/>
        </w:rPr>
        <w:t>R</w:t>
      </w:r>
      <w:r w:rsidR="00A41963">
        <w:rPr>
          <w:rFonts w:eastAsia="MS Mincho"/>
        </w:rPr>
        <w:t xml:space="preserve">evision of ITU-T Resolution 2 should also be considered </w:t>
      </w:r>
      <w:r>
        <w:rPr>
          <w:rFonts w:eastAsia="MS Mincho"/>
        </w:rPr>
        <w:t xml:space="preserve">in accordance </w:t>
      </w:r>
      <w:r w:rsidR="00A41963">
        <w:rPr>
          <w:rFonts w:eastAsia="MS Mincho"/>
        </w:rPr>
        <w:t>with the integration.</w:t>
      </w:r>
    </w:p>
    <w:p w14:paraId="0CE335B0" w14:textId="6241EC60" w:rsidR="00A41963" w:rsidRPr="00381509" w:rsidRDefault="00A41963">
      <w:pPr>
        <w:pStyle w:val="ListParagraph"/>
        <w:numPr>
          <w:ilvl w:val="0"/>
          <w:numId w:val="16"/>
        </w:numPr>
        <w:jc w:val="both"/>
        <w:rPr>
          <w:rFonts w:eastAsia="MS Mincho"/>
        </w:rPr>
      </w:pPr>
      <w:r>
        <w:rPr>
          <w:rFonts w:eastAsia="MS Mincho"/>
        </w:rPr>
        <w:t xml:space="preserve">TSAG </w:t>
      </w:r>
      <w:r w:rsidR="00E64A4D">
        <w:rPr>
          <w:rFonts w:eastAsia="MS Mincho"/>
        </w:rPr>
        <w:t xml:space="preserve">is invited </w:t>
      </w:r>
      <w:r>
        <w:rPr>
          <w:rFonts w:eastAsia="MS Mincho"/>
        </w:rPr>
        <w:t>to</w:t>
      </w:r>
      <w:bookmarkStart w:id="3" w:name="OLE_LINK11"/>
      <w:r>
        <w:rPr>
          <w:rFonts w:eastAsia="MS Mincho"/>
        </w:rPr>
        <w:t xml:space="preserve"> </w:t>
      </w:r>
      <w:bookmarkEnd w:id="3"/>
      <w:r w:rsidRPr="00381509">
        <w:rPr>
          <w:rFonts w:eastAsia="MS Mincho"/>
        </w:rPr>
        <w:t>send liaison statements to SG9</w:t>
      </w:r>
      <w:r w:rsidR="00E64A4D">
        <w:rPr>
          <w:rFonts w:eastAsia="MS Mincho"/>
        </w:rPr>
        <w:t xml:space="preserve">, </w:t>
      </w:r>
      <w:r w:rsidRPr="00381509">
        <w:rPr>
          <w:rFonts w:eastAsia="MS Mincho"/>
        </w:rPr>
        <w:t>SG16</w:t>
      </w:r>
      <w:r w:rsidR="00EF1335">
        <w:rPr>
          <w:rFonts w:eastAsia="MS Mincho"/>
        </w:rPr>
        <w:t xml:space="preserve"> and other related stake holders</w:t>
      </w:r>
      <w:r w:rsidR="000543FB">
        <w:rPr>
          <w:rFonts w:eastAsia="MS Mincho"/>
        </w:rPr>
        <w:t xml:space="preserve"> on </w:t>
      </w:r>
      <w:r w:rsidR="00561FDA">
        <w:rPr>
          <w:rFonts w:eastAsia="MS Mincho"/>
        </w:rPr>
        <w:t xml:space="preserve">the latest situation </w:t>
      </w:r>
      <w:r w:rsidR="000543FB">
        <w:rPr>
          <w:rFonts w:eastAsia="MS Mincho"/>
        </w:rPr>
        <w:t>of</w:t>
      </w:r>
      <w:r w:rsidR="00561FDA">
        <w:rPr>
          <w:rFonts w:eastAsia="MS Mincho"/>
        </w:rPr>
        <w:t xml:space="preserve"> restructuring and </w:t>
      </w:r>
      <w:r w:rsidR="000543FB">
        <w:rPr>
          <w:rFonts w:eastAsia="MS Mincho"/>
        </w:rPr>
        <w:t xml:space="preserve">necessary advice </w:t>
      </w:r>
      <w:r w:rsidR="00561FDA">
        <w:rPr>
          <w:rFonts w:eastAsia="MS Mincho"/>
        </w:rPr>
        <w:t>for preparation if any</w:t>
      </w:r>
      <w:r w:rsidRPr="00381509">
        <w:rPr>
          <w:rFonts w:eastAsia="MS Mincho"/>
        </w:rPr>
        <w:t>.</w:t>
      </w:r>
      <w:bookmarkEnd w:id="1"/>
    </w:p>
    <w:p w14:paraId="65DDBCCA" w14:textId="77777777" w:rsidR="00A41963" w:rsidRPr="00C20BA1" w:rsidRDefault="00A41963" w:rsidP="005C580E">
      <w:pPr>
        <w:jc w:val="both"/>
        <w:rPr>
          <w:rFonts w:eastAsia="MS Mincho"/>
        </w:rPr>
      </w:pPr>
    </w:p>
    <w:p w14:paraId="31FCC04B" w14:textId="77777777" w:rsidR="005C580E" w:rsidRDefault="005C580E" w:rsidP="005C580E">
      <w:pPr>
        <w:jc w:val="both"/>
        <w:rPr>
          <w:rFonts w:eastAsia="MS Mincho"/>
        </w:rPr>
      </w:pPr>
      <w:r>
        <w:rPr>
          <w:rFonts w:eastAsia="MS Mincho"/>
          <w:b/>
          <w:bCs/>
        </w:rPr>
        <w:t>References</w:t>
      </w:r>
    </w:p>
    <w:p w14:paraId="4869D67C" w14:textId="77777777" w:rsidR="005C580E" w:rsidRDefault="005C580E" w:rsidP="005C580E">
      <w:pPr>
        <w:ind w:left="1985" w:hangingChars="827" w:hanging="1985"/>
        <w:jc w:val="both"/>
        <w:rPr>
          <w:rFonts w:eastAsia="MS Mincho"/>
        </w:rPr>
      </w:pPr>
      <w:r>
        <w:rPr>
          <w:rFonts w:eastAsia="MS Mincho"/>
        </w:rPr>
        <w:t xml:space="preserve">[LS-from-SG9] </w:t>
      </w:r>
      <w:r>
        <w:rPr>
          <w:rFonts w:eastAsia="MS Mincho"/>
        </w:rPr>
        <w:tab/>
        <w:t xml:space="preserve">SG09-230509-GEN-388, </w:t>
      </w:r>
      <w:r>
        <w:rPr>
          <w:rFonts w:eastAsia="MS Mincho"/>
          <w:i/>
          <w:iCs/>
        </w:rPr>
        <w:t xml:space="preserve">LS/o/r on collaboration on metaverse standardization work of SG9 (FG-MV-LS1) [to FG-MV].  </w:t>
      </w:r>
      <w:r>
        <w:rPr>
          <w:rFonts w:eastAsia="MS Mincho"/>
        </w:rPr>
        <w:t xml:space="preserve">  </w:t>
      </w:r>
    </w:p>
    <w:p w14:paraId="1F5639B3" w14:textId="77777777" w:rsidR="005C580E" w:rsidRDefault="005C580E" w:rsidP="005C580E">
      <w:pPr>
        <w:ind w:left="1985" w:hangingChars="827" w:hanging="1985"/>
        <w:jc w:val="both"/>
        <w:rPr>
          <w:rFonts w:eastAsia="MS Mincho"/>
        </w:rPr>
      </w:pPr>
      <w:r>
        <w:rPr>
          <w:rFonts w:eastAsia="MS Mincho"/>
        </w:rPr>
        <w:t>[LS-from-SG16]</w:t>
      </w:r>
      <w:r>
        <w:rPr>
          <w:rFonts w:eastAsia="MS Mincho"/>
        </w:rPr>
        <w:tab/>
      </w:r>
      <w:hyperlink r:id="rId15" w:history="1">
        <w:r>
          <w:rPr>
            <w:rStyle w:val="Hyperlink"/>
            <w:rFonts w:eastAsia="MS Mincho"/>
          </w:rPr>
          <w:t>TSAG-221212-TD-GEN-0106</w:t>
        </w:r>
      </w:hyperlink>
      <w:r>
        <w:rPr>
          <w:rFonts w:eastAsia="MS Mincho"/>
        </w:rPr>
        <w:t xml:space="preserve">, </w:t>
      </w:r>
      <w:r>
        <w:rPr>
          <w:i/>
          <w:iCs/>
        </w:rPr>
        <w:t>LS on the establishment of a new Focus Group on the "metaverse/immersive virtual universe" [to TSAG]</w:t>
      </w:r>
      <w:r>
        <w:rPr>
          <w:rFonts w:eastAsia="MS Mincho"/>
          <w:i/>
          <w:iCs/>
        </w:rPr>
        <w:t>.</w:t>
      </w:r>
    </w:p>
    <w:p w14:paraId="33CE3945" w14:textId="77777777" w:rsidR="00ED2DA2" w:rsidRPr="00A41963" w:rsidRDefault="00ED2DA2" w:rsidP="00A0065F">
      <w:pPr>
        <w:jc w:val="both"/>
        <w:rPr>
          <w:rFonts w:eastAsia="MS Mincho"/>
        </w:rPr>
      </w:pPr>
    </w:p>
    <w:p w14:paraId="39E3C9BF" w14:textId="77777777" w:rsidR="005C580E" w:rsidRDefault="005C580E">
      <w:pPr>
        <w:spacing w:before="0" w:after="160" w:line="259" w:lineRule="auto"/>
        <w:rPr>
          <w:rFonts w:eastAsia="MS Mincho"/>
          <w:b/>
          <w:bCs/>
          <w:sz w:val="32"/>
          <w:szCs w:val="32"/>
        </w:rPr>
      </w:pPr>
      <w:r>
        <w:rPr>
          <w:rFonts w:eastAsia="MS Mincho"/>
          <w:b/>
          <w:bCs/>
          <w:sz w:val="32"/>
          <w:szCs w:val="32"/>
        </w:rPr>
        <w:br w:type="page"/>
      </w:r>
    </w:p>
    <w:p w14:paraId="0B3953DA" w14:textId="5B7E1537" w:rsidR="00ED2DA2" w:rsidRPr="00381509" w:rsidRDefault="00ED2DA2" w:rsidP="00381509">
      <w:pPr>
        <w:spacing w:before="0" w:after="160" w:line="259" w:lineRule="auto"/>
        <w:jc w:val="center"/>
        <w:rPr>
          <w:rFonts w:eastAsia="MS Mincho"/>
          <w:b/>
          <w:bCs/>
          <w:sz w:val="32"/>
          <w:szCs w:val="32"/>
        </w:rPr>
      </w:pPr>
      <w:r w:rsidRPr="00381509">
        <w:rPr>
          <w:rFonts w:eastAsia="MS Mincho"/>
          <w:b/>
          <w:bCs/>
          <w:sz w:val="32"/>
          <w:szCs w:val="32"/>
        </w:rPr>
        <w:lastRenderedPageBreak/>
        <w:t>A</w:t>
      </w:r>
      <w:r>
        <w:rPr>
          <w:rFonts w:eastAsia="MS Mincho"/>
          <w:b/>
          <w:bCs/>
          <w:sz w:val="32"/>
          <w:szCs w:val="32"/>
        </w:rPr>
        <w:t>ppendix</w:t>
      </w:r>
      <w:r w:rsidRPr="00381509">
        <w:rPr>
          <w:rFonts w:eastAsia="MS Mincho"/>
          <w:b/>
          <w:bCs/>
          <w:sz w:val="32"/>
          <w:szCs w:val="32"/>
        </w:rPr>
        <w:t xml:space="preserve"> A</w:t>
      </w:r>
    </w:p>
    <w:p w14:paraId="315285AC" w14:textId="2EE8922C" w:rsidR="00ED2DA2" w:rsidRPr="00381509" w:rsidRDefault="00ED2DA2" w:rsidP="00381509">
      <w:pPr>
        <w:jc w:val="center"/>
        <w:rPr>
          <w:rFonts w:eastAsia="MS Mincho"/>
          <w:b/>
          <w:bCs/>
          <w:sz w:val="32"/>
          <w:szCs w:val="32"/>
        </w:rPr>
      </w:pPr>
      <w:bookmarkStart w:id="4" w:name="OLE_LINK4"/>
      <w:r w:rsidRPr="00381509">
        <w:rPr>
          <w:rFonts w:eastAsia="MS Mincho"/>
          <w:b/>
          <w:bCs/>
          <w:sz w:val="32"/>
          <w:szCs w:val="32"/>
        </w:rPr>
        <w:t>An example</w:t>
      </w:r>
      <w:bookmarkEnd w:id="4"/>
      <w:r w:rsidRPr="00381509">
        <w:rPr>
          <w:rFonts w:eastAsia="MS Mincho"/>
          <w:b/>
          <w:bCs/>
          <w:sz w:val="32"/>
          <w:szCs w:val="32"/>
        </w:rPr>
        <w:t xml:space="preserve"> </w:t>
      </w:r>
      <w:r>
        <w:rPr>
          <w:rFonts w:eastAsia="MS Mincho"/>
          <w:b/>
          <w:bCs/>
          <w:sz w:val="32"/>
          <w:szCs w:val="32"/>
        </w:rPr>
        <w:t>of</w:t>
      </w:r>
      <w:r w:rsidRPr="00381509">
        <w:rPr>
          <w:rFonts w:eastAsia="MS Mincho"/>
          <w:b/>
          <w:bCs/>
          <w:sz w:val="32"/>
          <w:szCs w:val="32"/>
        </w:rPr>
        <w:t xml:space="preserve"> the structure in the new </w:t>
      </w:r>
      <w:r>
        <w:rPr>
          <w:rFonts w:eastAsia="MS Mincho"/>
          <w:b/>
          <w:bCs/>
          <w:sz w:val="32"/>
          <w:szCs w:val="32"/>
        </w:rPr>
        <w:t xml:space="preserve">proposed </w:t>
      </w:r>
      <w:r w:rsidRPr="00381509">
        <w:rPr>
          <w:rFonts w:eastAsia="MS Mincho"/>
          <w:b/>
          <w:bCs/>
          <w:sz w:val="32"/>
          <w:szCs w:val="32"/>
        </w:rPr>
        <w:t>SG integrating SG9 and SG16</w:t>
      </w:r>
    </w:p>
    <w:p w14:paraId="177EA880" w14:textId="77777777" w:rsidR="005C580E" w:rsidRDefault="005C580E" w:rsidP="005C580E">
      <w:pPr>
        <w:jc w:val="center"/>
        <w:rPr>
          <w:lang w:val="en-US" w:eastAsia="zh-CN"/>
        </w:rPr>
      </w:pPr>
      <w:bookmarkStart w:id="5" w:name="OLE_LINK2"/>
      <w:r>
        <w:rPr>
          <w:lang w:val="en-US" w:eastAsia="zh-CN"/>
        </w:rPr>
        <w:t>(This appendix does not form an integral part of this Contribution.)</w:t>
      </w:r>
      <w:bookmarkEnd w:id="5"/>
    </w:p>
    <w:p w14:paraId="450E9D68" w14:textId="77777777" w:rsidR="005C580E" w:rsidRPr="00C5729B" w:rsidRDefault="005C580E" w:rsidP="00ED2DA2">
      <w:pPr>
        <w:jc w:val="both"/>
        <w:rPr>
          <w:rFonts w:eastAsia="MS Mincho"/>
          <w:b/>
        </w:rPr>
      </w:pPr>
    </w:p>
    <w:p w14:paraId="13A37CEC" w14:textId="620D42E1" w:rsidR="00ED2DA2" w:rsidRDefault="00ED2DA2" w:rsidP="00ED2DA2">
      <w:pPr>
        <w:jc w:val="both"/>
        <w:rPr>
          <w:rFonts w:eastAsia="MS Mincho"/>
        </w:rPr>
      </w:pPr>
      <w:proofErr w:type="gramStart"/>
      <w:r>
        <w:rPr>
          <w:rFonts w:eastAsia="MS Mincho"/>
        </w:rPr>
        <w:t>Taking into account</w:t>
      </w:r>
      <w:proofErr w:type="gramEnd"/>
      <w:r>
        <w:rPr>
          <w:rFonts w:eastAsia="MS Mincho"/>
        </w:rPr>
        <w:t xml:space="preserve"> for the future overlap elimination and countries regulations about </w:t>
      </w:r>
      <w:r w:rsidR="005C580E">
        <w:rPr>
          <w:rFonts w:eastAsia="MS Mincho"/>
        </w:rPr>
        <w:t>tele</w:t>
      </w:r>
      <w:r>
        <w:rPr>
          <w:rFonts w:eastAsia="MS Mincho"/>
        </w:rPr>
        <w:t xml:space="preserve">communication and cable </w:t>
      </w:r>
      <w:r w:rsidR="005C580E">
        <w:rPr>
          <w:rFonts w:eastAsia="MS Mincho"/>
        </w:rPr>
        <w:t>television</w:t>
      </w:r>
      <w:r>
        <w:rPr>
          <w:rFonts w:eastAsia="MS Mincho"/>
        </w:rPr>
        <w:t xml:space="preserve">, an example for the new group structure in the new SG integrating SG9 and SG16 are shown below. </w:t>
      </w:r>
      <w:r>
        <w:rPr>
          <w:rFonts w:eastAsia="MS Mincho" w:hint="eastAsia"/>
        </w:rPr>
        <w:t>T</w:t>
      </w:r>
      <w:r>
        <w:rPr>
          <w:rFonts w:eastAsia="MS Mincho"/>
        </w:rPr>
        <w:t>he current all Questions in SG9 and SG16 are listed in the new group structure for the future consideration by new SG management.</w:t>
      </w:r>
    </w:p>
    <w:p w14:paraId="01FC37F7" w14:textId="35030B0E" w:rsidR="00ED2DA2" w:rsidRDefault="00ED2DA2" w:rsidP="00ED2DA2">
      <w:pPr>
        <w:jc w:val="both"/>
        <w:rPr>
          <w:rFonts w:eastAsia="MS Mincho"/>
        </w:rPr>
      </w:pPr>
    </w:p>
    <w:p w14:paraId="50CBFA9E" w14:textId="376D67A7" w:rsidR="009027FB" w:rsidRDefault="009027FB" w:rsidP="00ED2DA2">
      <w:pPr>
        <w:jc w:val="both"/>
        <w:rPr>
          <w:rFonts w:eastAsia="MS Mincho"/>
        </w:rPr>
      </w:pPr>
      <w:r>
        <w:rPr>
          <w:rFonts w:eastAsia="MS Mincho" w:hint="eastAsia"/>
        </w:rPr>
        <w:t>N</w:t>
      </w:r>
      <w:r>
        <w:rPr>
          <w:rFonts w:eastAsia="MS Mincho"/>
        </w:rPr>
        <w:t xml:space="preserve">ote: the bullet </w:t>
      </w:r>
      <w:r w:rsidR="00AB5EDB">
        <w:rPr>
          <w:rFonts w:eastAsia="MS Mincho"/>
        </w:rPr>
        <w:t xml:space="preserve">symbol </w:t>
      </w:r>
      <w:r>
        <w:rPr>
          <w:rFonts w:eastAsia="MS Mincho"/>
        </w:rPr>
        <w:t xml:space="preserve">“–” </w:t>
      </w:r>
      <w:r w:rsidR="00AB5EDB">
        <w:rPr>
          <w:rFonts w:eastAsia="MS Mincho"/>
        </w:rPr>
        <w:t>denotes</w:t>
      </w:r>
      <w:r>
        <w:rPr>
          <w:rFonts w:eastAsia="MS Mincho"/>
        </w:rPr>
        <w:t xml:space="preserve"> Questions from SG16</w:t>
      </w:r>
      <w:r w:rsidR="00AB5EDB">
        <w:rPr>
          <w:rFonts w:eastAsia="MS Mincho"/>
        </w:rPr>
        <w:t>,</w:t>
      </w:r>
      <w:r>
        <w:rPr>
          <w:rFonts w:eastAsia="MS Mincho"/>
        </w:rPr>
        <w:t xml:space="preserve"> and “</w:t>
      </w:r>
      <w:r>
        <w:rPr>
          <w:rFonts w:eastAsia="MS Mincho"/>
        </w:rPr>
        <w:sym w:font="Symbol" w:char="F0F0"/>
      </w:r>
      <w:r>
        <w:rPr>
          <w:rFonts w:eastAsia="MS Mincho"/>
        </w:rPr>
        <w:t>” denotes Questions from SG9, respectively.</w:t>
      </w:r>
    </w:p>
    <w:p w14:paraId="2CE32B7D" w14:textId="77777777" w:rsidR="009027FB" w:rsidRPr="00C5729B" w:rsidRDefault="009027FB" w:rsidP="00ED2DA2">
      <w:pPr>
        <w:jc w:val="both"/>
        <w:rPr>
          <w:rFonts w:eastAsia="MS Mincho"/>
        </w:rPr>
      </w:pPr>
    </w:p>
    <w:p w14:paraId="43FBA41F" w14:textId="77777777" w:rsidR="00ED2DA2" w:rsidRPr="00381509" w:rsidRDefault="00ED2DA2" w:rsidP="00ED2DA2">
      <w:pPr>
        <w:pStyle w:val="ListParagraph"/>
        <w:widowControl w:val="0"/>
        <w:numPr>
          <w:ilvl w:val="0"/>
          <w:numId w:val="13"/>
        </w:numPr>
        <w:spacing w:before="0"/>
        <w:ind w:left="1024" w:hanging="457"/>
        <w:contextualSpacing w:val="0"/>
        <w:jc w:val="both"/>
        <w:rPr>
          <w:rFonts w:eastAsia="Yu Gothic"/>
          <w:b/>
          <w:bCs/>
        </w:rPr>
      </w:pPr>
      <w:r w:rsidRPr="00381509">
        <w:rPr>
          <w:rFonts w:eastAsia="Yu Gothic"/>
          <w:b/>
          <w:bCs/>
        </w:rPr>
        <w:t>Plenary</w:t>
      </w:r>
    </w:p>
    <w:p w14:paraId="27D4053E" w14:textId="77777777" w:rsidR="00ED2DA2" w:rsidRPr="00C5729B" w:rsidRDefault="00ED2DA2" w:rsidP="00ED2DA2">
      <w:pPr>
        <w:pStyle w:val="ListParagraph"/>
        <w:widowControl w:val="0"/>
        <w:numPr>
          <w:ilvl w:val="0"/>
          <w:numId w:val="14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Q1/16</w:t>
      </w:r>
      <w:r w:rsidRPr="00C5729B">
        <w:rPr>
          <w:rFonts w:eastAsia="Yu Gothic"/>
        </w:rPr>
        <w:tab/>
        <w:t>Multimedia and digital services coordination</w:t>
      </w:r>
    </w:p>
    <w:p w14:paraId="0BD9ED0D" w14:textId="77777777" w:rsidR="00ED2DA2" w:rsidRPr="00C5729B" w:rsidRDefault="00ED2DA2" w:rsidP="00ED2DA2">
      <w:pPr>
        <w:pStyle w:val="ListParagraph"/>
        <w:widowControl w:val="0"/>
        <w:numPr>
          <w:ilvl w:val="0"/>
          <w:numId w:val="15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Q10/9</w:t>
      </w:r>
      <w:r w:rsidRPr="00C5729B">
        <w:rPr>
          <w:rFonts w:eastAsia="Yu Gothic"/>
        </w:rPr>
        <w:tab/>
        <w:t>Work programme, coordination and planning</w:t>
      </w:r>
    </w:p>
    <w:p w14:paraId="4267B0D0" w14:textId="70E4CFAE" w:rsidR="00ED2DA2" w:rsidRDefault="00ED2DA2" w:rsidP="00ED2DA2">
      <w:pPr>
        <w:pStyle w:val="ListParagraph"/>
        <w:widowControl w:val="0"/>
        <w:numPr>
          <w:ilvl w:val="0"/>
          <w:numId w:val="15"/>
        </w:numPr>
        <w:spacing w:before="0"/>
        <w:ind w:left="1310" w:hanging="459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Q4/9</w:t>
      </w:r>
      <w:r w:rsidRPr="00C5729B">
        <w:rPr>
          <w:rFonts w:eastAsia="Yu Gothic"/>
        </w:rPr>
        <w:tab/>
        <w:t xml:space="preserve">Guidelines for implementations and deployment of transmission </w:t>
      </w:r>
      <w:r w:rsidR="005C580E">
        <w:rPr>
          <w:rFonts w:eastAsia="Yu Gothic"/>
        </w:rPr>
        <w:br/>
        <w:t xml:space="preserve">              </w:t>
      </w:r>
      <w:r w:rsidRPr="00C5729B">
        <w:rPr>
          <w:rFonts w:eastAsia="Yu Gothic"/>
        </w:rPr>
        <w:t>of multichannel digital television signals over optical access networks and</w:t>
      </w:r>
      <w:r w:rsidR="005C580E">
        <w:rPr>
          <w:rFonts w:eastAsia="Yu Gothic"/>
        </w:rPr>
        <w:br/>
        <w:t xml:space="preserve">             </w:t>
      </w:r>
      <w:r w:rsidRPr="00C5729B">
        <w:rPr>
          <w:rFonts w:eastAsia="Yu Gothic"/>
        </w:rPr>
        <w:t xml:space="preserve"> Hybrid Fibre-Coaxial (HFC)</w:t>
      </w:r>
    </w:p>
    <w:p w14:paraId="1EF6F208" w14:textId="77777777" w:rsidR="00ED2DA2" w:rsidRPr="00C5729B" w:rsidRDefault="00ED2DA2" w:rsidP="00381509">
      <w:pPr>
        <w:pStyle w:val="ListParagraph"/>
        <w:widowControl w:val="0"/>
        <w:spacing w:before="0"/>
        <w:ind w:left="1310"/>
        <w:contextualSpacing w:val="0"/>
        <w:jc w:val="both"/>
        <w:rPr>
          <w:rFonts w:eastAsia="Yu Gothic"/>
        </w:rPr>
      </w:pPr>
    </w:p>
    <w:p w14:paraId="02AFE7EA" w14:textId="77777777" w:rsidR="00ED2DA2" w:rsidRPr="00381509" w:rsidRDefault="00ED2DA2" w:rsidP="00ED2DA2">
      <w:pPr>
        <w:pStyle w:val="ListParagraph"/>
        <w:widowControl w:val="0"/>
        <w:numPr>
          <w:ilvl w:val="0"/>
          <w:numId w:val="13"/>
        </w:numPr>
        <w:spacing w:before="0"/>
        <w:ind w:left="1024" w:hanging="457"/>
        <w:contextualSpacing w:val="0"/>
        <w:jc w:val="both"/>
        <w:rPr>
          <w:rFonts w:eastAsia="Yu Gothic"/>
          <w:b/>
          <w:bCs/>
        </w:rPr>
      </w:pPr>
      <w:r w:rsidRPr="00381509">
        <w:rPr>
          <w:rFonts w:eastAsia="Yu Gothic"/>
          <w:b/>
          <w:bCs/>
        </w:rPr>
        <w:t xml:space="preserve">WP </w:t>
      </w:r>
      <w:proofErr w:type="gramStart"/>
      <w:r w:rsidRPr="00381509">
        <w:rPr>
          <w:rFonts w:eastAsia="Yu Gothic"/>
          <w:b/>
          <w:bCs/>
        </w:rPr>
        <w:t>A</w:t>
      </w:r>
      <w:proofErr w:type="gramEnd"/>
      <w:r w:rsidRPr="00381509">
        <w:rPr>
          <w:rFonts w:eastAsia="Yu Gothic"/>
          <w:b/>
          <w:bCs/>
        </w:rPr>
        <w:tab/>
        <w:t>Infrastructure for multimedia systems</w:t>
      </w:r>
    </w:p>
    <w:p w14:paraId="3160A8AB" w14:textId="77777777" w:rsidR="00ED2DA2" w:rsidRPr="00C5729B" w:rsidRDefault="00ED2DA2" w:rsidP="00ED2DA2">
      <w:pPr>
        <w:pStyle w:val="ListParagraph"/>
        <w:widowControl w:val="0"/>
        <w:numPr>
          <w:ilvl w:val="0"/>
          <w:numId w:val="14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Q11/16</w:t>
      </w:r>
      <w:r w:rsidRPr="00C5729B">
        <w:rPr>
          <w:rFonts w:eastAsia="Yu Gothic"/>
        </w:rPr>
        <w:tab/>
        <w:t>Multimedia systems, terminals, gateways and data conferencing</w:t>
      </w:r>
    </w:p>
    <w:p w14:paraId="6433657D" w14:textId="58F1B280" w:rsidR="00ED2DA2" w:rsidRPr="00C5729B" w:rsidRDefault="00ED2DA2" w:rsidP="00ED2DA2">
      <w:pPr>
        <w:pStyle w:val="ListParagraph"/>
        <w:widowControl w:val="0"/>
        <w:numPr>
          <w:ilvl w:val="0"/>
          <w:numId w:val="15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Q6/9</w:t>
      </w:r>
      <w:r w:rsidRPr="00C5729B">
        <w:rPr>
          <w:rFonts w:eastAsia="Yu Gothic"/>
        </w:rPr>
        <w:tab/>
        <w:t xml:space="preserve">Functional requirements for terminal devices of the integrated broadband cable </w:t>
      </w:r>
      <w:r w:rsidR="005C580E">
        <w:rPr>
          <w:rFonts w:eastAsia="Yu Gothic"/>
        </w:rPr>
        <w:br/>
        <w:t xml:space="preserve">              </w:t>
      </w:r>
      <w:r w:rsidRPr="00C5729B">
        <w:rPr>
          <w:rFonts w:eastAsia="Yu Gothic"/>
        </w:rPr>
        <w:t>network</w:t>
      </w:r>
    </w:p>
    <w:p w14:paraId="22C95430" w14:textId="39E5AE6D" w:rsidR="00ED2DA2" w:rsidRPr="00C5729B" w:rsidRDefault="00ED2DA2" w:rsidP="00ED2DA2">
      <w:pPr>
        <w:pStyle w:val="ListParagraph"/>
        <w:widowControl w:val="0"/>
        <w:numPr>
          <w:ilvl w:val="0"/>
          <w:numId w:val="14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Q13/16</w:t>
      </w:r>
      <w:r w:rsidRPr="00C5729B">
        <w:rPr>
          <w:rFonts w:eastAsia="Yu Gothic"/>
        </w:rPr>
        <w:tab/>
        <w:t xml:space="preserve">Content delivery, multimedia application platforms and end systems for </w:t>
      </w:r>
      <w:r w:rsidR="005C580E">
        <w:rPr>
          <w:rFonts w:eastAsia="Yu Gothic"/>
        </w:rPr>
        <w:br/>
        <w:t xml:space="preserve">              </w:t>
      </w:r>
      <w:r w:rsidRPr="00C5729B">
        <w:rPr>
          <w:rFonts w:eastAsia="Yu Gothic"/>
        </w:rPr>
        <w:t>IP-based television</w:t>
      </w:r>
    </w:p>
    <w:p w14:paraId="20AF7EDF" w14:textId="77777777" w:rsidR="00ED2DA2" w:rsidRPr="00C5729B" w:rsidRDefault="00ED2DA2" w:rsidP="00ED2DA2">
      <w:pPr>
        <w:pStyle w:val="ListParagraph"/>
        <w:widowControl w:val="0"/>
        <w:numPr>
          <w:ilvl w:val="0"/>
          <w:numId w:val="14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Q21/16</w:t>
      </w:r>
      <w:r w:rsidRPr="00C5729B">
        <w:rPr>
          <w:rFonts w:eastAsia="Yu Gothic"/>
        </w:rPr>
        <w:tab/>
        <w:t>Multimedia framework, applications and services</w:t>
      </w:r>
    </w:p>
    <w:p w14:paraId="07A2E4CA" w14:textId="77777777" w:rsidR="00ED2DA2" w:rsidRPr="00C5729B" w:rsidRDefault="00ED2DA2" w:rsidP="00ED2DA2">
      <w:pPr>
        <w:pStyle w:val="ListParagraph"/>
        <w:widowControl w:val="0"/>
        <w:numPr>
          <w:ilvl w:val="0"/>
          <w:numId w:val="14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Q22/16</w:t>
      </w:r>
      <w:r w:rsidRPr="00C5729B">
        <w:rPr>
          <w:rFonts w:eastAsia="Yu Gothic"/>
        </w:rPr>
        <w:tab/>
        <w:t>Multimedia aspects of distributed ledger technologies and e-services</w:t>
      </w:r>
    </w:p>
    <w:p w14:paraId="0F2FE091" w14:textId="31CBA115" w:rsidR="00ED2DA2" w:rsidRDefault="00ED2DA2" w:rsidP="00ED2DA2">
      <w:pPr>
        <w:pStyle w:val="ListParagraph"/>
        <w:widowControl w:val="0"/>
        <w:numPr>
          <w:ilvl w:val="0"/>
          <w:numId w:val="14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Q27/16</w:t>
      </w:r>
      <w:r w:rsidRPr="00C5729B">
        <w:rPr>
          <w:rFonts w:eastAsia="Yu Gothic"/>
        </w:rPr>
        <w:tab/>
        <w:t>Vehicular multimedia communications, systems, networks, and application</w:t>
      </w:r>
    </w:p>
    <w:p w14:paraId="3AC6E395" w14:textId="77777777" w:rsidR="00ED2DA2" w:rsidRPr="00381509" w:rsidRDefault="00ED2DA2" w:rsidP="00381509">
      <w:pPr>
        <w:widowControl w:val="0"/>
        <w:spacing w:before="0"/>
        <w:ind w:left="851"/>
        <w:jc w:val="both"/>
        <w:rPr>
          <w:rFonts w:eastAsia="Yu Gothic"/>
        </w:rPr>
      </w:pPr>
    </w:p>
    <w:p w14:paraId="7B159AD9" w14:textId="77777777" w:rsidR="00ED2DA2" w:rsidRPr="00381509" w:rsidRDefault="00ED2DA2" w:rsidP="00ED2DA2">
      <w:pPr>
        <w:pStyle w:val="ListParagraph"/>
        <w:widowControl w:val="0"/>
        <w:numPr>
          <w:ilvl w:val="0"/>
          <w:numId w:val="13"/>
        </w:numPr>
        <w:spacing w:before="0"/>
        <w:ind w:left="1024" w:hanging="457"/>
        <w:contextualSpacing w:val="0"/>
        <w:jc w:val="both"/>
        <w:rPr>
          <w:rFonts w:eastAsia="Yu Gothic"/>
          <w:b/>
          <w:bCs/>
        </w:rPr>
      </w:pPr>
      <w:r w:rsidRPr="00381509">
        <w:rPr>
          <w:rFonts w:eastAsia="Yu Gothic"/>
          <w:b/>
          <w:bCs/>
        </w:rPr>
        <w:t>WP B</w:t>
      </w:r>
      <w:r w:rsidRPr="00381509">
        <w:rPr>
          <w:rFonts w:eastAsia="Yu Gothic"/>
          <w:b/>
          <w:bCs/>
        </w:rPr>
        <w:tab/>
        <w:t>Multimedia digital services and human aspects</w:t>
      </w:r>
    </w:p>
    <w:p w14:paraId="06E2813A" w14:textId="77777777" w:rsidR="00ED2DA2" w:rsidRPr="00C5729B" w:rsidRDefault="00ED2DA2" w:rsidP="00ED2DA2">
      <w:pPr>
        <w:pStyle w:val="ListParagraph"/>
        <w:widowControl w:val="0"/>
        <w:numPr>
          <w:ilvl w:val="0"/>
          <w:numId w:val="14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Q23/16</w:t>
      </w:r>
      <w:r w:rsidRPr="00C5729B">
        <w:rPr>
          <w:rFonts w:eastAsia="Yu Gothic"/>
        </w:rPr>
        <w:tab/>
        <w:t>Digital culture-related systems and services</w:t>
      </w:r>
    </w:p>
    <w:p w14:paraId="3A84546E" w14:textId="77777777" w:rsidR="00ED2DA2" w:rsidRPr="00C5729B" w:rsidRDefault="00ED2DA2" w:rsidP="00ED2DA2">
      <w:pPr>
        <w:pStyle w:val="ListParagraph"/>
        <w:widowControl w:val="0"/>
        <w:numPr>
          <w:ilvl w:val="0"/>
          <w:numId w:val="14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Q24/16</w:t>
      </w:r>
      <w:r w:rsidRPr="00C5729B">
        <w:rPr>
          <w:rFonts w:eastAsia="Yu Gothic"/>
        </w:rPr>
        <w:tab/>
        <w:t>Human factors for intelligent user interfaces and services</w:t>
      </w:r>
    </w:p>
    <w:p w14:paraId="01A7C8F2" w14:textId="77777777" w:rsidR="00ED2DA2" w:rsidRPr="00C5729B" w:rsidRDefault="00ED2DA2" w:rsidP="00ED2DA2">
      <w:pPr>
        <w:pStyle w:val="ListParagraph"/>
        <w:widowControl w:val="0"/>
        <w:numPr>
          <w:ilvl w:val="0"/>
          <w:numId w:val="14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Q26/16</w:t>
      </w:r>
      <w:r w:rsidRPr="00C5729B">
        <w:rPr>
          <w:rFonts w:eastAsia="Yu Gothic"/>
        </w:rPr>
        <w:tab/>
        <w:t>Accessibility to multimedia systems and services</w:t>
      </w:r>
    </w:p>
    <w:p w14:paraId="1CD49C3F" w14:textId="77777777" w:rsidR="00ED2DA2" w:rsidRPr="00C5729B" w:rsidRDefault="00ED2DA2" w:rsidP="00ED2DA2">
      <w:pPr>
        <w:pStyle w:val="ListParagraph"/>
        <w:widowControl w:val="0"/>
        <w:numPr>
          <w:ilvl w:val="0"/>
          <w:numId w:val="15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Q11/9</w:t>
      </w:r>
      <w:r w:rsidRPr="00C5729B">
        <w:rPr>
          <w:rFonts w:eastAsia="Yu Gothic"/>
        </w:rPr>
        <w:tab/>
        <w:t>Accessibility to cable systems and services</w:t>
      </w:r>
    </w:p>
    <w:p w14:paraId="237AD66F" w14:textId="77777777" w:rsidR="00ED2DA2" w:rsidRDefault="00ED2DA2" w:rsidP="00ED2DA2">
      <w:pPr>
        <w:pStyle w:val="ListParagraph"/>
        <w:widowControl w:val="0"/>
        <w:numPr>
          <w:ilvl w:val="0"/>
          <w:numId w:val="14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Q28/16</w:t>
      </w:r>
      <w:r w:rsidRPr="00C5729B">
        <w:rPr>
          <w:rFonts w:eastAsia="Yu Gothic"/>
        </w:rPr>
        <w:tab/>
        <w:t>Multimedia framework for digital health applications</w:t>
      </w:r>
    </w:p>
    <w:p w14:paraId="3A81327C" w14:textId="77777777" w:rsidR="00ED2DA2" w:rsidRPr="00C5729B" w:rsidRDefault="00ED2DA2" w:rsidP="00381509">
      <w:pPr>
        <w:pStyle w:val="ListParagraph"/>
        <w:widowControl w:val="0"/>
        <w:spacing w:before="0"/>
        <w:ind w:left="1308"/>
        <w:contextualSpacing w:val="0"/>
        <w:jc w:val="both"/>
        <w:rPr>
          <w:rFonts w:eastAsia="Yu Gothic"/>
        </w:rPr>
      </w:pPr>
    </w:p>
    <w:p w14:paraId="097A8C30" w14:textId="77777777" w:rsidR="00ED2DA2" w:rsidRPr="00381509" w:rsidRDefault="00ED2DA2" w:rsidP="00ED2DA2">
      <w:pPr>
        <w:pStyle w:val="ListParagraph"/>
        <w:widowControl w:val="0"/>
        <w:numPr>
          <w:ilvl w:val="0"/>
          <w:numId w:val="13"/>
        </w:numPr>
        <w:spacing w:before="0"/>
        <w:ind w:left="1024" w:hanging="457"/>
        <w:contextualSpacing w:val="0"/>
        <w:jc w:val="both"/>
        <w:rPr>
          <w:rFonts w:eastAsia="Yu Gothic"/>
          <w:b/>
          <w:bCs/>
        </w:rPr>
      </w:pPr>
      <w:r w:rsidRPr="00381509">
        <w:rPr>
          <w:rFonts w:eastAsia="Yu Gothic"/>
          <w:b/>
          <w:bCs/>
        </w:rPr>
        <w:t>WP C</w:t>
      </w:r>
      <w:r w:rsidRPr="00381509">
        <w:rPr>
          <w:rFonts w:eastAsia="Yu Gothic"/>
          <w:b/>
          <w:bCs/>
        </w:rPr>
        <w:tab/>
        <w:t>Audiovisual technologies and intelligent immersive applications</w:t>
      </w:r>
    </w:p>
    <w:p w14:paraId="3D60D405" w14:textId="77777777" w:rsidR="00ED2DA2" w:rsidRPr="00C5729B" w:rsidRDefault="00ED2DA2" w:rsidP="00ED2DA2">
      <w:pPr>
        <w:pStyle w:val="ListParagraph"/>
        <w:widowControl w:val="0"/>
        <w:numPr>
          <w:ilvl w:val="0"/>
          <w:numId w:val="14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Q5/16</w:t>
      </w:r>
      <w:r w:rsidRPr="00C5729B">
        <w:rPr>
          <w:rFonts w:eastAsia="Yu Gothic"/>
        </w:rPr>
        <w:tab/>
        <w:t>Artificial intelligence-enabled multimedia applications</w:t>
      </w:r>
    </w:p>
    <w:p w14:paraId="46B2A1B4" w14:textId="77777777" w:rsidR="00ED2DA2" w:rsidRPr="00C5729B" w:rsidRDefault="00ED2DA2" w:rsidP="00ED2DA2">
      <w:pPr>
        <w:pStyle w:val="ListParagraph"/>
        <w:widowControl w:val="0"/>
        <w:numPr>
          <w:ilvl w:val="0"/>
          <w:numId w:val="15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Q3/9</w:t>
      </w:r>
      <w:r w:rsidRPr="00C5729B">
        <w:rPr>
          <w:rFonts w:eastAsia="Yu Gothic"/>
        </w:rPr>
        <w:tab/>
        <w:t>AI-enabled enhanced functions over integrated broadband cable network</w:t>
      </w:r>
    </w:p>
    <w:p w14:paraId="4DF240B8" w14:textId="77777777" w:rsidR="00ED2DA2" w:rsidRPr="00C5729B" w:rsidRDefault="00ED2DA2" w:rsidP="00ED2DA2">
      <w:pPr>
        <w:pStyle w:val="ListParagraph"/>
        <w:widowControl w:val="0"/>
        <w:numPr>
          <w:ilvl w:val="0"/>
          <w:numId w:val="14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Q6/16</w:t>
      </w:r>
      <w:r w:rsidRPr="00C5729B">
        <w:rPr>
          <w:rFonts w:eastAsia="Yu Gothic"/>
        </w:rPr>
        <w:tab/>
        <w:t>Visual, audio and signal coding</w:t>
      </w:r>
    </w:p>
    <w:p w14:paraId="61A9B3E0" w14:textId="77777777" w:rsidR="00ED2DA2" w:rsidRPr="00C5729B" w:rsidRDefault="00ED2DA2" w:rsidP="00ED2DA2">
      <w:pPr>
        <w:pStyle w:val="ListParagraph"/>
        <w:widowControl w:val="0"/>
        <w:numPr>
          <w:ilvl w:val="0"/>
          <w:numId w:val="14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Q8/16</w:t>
      </w:r>
      <w:r w:rsidRPr="00C5729B">
        <w:rPr>
          <w:rFonts w:eastAsia="Yu Gothic"/>
        </w:rPr>
        <w:tab/>
        <w:t>Immersive live experience systems and services</w:t>
      </w:r>
    </w:p>
    <w:p w14:paraId="46667AD5" w14:textId="77777777" w:rsidR="00ED2DA2" w:rsidRDefault="00ED2DA2" w:rsidP="00ED2DA2">
      <w:pPr>
        <w:pStyle w:val="ListParagraph"/>
        <w:widowControl w:val="0"/>
        <w:numPr>
          <w:ilvl w:val="0"/>
          <w:numId w:val="14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Q12/16</w:t>
      </w:r>
      <w:r w:rsidRPr="00C5729B">
        <w:rPr>
          <w:rFonts w:eastAsia="Yu Gothic"/>
        </w:rPr>
        <w:tab/>
        <w:t>Intelligent visual systems and services</w:t>
      </w:r>
    </w:p>
    <w:p w14:paraId="64830AC7" w14:textId="77777777" w:rsidR="00ED2DA2" w:rsidRPr="00C5729B" w:rsidRDefault="00ED2DA2" w:rsidP="00381509">
      <w:pPr>
        <w:pStyle w:val="ListParagraph"/>
        <w:widowControl w:val="0"/>
        <w:spacing w:before="0"/>
        <w:ind w:left="1308"/>
        <w:contextualSpacing w:val="0"/>
        <w:jc w:val="both"/>
        <w:rPr>
          <w:rFonts w:eastAsia="Yu Gothic"/>
        </w:rPr>
      </w:pPr>
    </w:p>
    <w:p w14:paraId="1241667D" w14:textId="77777777" w:rsidR="00ED2DA2" w:rsidRPr="00381509" w:rsidRDefault="00ED2DA2" w:rsidP="00ED2DA2">
      <w:pPr>
        <w:pStyle w:val="ListParagraph"/>
        <w:widowControl w:val="0"/>
        <w:numPr>
          <w:ilvl w:val="0"/>
          <w:numId w:val="13"/>
        </w:numPr>
        <w:spacing w:before="0"/>
        <w:ind w:left="1024" w:hanging="457"/>
        <w:contextualSpacing w:val="0"/>
        <w:jc w:val="both"/>
        <w:rPr>
          <w:rFonts w:eastAsia="Yu Gothic"/>
          <w:b/>
          <w:bCs/>
        </w:rPr>
      </w:pPr>
      <w:r w:rsidRPr="00381509">
        <w:rPr>
          <w:rFonts w:eastAsia="Yu Gothic"/>
          <w:b/>
          <w:bCs/>
        </w:rPr>
        <w:t>WP D</w:t>
      </w:r>
      <w:r w:rsidRPr="00381509">
        <w:rPr>
          <w:rFonts w:eastAsia="Yu Gothic"/>
          <w:b/>
          <w:bCs/>
        </w:rPr>
        <w:tab/>
        <w:t>Cable television technologies and services</w:t>
      </w:r>
    </w:p>
    <w:p w14:paraId="720575FD" w14:textId="04E9E3B2" w:rsidR="00ED2DA2" w:rsidRPr="00C5729B" w:rsidRDefault="00ED2DA2" w:rsidP="00ED2DA2">
      <w:pPr>
        <w:pStyle w:val="ListParagraph"/>
        <w:widowControl w:val="0"/>
        <w:numPr>
          <w:ilvl w:val="0"/>
          <w:numId w:val="15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lastRenderedPageBreak/>
        <w:t>Q1/9</w:t>
      </w:r>
      <w:r w:rsidRPr="00C5729B">
        <w:rPr>
          <w:rFonts w:eastAsia="Yu Gothic"/>
        </w:rPr>
        <w:tab/>
        <w:t>Transmission and delivery control of television and sound programme signal</w:t>
      </w:r>
      <w:r w:rsidR="005C580E">
        <w:rPr>
          <w:rFonts w:eastAsia="Yu Gothic"/>
        </w:rPr>
        <w:br/>
        <w:t xml:space="preserve">             </w:t>
      </w:r>
      <w:r w:rsidRPr="00C5729B">
        <w:rPr>
          <w:rFonts w:eastAsia="Yu Gothic"/>
        </w:rPr>
        <w:t xml:space="preserve"> for contribution, primary distribution and secondary distribution</w:t>
      </w:r>
    </w:p>
    <w:p w14:paraId="568C6E09" w14:textId="77777777" w:rsidR="00ED2DA2" w:rsidRPr="00C5729B" w:rsidRDefault="00ED2DA2" w:rsidP="00ED2DA2">
      <w:pPr>
        <w:pStyle w:val="ListParagraph"/>
        <w:widowControl w:val="0"/>
        <w:numPr>
          <w:ilvl w:val="0"/>
          <w:numId w:val="15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Q2/9</w:t>
      </w:r>
      <w:r w:rsidRPr="00C5729B">
        <w:rPr>
          <w:rFonts w:eastAsia="Yu Gothic"/>
        </w:rPr>
        <w:tab/>
        <w:t>Methods and practices for conditional access and content protection</w:t>
      </w:r>
    </w:p>
    <w:p w14:paraId="64662450" w14:textId="4C1984DF" w:rsidR="00ED2DA2" w:rsidRPr="00C5729B" w:rsidRDefault="00ED2DA2" w:rsidP="00ED2DA2">
      <w:pPr>
        <w:pStyle w:val="ListParagraph"/>
        <w:widowControl w:val="0"/>
        <w:numPr>
          <w:ilvl w:val="0"/>
          <w:numId w:val="15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Q5/9</w:t>
      </w:r>
      <w:r w:rsidRPr="00C5729B">
        <w:rPr>
          <w:rFonts w:eastAsia="Yu Gothic"/>
        </w:rPr>
        <w:tab/>
        <w:t>Software components, application programming interfaces (APIs),</w:t>
      </w:r>
      <w:r w:rsidR="005C580E">
        <w:rPr>
          <w:rFonts w:eastAsia="Yu Gothic"/>
        </w:rPr>
        <w:br/>
        <w:t xml:space="preserve">             </w:t>
      </w:r>
      <w:r w:rsidRPr="00C5729B">
        <w:rPr>
          <w:rFonts w:eastAsia="Yu Gothic"/>
        </w:rPr>
        <w:t xml:space="preserve"> frameworks and overall software architecture for advanced content distribution</w:t>
      </w:r>
      <w:r w:rsidR="005C580E">
        <w:rPr>
          <w:rFonts w:eastAsia="Yu Gothic"/>
        </w:rPr>
        <w:br/>
        <w:t xml:space="preserve">             </w:t>
      </w:r>
      <w:r w:rsidRPr="00C5729B">
        <w:rPr>
          <w:rFonts w:eastAsia="Yu Gothic"/>
        </w:rPr>
        <w:t xml:space="preserve"> services within the scope of Study Group 9</w:t>
      </w:r>
    </w:p>
    <w:p w14:paraId="3D8BF11F" w14:textId="22348E86" w:rsidR="00ED2DA2" w:rsidRPr="00C5729B" w:rsidRDefault="00ED2DA2" w:rsidP="00ED2DA2">
      <w:pPr>
        <w:pStyle w:val="ListParagraph"/>
        <w:widowControl w:val="0"/>
        <w:numPr>
          <w:ilvl w:val="0"/>
          <w:numId w:val="15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Q7/9</w:t>
      </w:r>
      <w:r w:rsidRPr="00C5729B">
        <w:rPr>
          <w:rFonts w:eastAsia="Yu Gothic"/>
        </w:rPr>
        <w:tab/>
        <w:t>Transmission control and interfaces (MAC layer) for IP and/or packet-based</w:t>
      </w:r>
      <w:r w:rsidR="005C580E">
        <w:rPr>
          <w:rFonts w:eastAsia="Yu Gothic"/>
        </w:rPr>
        <w:br/>
        <w:t xml:space="preserve">             </w:t>
      </w:r>
      <w:r w:rsidRPr="00C5729B">
        <w:rPr>
          <w:rFonts w:eastAsia="Yu Gothic"/>
        </w:rPr>
        <w:t xml:space="preserve"> data over integrated broadband cable networks</w:t>
      </w:r>
    </w:p>
    <w:p w14:paraId="3CAE06DB" w14:textId="5B46EE26" w:rsidR="00ED2DA2" w:rsidRPr="00C5729B" w:rsidRDefault="00ED2DA2" w:rsidP="00ED2DA2">
      <w:pPr>
        <w:pStyle w:val="ListParagraph"/>
        <w:widowControl w:val="0"/>
        <w:numPr>
          <w:ilvl w:val="0"/>
          <w:numId w:val="15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Q8/9</w:t>
      </w:r>
      <w:r w:rsidRPr="00C5729B">
        <w:rPr>
          <w:rFonts w:eastAsia="Yu Gothic"/>
        </w:rPr>
        <w:tab/>
        <w:t>The Internet protocol (IP) enabled multimedia applications and services for</w:t>
      </w:r>
      <w:r w:rsidR="005C580E">
        <w:rPr>
          <w:rFonts w:eastAsia="Yu Gothic"/>
        </w:rPr>
        <w:br/>
        <w:t xml:space="preserve">             </w:t>
      </w:r>
      <w:r w:rsidRPr="00C5729B">
        <w:rPr>
          <w:rFonts w:eastAsia="Yu Gothic"/>
        </w:rPr>
        <w:t xml:space="preserve"> cable television networks enabled by converged platforms</w:t>
      </w:r>
    </w:p>
    <w:p w14:paraId="7B49DC2B" w14:textId="61D0B1ED" w:rsidR="00ED2DA2" w:rsidRPr="00C5729B" w:rsidRDefault="00ED2DA2" w:rsidP="00ED2DA2">
      <w:pPr>
        <w:pStyle w:val="ListParagraph"/>
        <w:widowControl w:val="0"/>
        <w:numPr>
          <w:ilvl w:val="0"/>
          <w:numId w:val="15"/>
        </w:numPr>
        <w:spacing w:before="0"/>
        <w:ind w:left="1308" w:hanging="457"/>
        <w:contextualSpacing w:val="0"/>
        <w:jc w:val="both"/>
        <w:rPr>
          <w:rFonts w:eastAsia="Yu Gothic"/>
        </w:rPr>
      </w:pPr>
      <w:r w:rsidRPr="00C5729B">
        <w:rPr>
          <w:rFonts w:eastAsia="Yu Gothic"/>
        </w:rPr>
        <w:t>Q9/9</w:t>
      </w:r>
      <w:r w:rsidRPr="00C5729B">
        <w:rPr>
          <w:rFonts w:eastAsia="Yu Gothic"/>
        </w:rPr>
        <w:tab/>
        <w:t>Requirements, methods, and interfaces of the advanced service platforms to</w:t>
      </w:r>
      <w:r w:rsidR="005C580E">
        <w:rPr>
          <w:rFonts w:eastAsia="Yu Gothic"/>
        </w:rPr>
        <w:br/>
        <w:t xml:space="preserve">             </w:t>
      </w:r>
      <w:r w:rsidRPr="00C5729B">
        <w:rPr>
          <w:rFonts w:eastAsia="Yu Gothic"/>
        </w:rPr>
        <w:t xml:space="preserve"> enhance the delivery of audiovisual content, and other multimedia interactive</w:t>
      </w:r>
      <w:r w:rsidR="005C580E">
        <w:rPr>
          <w:rFonts w:eastAsia="Yu Gothic"/>
        </w:rPr>
        <w:br/>
        <w:t xml:space="preserve">             </w:t>
      </w:r>
      <w:r w:rsidRPr="00C5729B">
        <w:rPr>
          <w:rFonts w:eastAsia="Yu Gothic"/>
        </w:rPr>
        <w:t xml:space="preserve"> services over integrated broadband cable networks</w:t>
      </w:r>
    </w:p>
    <w:p w14:paraId="5B904AF1" w14:textId="77777777" w:rsidR="00ED2DA2" w:rsidRPr="00453DB2" w:rsidRDefault="00ED2DA2" w:rsidP="00ED2DA2">
      <w:pPr>
        <w:jc w:val="both"/>
        <w:rPr>
          <w:rFonts w:eastAsia="MS Mincho"/>
        </w:rPr>
      </w:pPr>
    </w:p>
    <w:p w14:paraId="5CE1A49C" w14:textId="77777777" w:rsidR="005A64A7" w:rsidRDefault="005A64A7" w:rsidP="00394DBF">
      <w:pPr>
        <w:jc w:val="center"/>
      </w:pPr>
      <w:r>
        <w:t>_______________________</w:t>
      </w:r>
    </w:p>
    <w:p w14:paraId="60061E4C" w14:textId="77777777" w:rsidR="005A64A7" w:rsidRDefault="005A64A7" w:rsidP="0089088E"/>
    <w:sectPr w:rsidR="005A64A7" w:rsidSect="000C46EE">
      <w:headerReference w:type="default" r:id="rId16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77C4" w14:textId="77777777" w:rsidR="00C336ED" w:rsidRDefault="00C336ED" w:rsidP="00C42125">
      <w:pPr>
        <w:spacing w:before="0"/>
      </w:pPr>
      <w:r>
        <w:separator/>
      </w:r>
    </w:p>
  </w:endnote>
  <w:endnote w:type="continuationSeparator" w:id="0">
    <w:p w14:paraId="5E0F29B1" w14:textId="77777777" w:rsidR="00C336ED" w:rsidRDefault="00C336ED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56A2" w14:textId="77777777" w:rsidR="00C336ED" w:rsidRDefault="00C336ED" w:rsidP="00C42125">
      <w:pPr>
        <w:spacing w:before="0"/>
      </w:pPr>
      <w:r>
        <w:separator/>
      </w:r>
    </w:p>
  </w:footnote>
  <w:footnote w:type="continuationSeparator" w:id="0">
    <w:p w14:paraId="3274AB8E" w14:textId="77777777" w:rsidR="00C336ED" w:rsidRDefault="00C336ED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14:paraId="53172682" w14:textId="6C4CA6E4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3D6C8C">
      <w:rPr>
        <w:noProof/>
      </w:rPr>
      <w:t>TSAG-C078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0BE4"/>
    <w:multiLevelType w:val="hybridMultilevel"/>
    <w:tmpl w:val="D2409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D87F2D"/>
    <w:multiLevelType w:val="hybridMultilevel"/>
    <w:tmpl w:val="EC38A90A"/>
    <w:lvl w:ilvl="0" w:tplc="183E4F84">
      <w:start w:val="1"/>
      <w:numFmt w:val="bullet"/>
      <w:lvlText w:val="■"/>
      <w:lvlJc w:val="left"/>
      <w:pPr>
        <w:ind w:left="-84" w:hanging="420"/>
      </w:pPr>
      <w:rPr>
        <w:rFonts w:ascii="Yu Gothic" w:eastAsia="Yu Gothic" w:hAnsi="Yu Gothic" w:hint="eastAsia"/>
      </w:rPr>
    </w:lvl>
    <w:lvl w:ilvl="1" w:tplc="0409000B" w:tentative="1">
      <w:start w:val="1"/>
      <w:numFmt w:val="bullet"/>
      <w:lvlText w:val=""/>
      <w:lvlJc w:val="left"/>
      <w:pPr>
        <w:ind w:left="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76" w:hanging="420"/>
      </w:pPr>
      <w:rPr>
        <w:rFonts w:ascii="Wingdings" w:hAnsi="Wingdings" w:hint="default"/>
      </w:rPr>
    </w:lvl>
  </w:abstractNum>
  <w:abstractNum w:abstractNumId="12" w15:restartNumberingAfterBreak="0">
    <w:nsid w:val="5BF45CCB"/>
    <w:multiLevelType w:val="hybridMultilevel"/>
    <w:tmpl w:val="3E5832E8"/>
    <w:lvl w:ilvl="0" w:tplc="3B4AFEF2">
      <w:start w:val="1"/>
      <w:numFmt w:val="bullet"/>
      <w:lvlText w:val="□"/>
      <w:lvlJc w:val="left"/>
      <w:pPr>
        <w:ind w:left="2520" w:hanging="420"/>
      </w:pPr>
      <w:rPr>
        <w:rFonts w:ascii="Yu Gothic" w:eastAsia="Yu Gothic" w:hAnsi="Yu Gothic" w:hint="eastAsia"/>
        <w:lang w:val="en-GB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3" w15:restartNumberingAfterBreak="0">
    <w:nsid w:val="5CA1694E"/>
    <w:multiLevelType w:val="hybridMultilevel"/>
    <w:tmpl w:val="33906A6C"/>
    <w:lvl w:ilvl="0" w:tplc="FFFFFFFF">
      <w:start w:val="1"/>
      <w:numFmt w:val="bullet"/>
      <w:lvlText w:val=""/>
      <w:lvlJc w:val="left"/>
      <w:pPr>
        <w:ind w:left="2928" w:hanging="420"/>
      </w:pPr>
      <w:rPr>
        <w:rFonts w:ascii="Symbol" w:hAnsi="Symbol" w:hint="default"/>
        <w:lang w:val="en-GB"/>
      </w:rPr>
    </w:lvl>
    <w:lvl w:ilvl="1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8" w:hanging="420"/>
      </w:pPr>
      <w:rPr>
        <w:rFonts w:ascii="Wingdings" w:hAnsi="Wingdings" w:hint="default"/>
      </w:rPr>
    </w:lvl>
  </w:abstractNum>
  <w:abstractNum w:abstractNumId="14" w15:restartNumberingAfterBreak="0">
    <w:nsid w:val="705A6E0C"/>
    <w:multiLevelType w:val="multilevel"/>
    <w:tmpl w:val="D876DCD6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260" w:hanging="420"/>
      </w:pPr>
      <w:rPr>
        <w:rFonts w:ascii="Yu Gothic" w:eastAsia="Yu Gothic" w:hAnsi="Yu Gothic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2000874">
    <w:abstractNumId w:val="9"/>
  </w:num>
  <w:num w:numId="2" w16cid:durableId="2108884544">
    <w:abstractNumId w:val="7"/>
  </w:num>
  <w:num w:numId="3" w16cid:durableId="1480728038">
    <w:abstractNumId w:val="6"/>
  </w:num>
  <w:num w:numId="4" w16cid:durableId="1968966953">
    <w:abstractNumId w:val="5"/>
  </w:num>
  <w:num w:numId="5" w16cid:durableId="1140878350">
    <w:abstractNumId w:val="4"/>
  </w:num>
  <w:num w:numId="6" w16cid:durableId="1518957547">
    <w:abstractNumId w:val="8"/>
  </w:num>
  <w:num w:numId="7" w16cid:durableId="532769409">
    <w:abstractNumId w:val="3"/>
  </w:num>
  <w:num w:numId="8" w16cid:durableId="1461458558">
    <w:abstractNumId w:val="2"/>
  </w:num>
  <w:num w:numId="9" w16cid:durableId="687951998">
    <w:abstractNumId w:val="1"/>
  </w:num>
  <w:num w:numId="10" w16cid:durableId="1997107159">
    <w:abstractNumId w:val="0"/>
  </w:num>
  <w:num w:numId="11" w16cid:durableId="569005577">
    <w:abstractNumId w:val="10"/>
  </w:num>
  <w:num w:numId="12" w16cid:durableId="1505705713">
    <w:abstractNumId w:val="14"/>
  </w:num>
  <w:num w:numId="13" w16cid:durableId="2005356367">
    <w:abstractNumId w:val="11"/>
  </w:num>
  <w:num w:numId="14" w16cid:durableId="1504931567">
    <w:abstractNumId w:val="13"/>
  </w:num>
  <w:num w:numId="15" w16cid:durableId="1229145399">
    <w:abstractNumId w:val="12"/>
  </w:num>
  <w:num w:numId="16" w16cid:durableId="2691627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15CD"/>
    <w:rsid w:val="000543FB"/>
    <w:rsid w:val="00054813"/>
    <w:rsid w:val="00057000"/>
    <w:rsid w:val="000640E0"/>
    <w:rsid w:val="00064226"/>
    <w:rsid w:val="00095314"/>
    <w:rsid w:val="000A5CA2"/>
    <w:rsid w:val="000B25B1"/>
    <w:rsid w:val="000B4523"/>
    <w:rsid w:val="000C3DDD"/>
    <w:rsid w:val="000C46EE"/>
    <w:rsid w:val="000E0143"/>
    <w:rsid w:val="000F7643"/>
    <w:rsid w:val="001251DA"/>
    <w:rsid w:val="00125432"/>
    <w:rsid w:val="00137F40"/>
    <w:rsid w:val="00165942"/>
    <w:rsid w:val="001679F9"/>
    <w:rsid w:val="0017240B"/>
    <w:rsid w:val="001871EC"/>
    <w:rsid w:val="001967B3"/>
    <w:rsid w:val="001A670F"/>
    <w:rsid w:val="001C3FE2"/>
    <w:rsid w:val="001C62B8"/>
    <w:rsid w:val="001E7B0E"/>
    <w:rsid w:val="001F141D"/>
    <w:rsid w:val="001F4097"/>
    <w:rsid w:val="00200A06"/>
    <w:rsid w:val="00215543"/>
    <w:rsid w:val="00225175"/>
    <w:rsid w:val="00231DC5"/>
    <w:rsid w:val="00232A2B"/>
    <w:rsid w:val="00241832"/>
    <w:rsid w:val="002534C9"/>
    <w:rsid w:val="00253DBE"/>
    <w:rsid w:val="002622FA"/>
    <w:rsid w:val="00263518"/>
    <w:rsid w:val="002759E7"/>
    <w:rsid w:val="00275ED1"/>
    <w:rsid w:val="00277326"/>
    <w:rsid w:val="0027788C"/>
    <w:rsid w:val="002A32F6"/>
    <w:rsid w:val="002A49E0"/>
    <w:rsid w:val="002B2CA2"/>
    <w:rsid w:val="002C015C"/>
    <w:rsid w:val="002C26C0"/>
    <w:rsid w:val="002C2BC5"/>
    <w:rsid w:val="002E2053"/>
    <w:rsid w:val="002E79CB"/>
    <w:rsid w:val="002F1CFE"/>
    <w:rsid w:val="002F7F55"/>
    <w:rsid w:val="0030745F"/>
    <w:rsid w:val="00312D7A"/>
    <w:rsid w:val="00314630"/>
    <w:rsid w:val="0032090A"/>
    <w:rsid w:val="00321CDE"/>
    <w:rsid w:val="00333E15"/>
    <w:rsid w:val="00336046"/>
    <w:rsid w:val="00345FDC"/>
    <w:rsid w:val="00350492"/>
    <w:rsid w:val="0035343D"/>
    <w:rsid w:val="0037422B"/>
    <w:rsid w:val="00381509"/>
    <w:rsid w:val="0038715D"/>
    <w:rsid w:val="00394DBF"/>
    <w:rsid w:val="003957A6"/>
    <w:rsid w:val="00395C05"/>
    <w:rsid w:val="003A43EF"/>
    <w:rsid w:val="003A5982"/>
    <w:rsid w:val="003C7445"/>
    <w:rsid w:val="003D2CC8"/>
    <w:rsid w:val="003D6C8C"/>
    <w:rsid w:val="003D7309"/>
    <w:rsid w:val="003D7F6D"/>
    <w:rsid w:val="003F2BED"/>
    <w:rsid w:val="00404998"/>
    <w:rsid w:val="004160C2"/>
    <w:rsid w:val="00432BC7"/>
    <w:rsid w:val="00443878"/>
    <w:rsid w:val="0044609F"/>
    <w:rsid w:val="004539A8"/>
    <w:rsid w:val="00453DB2"/>
    <w:rsid w:val="00460EB5"/>
    <w:rsid w:val="004712CA"/>
    <w:rsid w:val="0047422E"/>
    <w:rsid w:val="00474C8C"/>
    <w:rsid w:val="0049674B"/>
    <w:rsid w:val="004C0673"/>
    <w:rsid w:val="004C3024"/>
    <w:rsid w:val="004C4E4E"/>
    <w:rsid w:val="004D0FD9"/>
    <w:rsid w:val="004D53AF"/>
    <w:rsid w:val="004F3816"/>
    <w:rsid w:val="004F6151"/>
    <w:rsid w:val="0050645E"/>
    <w:rsid w:val="005102EC"/>
    <w:rsid w:val="005155ED"/>
    <w:rsid w:val="00543D41"/>
    <w:rsid w:val="00552142"/>
    <w:rsid w:val="0055782F"/>
    <w:rsid w:val="00561FDA"/>
    <w:rsid w:val="00566EDA"/>
    <w:rsid w:val="00567F52"/>
    <w:rsid w:val="00572654"/>
    <w:rsid w:val="00577559"/>
    <w:rsid w:val="00583CED"/>
    <w:rsid w:val="005A0D38"/>
    <w:rsid w:val="005A64A7"/>
    <w:rsid w:val="005B3023"/>
    <w:rsid w:val="005B5629"/>
    <w:rsid w:val="005C0300"/>
    <w:rsid w:val="005C4F27"/>
    <w:rsid w:val="005C580E"/>
    <w:rsid w:val="005F4B6A"/>
    <w:rsid w:val="005F62AB"/>
    <w:rsid w:val="005F780F"/>
    <w:rsid w:val="006010F3"/>
    <w:rsid w:val="00604127"/>
    <w:rsid w:val="00615A0A"/>
    <w:rsid w:val="006243D6"/>
    <w:rsid w:val="006333D4"/>
    <w:rsid w:val="006369B2"/>
    <w:rsid w:val="00642D16"/>
    <w:rsid w:val="00643CA8"/>
    <w:rsid w:val="00647525"/>
    <w:rsid w:val="006570B0"/>
    <w:rsid w:val="0069180E"/>
    <w:rsid w:val="00691C94"/>
    <w:rsid w:val="0069210B"/>
    <w:rsid w:val="006A4055"/>
    <w:rsid w:val="006A7457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22F2F"/>
    <w:rsid w:val="00723636"/>
    <w:rsid w:val="00731135"/>
    <w:rsid w:val="007324AF"/>
    <w:rsid w:val="007409B4"/>
    <w:rsid w:val="00741974"/>
    <w:rsid w:val="0075525E"/>
    <w:rsid w:val="00756D3D"/>
    <w:rsid w:val="00764876"/>
    <w:rsid w:val="007745D0"/>
    <w:rsid w:val="007806C2"/>
    <w:rsid w:val="00787CDE"/>
    <w:rsid w:val="007903F8"/>
    <w:rsid w:val="00794F4F"/>
    <w:rsid w:val="007974BE"/>
    <w:rsid w:val="007A0916"/>
    <w:rsid w:val="007A0DFD"/>
    <w:rsid w:val="007A59C4"/>
    <w:rsid w:val="007A6474"/>
    <w:rsid w:val="007B76E7"/>
    <w:rsid w:val="007C7122"/>
    <w:rsid w:val="007D3F11"/>
    <w:rsid w:val="007D6BA3"/>
    <w:rsid w:val="007E1399"/>
    <w:rsid w:val="007E53E4"/>
    <w:rsid w:val="007E656A"/>
    <w:rsid w:val="007F664D"/>
    <w:rsid w:val="008072ED"/>
    <w:rsid w:val="0081064E"/>
    <w:rsid w:val="00812277"/>
    <w:rsid w:val="008128CE"/>
    <w:rsid w:val="00841217"/>
    <w:rsid w:val="00842137"/>
    <w:rsid w:val="00855D14"/>
    <w:rsid w:val="00861545"/>
    <w:rsid w:val="00861A12"/>
    <w:rsid w:val="00887ED8"/>
    <w:rsid w:val="0089088E"/>
    <w:rsid w:val="00892297"/>
    <w:rsid w:val="00893996"/>
    <w:rsid w:val="008B6F4A"/>
    <w:rsid w:val="008D0C7E"/>
    <w:rsid w:val="008E0172"/>
    <w:rsid w:val="008E370F"/>
    <w:rsid w:val="008E7E50"/>
    <w:rsid w:val="00900065"/>
    <w:rsid w:val="009027FB"/>
    <w:rsid w:val="00914912"/>
    <w:rsid w:val="00916036"/>
    <w:rsid w:val="0092247E"/>
    <w:rsid w:val="00932AB7"/>
    <w:rsid w:val="00934405"/>
    <w:rsid w:val="00934C5D"/>
    <w:rsid w:val="009406B5"/>
    <w:rsid w:val="00943FFC"/>
    <w:rsid w:val="00946166"/>
    <w:rsid w:val="00947A28"/>
    <w:rsid w:val="0095099F"/>
    <w:rsid w:val="00963AFD"/>
    <w:rsid w:val="00983164"/>
    <w:rsid w:val="00996257"/>
    <w:rsid w:val="009972EF"/>
    <w:rsid w:val="009B75B3"/>
    <w:rsid w:val="009C3160"/>
    <w:rsid w:val="009E04FA"/>
    <w:rsid w:val="009E766E"/>
    <w:rsid w:val="009F1960"/>
    <w:rsid w:val="009F42B3"/>
    <w:rsid w:val="009F715E"/>
    <w:rsid w:val="00A0065F"/>
    <w:rsid w:val="00A10DBB"/>
    <w:rsid w:val="00A16253"/>
    <w:rsid w:val="00A2036F"/>
    <w:rsid w:val="00A304DD"/>
    <w:rsid w:val="00A31D47"/>
    <w:rsid w:val="00A37ABA"/>
    <w:rsid w:val="00A4013E"/>
    <w:rsid w:val="00A4045F"/>
    <w:rsid w:val="00A41963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5EDB"/>
    <w:rsid w:val="00AB7B0F"/>
    <w:rsid w:val="00AC6FE4"/>
    <w:rsid w:val="00AE38E1"/>
    <w:rsid w:val="00B05821"/>
    <w:rsid w:val="00B26C28"/>
    <w:rsid w:val="00B4174C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E36F8"/>
    <w:rsid w:val="00BE4085"/>
    <w:rsid w:val="00BF0E60"/>
    <w:rsid w:val="00C01F77"/>
    <w:rsid w:val="00C20BA1"/>
    <w:rsid w:val="00C22C5F"/>
    <w:rsid w:val="00C26AEE"/>
    <w:rsid w:val="00C336ED"/>
    <w:rsid w:val="00C37FDD"/>
    <w:rsid w:val="00C42125"/>
    <w:rsid w:val="00C43DDB"/>
    <w:rsid w:val="00C5729B"/>
    <w:rsid w:val="00C62814"/>
    <w:rsid w:val="00C74937"/>
    <w:rsid w:val="00CA2DD9"/>
    <w:rsid w:val="00CB381C"/>
    <w:rsid w:val="00CE51D1"/>
    <w:rsid w:val="00CF34A7"/>
    <w:rsid w:val="00D0394C"/>
    <w:rsid w:val="00D44EEB"/>
    <w:rsid w:val="00D57D7F"/>
    <w:rsid w:val="00D73137"/>
    <w:rsid w:val="00D838A1"/>
    <w:rsid w:val="00DA313C"/>
    <w:rsid w:val="00DB1307"/>
    <w:rsid w:val="00DC0323"/>
    <w:rsid w:val="00DC48DC"/>
    <w:rsid w:val="00DD50DE"/>
    <w:rsid w:val="00DE3062"/>
    <w:rsid w:val="00E015D6"/>
    <w:rsid w:val="00E01E12"/>
    <w:rsid w:val="00E07600"/>
    <w:rsid w:val="00E204DD"/>
    <w:rsid w:val="00E2145E"/>
    <w:rsid w:val="00E23369"/>
    <w:rsid w:val="00E24D43"/>
    <w:rsid w:val="00E353EC"/>
    <w:rsid w:val="00E535A7"/>
    <w:rsid w:val="00E53C24"/>
    <w:rsid w:val="00E625BC"/>
    <w:rsid w:val="00E64A4D"/>
    <w:rsid w:val="00E76A0D"/>
    <w:rsid w:val="00E87148"/>
    <w:rsid w:val="00EB056D"/>
    <w:rsid w:val="00EB444A"/>
    <w:rsid w:val="00EB444D"/>
    <w:rsid w:val="00EC7DD9"/>
    <w:rsid w:val="00ED2DA2"/>
    <w:rsid w:val="00ED7350"/>
    <w:rsid w:val="00EF1335"/>
    <w:rsid w:val="00EF197A"/>
    <w:rsid w:val="00F02294"/>
    <w:rsid w:val="00F25254"/>
    <w:rsid w:val="00F35F57"/>
    <w:rsid w:val="00F403F5"/>
    <w:rsid w:val="00F50467"/>
    <w:rsid w:val="00F562A0"/>
    <w:rsid w:val="00F71FAD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  <w:rsid w:val="04BB662C"/>
    <w:rsid w:val="1107AA24"/>
    <w:rsid w:val="18E7521E"/>
    <w:rsid w:val="1B48B900"/>
    <w:rsid w:val="1CFB4D7E"/>
    <w:rsid w:val="1E16D3C3"/>
    <w:rsid w:val="24E95BF2"/>
    <w:rsid w:val="27223E3E"/>
    <w:rsid w:val="2867AA08"/>
    <w:rsid w:val="2AE2B6D2"/>
    <w:rsid w:val="2B9F4ACA"/>
    <w:rsid w:val="2D3B1B2B"/>
    <w:rsid w:val="2F711822"/>
    <w:rsid w:val="3072BBED"/>
    <w:rsid w:val="310CE883"/>
    <w:rsid w:val="32255164"/>
    <w:rsid w:val="33AA5CAF"/>
    <w:rsid w:val="43C86DFF"/>
    <w:rsid w:val="47000EC1"/>
    <w:rsid w:val="4B355F61"/>
    <w:rsid w:val="54A91A99"/>
    <w:rsid w:val="599AB12B"/>
    <w:rsid w:val="63B48401"/>
    <w:rsid w:val="6DE77F34"/>
    <w:rsid w:val="7A78A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C0B31F7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46E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0C46EE"/>
  </w:style>
  <w:style w:type="paragraph" w:customStyle="1" w:styleId="CorrectionSeparatorBegin">
    <w:name w:val="Correction Separator Begin"/>
    <w:basedOn w:val="Normal"/>
    <w:rsid w:val="000C46EE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0C46EE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0C46EE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0C46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0C46E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0C46E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0C46EE"/>
    <w:rPr>
      <w:b/>
      <w:bCs/>
    </w:rPr>
  </w:style>
  <w:style w:type="paragraph" w:customStyle="1" w:styleId="Normalbeforetable">
    <w:name w:val="Normal before table"/>
    <w:basedOn w:val="Normal"/>
    <w:rsid w:val="000C46EE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0C46EE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0C46E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0C46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0C46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0C46EE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0C46EE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0C46EE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0C46EE"/>
    <w:pPr>
      <w:ind w:left="2269"/>
    </w:pPr>
  </w:style>
  <w:style w:type="character" w:styleId="Hyperlink">
    <w:name w:val="Hyperlink"/>
    <w:basedOn w:val="DefaultParagraphFont"/>
    <w:rsid w:val="000C46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0C46EE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C46EE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0C46EE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0C46E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0C46E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customStyle="1" w:styleId="1">
    <w:name w:val="スマート リンク1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  <w:style w:type="table" w:styleId="TableGrid">
    <w:name w:val="Table Grid"/>
    <w:basedOn w:val="TableNormal"/>
    <w:uiPriority w:val="39"/>
    <w:rsid w:val="000F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-miyaji@kddi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tu-t@ml.soumu.go.j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tu-t@ml.soumu.go.j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T22-TSAG-221212-TD-GEN-0106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yamamoto436@o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1B8D57-208E-4CDD-B282-196D3CCF4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385a7-5e94-4852-9398-ec888c07ca90"/>
    <ds:schemaRef ds:uri="0f208774-d51b-4573-a67b-89dea6922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1382</Words>
  <Characters>7685</Characters>
  <Application>Microsoft Office Word</Application>
  <DocSecurity>0</DocSecurity>
  <Lines>548</Lines>
  <Paragraphs>312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DDP template for TSAG (2022-2024 study period)</vt:lpstr>
    </vt:vector>
  </TitlesOfParts>
  <Manager>ITU-T</Manager>
  <Company>International Telecommunication Union (ITU)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TSAG (2022-2024 study period)</dc:title>
  <dc:subject/>
  <dc:creator>TSB (2022-03-15)</dc:creator>
  <cp:keywords/>
  <dc:description>DDP-TSAG.docx  For: _x000d_Document date: _x000d_Saved by ITU51014895 at 16:16:17 on 15/03/2022</dc:description>
  <cp:lastModifiedBy>Al-Mnini, Lara</cp:lastModifiedBy>
  <cp:revision>3</cp:revision>
  <cp:lastPrinted>2024-01-09T11:01:00Z</cp:lastPrinted>
  <dcterms:created xsi:type="dcterms:W3CDTF">2024-01-17T10:41:00Z</dcterms:created>
  <dcterms:modified xsi:type="dcterms:W3CDTF">2024-01-17T10:42:00Z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DDP-TSAG.docx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