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5"/>
        <w:gridCol w:w="485"/>
        <w:gridCol w:w="4196"/>
      </w:tblGrid>
      <w:tr w:rsidR="00BA4679" w:rsidRPr="005B660C" w14:paraId="7A48C1BA" w14:textId="77777777" w:rsidTr="003F6975">
        <w:trPr>
          <w:cantSplit/>
        </w:trPr>
        <w:tc>
          <w:tcPr>
            <w:tcW w:w="1191" w:type="dxa"/>
            <w:vMerge w:val="restart"/>
          </w:tcPr>
          <w:p w14:paraId="63A7017F" w14:textId="77777777" w:rsidR="00BA4679" w:rsidRPr="005B660C" w:rsidRDefault="00BA4679" w:rsidP="00BA4679">
            <w:pPr>
              <w:rPr>
                <w:sz w:val="20"/>
              </w:rPr>
            </w:pPr>
            <w:bookmarkStart w:id="0" w:name="dnum" w:colFirst="2" w:colLast="2"/>
            <w:bookmarkStart w:id="1" w:name="dtableau"/>
            <w:r w:rsidRPr="005B660C">
              <w:rPr>
                <w:noProof/>
              </w:rPr>
              <w:drawing>
                <wp:inline distT="0" distB="0" distL="0" distR="0" wp14:anchorId="7DCBECF7" wp14:editId="134EABEE">
                  <wp:extent cx="647700" cy="7048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1" w:type="dxa"/>
            <w:gridSpan w:val="2"/>
            <w:vMerge w:val="restart"/>
          </w:tcPr>
          <w:p w14:paraId="18F14DD0" w14:textId="77777777" w:rsidR="00BA4679" w:rsidRPr="005B660C" w:rsidRDefault="00BA4679" w:rsidP="00BA4679">
            <w:pPr>
              <w:rPr>
                <w:sz w:val="16"/>
                <w:szCs w:val="16"/>
              </w:rPr>
            </w:pPr>
            <w:r w:rsidRPr="005B660C">
              <w:rPr>
                <w:sz w:val="16"/>
                <w:szCs w:val="16"/>
              </w:rPr>
              <w:t>INTERNATIONAL TELECOMMUNICATION UNION</w:t>
            </w:r>
          </w:p>
          <w:p w14:paraId="7C42F4E2" w14:textId="77777777" w:rsidR="00BA4679" w:rsidRPr="005B660C" w:rsidRDefault="00BA4679" w:rsidP="00BA4679">
            <w:pPr>
              <w:rPr>
                <w:b/>
                <w:bCs/>
                <w:sz w:val="26"/>
                <w:szCs w:val="26"/>
              </w:rPr>
            </w:pPr>
            <w:r w:rsidRPr="005B660C">
              <w:rPr>
                <w:b/>
                <w:bCs/>
                <w:sz w:val="26"/>
                <w:szCs w:val="26"/>
              </w:rPr>
              <w:t>TELECOMMUNICATION</w:t>
            </w:r>
            <w:r w:rsidRPr="005B660C">
              <w:rPr>
                <w:b/>
                <w:bCs/>
                <w:sz w:val="26"/>
                <w:szCs w:val="26"/>
              </w:rPr>
              <w:br/>
              <w:t>STANDARDIZATION SECTOR</w:t>
            </w:r>
          </w:p>
          <w:p w14:paraId="2FB97784" w14:textId="77777777" w:rsidR="00BA4679" w:rsidRPr="005B660C" w:rsidRDefault="00BA4679" w:rsidP="00BA4679">
            <w:pPr>
              <w:rPr>
                <w:sz w:val="20"/>
              </w:rPr>
            </w:pPr>
            <w:r w:rsidRPr="005B660C">
              <w:rPr>
                <w:sz w:val="20"/>
              </w:rPr>
              <w:t xml:space="preserve">STUDY PERIOD </w:t>
            </w:r>
            <w:bookmarkStart w:id="2" w:name="dstudyperiod"/>
            <w:r w:rsidRPr="005B660C">
              <w:rPr>
                <w:sz w:val="20"/>
              </w:rPr>
              <w:t>2022-2024</w:t>
            </w:r>
            <w:bookmarkEnd w:id="2"/>
          </w:p>
        </w:tc>
        <w:tc>
          <w:tcPr>
            <w:tcW w:w="4681" w:type="dxa"/>
            <w:gridSpan w:val="2"/>
            <w:vAlign w:val="center"/>
          </w:tcPr>
          <w:p w14:paraId="792ACEB4" w14:textId="5E3A14F2" w:rsidR="00BA4679" w:rsidRPr="005B660C" w:rsidRDefault="00BA4679" w:rsidP="00BA4679">
            <w:pPr>
              <w:pStyle w:val="Docnumber"/>
              <w:rPr>
                <w:sz w:val="32"/>
              </w:rPr>
            </w:pPr>
            <w:r w:rsidRPr="005B660C">
              <w:rPr>
                <w:sz w:val="32"/>
              </w:rPr>
              <w:t>TSAG–C82</w:t>
            </w:r>
          </w:p>
        </w:tc>
      </w:tr>
      <w:tr w:rsidR="00BA4679" w:rsidRPr="005B660C" w14:paraId="6AEF58D2" w14:textId="77777777" w:rsidTr="003F6975">
        <w:trPr>
          <w:cantSplit/>
        </w:trPr>
        <w:tc>
          <w:tcPr>
            <w:tcW w:w="1191" w:type="dxa"/>
            <w:vMerge/>
          </w:tcPr>
          <w:p w14:paraId="543D03F7" w14:textId="77777777" w:rsidR="00BA4679" w:rsidRPr="005B660C" w:rsidRDefault="00BA4679" w:rsidP="00BA4679">
            <w:pPr>
              <w:rPr>
                <w:smallCaps/>
                <w:sz w:val="20"/>
              </w:rPr>
            </w:pPr>
            <w:bookmarkStart w:id="3" w:name="dsg" w:colFirst="2" w:colLast="2"/>
            <w:bookmarkEnd w:id="0"/>
          </w:p>
        </w:tc>
        <w:tc>
          <w:tcPr>
            <w:tcW w:w="4051" w:type="dxa"/>
            <w:gridSpan w:val="2"/>
            <w:vMerge/>
          </w:tcPr>
          <w:p w14:paraId="43CDFD43" w14:textId="77777777" w:rsidR="00BA4679" w:rsidRPr="005B660C" w:rsidRDefault="00BA4679" w:rsidP="00BA4679">
            <w:pPr>
              <w:rPr>
                <w:smallCaps/>
                <w:sz w:val="20"/>
              </w:rPr>
            </w:pPr>
          </w:p>
        </w:tc>
        <w:tc>
          <w:tcPr>
            <w:tcW w:w="4681" w:type="dxa"/>
            <w:gridSpan w:val="2"/>
          </w:tcPr>
          <w:p w14:paraId="5079C7B5" w14:textId="1E151A0A" w:rsidR="00BA4679" w:rsidRPr="005B660C" w:rsidRDefault="00BA4679" w:rsidP="00BA4679">
            <w:pPr>
              <w:jc w:val="right"/>
              <w:rPr>
                <w:b/>
                <w:bCs/>
                <w:smallCaps/>
                <w:sz w:val="28"/>
                <w:szCs w:val="28"/>
              </w:rPr>
            </w:pPr>
            <w:r w:rsidRPr="005B660C">
              <w:rPr>
                <w:b/>
                <w:bCs/>
                <w:smallCaps/>
                <w:sz w:val="28"/>
                <w:szCs w:val="28"/>
              </w:rPr>
              <w:t>TSAG</w:t>
            </w:r>
          </w:p>
        </w:tc>
      </w:tr>
      <w:bookmarkEnd w:id="3"/>
      <w:tr w:rsidR="00BA4679" w:rsidRPr="005B660C" w14:paraId="4EEA7C4A" w14:textId="77777777" w:rsidTr="003F6975">
        <w:trPr>
          <w:cantSplit/>
        </w:trPr>
        <w:tc>
          <w:tcPr>
            <w:tcW w:w="1191" w:type="dxa"/>
            <w:vMerge/>
            <w:tcBorders>
              <w:bottom w:val="single" w:sz="12" w:space="0" w:color="auto"/>
            </w:tcBorders>
          </w:tcPr>
          <w:p w14:paraId="7B2F69F8" w14:textId="77777777" w:rsidR="00BA4679" w:rsidRPr="005B660C" w:rsidRDefault="00BA4679" w:rsidP="00BA4679">
            <w:pPr>
              <w:rPr>
                <w:b/>
                <w:bCs/>
                <w:sz w:val="26"/>
              </w:rPr>
            </w:pPr>
          </w:p>
        </w:tc>
        <w:tc>
          <w:tcPr>
            <w:tcW w:w="4051" w:type="dxa"/>
            <w:gridSpan w:val="2"/>
            <w:vMerge/>
            <w:tcBorders>
              <w:bottom w:val="single" w:sz="12" w:space="0" w:color="auto"/>
            </w:tcBorders>
          </w:tcPr>
          <w:p w14:paraId="65014EB2" w14:textId="77777777" w:rsidR="00BA4679" w:rsidRPr="005B660C" w:rsidRDefault="00BA4679" w:rsidP="00BA4679">
            <w:pPr>
              <w:rPr>
                <w:b/>
                <w:bCs/>
                <w:sz w:val="26"/>
              </w:rPr>
            </w:pPr>
          </w:p>
        </w:tc>
        <w:tc>
          <w:tcPr>
            <w:tcW w:w="4681" w:type="dxa"/>
            <w:gridSpan w:val="2"/>
            <w:tcBorders>
              <w:bottom w:val="single" w:sz="12" w:space="0" w:color="auto"/>
            </w:tcBorders>
            <w:vAlign w:val="center"/>
          </w:tcPr>
          <w:p w14:paraId="7E34E963" w14:textId="6E3F924C" w:rsidR="00BA4679" w:rsidRPr="005B660C" w:rsidRDefault="00BA4679" w:rsidP="00BA4679">
            <w:pPr>
              <w:jc w:val="right"/>
              <w:rPr>
                <w:b/>
                <w:bCs/>
                <w:sz w:val="28"/>
                <w:szCs w:val="28"/>
              </w:rPr>
            </w:pPr>
            <w:r w:rsidRPr="005B660C">
              <w:rPr>
                <w:b/>
                <w:bCs/>
                <w:sz w:val="28"/>
                <w:szCs w:val="28"/>
              </w:rPr>
              <w:t>Original: French</w:t>
            </w:r>
          </w:p>
        </w:tc>
      </w:tr>
      <w:tr w:rsidR="00BA4679" w:rsidRPr="005B660C" w14:paraId="523668BE" w14:textId="77777777" w:rsidTr="003F6975">
        <w:trPr>
          <w:cantSplit/>
        </w:trPr>
        <w:tc>
          <w:tcPr>
            <w:tcW w:w="1617" w:type="dxa"/>
            <w:gridSpan w:val="2"/>
          </w:tcPr>
          <w:p w14:paraId="14AF1082" w14:textId="77777777" w:rsidR="00BA4679" w:rsidRPr="005B660C" w:rsidRDefault="00BA4679" w:rsidP="00BA4679">
            <w:pPr>
              <w:rPr>
                <w:b/>
                <w:bCs/>
                <w:szCs w:val="24"/>
              </w:rPr>
            </w:pPr>
            <w:bookmarkStart w:id="4" w:name="dbluepink" w:colFirst="1" w:colLast="1"/>
            <w:bookmarkStart w:id="5" w:name="dmeeting" w:colFirst="2" w:colLast="2"/>
            <w:r w:rsidRPr="005B660C">
              <w:rPr>
                <w:b/>
                <w:bCs/>
                <w:szCs w:val="24"/>
              </w:rPr>
              <w:t>Question(s):</w:t>
            </w:r>
          </w:p>
        </w:tc>
        <w:tc>
          <w:tcPr>
            <w:tcW w:w="3625" w:type="dxa"/>
          </w:tcPr>
          <w:p w14:paraId="1B18F4BD" w14:textId="77777777" w:rsidR="00BA4679" w:rsidRPr="005B660C" w:rsidRDefault="00BA4679" w:rsidP="00BA4679">
            <w:pPr>
              <w:rPr>
                <w:szCs w:val="24"/>
              </w:rPr>
            </w:pPr>
          </w:p>
        </w:tc>
        <w:tc>
          <w:tcPr>
            <w:tcW w:w="4681" w:type="dxa"/>
            <w:gridSpan w:val="2"/>
          </w:tcPr>
          <w:p w14:paraId="2771C244" w14:textId="65D90268" w:rsidR="00BA4679" w:rsidRPr="005B660C" w:rsidRDefault="00BA4679" w:rsidP="00BA4679">
            <w:pPr>
              <w:jc w:val="right"/>
              <w:rPr>
                <w:szCs w:val="24"/>
              </w:rPr>
            </w:pPr>
            <w:r w:rsidRPr="005B660C">
              <w:rPr>
                <w:szCs w:val="24"/>
              </w:rPr>
              <w:t>Geneva, 22-26 January 2024</w:t>
            </w:r>
          </w:p>
        </w:tc>
      </w:tr>
      <w:tr w:rsidR="00BA4679" w:rsidRPr="005B660C" w14:paraId="6D26C792" w14:textId="77777777" w:rsidTr="003F6975">
        <w:trPr>
          <w:cantSplit/>
        </w:trPr>
        <w:tc>
          <w:tcPr>
            <w:tcW w:w="9923" w:type="dxa"/>
            <w:gridSpan w:val="5"/>
          </w:tcPr>
          <w:p w14:paraId="0C5D2A27" w14:textId="128CAE2C" w:rsidR="00BA4679" w:rsidRPr="005B660C" w:rsidRDefault="00BA4679" w:rsidP="00BA4679">
            <w:pPr>
              <w:jc w:val="center"/>
              <w:rPr>
                <w:b/>
                <w:bCs/>
                <w:szCs w:val="24"/>
              </w:rPr>
            </w:pPr>
            <w:bookmarkStart w:id="6" w:name="ddoctype"/>
            <w:bookmarkEnd w:id="4"/>
            <w:bookmarkEnd w:id="5"/>
            <w:r w:rsidRPr="005B660C">
              <w:rPr>
                <w:b/>
                <w:bCs/>
                <w:szCs w:val="24"/>
              </w:rPr>
              <w:t>CONTRIBUTION</w:t>
            </w:r>
          </w:p>
        </w:tc>
      </w:tr>
      <w:tr w:rsidR="00BA4679" w:rsidRPr="005B660C" w14:paraId="7874A744" w14:textId="77777777" w:rsidTr="003F6975">
        <w:trPr>
          <w:cantSplit/>
        </w:trPr>
        <w:tc>
          <w:tcPr>
            <w:tcW w:w="1617" w:type="dxa"/>
            <w:gridSpan w:val="2"/>
          </w:tcPr>
          <w:p w14:paraId="03C32F18" w14:textId="77777777" w:rsidR="00BA4679" w:rsidRPr="005B660C" w:rsidRDefault="00BA4679" w:rsidP="00BA4679">
            <w:pPr>
              <w:rPr>
                <w:b/>
                <w:bCs/>
                <w:szCs w:val="24"/>
              </w:rPr>
            </w:pPr>
            <w:bookmarkStart w:id="7" w:name="dsource" w:colFirst="1" w:colLast="1"/>
            <w:bookmarkEnd w:id="6"/>
            <w:r w:rsidRPr="005B660C">
              <w:rPr>
                <w:b/>
                <w:bCs/>
                <w:szCs w:val="24"/>
              </w:rPr>
              <w:t>Source:</w:t>
            </w:r>
          </w:p>
        </w:tc>
        <w:tc>
          <w:tcPr>
            <w:tcW w:w="8306" w:type="dxa"/>
            <w:gridSpan w:val="3"/>
          </w:tcPr>
          <w:p w14:paraId="71F2535A" w14:textId="23D5773B" w:rsidR="00BA4679" w:rsidRPr="005B660C" w:rsidRDefault="00BA4679" w:rsidP="00BA4679">
            <w:pPr>
              <w:rPr>
                <w:szCs w:val="24"/>
              </w:rPr>
            </w:pPr>
            <w:r w:rsidRPr="005B660C">
              <w:rPr>
                <w:szCs w:val="24"/>
              </w:rPr>
              <w:t>Cameroon</w:t>
            </w:r>
          </w:p>
        </w:tc>
      </w:tr>
      <w:tr w:rsidR="00BA4679" w:rsidRPr="005B660C" w14:paraId="437F1816" w14:textId="77777777" w:rsidTr="00BA4679">
        <w:trPr>
          <w:cantSplit/>
        </w:trPr>
        <w:tc>
          <w:tcPr>
            <w:tcW w:w="1617" w:type="dxa"/>
            <w:gridSpan w:val="2"/>
          </w:tcPr>
          <w:p w14:paraId="2E41DA69" w14:textId="77777777" w:rsidR="00BA4679" w:rsidRPr="005B660C" w:rsidRDefault="00BA4679" w:rsidP="00BA4679">
            <w:pPr>
              <w:rPr>
                <w:b/>
                <w:bCs/>
                <w:szCs w:val="24"/>
              </w:rPr>
            </w:pPr>
            <w:bookmarkStart w:id="8" w:name="dtitle1" w:colFirst="1" w:colLast="1"/>
            <w:bookmarkEnd w:id="7"/>
            <w:r w:rsidRPr="005B660C">
              <w:rPr>
                <w:b/>
                <w:bCs/>
                <w:szCs w:val="24"/>
              </w:rPr>
              <w:t>Title:</w:t>
            </w:r>
          </w:p>
        </w:tc>
        <w:tc>
          <w:tcPr>
            <w:tcW w:w="8306" w:type="dxa"/>
            <w:gridSpan w:val="3"/>
          </w:tcPr>
          <w:p w14:paraId="2F64A79E" w14:textId="38224A78" w:rsidR="00BA4679" w:rsidRPr="005B660C" w:rsidRDefault="00BA4679" w:rsidP="00BA4679">
            <w:pPr>
              <w:rPr>
                <w:szCs w:val="24"/>
              </w:rPr>
            </w:pPr>
            <w:r w:rsidRPr="005B660C">
              <w:t xml:space="preserve">Contribution to maintain Recommendations </w:t>
            </w:r>
            <w:r w:rsidR="00FA7FB7" w:rsidRPr="005B660C">
              <w:t>I</w:t>
            </w:r>
            <w:r w:rsidR="00A854BF" w:rsidRPr="005B660C">
              <w:t>TU</w:t>
            </w:r>
            <w:r w:rsidRPr="005B660C">
              <w:t>-T A.4 and A.6</w:t>
            </w:r>
          </w:p>
        </w:tc>
      </w:tr>
      <w:tr w:rsidR="00BA4679" w:rsidRPr="00574D9B" w14:paraId="2A84BE52" w14:textId="77777777" w:rsidTr="00BA4679">
        <w:trPr>
          <w:cantSplit/>
        </w:trPr>
        <w:tc>
          <w:tcPr>
            <w:tcW w:w="1617" w:type="dxa"/>
            <w:gridSpan w:val="2"/>
          </w:tcPr>
          <w:p w14:paraId="49B761E7" w14:textId="629964E3" w:rsidR="00BA4679" w:rsidRPr="005B660C" w:rsidRDefault="00BA4679" w:rsidP="00BA4679">
            <w:pPr>
              <w:rPr>
                <w:b/>
                <w:bCs/>
                <w:szCs w:val="24"/>
              </w:rPr>
            </w:pPr>
            <w:r w:rsidRPr="005B660C">
              <w:rPr>
                <w:b/>
                <w:bCs/>
                <w:szCs w:val="24"/>
              </w:rPr>
              <w:t>Contact:</w:t>
            </w:r>
          </w:p>
        </w:tc>
        <w:tc>
          <w:tcPr>
            <w:tcW w:w="4110" w:type="dxa"/>
            <w:gridSpan w:val="2"/>
          </w:tcPr>
          <w:p w14:paraId="4EBEC6B9" w14:textId="3B7EF026" w:rsidR="00BA4679" w:rsidRPr="00574D9B" w:rsidRDefault="00BA4679" w:rsidP="00BA4679">
            <w:pPr>
              <w:rPr>
                <w:lang w:val="fr-FR"/>
              </w:rPr>
            </w:pPr>
            <w:r w:rsidRPr="00574D9B">
              <w:rPr>
                <w:lang w:val="fr-FR"/>
              </w:rPr>
              <w:t>TSAFAK DJOUMESSI Pauline</w:t>
            </w:r>
            <w:r w:rsidRPr="00574D9B">
              <w:rPr>
                <w:lang w:val="fr-FR"/>
              </w:rPr>
              <w:br/>
              <w:t>Ministère des Postes et Télécommunications</w:t>
            </w:r>
            <w:r w:rsidRPr="00574D9B">
              <w:rPr>
                <w:lang w:val="fr-FR"/>
              </w:rPr>
              <w:br/>
              <w:t>Cameroon</w:t>
            </w:r>
          </w:p>
        </w:tc>
        <w:tc>
          <w:tcPr>
            <w:tcW w:w="4196" w:type="dxa"/>
          </w:tcPr>
          <w:p w14:paraId="1B33BA74" w14:textId="57634ABF" w:rsidR="00BA4679" w:rsidRPr="00574D9B" w:rsidRDefault="00BA4679" w:rsidP="00BA4679">
            <w:pPr>
              <w:rPr>
                <w:lang w:val="de-DE"/>
              </w:rPr>
            </w:pPr>
            <w:r w:rsidRPr="00574D9B">
              <w:rPr>
                <w:lang w:val="de-DE"/>
              </w:rPr>
              <w:t xml:space="preserve">Tel.: </w:t>
            </w:r>
            <w:r w:rsidRPr="00574D9B">
              <w:rPr>
                <w:lang w:val="de-DE"/>
              </w:rPr>
              <w:tab/>
              <w:t>+237 693 066 378</w:t>
            </w:r>
            <w:r w:rsidRPr="00574D9B">
              <w:rPr>
                <w:lang w:val="de-DE"/>
              </w:rPr>
              <w:br/>
              <w:t>E-mail:</w:t>
            </w:r>
            <w:r w:rsidRPr="00574D9B">
              <w:rPr>
                <w:lang w:val="de-DE"/>
              </w:rPr>
              <w:tab/>
            </w:r>
            <w:hyperlink r:id="rId8" w:history="1">
              <w:r w:rsidRPr="00574D9B">
                <w:rPr>
                  <w:rStyle w:val="Hyperlink"/>
                  <w:lang w:val="de-DE"/>
                </w:rPr>
                <w:t>paulinetsafak@yahoo.fr</w:t>
              </w:r>
            </w:hyperlink>
            <w:r w:rsidRPr="00574D9B">
              <w:rPr>
                <w:rStyle w:val="Hyperlink"/>
                <w:lang w:val="de-DE"/>
              </w:rPr>
              <w:br/>
            </w:r>
            <w:r w:rsidRPr="00574D9B">
              <w:rPr>
                <w:lang w:val="de-DE"/>
              </w:rPr>
              <w:tab/>
            </w:r>
            <w:hyperlink r:id="rId9" w:history="1">
              <w:r w:rsidRPr="00574D9B">
                <w:rPr>
                  <w:rStyle w:val="Hyperlink"/>
                  <w:lang w:val="de-DE"/>
                </w:rPr>
                <w:t>pauline.tsafak@minpostel.gov.cm</w:t>
              </w:r>
            </w:hyperlink>
          </w:p>
        </w:tc>
      </w:tr>
      <w:tr w:rsidR="00BA4679" w:rsidRPr="00574D9B" w14:paraId="61B05AEE" w14:textId="77777777" w:rsidTr="00BA4679">
        <w:trPr>
          <w:cantSplit/>
        </w:trPr>
        <w:tc>
          <w:tcPr>
            <w:tcW w:w="1617" w:type="dxa"/>
            <w:gridSpan w:val="2"/>
          </w:tcPr>
          <w:p w14:paraId="4444DF20" w14:textId="77777777" w:rsidR="00BA4679" w:rsidRPr="00574D9B" w:rsidRDefault="00BA4679" w:rsidP="00BA4679">
            <w:pPr>
              <w:rPr>
                <w:b/>
                <w:bCs/>
                <w:szCs w:val="24"/>
                <w:lang w:val="de-DE"/>
              </w:rPr>
            </w:pPr>
          </w:p>
        </w:tc>
        <w:tc>
          <w:tcPr>
            <w:tcW w:w="4110" w:type="dxa"/>
            <w:gridSpan w:val="2"/>
          </w:tcPr>
          <w:p w14:paraId="24683929" w14:textId="2DA6AE67" w:rsidR="00BA4679" w:rsidRPr="00574D9B" w:rsidRDefault="00BA4679" w:rsidP="00BA4679">
            <w:pPr>
              <w:rPr>
                <w:lang w:val="fr-FR"/>
              </w:rPr>
            </w:pPr>
            <w:r w:rsidRPr="00574D9B">
              <w:rPr>
                <w:lang w:val="fr-FR"/>
              </w:rPr>
              <w:t>BASSONG BASSONG Louis</w:t>
            </w:r>
            <w:r w:rsidRPr="00574D9B">
              <w:rPr>
                <w:lang w:val="fr-FR"/>
              </w:rPr>
              <w:br/>
              <w:t>Ministère des Postes et Télécommunications</w:t>
            </w:r>
            <w:r w:rsidRPr="00574D9B">
              <w:rPr>
                <w:lang w:val="fr-FR"/>
              </w:rPr>
              <w:br/>
              <w:t>Cameroon</w:t>
            </w:r>
          </w:p>
        </w:tc>
        <w:tc>
          <w:tcPr>
            <w:tcW w:w="4196" w:type="dxa"/>
          </w:tcPr>
          <w:p w14:paraId="120638A1" w14:textId="48BD2695" w:rsidR="00BA4679" w:rsidRPr="00574D9B" w:rsidRDefault="00BA4679" w:rsidP="00BA4679">
            <w:pPr>
              <w:rPr>
                <w:lang w:val="de-DE"/>
              </w:rPr>
            </w:pPr>
            <w:r w:rsidRPr="00574D9B">
              <w:rPr>
                <w:lang w:val="de-DE"/>
              </w:rPr>
              <w:t>T</w:t>
            </w:r>
            <w:r w:rsidR="00FA7FB7" w:rsidRPr="00574D9B">
              <w:rPr>
                <w:lang w:val="de-DE"/>
              </w:rPr>
              <w:t>e</w:t>
            </w:r>
            <w:r w:rsidRPr="00574D9B">
              <w:rPr>
                <w:lang w:val="de-DE"/>
              </w:rPr>
              <w:t>l: +237 693 692 378</w:t>
            </w:r>
          </w:p>
          <w:p w14:paraId="2130A17F" w14:textId="12E853FF" w:rsidR="00BA4679" w:rsidRPr="00574D9B" w:rsidRDefault="00BA4679" w:rsidP="00BA4679">
            <w:pPr>
              <w:rPr>
                <w:lang w:val="de-DE"/>
              </w:rPr>
            </w:pPr>
            <w:r w:rsidRPr="00574D9B">
              <w:rPr>
                <w:lang w:val="de-DE"/>
              </w:rPr>
              <w:t xml:space="preserve">E-mail: </w:t>
            </w:r>
            <w:hyperlink r:id="rId10" w:history="1">
              <w:r w:rsidRPr="00574D9B">
                <w:rPr>
                  <w:rStyle w:val="Hyperlink"/>
                  <w:lang w:val="de-DE"/>
                </w:rPr>
                <w:t>lbassong@ymail.com</w:t>
              </w:r>
            </w:hyperlink>
          </w:p>
        </w:tc>
      </w:tr>
    </w:tbl>
    <w:p w14:paraId="0A20E2FE" w14:textId="77777777" w:rsidR="006F4536" w:rsidRPr="00574D9B" w:rsidRDefault="006F4536">
      <w:pPr>
        <w:rPr>
          <w:lang w:val="de-DE"/>
        </w:rPr>
      </w:pPr>
    </w:p>
    <w:tbl>
      <w:tblPr>
        <w:tblW w:w="9923" w:type="dxa"/>
        <w:tblLayout w:type="fixed"/>
        <w:tblCellMar>
          <w:left w:w="57" w:type="dxa"/>
          <w:right w:w="57" w:type="dxa"/>
        </w:tblCellMar>
        <w:tblLook w:val="0000" w:firstRow="0" w:lastRow="0" w:firstColumn="0" w:lastColumn="0" w:noHBand="0" w:noVBand="0"/>
      </w:tblPr>
      <w:tblGrid>
        <w:gridCol w:w="1617"/>
        <w:gridCol w:w="8306"/>
      </w:tblGrid>
      <w:tr w:rsidR="006F4536" w:rsidRPr="005B660C" w14:paraId="731B0F08" w14:textId="77777777" w:rsidTr="00952FF5">
        <w:trPr>
          <w:cantSplit/>
        </w:trPr>
        <w:tc>
          <w:tcPr>
            <w:tcW w:w="1617" w:type="dxa"/>
          </w:tcPr>
          <w:p w14:paraId="183DBFFA" w14:textId="284B0F0F" w:rsidR="006F4536" w:rsidRPr="005B660C" w:rsidRDefault="005629BB" w:rsidP="00BA4679">
            <w:pPr>
              <w:rPr>
                <w:b/>
                <w:bCs/>
                <w:szCs w:val="24"/>
              </w:rPr>
            </w:pPr>
            <w:r w:rsidRPr="005B660C">
              <w:rPr>
                <w:b/>
                <w:bCs/>
              </w:rPr>
              <w:t>Abstract</w:t>
            </w:r>
            <w:r w:rsidR="006F4536" w:rsidRPr="005B660C">
              <w:rPr>
                <w:b/>
                <w:bCs/>
              </w:rPr>
              <w:t>:</w:t>
            </w:r>
          </w:p>
        </w:tc>
        <w:tc>
          <w:tcPr>
            <w:tcW w:w="8306" w:type="dxa"/>
          </w:tcPr>
          <w:p w14:paraId="0FBD7AC2" w14:textId="73C5B8E8" w:rsidR="006F4536" w:rsidRPr="005B660C" w:rsidRDefault="005629BB" w:rsidP="00BA4679">
            <w:r w:rsidRPr="005B660C">
              <w:t>This</w:t>
            </w:r>
            <w:r w:rsidR="006F4536" w:rsidRPr="005B660C">
              <w:t xml:space="preserve"> contribution </w:t>
            </w:r>
            <w:r w:rsidRPr="005B660C">
              <w:t xml:space="preserve">highlights the </w:t>
            </w:r>
            <w:r w:rsidR="006F4536" w:rsidRPr="005B660C">
              <w:t>limit</w:t>
            </w:r>
            <w:r w:rsidRPr="005B660C">
              <w:t>ations</w:t>
            </w:r>
            <w:r w:rsidR="006F4536" w:rsidRPr="005B660C">
              <w:t xml:space="preserve"> </w:t>
            </w:r>
            <w:r w:rsidRPr="005B660C">
              <w:t>of the</w:t>
            </w:r>
            <w:r w:rsidR="006F4536" w:rsidRPr="005B660C">
              <w:t xml:space="preserve"> propos</w:t>
            </w:r>
            <w:r w:rsidRPr="005B660C">
              <w:t>al by</w:t>
            </w:r>
            <w:r w:rsidR="006F4536" w:rsidRPr="005B660C">
              <w:t xml:space="preserve"> RG-WM cont</w:t>
            </w:r>
            <w:r w:rsidRPr="005B660C">
              <w:t>ained</w:t>
            </w:r>
            <w:r w:rsidR="006F4536" w:rsidRPr="005B660C">
              <w:t xml:space="preserve"> </w:t>
            </w:r>
            <w:r w:rsidRPr="005B660C">
              <w:t>in</w:t>
            </w:r>
            <w:r w:rsidR="006F4536" w:rsidRPr="005B660C">
              <w:t xml:space="preserve"> TD394, </w:t>
            </w:r>
            <w:r w:rsidR="003D378C" w:rsidRPr="005B660C">
              <w:t xml:space="preserve">whose intent </w:t>
            </w:r>
            <w:r w:rsidRPr="005B660C">
              <w:t xml:space="preserve">is </w:t>
            </w:r>
            <w:r w:rsidR="00FE6AF5" w:rsidRPr="005B660C">
              <w:t xml:space="preserve">the deletion of </w:t>
            </w:r>
            <w:r w:rsidR="00A854BF" w:rsidRPr="005B660C">
              <w:t>R</w:t>
            </w:r>
            <w:r w:rsidR="006F4536" w:rsidRPr="005B660C">
              <w:t>ecomm</w:t>
            </w:r>
            <w:r w:rsidR="00A854BF" w:rsidRPr="005B660C">
              <w:t>e</w:t>
            </w:r>
            <w:r w:rsidR="006F4536" w:rsidRPr="005B660C">
              <w:t>ndations IT</w:t>
            </w:r>
            <w:r w:rsidR="00A854BF" w:rsidRPr="005B660C">
              <w:t>U</w:t>
            </w:r>
            <w:r w:rsidR="006F4536" w:rsidRPr="005B660C">
              <w:t xml:space="preserve">-T A.4 </w:t>
            </w:r>
            <w:r w:rsidR="00A854BF" w:rsidRPr="005B660C">
              <w:t xml:space="preserve">and </w:t>
            </w:r>
            <w:r w:rsidR="006F4536" w:rsidRPr="005B660C">
              <w:t xml:space="preserve">A.6. </w:t>
            </w:r>
            <w:r w:rsidR="00A854BF" w:rsidRPr="005B660C">
              <w:t xml:space="preserve">It draws the </w:t>
            </w:r>
            <w:r w:rsidR="006F4536" w:rsidRPr="005B660C">
              <w:t xml:space="preserve">attention </w:t>
            </w:r>
            <w:r w:rsidR="00A854BF" w:rsidRPr="005B660C">
              <w:t>of WTSA</w:t>
            </w:r>
            <w:r w:rsidR="006F4536" w:rsidRPr="005B660C">
              <w:t xml:space="preserve"> </w:t>
            </w:r>
            <w:r w:rsidRPr="005B660C">
              <w:t>in particular</w:t>
            </w:r>
            <w:r w:rsidR="003D378C" w:rsidRPr="005B660C">
              <w:t xml:space="preserve"> to the fact that the consequence of </w:t>
            </w:r>
            <w:r w:rsidRPr="005B660C">
              <w:t xml:space="preserve">such deletion </w:t>
            </w:r>
            <w:r w:rsidR="003D378C" w:rsidRPr="005B660C">
              <w:t>would be to render non-binding</w:t>
            </w:r>
            <w:r w:rsidR="002C42FA" w:rsidRPr="005B660C">
              <w:t xml:space="preserve"> </w:t>
            </w:r>
            <w:r w:rsidR="003D378C" w:rsidRPr="005B660C">
              <w:t xml:space="preserve">by means of </w:t>
            </w:r>
            <w:r w:rsidR="006F4536" w:rsidRPr="005B660C">
              <w:t>a suppl</w:t>
            </w:r>
            <w:r w:rsidR="002C42FA" w:rsidRPr="005B660C">
              <w:t>e</w:t>
            </w:r>
            <w:r w:rsidR="006F4536" w:rsidRPr="005B660C">
              <w:t>ment</w:t>
            </w:r>
            <w:r w:rsidR="002C42FA" w:rsidRPr="005B660C">
              <w:t xml:space="preserve"> </w:t>
            </w:r>
            <w:r w:rsidR="006F4536" w:rsidRPr="005B660C">
              <w:t>certain proc</w:t>
            </w:r>
            <w:r w:rsidR="003D378C" w:rsidRPr="005B660C">
              <w:t>e</w:t>
            </w:r>
            <w:r w:rsidR="006F4536" w:rsidRPr="005B660C">
              <w:t xml:space="preserve">dures </w:t>
            </w:r>
            <w:r w:rsidR="003D378C" w:rsidRPr="005B660C">
              <w:t xml:space="preserve">which are binding in nature in these </w:t>
            </w:r>
            <w:r w:rsidR="002C42FA" w:rsidRPr="005B660C">
              <w:t>r</w:t>
            </w:r>
            <w:r w:rsidR="006F4536" w:rsidRPr="005B660C">
              <w:t>ecomm</w:t>
            </w:r>
            <w:r w:rsidR="002C42FA" w:rsidRPr="005B660C">
              <w:t>e</w:t>
            </w:r>
            <w:r w:rsidR="006F4536" w:rsidRPr="005B660C">
              <w:t xml:space="preserve">ndations </w:t>
            </w:r>
            <w:r w:rsidR="003D378C" w:rsidRPr="005B660C">
              <w:t xml:space="preserve">adopted in </w:t>
            </w:r>
            <w:r w:rsidR="006F4536" w:rsidRPr="005B660C">
              <w:t xml:space="preserve">2012. </w:t>
            </w:r>
            <w:r w:rsidR="003D378C" w:rsidRPr="005B660C">
              <w:t xml:space="preserve">The </w:t>
            </w:r>
            <w:r w:rsidR="006F4536" w:rsidRPr="005B660C">
              <w:t>contribution propose</w:t>
            </w:r>
            <w:r w:rsidR="003D378C" w:rsidRPr="005B660C">
              <w:t>s</w:t>
            </w:r>
            <w:r w:rsidR="006F4536" w:rsidRPr="005B660C">
              <w:t xml:space="preserve"> </w:t>
            </w:r>
            <w:r w:rsidR="003D378C" w:rsidRPr="005B660C">
              <w:t xml:space="preserve">that the </w:t>
            </w:r>
            <w:r w:rsidR="002C42FA" w:rsidRPr="005B660C">
              <w:t>r</w:t>
            </w:r>
            <w:r w:rsidR="006F4536" w:rsidRPr="005B660C">
              <w:t>ecomm</w:t>
            </w:r>
            <w:r w:rsidR="00FE6AF5" w:rsidRPr="005B660C">
              <w:t>e</w:t>
            </w:r>
            <w:r w:rsidR="006F4536" w:rsidRPr="005B660C">
              <w:t xml:space="preserve">ndations </w:t>
            </w:r>
            <w:r w:rsidR="003D378C" w:rsidRPr="005B660C">
              <w:t>should be maintained and that the idea of modifying S</w:t>
            </w:r>
            <w:r w:rsidR="006F4536" w:rsidRPr="005B660C">
              <w:t>uppl</w:t>
            </w:r>
            <w:r w:rsidR="003D378C" w:rsidRPr="005B660C">
              <w:t>e</w:t>
            </w:r>
            <w:r w:rsidR="006F4536" w:rsidRPr="005B660C">
              <w:t>ment 5</w:t>
            </w:r>
            <w:r w:rsidR="003D771B" w:rsidRPr="005B660C">
              <w:t>, which is a non-normative document, should be abandoned.</w:t>
            </w:r>
            <w:r w:rsidR="006F4536" w:rsidRPr="005B660C">
              <w:t xml:space="preserve"> </w:t>
            </w:r>
            <w:r w:rsidR="003D771B" w:rsidRPr="005B660C">
              <w:t>In this regard</w:t>
            </w:r>
            <w:r w:rsidR="006F4536" w:rsidRPr="005B660C">
              <w:t xml:space="preserve">, </w:t>
            </w:r>
            <w:r w:rsidR="003D771B" w:rsidRPr="005B660C">
              <w:t>the contribution proposes</w:t>
            </w:r>
            <w:r w:rsidR="002C42FA" w:rsidRPr="005B660C">
              <w:t>, in the annexes,</w:t>
            </w:r>
            <w:r w:rsidR="006F4536" w:rsidRPr="005B660C">
              <w:t xml:space="preserve"> texts </w:t>
            </w:r>
            <w:r w:rsidR="002C42FA" w:rsidRPr="005B660C">
              <w:t xml:space="preserve">for </w:t>
            </w:r>
            <w:r w:rsidR="003D771B" w:rsidRPr="005B660C">
              <w:t xml:space="preserve">the draft </w:t>
            </w:r>
            <w:r w:rsidR="002C42FA" w:rsidRPr="005B660C">
              <w:t xml:space="preserve">revision </w:t>
            </w:r>
            <w:r w:rsidR="003D771B" w:rsidRPr="005B660C">
              <w:t>of R</w:t>
            </w:r>
            <w:r w:rsidR="006F4536" w:rsidRPr="005B660C">
              <w:t>ecomm</w:t>
            </w:r>
            <w:r w:rsidR="002C42FA" w:rsidRPr="005B660C">
              <w:t>e</w:t>
            </w:r>
            <w:r w:rsidR="006F4536" w:rsidRPr="005B660C">
              <w:t>ndations IT</w:t>
            </w:r>
            <w:r w:rsidR="003D771B" w:rsidRPr="005B660C">
              <w:t>U</w:t>
            </w:r>
            <w:r w:rsidR="006F4536" w:rsidRPr="005B660C">
              <w:t xml:space="preserve">-T A.4 </w:t>
            </w:r>
            <w:r w:rsidR="003D771B" w:rsidRPr="005B660C">
              <w:t>and</w:t>
            </w:r>
            <w:r w:rsidR="006F4536" w:rsidRPr="005B660C">
              <w:t xml:space="preserve"> A.6, </w:t>
            </w:r>
            <w:r w:rsidR="003D771B" w:rsidRPr="005B660C">
              <w:t xml:space="preserve">which take into </w:t>
            </w:r>
            <w:r w:rsidR="00FA7FB7" w:rsidRPr="005B660C">
              <w:t xml:space="preserve">account the comments made by </w:t>
            </w:r>
            <w:r w:rsidR="006F4536" w:rsidRPr="005B660C">
              <w:t xml:space="preserve">RG-WM </w:t>
            </w:r>
            <w:r w:rsidR="00FA7FB7" w:rsidRPr="005B660C">
              <w:t>during its meetings of</w:t>
            </w:r>
            <w:r w:rsidR="006F4536" w:rsidRPr="005B660C">
              <w:t xml:space="preserve"> 5 </w:t>
            </w:r>
            <w:r w:rsidR="00FA7FB7" w:rsidRPr="005B660C">
              <w:t>S</w:t>
            </w:r>
            <w:r w:rsidR="006F4536" w:rsidRPr="005B660C">
              <w:t>eptemb</w:t>
            </w:r>
            <w:r w:rsidR="00FA7FB7" w:rsidRPr="005B660C">
              <w:t>e</w:t>
            </w:r>
            <w:r w:rsidR="006F4536" w:rsidRPr="005B660C">
              <w:t xml:space="preserve">r </w:t>
            </w:r>
            <w:r w:rsidR="00FE6AF5" w:rsidRPr="005B660C">
              <w:t xml:space="preserve">and </w:t>
            </w:r>
            <w:r w:rsidR="006F4536" w:rsidRPr="005B660C">
              <w:t xml:space="preserve">5 </w:t>
            </w:r>
            <w:r w:rsidR="00FA7FB7" w:rsidRPr="005B660C">
              <w:t>De</w:t>
            </w:r>
            <w:r w:rsidR="006F4536" w:rsidRPr="005B660C">
              <w:t>cemb</w:t>
            </w:r>
            <w:r w:rsidR="00FA7FB7" w:rsidRPr="005B660C">
              <w:t>e</w:t>
            </w:r>
            <w:r w:rsidR="006F4536" w:rsidRPr="005B660C">
              <w:t xml:space="preserve">r 2023 </w:t>
            </w:r>
            <w:r w:rsidR="00FA7FB7" w:rsidRPr="005B660C">
              <w:t>and are in line with the updates to R</w:t>
            </w:r>
            <w:r w:rsidR="006F4536" w:rsidRPr="005B660C">
              <w:t>ecomm</w:t>
            </w:r>
            <w:r w:rsidR="00FA7FB7" w:rsidRPr="005B660C">
              <w:t>e</w:t>
            </w:r>
            <w:r w:rsidR="006F4536" w:rsidRPr="005B660C">
              <w:t>ndations IT</w:t>
            </w:r>
            <w:r w:rsidR="00FA7FB7" w:rsidRPr="005B660C">
              <w:t>U</w:t>
            </w:r>
            <w:r w:rsidR="006F4536" w:rsidRPr="005B660C">
              <w:t xml:space="preserve">-T A.5 </w:t>
            </w:r>
            <w:r w:rsidR="00FA7FB7" w:rsidRPr="005B660C">
              <w:t>and</w:t>
            </w:r>
            <w:r w:rsidR="006F4536" w:rsidRPr="005B660C">
              <w:t xml:space="preserve"> A.25.</w:t>
            </w:r>
          </w:p>
        </w:tc>
      </w:tr>
    </w:tbl>
    <w:bookmarkEnd w:id="1"/>
    <w:bookmarkEnd w:id="8"/>
    <w:p w14:paraId="468757C5" w14:textId="322E6C59" w:rsidR="00BA4679" w:rsidRPr="005B660C" w:rsidRDefault="00BA4679" w:rsidP="00BA4679">
      <w:pPr>
        <w:pStyle w:val="Headingb"/>
      </w:pPr>
      <w:r w:rsidRPr="005B660C">
        <w:t>Analys</w:t>
      </w:r>
      <w:r w:rsidR="00FE6AF5" w:rsidRPr="005B660C">
        <w:t>is</w:t>
      </w:r>
    </w:p>
    <w:p w14:paraId="513EF9A8" w14:textId="6F0A4C85" w:rsidR="00BA4679" w:rsidRPr="005B660C" w:rsidRDefault="00BA4679" w:rsidP="00BA4679">
      <w:pPr>
        <w:pStyle w:val="Heading1"/>
        <w:rPr>
          <w:rStyle w:val="rynqvb"/>
          <w:b w:val="0"/>
        </w:rPr>
      </w:pPr>
      <w:r w:rsidRPr="005B660C">
        <w:rPr>
          <w:rStyle w:val="rynqvb"/>
        </w:rPr>
        <w:t>1</w:t>
      </w:r>
      <w:r w:rsidRPr="005B660C">
        <w:rPr>
          <w:rStyle w:val="rynqvb"/>
        </w:rPr>
        <w:tab/>
      </w:r>
      <w:r w:rsidR="00FE6AF5" w:rsidRPr="005B660C">
        <w:rPr>
          <w:rStyle w:val="rynqvb"/>
        </w:rPr>
        <w:t>Background</w:t>
      </w:r>
    </w:p>
    <w:p w14:paraId="77FC7ABE" w14:textId="45BCAF22" w:rsidR="00BA4679" w:rsidRPr="005B660C" w:rsidRDefault="00FE6AF5" w:rsidP="00BA4679">
      <w:r w:rsidRPr="005B660C">
        <w:rPr>
          <w:rStyle w:val="rynqvb"/>
        </w:rPr>
        <w:t xml:space="preserve">It should be remembered that the </w:t>
      </w:r>
      <w:r w:rsidR="00BA4679" w:rsidRPr="005B660C">
        <w:rPr>
          <w:rStyle w:val="rynqvb"/>
        </w:rPr>
        <w:t>propo</w:t>
      </w:r>
      <w:r w:rsidRPr="005B660C">
        <w:rPr>
          <w:rStyle w:val="rynqvb"/>
        </w:rPr>
        <w:t>sal by</w:t>
      </w:r>
      <w:r w:rsidR="00BA4679" w:rsidRPr="005B660C">
        <w:t xml:space="preserve"> RG-WM cont</w:t>
      </w:r>
      <w:r w:rsidRPr="005B660C">
        <w:t>ained</w:t>
      </w:r>
      <w:r w:rsidR="00BA4679" w:rsidRPr="005B660C">
        <w:t xml:space="preserve"> </w:t>
      </w:r>
      <w:r w:rsidRPr="005B660C">
        <w:t xml:space="preserve">in </w:t>
      </w:r>
      <w:r w:rsidR="00BA4679" w:rsidRPr="005B660C">
        <w:t xml:space="preserve">TD394 </w:t>
      </w:r>
      <w:r w:rsidRPr="005B660C">
        <w:t>is to delete R</w:t>
      </w:r>
      <w:r w:rsidR="00BA4679" w:rsidRPr="005B660C">
        <w:t>ecomm</w:t>
      </w:r>
      <w:r w:rsidRPr="005B660C">
        <w:t>e</w:t>
      </w:r>
      <w:r w:rsidR="00BA4679" w:rsidRPr="005B660C">
        <w:t>ndations IT</w:t>
      </w:r>
      <w:r w:rsidRPr="005B660C">
        <w:t>U</w:t>
      </w:r>
      <w:r w:rsidR="00BA4679" w:rsidRPr="005B660C">
        <w:t xml:space="preserve">-T A.4 </w:t>
      </w:r>
      <w:r w:rsidR="002C42FA" w:rsidRPr="005B660C">
        <w:t xml:space="preserve">and </w:t>
      </w:r>
      <w:r w:rsidR="00BA4679" w:rsidRPr="005B660C">
        <w:t xml:space="preserve">A.6, </w:t>
      </w:r>
      <w:r w:rsidR="002C42FA" w:rsidRPr="005B660C">
        <w:rPr>
          <w:i/>
          <w:iCs/>
        </w:rPr>
        <w:t>inter alia</w:t>
      </w:r>
      <w:r w:rsidR="002C42FA" w:rsidRPr="005B660C">
        <w:t xml:space="preserve">, </w:t>
      </w:r>
      <w:r w:rsidR="0071424D" w:rsidRPr="005B660C">
        <w:t>because “all topics covered in Recommendations ITU-T A.4 and A.6 are covered by a more recent Recommendation (or Supplement)”.</w:t>
      </w:r>
      <w:r w:rsidR="00BA4679" w:rsidRPr="005B660C">
        <w:t> </w:t>
      </w:r>
    </w:p>
    <w:p w14:paraId="17D35B67" w14:textId="5854C820" w:rsidR="00A854BF" w:rsidRPr="005B660C" w:rsidRDefault="0071424D" w:rsidP="000A069B">
      <w:r w:rsidRPr="005B660C">
        <w:t xml:space="preserve">The </w:t>
      </w:r>
      <w:r w:rsidR="00A854BF" w:rsidRPr="005B660C">
        <w:t xml:space="preserve">table </w:t>
      </w:r>
      <w:r w:rsidRPr="005B660C">
        <w:t xml:space="preserve">below </w:t>
      </w:r>
      <w:r w:rsidR="00162B05" w:rsidRPr="005B660C">
        <w:t xml:space="preserve">prepared by RG-WM </w:t>
      </w:r>
      <w:r w:rsidR="00A854BF" w:rsidRPr="005B660C">
        <w:t xml:space="preserve">shows </w:t>
      </w:r>
      <w:r w:rsidR="00162B05" w:rsidRPr="005B660C">
        <w:t>how aspect</w:t>
      </w:r>
      <w:r w:rsidR="00AA6CF8" w:rsidRPr="005B660C">
        <w:t xml:space="preserve">s </w:t>
      </w:r>
      <w:r w:rsidR="00162B05" w:rsidRPr="005B660C">
        <w:t xml:space="preserve">dealt with in the </w:t>
      </w:r>
      <w:r w:rsidR="00AA6CF8" w:rsidRPr="005B660C">
        <w:t>r</w:t>
      </w:r>
      <w:r w:rsidR="00A854BF" w:rsidRPr="005B660C">
        <w:t xml:space="preserve">ecommendations </w:t>
      </w:r>
      <w:r w:rsidR="00162B05" w:rsidRPr="005B660C">
        <w:t xml:space="preserve">proposed for deletion are taken into account in recent </w:t>
      </w:r>
      <w:r w:rsidR="00AA6CF8" w:rsidRPr="005B660C">
        <w:t>r</w:t>
      </w:r>
      <w:r w:rsidR="00A854BF" w:rsidRPr="005B660C">
        <w:t>ecommendation</w:t>
      </w:r>
      <w:r w:rsidR="00162B05" w:rsidRPr="005B660C">
        <w:t>s</w:t>
      </w:r>
      <w:r w:rsidR="00A854BF" w:rsidRPr="005B660C">
        <w:t xml:space="preserve"> </w:t>
      </w:r>
      <w:r w:rsidR="00162B05" w:rsidRPr="005B660C">
        <w:t>and/</w:t>
      </w:r>
      <w:r w:rsidR="00A854BF" w:rsidRPr="005B660C">
        <w:t xml:space="preserve">or </w:t>
      </w:r>
      <w:r w:rsidR="000A069B" w:rsidRPr="005B660C">
        <w:t>supplements</w:t>
      </w:r>
      <w:r w:rsidR="00A854BF" w:rsidRPr="005B660C">
        <w:t>:</w:t>
      </w:r>
    </w:p>
    <w:p w14:paraId="1CC29015" w14:textId="77777777" w:rsidR="000A069B" w:rsidRPr="005B660C" w:rsidRDefault="000A069B" w:rsidP="00A854BF">
      <w:pPr>
        <w:pStyle w:val="Reftext"/>
        <w:spacing w:before="80" w:after="80"/>
        <w:ind w:left="0" w:firstLine="0"/>
      </w:pPr>
    </w:p>
    <w:tbl>
      <w:tblPr>
        <w:tblStyle w:val="TableGrid"/>
        <w:tblW w:w="9776" w:type="dxa"/>
        <w:jc w:val="right"/>
        <w:tblLook w:val="04A0" w:firstRow="1" w:lastRow="0" w:firstColumn="1" w:lastColumn="0" w:noHBand="0" w:noVBand="1"/>
      </w:tblPr>
      <w:tblGrid>
        <w:gridCol w:w="4248"/>
        <w:gridCol w:w="2551"/>
        <w:gridCol w:w="2977"/>
      </w:tblGrid>
      <w:tr w:rsidR="00A854BF" w:rsidRPr="005B660C" w14:paraId="6E37E055" w14:textId="77777777" w:rsidTr="00033224">
        <w:trPr>
          <w:jc w:val="right"/>
        </w:trPr>
        <w:tc>
          <w:tcPr>
            <w:tcW w:w="4248" w:type="dxa"/>
          </w:tcPr>
          <w:p w14:paraId="22663904" w14:textId="77777777" w:rsidR="00A854BF" w:rsidRPr="005B660C" w:rsidRDefault="00A854BF" w:rsidP="00033224">
            <w:pPr>
              <w:pStyle w:val="Reftext"/>
              <w:spacing w:before="40" w:after="40"/>
              <w:ind w:left="0" w:firstLine="0"/>
              <w:jc w:val="center"/>
              <w:rPr>
                <w:rFonts w:eastAsia="Batang"/>
                <w:b/>
                <w:bCs/>
              </w:rPr>
            </w:pPr>
            <w:r w:rsidRPr="005B660C">
              <w:rPr>
                <w:rFonts w:eastAsia="Batang"/>
                <w:b/>
                <w:bCs/>
              </w:rPr>
              <w:t>Topic</w:t>
            </w:r>
          </w:p>
        </w:tc>
        <w:tc>
          <w:tcPr>
            <w:tcW w:w="2551" w:type="dxa"/>
          </w:tcPr>
          <w:p w14:paraId="46A60394" w14:textId="77777777" w:rsidR="00A854BF" w:rsidRPr="005B660C" w:rsidRDefault="00A854BF" w:rsidP="00033224">
            <w:pPr>
              <w:pStyle w:val="Reftext"/>
              <w:spacing w:before="40" w:after="40"/>
              <w:ind w:left="0" w:firstLine="0"/>
              <w:jc w:val="center"/>
              <w:rPr>
                <w:rFonts w:eastAsia="Batang"/>
                <w:b/>
                <w:bCs/>
              </w:rPr>
            </w:pPr>
            <w:r w:rsidRPr="005B660C">
              <w:rPr>
                <w:rFonts w:eastAsia="Batang"/>
                <w:b/>
                <w:bCs/>
              </w:rPr>
              <w:t>Covered (2012) in</w:t>
            </w:r>
          </w:p>
        </w:tc>
        <w:tc>
          <w:tcPr>
            <w:tcW w:w="2977" w:type="dxa"/>
          </w:tcPr>
          <w:p w14:paraId="69E41649" w14:textId="77777777" w:rsidR="00A854BF" w:rsidRPr="005B660C" w:rsidRDefault="00A854BF" w:rsidP="00033224">
            <w:pPr>
              <w:pStyle w:val="Reftext"/>
              <w:spacing w:before="40" w:after="40"/>
              <w:ind w:left="0" w:firstLine="0"/>
              <w:jc w:val="center"/>
              <w:rPr>
                <w:rFonts w:eastAsia="Batang"/>
                <w:b/>
                <w:bCs/>
              </w:rPr>
            </w:pPr>
            <w:r w:rsidRPr="005B660C">
              <w:rPr>
                <w:rFonts w:eastAsia="Batang"/>
                <w:b/>
                <w:bCs/>
              </w:rPr>
              <w:t>Now covered in</w:t>
            </w:r>
          </w:p>
        </w:tc>
      </w:tr>
      <w:tr w:rsidR="00A854BF" w:rsidRPr="005B660C" w14:paraId="0C98CF8B" w14:textId="77777777" w:rsidTr="00033224">
        <w:trPr>
          <w:jc w:val="right"/>
        </w:trPr>
        <w:tc>
          <w:tcPr>
            <w:tcW w:w="4248" w:type="dxa"/>
          </w:tcPr>
          <w:p w14:paraId="70A619B5" w14:textId="77777777" w:rsidR="00A854BF" w:rsidRPr="005B660C" w:rsidRDefault="00A854BF" w:rsidP="00033224">
            <w:pPr>
              <w:pStyle w:val="Reftext"/>
              <w:spacing w:before="40" w:after="40"/>
              <w:ind w:left="0" w:firstLine="0"/>
              <w:rPr>
                <w:rFonts w:eastAsia="Batang"/>
              </w:rPr>
            </w:pPr>
            <w:r w:rsidRPr="005B660C">
              <w:rPr>
                <w:rFonts w:eastAsia="Batang"/>
              </w:rPr>
              <w:t>Qualification of an external organization</w:t>
            </w:r>
          </w:p>
        </w:tc>
        <w:tc>
          <w:tcPr>
            <w:tcW w:w="2551" w:type="dxa"/>
            <w:shd w:val="clear" w:color="auto" w:fill="auto"/>
          </w:tcPr>
          <w:p w14:paraId="2F352646" w14:textId="77777777" w:rsidR="00A854BF" w:rsidRPr="005B660C" w:rsidRDefault="00A854BF" w:rsidP="00033224">
            <w:pPr>
              <w:pStyle w:val="Reftext"/>
              <w:spacing w:before="40" w:after="40"/>
              <w:ind w:left="0" w:firstLine="0"/>
              <w:rPr>
                <w:rFonts w:eastAsia="Batang"/>
              </w:rPr>
            </w:pPr>
            <w:r w:rsidRPr="005B660C">
              <w:rPr>
                <w:rFonts w:eastAsia="Batang"/>
              </w:rPr>
              <w:t>A.4 (Annex A)</w:t>
            </w:r>
            <w:r w:rsidRPr="005B660C">
              <w:rPr>
                <w:rFonts w:eastAsia="Batang"/>
              </w:rPr>
              <w:br/>
              <w:t>A.6 (Annex A)</w:t>
            </w:r>
          </w:p>
        </w:tc>
        <w:tc>
          <w:tcPr>
            <w:tcW w:w="2977" w:type="dxa"/>
            <w:shd w:val="clear" w:color="auto" w:fill="auto"/>
          </w:tcPr>
          <w:p w14:paraId="250A061A" w14:textId="77777777" w:rsidR="00A854BF" w:rsidRPr="005B660C" w:rsidRDefault="00A854BF" w:rsidP="00033224">
            <w:pPr>
              <w:pStyle w:val="Reftext"/>
              <w:spacing w:before="40" w:after="40"/>
              <w:ind w:left="0" w:firstLine="0"/>
              <w:rPr>
                <w:rFonts w:eastAsia="Batang"/>
              </w:rPr>
            </w:pPr>
            <w:r w:rsidRPr="005B660C">
              <w:rPr>
                <w:rFonts w:eastAsia="Batang"/>
              </w:rPr>
              <w:t>A.5 (Annex B) (2022)</w:t>
            </w:r>
          </w:p>
        </w:tc>
      </w:tr>
      <w:tr w:rsidR="00A854BF" w:rsidRPr="005B660C" w14:paraId="4ED868CE" w14:textId="77777777" w:rsidTr="00033224">
        <w:trPr>
          <w:jc w:val="right"/>
        </w:trPr>
        <w:tc>
          <w:tcPr>
            <w:tcW w:w="4248" w:type="dxa"/>
          </w:tcPr>
          <w:p w14:paraId="5D5EAE88" w14:textId="77777777" w:rsidR="00A854BF" w:rsidRPr="005B660C" w:rsidRDefault="00A854BF" w:rsidP="00033224">
            <w:pPr>
              <w:pStyle w:val="Reftext"/>
              <w:spacing w:before="40" w:after="40"/>
              <w:ind w:left="0" w:firstLine="0"/>
              <w:rPr>
                <w:rFonts w:eastAsia="Batang"/>
              </w:rPr>
            </w:pPr>
            <w:r w:rsidRPr="005B660C">
              <w:rPr>
                <w:rFonts w:eastAsia="Batang"/>
              </w:rPr>
              <w:t>Formal communication process (for information and document exchange)</w:t>
            </w:r>
          </w:p>
        </w:tc>
        <w:tc>
          <w:tcPr>
            <w:tcW w:w="2551" w:type="dxa"/>
            <w:shd w:val="clear" w:color="auto" w:fill="auto"/>
          </w:tcPr>
          <w:p w14:paraId="145A899A" w14:textId="1FA79C4E" w:rsidR="00A854BF" w:rsidRPr="005B660C" w:rsidRDefault="00A854BF" w:rsidP="00033224">
            <w:pPr>
              <w:pStyle w:val="Reftext"/>
              <w:spacing w:before="40" w:after="40"/>
              <w:ind w:left="0" w:firstLine="0"/>
              <w:rPr>
                <w:rFonts w:eastAsia="Batang"/>
              </w:rPr>
            </w:pPr>
            <w:r w:rsidRPr="005B660C">
              <w:rPr>
                <w:rFonts w:eastAsia="Batang"/>
              </w:rPr>
              <w:t>A.4 (clause 2, 2</w:t>
            </w:r>
            <w:r w:rsidRPr="005B660C">
              <w:rPr>
                <w:rFonts w:eastAsia="Batang"/>
                <w:vertAlign w:val="superscript"/>
              </w:rPr>
              <w:t>nd</w:t>
            </w:r>
            <w:r w:rsidRPr="005B660C">
              <w:rPr>
                <w:rFonts w:eastAsia="Batang"/>
              </w:rPr>
              <w:t xml:space="preserve"> para</w:t>
            </w:r>
            <w:r w:rsidR="00AA6CF8" w:rsidRPr="005B660C">
              <w:rPr>
                <w:rFonts w:eastAsia="Batang"/>
              </w:rPr>
              <w:t>.</w:t>
            </w:r>
            <w:r w:rsidRPr="005B660C">
              <w:rPr>
                <w:rFonts w:eastAsia="Batang"/>
              </w:rPr>
              <w:t>)</w:t>
            </w:r>
            <w:r w:rsidRPr="005B660C">
              <w:rPr>
                <w:rFonts w:eastAsia="Batang"/>
              </w:rPr>
              <w:br/>
              <w:t>A.6 (clause 2, 2</w:t>
            </w:r>
            <w:r w:rsidRPr="005B660C">
              <w:rPr>
                <w:rFonts w:eastAsia="Batang"/>
                <w:vertAlign w:val="superscript"/>
              </w:rPr>
              <w:t>nd</w:t>
            </w:r>
            <w:r w:rsidRPr="005B660C">
              <w:rPr>
                <w:rFonts w:eastAsia="Batang"/>
              </w:rPr>
              <w:t xml:space="preserve"> para</w:t>
            </w:r>
            <w:r w:rsidR="00AA6CF8" w:rsidRPr="005B660C">
              <w:rPr>
                <w:rFonts w:eastAsia="Batang"/>
              </w:rPr>
              <w:t>.</w:t>
            </w:r>
            <w:r w:rsidRPr="005B660C">
              <w:rPr>
                <w:rFonts w:eastAsia="Batang"/>
              </w:rPr>
              <w:t>)</w:t>
            </w:r>
          </w:p>
        </w:tc>
        <w:tc>
          <w:tcPr>
            <w:tcW w:w="2977" w:type="dxa"/>
            <w:shd w:val="clear" w:color="auto" w:fill="auto"/>
          </w:tcPr>
          <w:p w14:paraId="705D8586" w14:textId="1B8448B6" w:rsidR="00A854BF" w:rsidRPr="005B660C" w:rsidRDefault="00A854BF" w:rsidP="00033224">
            <w:pPr>
              <w:pStyle w:val="Reftext"/>
              <w:spacing w:before="40" w:after="40"/>
              <w:ind w:left="0" w:firstLine="0"/>
              <w:rPr>
                <w:rFonts w:eastAsia="Batang"/>
              </w:rPr>
            </w:pPr>
            <w:r w:rsidRPr="005B660C">
              <w:rPr>
                <w:rFonts w:eastAsia="Batang"/>
              </w:rPr>
              <w:t>A Supp.5 (clause</w:t>
            </w:r>
            <w:r w:rsidRPr="005B660C">
              <w:rPr>
                <w:rFonts w:eastAsia="Batang"/>
                <w:highlight w:val="yellow"/>
              </w:rPr>
              <w:t>s 7.3 and</w:t>
            </w:r>
            <w:r w:rsidRPr="005B660C">
              <w:rPr>
                <w:rFonts w:eastAsia="Batang"/>
              </w:rPr>
              <w:t xml:space="preserve"> I.2) (</w:t>
            </w:r>
            <w:r w:rsidRPr="005B660C">
              <w:rPr>
                <w:rFonts w:eastAsia="Batang"/>
                <w:highlight w:val="yellow"/>
              </w:rPr>
              <w:t>2024</w:t>
            </w:r>
            <w:r w:rsidRPr="005B660C">
              <w:rPr>
                <w:rFonts w:eastAsia="Batang"/>
              </w:rPr>
              <w:t>)</w:t>
            </w:r>
          </w:p>
        </w:tc>
      </w:tr>
      <w:tr w:rsidR="00A854BF" w:rsidRPr="005B660C" w14:paraId="7656DA00" w14:textId="77777777" w:rsidTr="00033224">
        <w:trPr>
          <w:jc w:val="right"/>
        </w:trPr>
        <w:tc>
          <w:tcPr>
            <w:tcW w:w="4248" w:type="dxa"/>
          </w:tcPr>
          <w:p w14:paraId="5F397BE1" w14:textId="77777777" w:rsidR="00A854BF" w:rsidRPr="005B660C" w:rsidRDefault="00A854BF" w:rsidP="00033224">
            <w:pPr>
              <w:pStyle w:val="Reftext"/>
              <w:spacing w:before="40" w:after="40"/>
              <w:ind w:left="0" w:firstLine="0"/>
              <w:rPr>
                <w:rFonts w:eastAsia="Batang"/>
              </w:rPr>
            </w:pPr>
            <w:r w:rsidRPr="005B660C">
              <w:rPr>
                <w:rFonts w:eastAsia="Batang"/>
              </w:rPr>
              <w:lastRenderedPageBreak/>
              <w:t>Incorporation of texts by ITU-T (including copyright arrangements)</w:t>
            </w:r>
          </w:p>
        </w:tc>
        <w:tc>
          <w:tcPr>
            <w:tcW w:w="2551" w:type="dxa"/>
            <w:shd w:val="clear" w:color="auto" w:fill="auto"/>
          </w:tcPr>
          <w:p w14:paraId="3B5246CC" w14:textId="77777777" w:rsidR="00A854BF" w:rsidRPr="005B660C" w:rsidRDefault="00A854BF" w:rsidP="00033224">
            <w:pPr>
              <w:pStyle w:val="Reftext"/>
              <w:spacing w:before="40" w:after="40"/>
              <w:ind w:left="0" w:firstLine="0"/>
              <w:rPr>
                <w:rFonts w:eastAsia="Batang"/>
              </w:rPr>
            </w:pPr>
            <w:r w:rsidRPr="005B660C">
              <w:rPr>
                <w:rFonts w:eastAsia="Batang"/>
              </w:rPr>
              <w:t>A.4 (clause 2.4</w:t>
            </w:r>
            <w:r w:rsidRPr="005B660C">
              <w:rPr>
                <w:rFonts w:eastAsia="Batang"/>
                <w:sz w:val="22"/>
              </w:rPr>
              <w:t xml:space="preserve"> on copyright arrangements</w:t>
            </w:r>
            <w:r w:rsidRPr="005B660C">
              <w:rPr>
                <w:rFonts w:eastAsia="Batang"/>
              </w:rPr>
              <w:t>)</w:t>
            </w:r>
            <w:r w:rsidRPr="005B660C">
              <w:rPr>
                <w:rFonts w:eastAsia="Batang"/>
              </w:rPr>
              <w:br/>
              <w:t>A.6 (clause 2.2.2)</w:t>
            </w:r>
          </w:p>
        </w:tc>
        <w:tc>
          <w:tcPr>
            <w:tcW w:w="2977" w:type="dxa"/>
            <w:shd w:val="clear" w:color="auto" w:fill="auto"/>
          </w:tcPr>
          <w:p w14:paraId="5E72D4B4" w14:textId="77777777" w:rsidR="00A854BF" w:rsidRPr="005B660C" w:rsidRDefault="00A854BF" w:rsidP="00033224">
            <w:pPr>
              <w:pStyle w:val="Reftext"/>
              <w:spacing w:before="40" w:after="40"/>
              <w:ind w:left="0" w:firstLine="0"/>
              <w:rPr>
                <w:rFonts w:eastAsia="Batang"/>
              </w:rPr>
            </w:pPr>
            <w:r w:rsidRPr="005B660C">
              <w:rPr>
                <w:rFonts w:eastAsia="Batang"/>
              </w:rPr>
              <w:t>A.25 (2022)</w:t>
            </w:r>
          </w:p>
        </w:tc>
      </w:tr>
      <w:tr w:rsidR="00A854BF" w:rsidRPr="005B660C" w14:paraId="1E3B2D48" w14:textId="77777777" w:rsidTr="00033224">
        <w:trPr>
          <w:jc w:val="right"/>
        </w:trPr>
        <w:tc>
          <w:tcPr>
            <w:tcW w:w="4248" w:type="dxa"/>
          </w:tcPr>
          <w:p w14:paraId="7CF61F51" w14:textId="77777777" w:rsidR="00A854BF" w:rsidRPr="005B660C" w:rsidRDefault="00A854BF" w:rsidP="00033224">
            <w:pPr>
              <w:pStyle w:val="Reftext"/>
              <w:spacing w:before="40" w:after="40"/>
              <w:ind w:left="0" w:firstLine="0"/>
              <w:rPr>
                <w:rFonts w:eastAsia="Batang"/>
              </w:rPr>
            </w:pPr>
            <w:r w:rsidRPr="005B660C">
              <w:rPr>
                <w:rFonts w:eastAsia="Batang"/>
              </w:rPr>
              <w:t>Incorporation of texts by the other organization (including copyright arrangements)</w:t>
            </w:r>
          </w:p>
        </w:tc>
        <w:tc>
          <w:tcPr>
            <w:tcW w:w="2551" w:type="dxa"/>
            <w:shd w:val="clear" w:color="auto" w:fill="auto"/>
          </w:tcPr>
          <w:p w14:paraId="091C673B" w14:textId="77777777" w:rsidR="00A854BF" w:rsidRPr="005B660C" w:rsidRDefault="00A854BF" w:rsidP="00033224">
            <w:pPr>
              <w:pStyle w:val="Reftext"/>
              <w:spacing w:before="40" w:after="40"/>
              <w:ind w:left="0" w:firstLine="0"/>
              <w:rPr>
                <w:rFonts w:eastAsia="Batang"/>
              </w:rPr>
            </w:pPr>
            <w:r w:rsidRPr="005B660C">
              <w:rPr>
                <w:rFonts w:eastAsia="Batang"/>
              </w:rPr>
              <w:t>A.4 (clause 2.4</w:t>
            </w:r>
            <w:r w:rsidRPr="005B660C">
              <w:rPr>
                <w:rFonts w:eastAsia="Batang"/>
                <w:sz w:val="22"/>
              </w:rPr>
              <w:t xml:space="preserve"> on copyright arrangements</w:t>
            </w:r>
            <w:r w:rsidRPr="005B660C">
              <w:rPr>
                <w:rFonts w:eastAsia="Batang"/>
              </w:rPr>
              <w:t>)</w:t>
            </w:r>
            <w:r w:rsidRPr="005B660C">
              <w:rPr>
                <w:rFonts w:eastAsia="Batang"/>
              </w:rPr>
              <w:br/>
              <w:t>A.6 (clause 2.2.1)</w:t>
            </w:r>
          </w:p>
        </w:tc>
        <w:tc>
          <w:tcPr>
            <w:tcW w:w="2977" w:type="dxa"/>
            <w:shd w:val="clear" w:color="auto" w:fill="auto"/>
          </w:tcPr>
          <w:p w14:paraId="21B0FF34" w14:textId="77777777" w:rsidR="00A854BF" w:rsidRPr="005B660C" w:rsidRDefault="00A854BF" w:rsidP="00033224">
            <w:pPr>
              <w:pStyle w:val="Reftext"/>
              <w:spacing w:before="40" w:after="40"/>
              <w:ind w:left="0" w:firstLine="0"/>
              <w:rPr>
                <w:rFonts w:eastAsia="Batang"/>
              </w:rPr>
            </w:pPr>
            <w:r w:rsidRPr="005B660C">
              <w:rPr>
                <w:rFonts w:eastAsia="Batang"/>
              </w:rPr>
              <w:t>A.25 (2022)</w:t>
            </w:r>
          </w:p>
        </w:tc>
      </w:tr>
    </w:tbl>
    <w:p w14:paraId="2BFDCDA0" w14:textId="675FC1F7" w:rsidR="00BA4679" w:rsidRPr="005B660C" w:rsidRDefault="00A854BF" w:rsidP="00BA4679">
      <w:pPr>
        <w:rPr>
          <w:szCs w:val="24"/>
        </w:rPr>
      </w:pPr>
      <w:r w:rsidRPr="005B660C">
        <w:rPr>
          <w:i/>
          <w:iCs/>
          <w:szCs w:val="24"/>
        </w:rPr>
        <w:t>Editor's note: The yellow-highlighting will be removed if the revision to Supplement 5 to the A</w:t>
      </w:r>
      <w:r w:rsidR="00FF1292" w:rsidRPr="005B660C">
        <w:rPr>
          <w:i/>
          <w:iCs/>
          <w:szCs w:val="24"/>
        </w:rPr>
        <w:noBreakHyphen/>
      </w:r>
      <w:r w:rsidRPr="005B660C">
        <w:rPr>
          <w:i/>
          <w:iCs/>
          <w:szCs w:val="24"/>
        </w:rPr>
        <w:t>series of Recommendations is agreed by TSAG at its meeting on 22-26 January 2024.</w:t>
      </w:r>
    </w:p>
    <w:p w14:paraId="1247B031" w14:textId="4F2EF1A7" w:rsidR="00BA4679" w:rsidRPr="005B660C" w:rsidRDefault="0092102E" w:rsidP="00BA4679">
      <w:r w:rsidRPr="005B660C">
        <w:rPr>
          <w:rStyle w:val="rynqvb"/>
        </w:rPr>
        <w:t>Moreover</w:t>
      </w:r>
      <w:r w:rsidR="00BA4679" w:rsidRPr="005B660C">
        <w:rPr>
          <w:rStyle w:val="rynqvb"/>
        </w:rPr>
        <w:t xml:space="preserve">, </w:t>
      </w:r>
      <w:r w:rsidR="00BA4679" w:rsidRPr="005B660C">
        <w:t xml:space="preserve">RG-WM </w:t>
      </w:r>
      <w:r w:rsidRPr="005B660C">
        <w:t>is critical of R</w:t>
      </w:r>
      <w:r w:rsidR="00BA4679" w:rsidRPr="005B660C">
        <w:t>ecomm</w:t>
      </w:r>
      <w:r w:rsidRPr="005B660C">
        <w:t>e</w:t>
      </w:r>
      <w:r w:rsidR="00BA4679" w:rsidRPr="005B660C">
        <w:t xml:space="preserve">ndations </w:t>
      </w:r>
      <w:r w:rsidR="007E21C5" w:rsidRPr="005B660C">
        <w:t xml:space="preserve">ITU-T </w:t>
      </w:r>
      <w:r w:rsidR="00BA4679" w:rsidRPr="005B660C">
        <w:t xml:space="preserve">A.4 </w:t>
      </w:r>
      <w:r w:rsidRPr="005B660C">
        <w:t xml:space="preserve">and </w:t>
      </w:r>
      <w:r w:rsidR="00BA4679" w:rsidRPr="005B660C">
        <w:t>A.6</w:t>
      </w:r>
      <w:r w:rsidR="00FD3609" w:rsidRPr="005B660C">
        <w:t xml:space="preserve"> </w:t>
      </w:r>
      <w:r w:rsidR="00E64461" w:rsidRPr="005B660C">
        <w:t xml:space="preserve">as </w:t>
      </w:r>
      <w:r w:rsidR="00FD3609" w:rsidRPr="005B660C">
        <w:t>they</w:t>
      </w:r>
      <w:r w:rsidR="00BA4679" w:rsidRPr="005B660C">
        <w:t>:</w:t>
      </w:r>
    </w:p>
    <w:p w14:paraId="633EF967" w14:textId="2A79AA1E" w:rsidR="00BA4679" w:rsidRPr="005B660C" w:rsidRDefault="00BA4679" w:rsidP="00BA4679">
      <w:pPr>
        <w:pStyle w:val="enumlev1"/>
      </w:pPr>
      <w:r w:rsidRPr="005B660C">
        <w:rPr>
          <w:rStyle w:val="rynqvb"/>
        </w:rPr>
        <w:t>–</w:t>
      </w:r>
      <w:r w:rsidRPr="005B660C">
        <w:rPr>
          <w:rStyle w:val="rynqvb"/>
        </w:rPr>
        <w:tab/>
      </w:r>
      <w:r w:rsidR="00FD3609" w:rsidRPr="005B660C">
        <w:rPr>
          <w:rStyle w:val="rynqvb"/>
        </w:rPr>
        <w:t xml:space="preserve">draw a distinction </w:t>
      </w:r>
      <w:r w:rsidR="00307588" w:rsidRPr="005B660C">
        <w:rPr>
          <w:rStyle w:val="rynqvb"/>
        </w:rPr>
        <w:t xml:space="preserve">between </w:t>
      </w:r>
      <w:r w:rsidR="00FD3609" w:rsidRPr="005B660C">
        <w:t xml:space="preserve">national and regional </w:t>
      </w:r>
      <w:r w:rsidRPr="005B660C">
        <w:t>organi</w:t>
      </w:r>
      <w:r w:rsidR="00FD3609" w:rsidRPr="005B660C">
        <w:t>z</w:t>
      </w:r>
      <w:r w:rsidRPr="005B660C">
        <w:t>ation</w:t>
      </w:r>
      <w:r w:rsidR="00FD3609" w:rsidRPr="005B660C">
        <w:t>s</w:t>
      </w:r>
      <w:r w:rsidRPr="005B660C">
        <w:t xml:space="preserve"> </w:t>
      </w:r>
      <w:r w:rsidR="00FD3609" w:rsidRPr="005B660C">
        <w:t>on the one hand, and between</w:t>
      </w:r>
      <w:r w:rsidRPr="005B660C">
        <w:t xml:space="preserve"> forum</w:t>
      </w:r>
      <w:r w:rsidR="00FD3609" w:rsidRPr="005B660C">
        <w:t>s</w:t>
      </w:r>
      <w:r w:rsidRPr="005B660C">
        <w:t xml:space="preserve"> </w:t>
      </w:r>
      <w:r w:rsidR="00FD3609" w:rsidRPr="005B660C">
        <w:t xml:space="preserve">and </w:t>
      </w:r>
      <w:r w:rsidRPr="005B660C">
        <w:t>consorti</w:t>
      </w:r>
      <w:r w:rsidR="00A41FB9" w:rsidRPr="005B660C">
        <w:t>a</w:t>
      </w:r>
      <w:r w:rsidRPr="005B660C">
        <w:t xml:space="preserve"> </w:t>
      </w:r>
      <w:r w:rsidR="00FD3609" w:rsidRPr="005B660C">
        <w:t>on the other hand</w:t>
      </w:r>
      <w:r w:rsidRPr="005B660C">
        <w:t>;</w:t>
      </w:r>
    </w:p>
    <w:p w14:paraId="01F2C7B4" w14:textId="102D93EE" w:rsidR="00BA4679" w:rsidRPr="005B660C" w:rsidRDefault="00BA4679" w:rsidP="00BA4679">
      <w:pPr>
        <w:pStyle w:val="enumlev1"/>
        <w:rPr>
          <w:rStyle w:val="rynqvb"/>
        </w:rPr>
      </w:pPr>
      <w:r w:rsidRPr="005B660C">
        <w:rPr>
          <w:rStyle w:val="rynqvb"/>
        </w:rPr>
        <w:t>–</w:t>
      </w:r>
      <w:r w:rsidRPr="005B660C">
        <w:rPr>
          <w:rStyle w:val="rynqvb"/>
        </w:rPr>
        <w:tab/>
      </w:r>
      <w:r w:rsidR="00FD3609" w:rsidRPr="005B660C">
        <w:rPr>
          <w:szCs w:val="24"/>
        </w:rPr>
        <w:t>imply an evaluation of the intellectual property rights (IPR) policy of the candidate organization</w:t>
      </w:r>
      <w:r w:rsidR="00E12352" w:rsidRPr="005B660C">
        <w:rPr>
          <w:szCs w:val="24"/>
        </w:rPr>
        <w:t xml:space="preserve"> for A.4 or A.6 qualification r</w:t>
      </w:r>
      <w:r w:rsidR="00FD3609" w:rsidRPr="005B660C">
        <w:rPr>
          <w:szCs w:val="24"/>
        </w:rPr>
        <w:t xml:space="preserve">egardless of whether the organization </w:t>
      </w:r>
      <w:r w:rsidR="00E12352" w:rsidRPr="005B660C">
        <w:rPr>
          <w:szCs w:val="24"/>
        </w:rPr>
        <w:t xml:space="preserve">issues </w:t>
      </w:r>
      <w:r w:rsidR="00FD3609" w:rsidRPr="005B660C">
        <w:rPr>
          <w:szCs w:val="24"/>
        </w:rPr>
        <w:t>standards</w:t>
      </w:r>
      <w:r w:rsidRPr="005B660C">
        <w:rPr>
          <w:rStyle w:val="rynqvb"/>
          <w:sz w:val="28"/>
          <w:szCs w:val="22"/>
        </w:rPr>
        <w:t>.</w:t>
      </w:r>
    </w:p>
    <w:p w14:paraId="59E3EB5A" w14:textId="2B4F8AA9" w:rsidR="00BA4679" w:rsidRPr="005B660C" w:rsidRDefault="00BA4679" w:rsidP="00BA4679">
      <w:pPr>
        <w:rPr>
          <w:rStyle w:val="rynqvb"/>
        </w:rPr>
      </w:pPr>
      <w:r w:rsidRPr="005B660C">
        <w:t>RG-</w:t>
      </w:r>
      <w:r w:rsidR="00E64461" w:rsidRPr="005B660C">
        <w:t>W</w:t>
      </w:r>
      <w:r w:rsidRPr="005B660C">
        <w:t>M propose</w:t>
      </w:r>
      <w:r w:rsidR="00E64461" w:rsidRPr="005B660C">
        <w:t>s</w:t>
      </w:r>
      <w:r w:rsidRPr="005B660C">
        <w:t xml:space="preserve"> me</w:t>
      </w:r>
      <w:r w:rsidR="00E64461" w:rsidRPr="005B660C">
        <w:t>a</w:t>
      </w:r>
      <w:r w:rsidRPr="005B660C">
        <w:t xml:space="preserve">sures </w:t>
      </w:r>
      <w:r w:rsidR="006C737B" w:rsidRPr="005B660C">
        <w:t>to keep a record of the organizations already qualified in accordance with Recommendations ITU-T A.4 or ITU-T A.6</w:t>
      </w:r>
      <w:r w:rsidRPr="005B660C">
        <w:t xml:space="preserve">, </w:t>
      </w:r>
      <w:r w:rsidR="006C737B" w:rsidRPr="005B660C">
        <w:t xml:space="preserve">once those </w:t>
      </w:r>
      <w:r w:rsidRPr="005B660C">
        <w:t>Recomm</w:t>
      </w:r>
      <w:r w:rsidR="006C737B" w:rsidRPr="005B660C">
        <w:t>e</w:t>
      </w:r>
      <w:r w:rsidRPr="005B660C">
        <w:t xml:space="preserve">ndations </w:t>
      </w:r>
      <w:r w:rsidR="006C737B" w:rsidRPr="005B660C">
        <w:t xml:space="preserve">are </w:t>
      </w:r>
      <w:r w:rsidRPr="005B660C">
        <w:t>effective</w:t>
      </w:r>
      <w:r w:rsidR="006C737B" w:rsidRPr="005B660C">
        <w:t>ly</w:t>
      </w:r>
      <w:r w:rsidRPr="005B660C">
        <w:t xml:space="preserve"> </w:t>
      </w:r>
      <w:r w:rsidR="006C737B" w:rsidRPr="005B660C">
        <w:t>deleted</w:t>
      </w:r>
      <w:r w:rsidRPr="005B660C">
        <w:t>.</w:t>
      </w:r>
    </w:p>
    <w:p w14:paraId="17C8C6EC" w14:textId="2B913C34" w:rsidR="00BA4679" w:rsidRPr="005B660C" w:rsidRDefault="00BA4679" w:rsidP="00BA4679">
      <w:pPr>
        <w:pStyle w:val="Heading1"/>
        <w:rPr>
          <w:rStyle w:val="rynqvb"/>
          <w:b w:val="0"/>
        </w:rPr>
      </w:pPr>
      <w:r w:rsidRPr="005B660C">
        <w:rPr>
          <w:rStyle w:val="rynqvb"/>
        </w:rPr>
        <w:t>2</w:t>
      </w:r>
      <w:r w:rsidRPr="005B660C">
        <w:rPr>
          <w:rStyle w:val="rynqvb"/>
        </w:rPr>
        <w:tab/>
      </w:r>
      <w:r w:rsidR="006C737B" w:rsidRPr="005B660C">
        <w:rPr>
          <w:rStyle w:val="rynqvb"/>
        </w:rPr>
        <w:t xml:space="preserve">Main limitations of this </w:t>
      </w:r>
      <w:r w:rsidRPr="005B660C">
        <w:rPr>
          <w:rStyle w:val="rynqvb"/>
        </w:rPr>
        <w:t>propos</w:t>
      </w:r>
      <w:r w:rsidR="006C737B" w:rsidRPr="005B660C">
        <w:rPr>
          <w:rStyle w:val="rynqvb"/>
        </w:rPr>
        <w:t>al</w:t>
      </w:r>
    </w:p>
    <w:p w14:paraId="41EAA95F" w14:textId="5B1AE845" w:rsidR="00BA4679" w:rsidRPr="005B660C" w:rsidRDefault="006C737B" w:rsidP="00BA4679">
      <w:pPr>
        <w:rPr>
          <w:rStyle w:val="rynqvb"/>
        </w:rPr>
      </w:pPr>
      <w:r w:rsidRPr="005B660C">
        <w:rPr>
          <w:rStyle w:val="rynqvb"/>
        </w:rPr>
        <w:t>This proposal has a certain number of limitations</w:t>
      </w:r>
      <w:r w:rsidR="00BA4679" w:rsidRPr="005B660C">
        <w:rPr>
          <w:rStyle w:val="rynqvb"/>
        </w:rPr>
        <w:t>,</w:t>
      </w:r>
      <w:r w:rsidR="008059E9" w:rsidRPr="005B660C">
        <w:rPr>
          <w:rStyle w:val="rynqvb"/>
        </w:rPr>
        <w:t xml:space="preserve"> as highlighted below</w:t>
      </w:r>
      <w:r w:rsidR="00BA4679" w:rsidRPr="005B660C">
        <w:rPr>
          <w:rStyle w:val="rynqvb"/>
        </w:rPr>
        <w:t>:</w:t>
      </w:r>
    </w:p>
    <w:p w14:paraId="7896BA69" w14:textId="16787B7B" w:rsidR="008059E9" w:rsidRPr="005B660C" w:rsidRDefault="008059E9" w:rsidP="008059E9">
      <w:r w:rsidRPr="005B660C">
        <w:t xml:space="preserve">The first is that it suggests </w:t>
      </w:r>
      <w:r w:rsidR="00A41FB9" w:rsidRPr="005B660C">
        <w:t>the deletion of</w:t>
      </w:r>
      <w:r w:rsidRPr="005B660C">
        <w:t xml:space="preserve"> normative texts that have binding force, sometimes in favour of non-normative and therefore optional texts.</w:t>
      </w:r>
    </w:p>
    <w:p w14:paraId="62707AC0" w14:textId="49125801" w:rsidR="00BA4679" w:rsidRPr="005B660C" w:rsidRDefault="008059E9" w:rsidP="008059E9">
      <w:r w:rsidRPr="005B660C">
        <w:t xml:space="preserve">The second limitation is that </w:t>
      </w:r>
      <w:r w:rsidR="00AA6CF8" w:rsidRPr="005B660C">
        <w:t>some</w:t>
      </w:r>
      <w:r w:rsidRPr="005B660C">
        <w:t xml:space="preserve"> aspects </w:t>
      </w:r>
      <w:r w:rsidR="00AA6CF8" w:rsidRPr="005B660C">
        <w:t xml:space="preserve">dealt with in </w:t>
      </w:r>
      <w:r w:rsidRPr="005B660C">
        <w:t xml:space="preserve">Recommendations </w:t>
      </w:r>
      <w:r w:rsidR="00D62222" w:rsidRPr="005B660C">
        <w:t xml:space="preserve">ITU-T </w:t>
      </w:r>
      <w:r w:rsidRPr="005B660C">
        <w:t xml:space="preserve">A.4 and A.6 </w:t>
      </w:r>
      <w:r w:rsidR="00A41FB9" w:rsidRPr="005B660C">
        <w:t xml:space="preserve">have </w:t>
      </w:r>
      <w:r w:rsidRPr="005B660C">
        <w:t xml:space="preserve">not </w:t>
      </w:r>
      <w:r w:rsidR="00A41FB9" w:rsidRPr="005B660C">
        <w:t xml:space="preserve">been </w:t>
      </w:r>
      <w:r w:rsidRPr="005B660C">
        <w:t xml:space="preserve">taken </w:t>
      </w:r>
      <w:r w:rsidR="00AA6CF8" w:rsidRPr="005B660C">
        <w:t xml:space="preserve">fully </w:t>
      </w:r>
      <w:r w:rsidRPr="005B660C">
        <w:t>into account. Some important points addressed in these recommendations may have escaped the editor's attention.</w:t>
      </w:r>
    </w:p>
    <w:p w14:paraId="4D7A18B3" w14:textId="28D5830A" w:rsidR="005B50FD" w:rsidRPr="005B660C" w:rsidRDefault="005B50FD" w:rsidP="005B50FD">
      <w:r w:rsidRPr="005B660C">
        <w:t>The other limitation identified concerns the specific scope of each recommendation</w:t>
      </w:r>
      <w:r w:rsidR="00AA6CF8" w:rsidRPr="005B660C">
        <w:t xml:space="preserve"> </w:t>
      </w:r>
      <w:r w:rsidR="00A41FB9" w:rsidRPr="005B660C">
        <w:t xml:space="preserve">that it is </w:t>
      </w:r>
      <w:r w:rsidRPr="005B660C">
        <w:t>proposed</w:t>
      </w:r>
      <w:r w:rsidR="00A41FB9" w:rsidRPr="005B660C">
        <w:t xml:space="preserve"> to delete</w:t>
      </w:r>
      <w:r w:rsidRPr="005B660C">
        <w:t xml:space="preserve">. Recommendation </w:t>
      </w:r>
      <w:r w:rsidR="00AA6CF8" w:rsidRPr="005B660C">
        <w:t xml:space="preserve">ITU-T </w:t>
      </w:r>
      <w:r w:rsidRPr="005B660C">
        <w:t>A.4 describes how to initiate a communication process between ITU-T and a forum/consortium. It lists the A.4 accreditation criteria for forums/consortia and describes the exchange of documents between A.4</w:t>
      </w:r>
      <w:r w:rsidR="003264E0" w:rsidRPr="005B660C">
        <w:t>-</w:t>
      </w:r>
      <w:r w:rsidRPr="005B660C">
        <w:t xml:space="preserve">accredited forums/consortia and ITU-T, while Recommendation ITU-T A.6 establishes the generic procedures, the basis for document exchange and the qualification criteria for regional and/or national standards organizations for the cooperation and communication process between ITU-T and these organizations. Deleting these recommendations is tantamount to subsuming </w:t>
      </w:r>
      <w:r w:rsidR="00402467" w:rsidRPr="005B660C">
        <w:t xml:space="preserve">under </w:t>
      </w:r>
      <w:r w:rsidRPr="005B660C">
        <w:t xml:space="preserve">the generic procedures established in </w:t>
      </w:r>
      <w:r w:rsidR="00A41FB9" w:rsidRPr="005B660C">
        <w:t xml:space="preserve">Recommendations </w:t>
      </w:r>
      <w:r w:rsidRPr="005B660C">
        <w:t>ITU-T A.5 and A.25 for other organizations, procedures already established specifically for forums or consort</w:t>
      </w:r>
      <w:r w:rsidR="00A41FB9" w:rsidRPr="005B660C">
        <w:t>ia</w:t>
      </w:r>
      <w:r w:rsidRPr="005B660C">
        <w:t xml:space="preserve"> (</w:t>
      </w:r>
      <w:r w:rsidR="00402467" w:rsidRPr="005B660C">
        <w:t xml:space="preserve">see Rec. </w:t>
      </w:r>
      <w:r w:rsidRPr="005B660C">
        <w:t>ITU-T A.4) and regional or national standardization organizations, which</w:t>
      </w:r>
      <w:r w:rsidR="00402467" w:rsidRPr="005B660C">
        <w:t>,</w:t>
      </w:r>
      <w:r w:rsidRPr="005B660C">
        <w:t xml:space="preserve"> moreover</w:t>
      </w:r>
      <w:r w:rsidR="00402467" w:rsidRPr="005B660C">
        <w:t>,</w:t>
      </w:r>
      <w:r w:rsidRPr="005B660C">
        <w:t xml:space="preserve"> pose no problem in practice.</w:t>
      </w:r>
    </w:p>
    <w:p w14:paraId="0329896B" w14:textId="0B4817E9" w:rsidR="00BA4679" w:rsidRPr="005B660C" w:rsidRDefault="005B50FD" w:rsidP="00BA4679">
      <w:pPr>
        <w:jc w:val="both"/>
        <w:rPr>
          <w:rStyle w:val="rynqvb"/>
        </w:rPr>
      </w:pPr>
      <w:r w:rsidRPr="005B660C">
        <w:t xml:space="preserve">It </w:t>
      </w:r>
      <w:r w:rsidR="00402467" w:rsidRPr="005B660C">
        <w:t xml:space="preserve">is still </w:t>
      </w:r>
      <w:r w:rsidRPr="005B660C">
        <w:t xml:space="preserve">essential to facilitate access to information for ITU </w:t>
      </w:r>
      <w:r w:rsidR="00402467" w:rsidRPr="005B660C">
        <w:t>m</w:t>
      </w:r>
      <w:r w:rsidRPr="005B660C">
        <w:t xml:space="preserve">embers, as well as external players. Dealing with topics in a specific way remains the best option </w:t>
      </w:r>
      <w:r w:rsidR="00402467" w:rsidRPr="005B660C">
        <w:t>for</w:t>
      </w:r>
      <w:r w:rsidRPr="005B660C">
        <w:t xml:space="preserve"> achieving this.</w:t>
      </w:r>
    </w:p>
    <w:p w14:paraId="6B8972BC" w14:textId="79C8F00F" w:rsidR="00BA4679" w:rsidRPr="005B660C" w:rsidRDefault="00BA4679" w:rsidP="00BA4679">
      <w:pPr>
        <w:pStyle w:val="Heading1"/>
        <w:rPr>
          <w:rStyle w:val="rynqvb"/>
          <w:b w:val="0"/>
        </w:rPr>
      </w:pPr>
      <w:r w:rsidRPr="005B660C">
        <w:rPr>
          <w:rStyle w:val="rynqvb"/>
        </w:rPr>
        <w:t>3</w:t>
      </w:r>
      <w:r w:rsidRPr="005B660C">
        <w:rPr>
          <w:rStyle w:val="rynqvb"/>
        </w:rPr>
        <w:tab/>
      </w:r>
      <w:r w:rsidR="00343276" w:rsidRPr="005B660C">
        <w:rPr>
          <w:rStyle w:val="rynqvb"/>
        </w:rPr>
        <w:t>Conclusion of analysis</w:t>
      </w:r>
    </w:p>
    <w:p w14:paraId="25C43528" w14:textId="318B986C" w:rsidR="005B50FD" w:rsidRPr="005B660C" w:rsidRDefault="005B50FD" w:rsidP="005B50FD">
      <w:pPr>
        <w:rPr>
          <w:rStyle w:val="rynqvb"/>
        </w:rPr>
      </w:pPr>
      <w:r w:rsidRPr="005B660C">
        <w:rPr>
          <w:rStyle w:val="rynqvb"/>
        </w:rPr>
        <w:t xml:space="preserve">ITU-T approves recommendations to address issues that arise in the </w:t>
      </w:r>
      <w:r w:rsidR="00402467" w:rsidRPr="005B660C">
        <w:rPr>
          <w:rStyle w:val="rynqvb"/>
        </w:rPr>
        <w:t>S</w:t>
      </w:r>
      <w:r w:rsidRPr="005B660C">
        <w:rPr>
          <w:rStyle w:val="rynqvb"/>
        </w:rPr>
        <w:t>ector. This was the case for the 2012 recommendations, which it is now proposed to delete</w:t>
      </w:r>
      <w:r w:rsidR="00402467" w:rsidRPr="005B660C">
        <w:rPr>
          <w:rStyle w:val="rynqvb"/>
        </w:rPr>
        <w:t xml:space="preserve">; yet </w:t>
      </w:r>
      <w:r w:rsidRPr="005B660C">
        <w:rPr>
          <w:rStyle w:val="rynqvb"/>
        </w:rPr>
        <w:t xml:space="preserve">the scope </w:t>
      </w:r>
      <w:r w:rsidR="00D62222" w:rsidRPr="005B660C">
        <w:rPr>
          <w:rStyle w:val="rynqvb"/>
        </w:rPr>
        <w:t xml:space="preserve">of these recommendations </w:t>
      </w:r>
      <w:r w:rsidRPr="005B660C">
        <w:rPr>
          <w:rStyle w:val="rynqvb"/>
        </w:rPr>
        <w:t>is</w:t>
      </w:r>
      <w:r w:rsidR="00D62222" w:rsidRPr="005B660C">
        <w:rPr>
          <w:rStyle w:val="rynqvb"/>
        </w:rPr>
        <w:t xml:space="preserve"> unequivocal</w:t>
      </w:r>
      <w:r w:rsidRPr="005B660C">
        <w:rPr>
          <w:rStyle w:val="rynqvb"/>
        </w:rPr>
        <w:t>.</w:t>
      </w:r>
    </w:p>
    <w:p w14:paraId="080E3F15" w14:textId="12C034F9" w:rsidR="00BA4679" w:rsidRPr="005B660C" w:rsidRDefault="005B50FD" w:rsidP="005B50FD">
      <w:pPr>
        <w:rPr>
          <w:rStyle w:val="rynqvb"/>
        </w:rPr>
      </w:pPr>
      <w:r w:rsidRPr="005B660C">
        <w:rPr>
          <w:rStyle w:val="rynqvb"/>
        </w:rPr>
        <w:lastRenderedPageBreak/>
        <w:t xml:space="preserve">In view of the importance of these normative documents, it would be advisable to update them to take account, where appropriate, of changes in current practices between ITU-T and its external </w:t>
      </w:r>
      <w:r w:rsidR="0062068C" w:rsidRPr="005B660C">
        <w:rPr>
          <w:rStyle w:val="rynqvb"/>
        </w:rPr>
        <w:t>contacts</w:t>
      </w:r>
      <w:r w:rsidRPr="005B660C">
        <w:rPr>
          <w:rStyle w:val="rynqvb"/>
        </w:rPr>
        <w:t xml:space="preserve"> referred to in </w:t>
      </w:r>
      <w:r w:rsidR="00A41FB9" w:rsidRPr="005B660C">
        <w:rPr>
          <w:rStyle w:val="rynqvb"/>
        </w:rPr>
        <w:t xml:space="preserve">Recommendations </w:t>
      </w:r>
      <w:r w:rsidRPr="005B660C">
        <w:rPr>
          <w:rStyle w:val="rynqvb"/>
        </w:rPr>
        <w:t>ITU-T A.4 and ITU-T A.6.</w:t>
      </w:r>
    </w:p>
    <w:p w14:paraId="2596AB19" w14:textId="7356F35A" w:rsidR="00BA4679" w:rsidRPr="005B660C" w:rsidRDefault="00BA4679" w:rsidP="00BA4679">
      <w:pPr>
        <w:pStyle w:val="Headingb"/>
        <w:rPr>
          <w:rStyle w:val="rynqvb"/>
          <w:b w:val="0"/>
          <w:bCs/>
        </w:rPr>
      </w:pPr>
      <w:r w:rsidRPr="005B660C">
        <w:t>Propos</w:t>
      </w:r>
      <w:r w:rsidR="00A41FB9" w:rsidRPr="005B660C">
        <w:t>al</w:t>
      </w:r>
    </w:p>
    <w:p w14:paraId="2A16EB44" w14:textId="1C679823" w:rsidR="002748E7" w:rsidRPr="005B660C" w:rsidRDefault="002748E7" w:rsidP="002748E7">
      <w:r w:rsidRPr="005B660C">
        <w:t xml:space="preserve">In view of the above, Cameroon proposes that Recommendations </w:t>
      </w:r>
      <w:r w:rsidR="00D62222" w:rsidRPr="005B660C">
        <w:t xml:space="preserve">ITU-T </w:t>
      </w:r>
      <w:r w:rsidRPr="005B660C">
        <w:t xml:space="preserve">A.4 and A.6 be maintained, and that TSAG abandon the idea of modifying Supplement 5, which is a non-normative document. </w:t>
      </w:r>
    </w:p>
    <w:p w14:paraId="36A9E21A" w14:textId="31155004" w:rsidR="00BA4679" w:rsidRPr="005B660C" w:rsidRDefault="002748E7" w:rsidP="002748E7">
      <w:pPr>
        <w:rPr>
          <w:highlight w:val="yellow"/>
        </w:rPr>
      </w:pPr>
      <w:r w:rsidRPr="005B660C">
        <w:t xml:space="preserve">In support of this proposal, draft amendments to Recommendations </w:t>
      </w:r>
      <w:r w:rsidR="00D62222" w:rsidRPr="005B660C">
        <w:t xml:space="preserve">ITU-T </w:t>
      </w:r>
      <w:r w:rsidRPr="005B660C">
        <w:t>A.4 and A.6 are annexed</w:t>
      </w:r>
      <w:r w:rsidR="00ED724C">
        <w:t xml:space="preserve"> </w:t>
      </w:r>
      <w:r w:rsidRPr="005B660C">
        <w:t xml:space="preserve">to this contribution, </w:t>
      </w:r>
      <w:r w:rsidR="00D62222" w:rsidRPr="005B660C">
        <w:t xml:space="preserve">with a view </w:t>
      </w:r>
      <w:r w:rsidRPr="005B660C">
        <w:t>to clarify</w:t>
      </w:r>
      <w:r w:rsidR="00D62222" w:rsidRPr="005B660C">
        <w:t>ing</w:t>
      </w:r>
      <w:r w:rsidRPr="005B660C">
        <w:t xml:space="preserve"> them to take account of the </w:t>
      </w:r>
      <w:r w:rsidR="00D62222" w:rsidRPr="005B660C">
        <w:t xml:space="preserve">comments </w:t>
      </w:r>
      <w:r w:rsidRPr="005B660C">
        <w:t xml:space="preserve">made by RG-WM during its meetings on 5 September and 5 December 2023, and to align these recommendations with the updates to Recommendations </w:t>
      </w:r>
      <w:r w:rsidR="00D62222" w:rsidRPr="005B660C">
        <w:t xml:space="preserve">ITU-T </w:t>
      </w:r>
      <w:r w:rsidRPr="005B660C">
        <w:t xml:space="preserve">A.5 and A.25 with a view to clarifying </w:t>
      </w:r>
      <w:r w:rsidR="00D62222" w:rsidRPr="005B660C">
        <w:t xml:space="preserve">Recommendations </w:t>
      </w:r>
      <w:r w:rsidRPr="005B660C">
        <w:t>ITU-T A.4 and A.6 and avoiding repetition or conflict with Recommendations ITU-T A.5 and A.25.</w:t>
      </w:r>
    </w:p>
    <w:p w14:paraId="5EB89A3D" w14:textId="77777777" w:rsidR="00BA4679" w:rsidRPr="005B660C" w:rsidRDefault="00BA4679" w:rsidP="00BA4679"/>
    <w:p w14:paraId="6B01F3D1" w14:textId="77777777" w:rsidR="00BA4679" w:rsidRPr="005B660C" w:rsidRDefault="00BA4679" w:rsidP="00BA4679">
      <w:pPr>
        <w:spacing w:before="0" w:after="160" w:line="259" w:lineRule="auto"/>
      </w:pPr>
      <w:r w:rsidRPr="005B660C">
        <w:br w:type="page"/>
      </w:r>
    </w:p>
    <w:p w14:paraId="44F39B14" w14:textId="4E3B1B0B" w:rsidR="00BA4679" w:rsidRPr="005B660C" w:rsidRDefault="00BA4679" w:rsidP="00BA4679">
      <w:pPr>
        <w:spacing w:before="0" w:after="160" w:line="259" w:lineRule="auto"/>
        <w:jc w:val="both"/>
        <w:rPr>
          <w:rFonts w:eastAsia="Calibri"/>
          <w:b/>
          <w:i/>
          <w:szCs w:val="22"/>
        </w:rPr>
      </w:pPr>
      <w:r w:rsidRPr="005B660C">
        <w:rPr>
          <w:rFonts w:eastAsia="Calibri"/>
          <w:b/>
          <w:i/>
          <w:szCs w:val="22"/>
          <w:u w:val="single"/>
        </w:rPr>
        <w:lastRenderedPageBreak/>
        <w:t>NOTE:</w:t>
      </w:r>
      <w:r w:rsidRPr="005B660C">
        <w:rPr>
          <w:rFonts w:eastAsia="Calibri"/>
          <w:b/>
          <w:i/>
          <w:szCs w:val="22"/>
        </w:rPr>
        <w:t xml:space="preserve"> </w:t>
      </w:r>
      <w:r w:rsidR="00D62222" w:rsidRPr="005B660C">
        <w:rPr>
          <w:rFonts w:eastAsia="Calibri"/>
          <w:b/>
          <w:i/>
          <w:szCs w:val="22"/>
        </w:rPr>
        <w:t xml:space="preserve">Proposed additions to the current recommendations are highlighted in yellow. </w:t>
      </w:r>
    </w:p>
    <w:p w14:paraId="68EDC5CF" w14:textId="137F58CD" w:rsidR="00BA4679" w:rsidRPr="005B660C" w:rsidRDefault="00BA4679" w:rsidP="00BA4679">
      <w:pPr>
        <w:pStyle w:val="AnnexNotitle"/>
        <w:rPr>
          <w:rFonts w:eastAsia="Calibri"/>
        </w:rPr>
      </w:pPr>
      <w:r w:rsidRPr="005B660C">
        <w:rPr>
          <w:rFonts w:eastAsia="Calibri"/>
        </w:rPr>
        <w:t>ANNEX 1</w:t>
      </w:r>
    </w:p>
    <w:p w14:paraId="74EEEB96" w14:textId="77777777" w:rsidR="005607B7" w:rsidRPr="005B660C" w:rsidRDefault="005607B7" w:rsidP="005607B7">
      <w:pPr>
        <w:tabs>
          <w:tab w:val="clear" w:pos="794"/>
          <w:tab w:val="clear" w:pos="1191"/>
          <w:tab w:val="clear" w:pos="1588"/>
          <w:tab w:val="clear" w:pos="1985"/>
        </w:tabs>
        <w:overflowPunct/>
        <w:spacing w:before="0"/>
        <w:textAlignment w:val="auto"/>
        <w:rPr>
          <w:b/>
          <w:bCs/>
          <w:sz w:val="28"/>
          <w:szCs w:val="28"/>
          <w:lang w:eastAsia="zh-CN"/>
        </w:rPr>
      </w:pPr>
    </w:p>
    <w:p w14:paraId="5D0E77CC" w14:textId="51581E49" w:rsidR="005607B7" w:rsidRPr="005B660C" w:rsidRDefault="00D62222" w:rsidP="005607B7">
      <w:pPr>
        <w:tabs>
          <w:tab w:val="clear" w:pos="794"/>
          <w:tab w:val="clear" w:pos="1191"/>
          <w:tab w:val="clear" w:pos="1588"/>
          <w:tab w:val="clear" w:pos="1985"/>
        </w:tabs>
        <w:overflowPunct/>
        <w:spacing w:before="0"/>
        <w:textAlignment w:val="auto"/>
        <w:rPr>
          <w:b/>
          <w:bCs/>
          <w:sz w:val="28"/>
          <w:szCs w:val="28"/>
          <w:lang w:eastAsia="zh-CN"/>
        </w:rPr>
      </w:pPr>
      <w:r w:rsidRPr="005B660C">
        <w:rPr>
          <w:b/>
          <w:bCs/>
          <w:sz w:val="28"/>
          <w:szCs w:val="28"/>
          <w:lang w:eastAsia="zh-CN"/>
        </w:rPr>
        <w:t xml:space="preserve">Draft revision of </w:t>
      </w:r>
      <w:r w:rsidR="005607B7" w:rsidRPr="005B660C">
        <w:rPr>
          <w:b/>
          <w:bCs/>
          <w:sz w:val="28"/>
          <w:szCs w:val="28"/>
          <w:lang w:eastAsia="zh-CN"/>
        </w:rPr>
        <w:t>Recommendation ITU-T A.4</w:t>
      </w:r>
    </w:p>
    <w:p w14:paraId="77D2531D" w14:textId="37F9650C" w:rsidR="005607B7" w:rsidRPr="005B660C" w:rsidRDefault="005607B7" w:rsidP="000A069B">
      <w:pPr>
        <w:pStyle w:val="Rectitle"/>
        <w:rPr>
          <w:b w:val="0"/>
          <w:bCs/>
          <w:szCs w:val="28"/>
          <w:lang w:eastAsia="zh-CN"/>
        </w:rPr>
      </w:pPr>
      <w:r w:rsidRPr="005B660C">
        <w:rPr>
          <w:lang w:eastAsia="zh-CN"/>
        </w:rPr>
        <w:t>Communication process between the ITU</w:t>
      </w:r>
      <w:r w:rsidR="000A069B" w:rsidRPr="005B660C">
        <w:rPr>
          <w:lang w:eastAsia="zh-CN"/>
        </w:rPr>
        <w:t xml:space="preserve"> </w:t>
      </w:r>
      <w:r w:rsidR="000A069B" w:rsidRPr="005B660C">
        <w:rPr>
          <w:lang w:eastAsia="zh-CN"/>
        </w:rPr>
        <w:br/>
      </w:r>
      <w:r w:rsidRPr="005B660C">
        <w:rPr>
          <w:bCs/>
          <w:szCs w:val="28"/>
          <w:lang w:eastAsia="zh-CN"/>
        </w:rPr>
        <w:t>Telecommunication Standardization Sector and forums and consortia</w:t>
      </w:r>
    </w:p>
    <w:p w14:paraId="5ACB6A4F" w14:textId="3E4DCF89" w:rsidR="005607B7" w:rsidRPr="005B660C" w:rsidRDefault="005607B7" w:rsidP="000A069B">
      <w:pPr>
        <w:jc w:val="center"/>
        <w:rPr>
          <w:i/>
          <w:iCs/>
          <w:lang w:eastAsia="zh-CN"/>
        </w:rPr>
      </w:pPr>
      <w:r w:rsidRPr="005B660C">
        <w:rPr>
          <w:i/>
          <w:iCs/>
          <w:lang w:eastAsia="zh-CN"/>
        </w:rPr>
        <w:t xml:space="preserve">(1996; 2000; 2002; 2006; 2007; 2012; </w:t>
      </w:r>
      <w:r w:rsidRPr="005B660C">
        <w:rPr>
          <w:i/>
          <w:iCs/>
          <w:highlight w:val="yellow"/>
          <w:lang w:eastAsia="zh-CN"/>
        </w:rPr>
        <w:t>2024</w:t>
      </w:r>
      <w:r w:rsidRPr="005B660C">
        <w:rPr>
          <w:i/>
          <w:iCs/>
          <w:lang w:eastAsia="zh-CN"/>
        </w:rPr>
        <w:t>)</w:t>
      </w:r>
    </w:p>
    <w:p w14:paraId="48BA2C65" w14:textId="62C0FE04" w:rsidR="005607B7" w:rsidRPr="005B660C" w:rsidRDefault="005607B7" w:rsidP="000A069B">
      <w:pPr>
        <w:pStyle w:val="Heading1"/>
        <w:rPr>
          <w:lang w:eastAsia="zh-CN"/>
        </w:rPr>
      </w:pPr>
      <w:r w:rsidRPr="005B660C">
        <w:rPr>
          <w:lang w:eastAsia="zh-CN"/>
        </w:rPr>
        <w:t>1</w:t>
      </w:r>
      <w:r w:rsidR="000A069B" w:rsidRPr="005B660C">
        <w:rPr>
          <w:lang w:eastAsia="zh-CN"/>
        </w:rPr>
        <w:tab/>
      </w:r>
      <w:r w:rsidRPr="005B660C">
        <w:rPr>
          <w:lang w:eastAsia="zh-CN"/>
        </w:rPr>
        <w:t>Introduction</w:t>
      </w:r>
    </w:p>
    <w:p w14:paraId="21EA682E" w14:textId="5D08C608" w:rsidR="005607B7" w:rsidRPr="005B660C" w:rsidRDefault="005607B7" w:rsidP="000A069B">
      <w:pPr>
        <w:rPr>
          <w:szCs w:val="24"/>
          <w:lang w:eastAsia="zh-CN"/>
        </w:rPr>
      </w:pPr>
      <w:r w:rsidRPr="005B660C">
        <w:rPr>
          <w:lang w:eastAsia="zh-CN"/>
        </w:rPr>
        <w:t>The purposes of the International Telecommunication Union are contained in Article 1 of the</w:t>
      </w:r>
      <w:r w:rsidR="000A069B" w:rsidRPr="005B660C">
        <w:rPr>
          <w:lang w:eastAsia="zh-CN"/>
        </w:rPr>
        <w:t xml:space="preserve"> </w:t>
      </w:r>
      <w:r w:rsidRPr="005B660C">
        <w:rPr>
          <w:szCs w:val="24"/>
          <w:lang w:eastAsia="zh-CN"/>
        </w:rPr>
        <w:t>Constitution. These include the aim "to promote, at the international level, the adoption of a broader</w:t>
      </w:r>
      <w:r w:rsidR="000A069B" w:rsidRPr="005B660C">
        <w:rPr>
          <w:szCs w:val="24"/>
          <w:lang w:eastAsia="zh-CN"/>
        </w:rPr>
        <w:t xml:space="preserve"> </w:t>
      </w:r>
      <w:r w:rsidRPr="005B660C">
        <w:rPr>
          <w:szCs w:val="24"/>
          <w:lang w:eastAsia="zh-CN"/>
        </w:rPr>
        <w:t>approach to the issues of telecommunications in the global information economy and society, by</w:t>
      </w:r>
      <w:r w:rsidR="000A069B" w:rsidRPr="005B660C">
        <w:rPr>
          <w:szCs w:val="24"/>
          <w:lang w:eastAsia="zh-CN"/>
        </w:rPr>
        <w:t xml:space="preserve"> </w:t>
      </w:r>
      <w:r w:rsidRPr="005B660C">
        <w:rPr>
          <w:szCs w:val="24"/>
          <w:lang w:eastAsia="zh-CN"/>
        </w:rPr>
        <w:t>cooperating with other world and regional intergovernmental organizations, and those non</w:t>
      </w:r>
      <w:r w:rsidR="00D62222" w:rsidRPr="005B660C">
        <w:rPr>
          <w:szCs w:val="24"/>
          <w:lang w:eastAsia="zh-CN"/>
        </w:rPr>
        <w:t>-</w:t>
      </w:r>
      <w:r w:rsidRPr="005B660C">
        <w:rPr>
          <w:szCs w:val="24"/>
          <w:lang w:eastAsia="zh-CN"/>
        </w:rPr>
        <w:t>governmental</w:t>
      </w:r>
      <w:r w:rsidR="00D62222" w:rsidRPr="005B660C">
        <w:rPr>
          <w:szCs w:val="24"/>
          <w:lang w:eastAsia="zh-CN"/>
        </w:rPr>
        <w:t xml:space="preserve"> </w:t>
      </w:r>
      <w:r w:rsidRPr="005B660C">
        <w:rPr>
          <w:szCs w:val="24"/>
          <w:lang w:eastAsia="zh-CN"/>
        </w:rPr>
        <w:t>organizations concerned with telecommunications".</w:t>
      </w:r>
    </w:p>
    <w:p w14:paraId="7822963D" w14:textId="68B569B9" w:rsidR="000A069B" w:rsidRPr="005B660C" w:rsidRDefault="005607B7" w:rsidP="000A069B">
      <w:pPr>
        <w:rPr>
          <w:szCs w:val="24"/>
          <w:lang w:eastAsia="zh-CN"/>
        </w:rPr>
      </w:pPr>
      <w:r w:rsidRPr="005B660C">
        <w:rPr>
          <w:lang w:eastAsia="zh-CN"/>
        </w:rPr>
        <w:t>Also noted are the challenges faced by the Union in achieving its purposes in the changing</w:t>
      </w:r>
      <w:r w:rsidR="000A069B" w:rsidRPr="005B660C">
        <w:rPr>
          <w:lang w:eastAsia="zh-CN"/>
        </w:rPr>
        <w:t xml:space="preserve"> </w:t>
      </w:r>
      <w:r w:rsidRPr="005B660C">
        <w:rPr>
          <w:szCs w:val="24"/>
          <w:lang w:eastAsia="zh-CN"/>
        </w:rPr>
        <w:t>telecommunication environment, both in the period covered by the Strategic Plan for the Union for</w:t>
      </w:r>
      <w:r w:rsidR="000A069B" w:rsidRPr="005B660C">
        <w:rPr>
          <w:szCs w:val="24"/>
          <w:lang w:eastAsia="zh-CN"/>
        </w:rPr>
        <w:t xml:space="preserve"> </w:t>
      </w:r>
      <w:r w:rsidRPr="005B660C">
        <w:rPr>
          <w:szCs w:val="24"/>
          <w:lang w:eastAsia="zh-CN"/>
        </w:rPr>
        <w:t>1995-1999 and in the following period, as stated in Resolution 1 (Plenipotentiary Conference,</w:t>
      </w:r>
      <w:r w:rsidR="000A069B" w:rsidRPr="005B660C">
        <w:rPr>
          <w:szCs w:val="24"/>
          <w:lang w:eastAsia="zh-CN"/>
        </w:rPr>
        <w:t xml:space="preserve"> </w:t>
      </w:r>
      <w:r w:rsidRPr="005B660C">
        <w:rPr>
          <w:szCs w:val="24"/>
          <w:lang w:eastAsia="zh-CN"/>
        </w:rPr>
        <w:t>Kyoto, 1994). The Annex to Resolution 1 elaborates the Strategic Plan. For the Standardization</w:t>
      </w:r>
      <w:r w:rsidR="000A069B" w:rsidRPr="005B660C">
        <w:rPr>
          <w:szCs w:val="24"/>
          <w:lang w:eastAsia="zh-CN"/>
        </w:rPr>
        <w:t xml:space="preserve"> </w:t>
      </w:r>
      <w:r w:rsidRPr="005B660C">
        <w:rPr>
          <w:szCs w:val="24"/>
          <w:lang w:eastAsia="zh-CN"/>
        </w:rPr>
        <w:t>Sector, its strategy includes recognition of the growing influence of industry forums, and a specific</w:t>
      </w:r>
      <w:r w:rsidR="000A069B" w:rsidRPr="005B660C">
        <w:rPr>
          <w:szCs w:val="24"/>
          <w:lang w:eastAsia="zh-CN"/>
        </w:rPr>
        <w:t xml:space="preserve"> </w:t>
      </w:r>
      <w:r w:rsidRPr="005B660C">
        <w:rPr>
          <w:szCs w:val="24"/>
          <w:lang w:eastAsia="zh-CN"/>
        </w:rPr>
        <w:t>goal to develop appropriate agreements and cooperative relationships with other organizations,</w:t>
      </w:r>
      <w:r w:rsidR="000A069B" w:rsidRPr="005B660C">
        <w:rPr>
          <w:szCs w:val="24"/>
          <w:lang w:eastAsia="zh-CN"/>
        </w:rPr>
        <w:t xml:space="preserve"> </w:t>
      </w:r>
      <w:r w:rsidRPr="005B660C">
        <w:rPr>
          <w:szCs w:val="24"/>
          <w:lang w:eastAsia="zh-CN"/>
        </w:rPr>
        <w:t>including forums. Among the priorities identified for the Sector is the objective "to continue to</w:t>
      </w:r>
      <w:r w:rsidR="000A069B" w:rsidRPr="005B660C">
        <w:rPr>
          <w:szCs w:val="24"/>
          <w:lang w:eastAsia="zh-CN"/>
        </w:rPr>
        <w:t xml:space="preserve"> </w:t>
      </w:r>
      <w:r w:rsidRPr="005B660C">
        <w:rPr>
          <w:szCs w:val="24"/>
          <w:lang w:eastAsia="zh-CN"/>
        </w:rPr>
        <w:t>cooperate with other global and regional standardization organizations and industry forums to</w:t>
      </w:r>
      <w:r w:rsidR="000A069B" w:rsidRPr="005B660C">
        <w:rPr>
          <w:szCs w:val="24"/>
          <w:lang w:eastAsia="zh-CN"/>
        </w:rPr>
        <w:t xml:space="preserve"> </w:t>
      </w:r>
      <w:r w:rsidRPr="005B660C">
        <w:rPr>
          <w:szCs w:val="24"/>
          <w:lang w:eastAsia="zh-CN"/>
        </w:rPr>
        <w:t>harmonize the development and implementation of global telecommunication standards".</w:t>
      </w:r>
      <w:r w:rsidR="000A069B" w:rsidRPr="005B660C">
        <w:rPr>
          <w:szCs w:val="24"/>
          <w:lang w:eastAsia="zh-CN"/>
        </w:rPr>
        <w:t xml:space="preserve"> </w:t>
      </w:r>
    </w:p>
    <w:p w14:paraId="31D18A1D" w14:textId="55896E2A" w:rsidR="005607B7" w:rsidRPr="005B660C" w:rsidRDefault="005607B7" w:rsidP="000A069B">
      <w:pPr>
        <w:rPr>
          <w:szCs w:val="24"/>
          <w:lang w:eastAsia="zh-CN"/>
        </w:rPr>
      </w:pPr>
      <w:r w:rsidRPr="005B660C">
        <w:rPr>
          <w:lang w:eastAsia="zh-CN"/>
        </w:rPr>
        <w:t>In order to facilitate the development of cooperative relationships with forums, and to encourage</w:t>
      </w:r>
      <w:r w:rsidR="000A069B" w:rsidRPr="005B660C">
        <w:rPr>
          <w:lang w:eastAsia="zh-CN"/>
        </w:rPr>
        <w:t xml:space="preserve"> </w:t>
      </w:r>
      <w:r w:rsidRPr="005B660C">
        <w:rPr>
          <w:szCs w:val="24"/>
          <w:lang w:eastAsia="zh-CN"/>
        </w:rPr>
        <w:t>information exchange, it is deemed necessary to provide guidance on the means of communication.</w:t>
      </w:r>
      <w:r w:rsidR="00FF1292" w:rsidRPr="005B660C">
        <w:rPr>
          <w:szCs w:val="24"/>
          <w:lang w:eastAsia="zh-CN"/>
        </w:rPr>
        <w:t xml:space="preserve"> </w:t>
      </w:r>
      <w:r w:rsidRPr="005B660C">
        <w:rPr>
          <w:lang w:eastAsia="zh-CN"/>
        </w:rPr>
        <w:t>In particular, it is of benefit to establish procedures for use when structuring the communications</w:t>
      </w:r>
      <w:r w:rsidR="000A069B" w:rsidRPr="005B660C">
        <w:rPr>
          <w:lang w:eastAsia="zh-CN"/>
        </w:rPr>
        <w:t xml:space="preserve"> </w:t>
      </w:r>
      <w:r w:rsidRPr="005B660C">
        <w:rPr>
          <w:szCs w:val="24"/>
          <w:lang w:eastAsia="zh-CN"/>
        </w:rPr>
        <w:t>process between ITU-T and forums and consortia.</w:t>
      </w:r>
    </w:p>
    <w:p w14:paraId="6DCE2B09" w14:textId="6BA05EBF" w:rsidR="005607B7" w:rsidRPr="005B660C" w:rsidRDefault="005607B7" w:rsidP="005607B7">
      <w:pPr>
        <w:rPr>
          <w:rFonts w:eastAsia="Calibri"/>
        </w:rPr>
      </w:pPr>
      <w:r w:rsidRPr="005B660C">
        <w:rPr>
          <w:szCs w:val="24"/>
          <w:lang w:eastAsia="zh-CN"/>
        </w:rPr>
        <w:t xml:space="preserve">WTSA decides that the </w:t>
      </w:r>
      <w:r w:rsidR="00FF1292" w:rsidRPr="005B660C">
        <w:rPr>
          <w:strike/>
          <w:szCs w:val="24"/>
          <w:highlight w:val="yellow"/>
          <w:lang w:eastAsia="zh-CN"/>
        </w:rPr>
        <w:t>following</w:t>
      </w:r>
      <w:r w:rsidR="00FF1292" w:rsidRPr="005B660C">
        <w:rPr>
          <w:szCs w:val="24"/>
          <w:lang w:eastAsia="zh-CN"/>
        </w:rPr>
        <w:t xml:space="preserve"> </w:t>
      </w:r>
      <w:r w:rsidRPr="005B660C">
        <w:rPr>
          <w:szCs w:val="24"/>
          <w:lang w:eastAsia="zh-CN"/>
        </w:rPr>
        <w:t xml:space="preserve">procedures </w:t>
      </w:r>
      <w:r w:rsidR="004430D1" w:rsidRPr="005B660C">
        <w:rPr>
          <w:szCs w:val="24"/>
          <w:highlight w:val="yellow"/>
          <w:lang w:eastAsia="zh-CN"/>
        </w:rPr>
        <w:t xml:space="preserve">highlighted below, </w:t>
      </w:r>
      <w:r w:rsidRPr="005B660C">
        <w:rPr>
          <w:szCs w:val="24"/>
          <w:lang w:eastAsia="zh-CN"/>
        </w:rPr>
        <w:t>be applied</w:t>
      </w:r>
      <w:r w:rsidR="004430D1" w:rsidRPr="005B660C">
        <w:rPr>
          <w:szCs w:val="24"/>
          <w:lang w:eastAsia="zh-CN"/>
        </w:rPr>
        <w:t xml:space="preserve">, </w:t>
      </w:r>
      <w:r w:rsidR="00FF27F8" w:rsidRPr="005B660C">
        <w:rPr>
          <w:szCs w:val="24"/>
          <w:highlight w:val="yellow"/>
          <w:lang w:eastAsia="zh-CN"/>
        </w:rPr>
        <w:t xml:space="preserve">preceded by the </w:t>
      </w:r>
      <w:bookmarkStart w:id="9" w:name="_Hlk156383564"/>
      <w:r w:rsidR="00FF27F8" w:rsidRPr="005B660C">
        <w:rPr>
          <w:szCs w:val="24"/>
          <w:highlight w:val="yellow"/>
          <w:lang w:eastAsia="zh-CN"/>
        </w:rPr>
        <w:t xml:space="preserve">definitions and characteristics </w:t>
      </w:r>
      <w:bookmarkEnd w:id="9"/>
      <w:r w:rsidR="00FF27F8" w:rsidRPr="005B660C">
        <w:rPr>
          <w:szCs w:val="24"/>
          <w:highlight w:val="yellow"/>
          <w:lang w:eastAsia="zh-CN"/>
        </w:rPr>
        <w:t>of the type of organization in question</w:t>
      </w:r>
      <w:r w:rsidRPr="005B660C">
        <w:rPr>
          <w:szCs w:val="24"/>
          <w:highlight w:val="yellow"/>
          <w:lang w:eastAsia="zh-CN"/>
        </w:rPr>
        <w:t>.</w:t>
      </w:r>
    </w:p>
    <w:p w14:paraId="096DC3A8" w14:textId="1420E359" w:rsidR="00BA4679" w:rsidRPr="005B660C" w:rsidRDefault="00BA4679" w:rsidP="00BA4679">
      <w:pPr>
        <w:pStyle w:val="Heading1"/>
        <w:rPr>
          <w:rFonts w:eastAsia="Calibri"/>
          <w:highlight w:val="yellow"/>
        </w:rPr>
      </w:pPr>
      <w:r w:rsidRPr="005B660C">
        <w:rPr>
          <w:rFonts w:eastAsia="Calibri"/>
          <w:highlight w:val="yellow"/>
        </w:rPr>
        <w:t>2</w:t>
      </w:r>
      <w:r w:rsidRPr="005B660C">
        <w:rPr>
          <w:rFonts w:eastAsia="Calibri"/>
          <w:highlight w:val="yellow"/>
        </w:rPr>
        <w:tab/>
      </w:r>
      <w:r w:rsidR="00FF27F8" w:rsidRPr="005B660C">
        <w:rPr>
          <w:rFonts w:eastAsia="Calibri"/>
          <w:highlight w:val="yellow"/>
        </w:rPr>
        <w:t xml:space="preserve">Scope </w:t>
      </w:r>
    </w:p>
    <w:p w14:paraId="52F7BE40" w14:textId="540B3261" w:rsidR="00BA4679" w:rsidRPr="005B660C" w:rsidRDefault="00FF27F8" w:rsidP="00BA4679">
      <w:pPr>
        <w:rPr>
          <w:rFonts w:eastAsia="Calibri"/>
          <w:highlight w:val="yellow"/>
        </w:rPr>
      </w:pPr>
      <w:r w:rsidRPr="005B660C">
        <w:rPr>
          <w:rFonts w:eastAsia="Calibri"/>
          <w:highlight w:val="yellow"/>
        </w:rPr>
        <w:t xml:space="preserve">This Recommendation applies specifically to communications and information exchanges between ITU-T and </w:t>
      </w:r>
      <w:bookmarkStart w:id="10" w:name="_Hlk156383601"/>
      <w:r w:rsidRPr="005B660C">
        <w:rPr>
          <w:rFonts w:eastAsia="Calibri"/>
          <w:highlight w:val="yellow"/>
        </w:rPr>
        <w:t>industry forums and consorti</w:t>
      </w:r>
      <w:r w:rsidR="004430D1" w:rsidRPr="005B660C">
        <w:rPr>
          <w:rFonts w:eastAsia="Calibri"/>
          <w:highlight w:val="yellow"/>
        </w:rPr>
        <w:t>a</w:t>
      </w:r>
      <w:r w:rsidRPr="005B660C">
        <w:rPr>
          <w:rFonts w:eastAsia="Calibri"/>
          <w:highlight w:val="yellow"/>
        </w:rPr>
        <w:t xml:space="preserve"> </w:t>
      </w:r>
      <w:bookmarkEnd w:id="10"/>
      <w:r w:rsidRPr="005B660C">
        <w:rPr>
          <w:rFonts w:eastAsia="Calibri"/>
          <w:highlight w:val="yellow"/>
        </w:rPr>
        <w:t>as defined below.</w:t>
      </w:r>
    </w:p>
    <w:p w14:paraId="054A7C43" w14:textId="1D529573" w:rsidR="00BA4679" w:rsidRPr="005B660C" w:rsidRDefault="00BA4679" w:rsidP="00BA4679">
      <w:pPr>
        <w:pStyle w:val="Heading1"/>
        <w:rPr>
          <w:rFonts w:eastAsia="Calibri"/>
        </w:rPr>
      </w:pPr>
      <w:r w:rsidRPr="005B660C">
        <w:rPr>
          <w:rFonts w:eastAsia="Calibri"/>
          <w:highlight w:val="yellow"/>
        </w:rPr>
        <w:t>3</w:t>
      </w:r>
      <w:r w:rsidRPr="005B660C">
        <w:rPr>
          <w:rFonts w:eastAsia="Calibri"/>
          <w:highlight w:val="yellow"/>
        </w:rPr>
        <w:tab/>
      </w:r>
      <w:r w:rsidR="00FF27F8" w:rsidRPr="005B660C">
        <w:rPr>
          <w:szCs w:val="24"/>
          <w:highlight w:val="yellow"/>
          <w:lang w:eastAsia="zh-CN"/>
        </w:rPr>
        <w:t xml:space="preserve">Definition and characteristics </w:t>
      </w:r>
      <w:r w:rsidR="00FF27F8" w:rsidRPr="005B660C">
        <w:rPr>
          <w:rFonts w:eastAsia="Calibri"/>
          <w:highlight w:val="yellow"/>
        </w:rPr>
        <w:t>of industry forums and consorti</w:t>
      </w:r>
      <w:r w:rsidR="00A41FB9" w:rsidRPr="005B660C">
        <w:rPr>
          <w:rFonts w:eastAsia="Calibri"/>
          <w:highlight w:val="yellow"/>
        </w:rPr>
        <w:t>a</w:t>
      </w:r>
    </w:p>
    <w:p w14:paraId="158DD61B" w14:textId="2C2BD599" w:rsidR="00BA4679" w:rsidRPr="005B660C" w:rsidRDefault="00F97273" w:rsidP="00BA4679">
      <w:pPr>
        <w:rPr>
          <w:rFonts w:eastAsia="Calibri"/>
          <w:highlight w:val="yellow"/>
        </w:rPr>
      </w:pPr>
      <w:r w:rsidRPr="005B660C">
        <w:rPr>
          <w:rFonts w:eastAsia="Calibri"/>
          <w:highlight w:val="yellow"/>
        </w:rPr>
        <w:t xml:space="preserve">A forum is a discussion group </w:t>
      </w:r>
      <w:r w:rsidR="004430D1" w:rsidRPr="005B660C">
        <w:rPr>
          <w:rFonts w:eastAsia="Calibri"/>
          <w:highlight w:val="yellow"/>
        </w:rPr>
        <w:t xml:space="preserve">in which </w:t>
      </w:r>
      <w:r w:rsidRPr="005B660C">
        <w:rPr>
          <w:rFonts w:eastAsia="Calibri"/>
          <w:highlight w:val="yellow"/>
        </w:rPr>
        <w:t>individuals or representatives of associations or companies in the telecommunication industry participate, to ask questions, share experiences and discuss topics of mutual interest. Forums are an excellent way of creating social links and a sense of belonging to a community. With the development of technology, for</w:t>
      </w:r>
      <w:r w:rsidR="00B9546E" w:rsidRPr="005B660C">
        <w:rPr>
          <w:rFonts w:eastAsia="Calibri"/>
          <w:highlight w:val="yellow"/>
        </w:rPr>
        <w:t>ums</w:t>
      </w:r>
      <w:r w:rsidRPr="005B660C">
        <w:rPr>
          <w:rFonts w:eastAsia="Calibri"/>
          <w:highlight w:val="yellow"/>
        </w:rPr>
        <w:t xml:space="preserve"> can be organized using </w:t>
      </w:r>
      <w:r w:rsidR="00B9546E" w:rsidRPr="005B660C">
        <w:rPr>
          <w:rFonts w:eastAsia="Calibri"/>
          <w:highlight w:val="yellow"/>
        </w:rPr>
        <w:t xml:space="preserve">electronic </w:t>
      </w:r>
      <w:r w:rsidRPr="005B660C">
        <w:rPr>
          <w:rFonts w:eastAsia="Calibri"/>
          <w:highlight w:val="yellow"/>
        </w:rPr>
        <w:t>processes for exchanges.</w:t>
      </w:r>
    </w:p>
    <w:p w14:paraId="7D5B9362" w14:textId="5043E63E" w:rsidR="00BA4679" w:rsidRPr="005B660C" w:rsidRDefault="00B9546E" w:rsidP="00BA4679">
      <w:pPr>
        <w:rPr>
          <w:rFonts w:eastAsia="Calibri"/>
          <w:szCs w:val="22"/>
        </w:rPr>
      </w:pPr>
      <w:r w:rsidRPr="005B660C">
        <w:rPr>
          <w:rFonts w:eastAsia="Calibri"/>
          <w:szCs w:val="22"/>
          <w:highlight w:val="yellow"/>
        </w:rPr>
        <w:lastRenderedPageBreak/>
        <w:t>A consortium is an agreement between several people, associations or companies in the telecommunication industry, to cooperate in carrying out one or more economic, financial or scientific operations.</w:t>
      </w:r>
    </w:p>
    <w:p w14:paraId="08CDED38" w14:textId="277740C0" w:rsidR="005607B7" w:rsidRPr="005B660C" w:rsidRDefault="005607B7" w:rsidP="000A069B">
      <w:pPr>
        <w:pStyle w:val="Heading1"/>
        <w:rPr>
          <w:lang w:eastAsia="zh-CN"/>
        </w:rPr>
      </w:pPr>
      <w:r w:rsidRPr="005B660C">
        <w:rPr>
          <w:lang w:eastAsia="zh-CN"/>
        </w:rPr>
        <w:t>2</w:t>
      </w:r>
      <w:r w:rsidR="000A069B" w:rsidRPr="005B660C">
        <w:rPr>
          <w:lang w:eastAsia="zh-CN"/>
        </w:rPr>
        <w:tab/>
      </w:r>
      <w:r w:rsidRPr="005B660C">
        <w:rPr>
          <w:lang w:eastAsia="zh-CN"/>
        </w:rPr>
        <w:t>Procedures</w:t>
      </w:r>
    </w:p>
    <w:p w14:paraId="4BE64B1C" w14:textId="48B9C289" w:rsidR="005607B7" w:rsidRPr="005B660C" w:rsidRDefault="005607B7" w:rsidP="000A069B">
      <w:pPr>
        <w:rPr>
          <w:szCs w:val="24"/>
          <w:lang w:eastAsia="zh-CN"/>
        </w:rPr>
      </w:pPr>
      <w:r w:rsidRPr="005B660C">
        <w:rPr>
          <w:lang w:eastAsia="zh-CN"/>
        </w:rPr>
        <w:t>Study group chairmen are encouraged to engage in two-way communication, where appropriate,</w:t>
      </w:r>
      <w:r w:rsidR="000A069B" w:rsidRPr="005B660C">
        <w:rPr>
          <w:lang w:eastAsia="zh-CN"/>
        </w:rPr>
        <w:t xml:space="preserve"> </w:t>
      </w:r>
      <w:r w:rsidRPr="005B660C">
        <w:rPr>
          <w:szCs w:val="24"/>
          <w:lang w:eastAsia="zh-CN"/>
        </w:rPr>
        <w:t>with representatives of forums/consortia, and to invite presentation to their study groups of the work</w:t>
      </w:r>
      <w:r w:rsidR="000A069B" w:rsidRPr="005B660C">
        <w:rPr>
          <w:szCs w:val="24"/>
          <w:lang w:eastAsia="zh-CN"/>
        </w:rPr>
        <w:t xml:space="preserve"> </w:t>
      </w:r>
      <w:r w:rsidRPr="005B660C">
        <w:rPr>
          <w:szCs w:val="24"/>
          <w:lang w:eastAsia="zh-CN"/>
        </w:rPr>
        <w:t>of the forums/consortia, as identified by the study group.</w:t>
      </w:r>
    </w:p>
    <w:p w14:paraId="2089F67D" w14:textId="15B2B7E7" w:rsidR="005607B7" w:rsidRPr="005B660C" w:rsidRDefault="005607B7" w:rsidP="000A069B">
      <w:pPr>
        <w:rPr>
          <w:szCs w:val="24"/>
          <w:lang w:eastAsia="zh-CN"/>
        </w:rPr>
      </w:pPr>
      <w:r w:rsidRPr="005B660C">
        <w:rPr>
          <w:lang w:eastAsia="zh-CN"/>
        </w:rPr>
        <w:t>In addition, procedures have been introduced for a formal communication process between ITU-T</w:t>
      </w:r>
      <w:r w:rsidR="000A069B" w:rsidRPr="005B660C">
        <w:rPr>
          <w:lang w:eastAsia="zh-CN"/>
        </w:rPr>
        <w:t xml:space="preserve"> </w:t>
      </w:r>
      <w:r w:rsidRPr="005B660C">
        <w:rPr>
          <w:szCs w:val="24"/>
          <w:lang w:eastAsia="zh-CN"/>
        </w:rPr>
        <w:t>(or one or more of the study groups) and forums/consortia that qualify according to the criteria in</w:t>
      </w:r>
      <w:r w:rsidR="000A069B" w:rsidRPr="005B660C">
        <w:rPr>
          <w:szCs w:val="24"/>
          <w:lang w:eastAsia="zh-CN"/>
        </w:rPr>
        <w:t xml:space="preserve"> </w:t>
      </w:r>
      <w:r w:rsidRPr="005B660C">
        <w:rPr>
          <w:szCs w:val="24"/>
          <w:lang w:eastAsia="zh-CN"/>
        </w:rPr>
        <w:t>Annex A. The communication process permits document exchange between ITU-T and qualified</w:t>
      </w:r>
      <w:r w:rsidR="000A069B" w:rsidRPr="005B660C">
        <w:rPr>
          <w:szCs w:val="24"/>
          <w:lang w:eastAsia="zh-CN"/>
        </w:rPr>
        <w:t xml:space="preserve"> </w:t>
      </w:r>
      <w:r w:rsidRPr="005B660C">
        <w:rPr>
          <w:szCs w:val="24"/>
          <w:lang w:eastAsia="zh-CN"/>
        </w:rPr>
        <w:t>forums/consortia. Establishing a communication process provides a framework for ongoing</w:t>
      </w:r>
      <w:r w:rsidR="000A069B" w:rsidRPr="005B660C">
        <w:rPr>
          <w:szCs w:val="24"/>
          <w:lang w:eastAsia="zh-CN"/>
        </w:rPr>
        <w:t xml:space="preserve"> </w:t>
      </w:r>
      <w:r w:rsidRPr="005B660C">
        <w:rPr>
          <w:szCs w:val="24"/>
          <w:lang w:eastAsia="zh-CN"/>
        </w:rPr>
        <w:t>communications, in order to:</w:t>
      </w:r>
    </w:p>
    <w:p w14:paraId="12761FC7" w14:textId="6DD11532" w:rsidR="005607B7" w:rsidRPr="005B660C" w:rsidRDefault="005607B7" w:rsidP="000A069B">
      <w:pPr>
        <w:pStyle w:val="enumlev1"/>
      </w:pPr>
      <w:r w:rsidRPr="005B660C">
        <w:t>–</w:t>
      </w:r>
      <w:r w:rsidR="000A069B" w:rsidRPr="005B660C">
        <w:tab/>
      </w:r>
      <w:r w:rsidRPr="005B660C">
        <w:t>prevent inadvertent duplication of effort, while allowing each organization to pursue its</w:t>
      </w:r>
      <w:r w:rsidR="000A069B" w:rsidRPr="005B660C">
        <w:t xml:space="preserve"> </w:t>
      </w:r>
      <w:r w:rsidRPr="005B660C">
        <w:t>own mandate;</w:t>
      </w:r>
    </w:p>
    <w:p w14:paraId="1C7510D4" w14:textId="117E67E9" w:rsidR="005607B7" w:rsidRPr="005B660C" w:rsidRDefault="005607B7" w:rsidP="000A069B">
      <w:pPr>
        <w:pStyle w:val="enumlev1"/>
      </w:pPr>
      <w:r w:rsidRPr="005B660C">
        <w:t>–</w:t>
      </w:r>
      <w:r w:rsidR="000A069B" w:rsidRPr="005B660C">
        <w:tab/>
      </w:r>
      <w:r w:rsidRPr="005B660C">
        <w:t>provide authoritative information regarding one organization's dependencies on the other's</w:t>
      </w:r>
      <w:r w:rsidR="000A069B" w:rsidRPr="005B660C">
        <w:t xml:space="preserve"> </w:t>
      </w:r>
      <w:r w:rsidRPr="005B660C">
        <w:t>work;</w:t>
      </w:r>
    </w:p>
    <w:p w14:paraId="52135F6B" w14:textId="3E7F4105" w:rsidR="005607B7" w:rsidRPr="005B660C" w:rsidRDefault="005607B7" w:rsidP="000A069B">
      <w:pPr>
        <w:pStyle w:val="enumlev1"/>
      </w:pPr>
      <w:r w:rsidRPr="005B660C">
        <w:t>–</w:t>
      </w:r>
      <w:r w:rsidR="000A069B" w:rsidRPr="005B660C">
        <w:tab/>
      </w:r>
      <w:r w:rsidRPr="005B660C">
        <w:t>exchange information on topics of mutual interest.</w:t>
      </w:r>
    </w:p>
    <w:p w14:paraId="4C4073DF" w14:textId="643604B3" w:rsidR="005607B7" w:rsidRPr="005B660C" w:rsidRDefault="005607B7" w:rsidP="000A069B">
      <w:pPr>
        <w:pStyle w:val="Heading1"/>
        <w:rPr>
          <w:lang w:eastAsia="zh-CN"/>
        </w:rPr>
      </w:pPr>
      <w:r w:rsidRPr="005B660C">
        <w:rPr>
          <w:lang w:eastAsia="zh-CN"/>
        </w:rPr>
        <w:t>2.1</w:t>
      </w:r>
      <w:r w:rsidR="000A069B" w:rsidRPr="005B660C">
        <w:rPr>
          <w:lang w:eastAsia="zh-CN"/>
        </w:rPr>
        <w:tab/>
      </w:r>
      <w:r w:rsidRPr="005B660C">
        <w:rPr>
          <w:lang w:eastAsia="zh-CN"/>
        </w:rPr>
        <w:t>Establishment of the communication process</w:t>
      </w:r>
    </w:p>
    <w:p w14:paraId="32917AA6" w14:textId="214798A3" w:rsidR="005607B7" w:rsidRPr="005B660C" w:rsidRDefault="005607B7" w:rsidP="000A069B">
      <w:pPr>
        <w:rPr>
          <w:szCs w:val="24"/>
          <w:lang w:eastAsia="zh-CN"/>
        </w:rPr>
      </w:pPr>
      <w:r w:rsidRPr="005B660C">
        <w:rPr>
          <w:lang w:eastAsia="zh-CN"/>
        </w:rPr>
        <w:t>Establishment of a communication process with a forum/consortium should be considered on a</w:t>
      </w:r>
      <w:r w:rsidR="000A069B" w:rsidRPr="005B660C">
        <w:rPr>
          <w:lang w:eastAsia="zh-CN"/>
        </w:rPr>
        <w:t xml:space="preserve"> </w:t>
      </w:r>
      <w:r w:rsidRPr="005B660C">
        <w:rPr>
          <w:szCs w:val="24"/>
          <w:lang w:eastAsia="zh-CN"/>
        </w:rPr>
        <w:t>case-by-case basis, and should be evaluated with due care and diligence using the set of criteria in</w:t>
      </w:r>
      <w:r w:rsidR="000A069B" w:rsidRPr="005B660C">
        <w:rPr>
          <w:szCs w:val="24"/>
          <w:lang w:eastAsia="zh-CN"/>
        </w:rPr>
        <w:t xml:space="preserve"> </w:t>
      </w:r>
      <w:r w:rsidRPr="005B660C">
        <w:rPr>
          <w:szCs w:val="24"/>
          <w:lang w:eastAsia="zh-CN"/>
        </w:rPr>
        <w:t>Annex A. Normally, the process is established at the study group level. In the case of groups</w:t>
      </w:r>
      <w:r w:rsidR="000A069B" w:rsidRPr="005B660C">
        <w:rPr>
          <w:szCs w:val="24"/>
          <w:lang w:eastAsia="zh-CN"/>
        </w:rPr>
        <w:t xml:space="preserve"> </w:t>
      </w:r>
      <w:r w:rsidRPr="005B660C">
        <w:rPr>
          <w:szCs w:val="24"/>
          <w:lang w:eastAsia="zh-CN"/>
        </w:rPr>
        <w:t>associated with one or more study groups, the evaluation and decision to proceed should be carried</w:t>
      </w:r>
      <w:r w:rsidR="000A069B" w:rsidRPr="005B660C">
        <w:rPr>
          <w:szCs w:val="24"/>
          <w:lang w:eastAsia="zh-CN"/>
        </w:rPr>
        <w:t xml:space="preserve"> </w:t>
      </w:r>
      <w:r w:rsidRPr="005B660C">
        <w:rPr>
          <w:szCs w:val="24"/>
          <w:lang w:eastAsia="zh-CN"/>
        </w:rPr>
        <w:t>out by the lead study group. To avoid multiple requests to a forum/consortium for information</w:t>
      </w:r>
      <w:r w:rsidR="000A069B" w:rsidRPr="005B660C">
        <w:rPr>
          <w:szCs w:val="24"/>
          <w:lang w:eastAsia="zh-CN"/>
        </w:rPr>
        <w:t xml:space="preserve"> </w:t>
      </w:r>
      <w:r w:rsidRPr="005B660C">
        <w:rPr>
          <w:szCs w:val="24"/>
          <w:lang w:eastAsia="zh-CN"/>
        </w:rPr>
        <w:t>pertaining to the criteria in Annex A, and to facilitate evaluation by study groups, the Director of</w:t>
      </w:r>
      <w:r w:rsidR="000A069B" w:rsidRPr="005B660C">
        <w:rPr>
          <w:szCs w:val="24"/>
          <w:lang w:eastAsia="zh-CN"/>
        </w:rPr>
        <w:t xml:space="preserve"> </w:t>
      </w:r>
      <w:r w:rsidRPr="005B660C">
        <w:rPr>
          <w:szCs w:val="24"/>
          <w:lang w:eastAsia="zh-CN"/>
        </w:rPr>
        <w:t>TSB should make the request to the forum/consortium and subsequently make a preliminary</w:t>
      </w:r>
      <w:r w:rsidR="000A069B" w:rsidRPr="005B660C">
        <w:rPr>
          <w:szCs w:val="24"/>
          <w:lang w:eastAsia="zh-CN"/>
        </w:rPr>
        <w:t xml:space="preserve"> </w:t>
      </w:r>
      <w:r w:rsidRPr="005B660C">
        <w:rPr>
          <w:szCs w:val="24"/>
          <w:lang w:eastAsia="zh-CN"/>
        </w:rPr>
        <w:t>analysis of the response. A schematic diagram of the communication process is provided in</w:t>
      </w:r>
      <w:r w:rsidR="000A069B" w:rsidRPr="005B660C">
        <w:rPr>
          <w:szCs w:val="24"/>
          <w:lang w:eastAsia="zh-CN"/>
        </w:rPr>
        <w:t xml:space="preserve"> </w:t>
      </w:r>
      <w:r w:rsidRPr="005B660C">
        <w:rPr>
          <w:szCs w:val="24"/>
          <w:lang w:eastAsia="zh-CN"/>
        </w:rPr>
        <w:t>Appendix I.</w:t>
      </w:r>
    </w:p>
    <w:p w14:paraId="121AF19F" w14:textId="739563DD" w:rsidR="005607B7" w:rsidRPr="005B660C" w:rsidRDefault="005607B7" w:rsidP="000A069B">
      <w:pPr>
        <w:pStyle w:val="Heading3"/>
        <w:rPr>
          <w:lang w:eastAsia="zh-CN"/>
        </w:rPr>
      </w:pPr>
      <w:r w:rsidRPr="005B660C">
        <w:rPr>
          <w:lang w:eastAsia="zh-CN"/>
        </w:rPr>
        <w:t>2.1.1</w:t>
      </w:r>
      <w:r w:rsidR="000A069B" w:rsidRPr="005B660C">
        <w:rPr>
          <w:lang w:eastAsia="zh-CN"/>
        </w:rPr>
        <w:tab/>
      </w:r>
      <w:r w:rsidRPr="005B660C">
        <w:rPr>
          <w:lang w:eastAsia="zh-CN"/>
        </w:rPr>
        <w:t>Communication process initiated by an ITU-T study group</w:t>
      </w:r>
    </w:p>
    <w:p w14:paraId="0F7A0D07" w14:textId="20432FB2" w:rsidR="005607B7" w:rsidRPr="005B660C" w:rsidRDefault="005607B7" w:rsidP="000A069B">
      <w:pPr>
        <w:rPr>
          <w:szCs w:val="24"/>
          <w:lang w:eastAsia="zh-CN"/>
        </w:rPr>
      </w:pPr>
      <w:r w:rsidRPr="005B660C">
        <w:rPr>
          <w:lang w:eastAsia="zh-CN"/>
        </w:rPr>
        <w:t>If a study group considers that it is beneficial to establish a communication process with a</w:t>
      </w:r>
      <w:r w:rsidR="000A069B" w:rsidRPr="005B660C">
        <w:rPr>
          <w:lang w:eastAsia="zh-CN"/>
        </w:rPr>
        <w:t xml:space="preserve"> </w:t>
      </w:r>
      <w:r w:rsidRPr="005B660C">
        <w:rPr>
          <w:szCs w:val="24"/>
          <w:lang w:eastAsia="zh-CN"/>
        </w:rPr>
        <w:t>forum/consortium, the study group should first check the ITU-T A.4-qualified organizations list</w:t>
      </w:r>
      <w:r w:rsidR="000A069B" w:rsidRPr="005B660C">
        <w:rPr>
          <w:szCs w:val="24"/>
          <w:lang w:eastAsia="zh-CN"/>
        </w:rPr>
        <w:t xml:space="preserve"> </w:t>
      </w:r>
      <w:r w:rsidRPr="005B660C">
        <w:rPr>
          <w:szCs w:val="24"/>
          <w:lang w:eastAsia="zh-CN"/>
        </w:rPr>
        <w:t>(see 2.3) and obtain the Director's analysis. The study group shall review the analysis and make a</w:t>
      </w:r>
      <w:r w:rsidR="000A069B" w:rsidRPr="005B660C">
        <w:rPr>
          <w:szCs w:val="24"/>
          <w:lang w:eastAsia="zh-CN"/>
        </w:rPr>
        <w:t xml:space="preserve"> </w:t>
      </w:r>
      <w:r w:rsidRPr="005B660C">
        <w:rPr>
          <w:szCs w:val="24"/>
          <w:lang w:eastAsia="zh-CN"/>
        </w:rPr>
        <w:t>decision whether or not to communicate with the forum/consortium. If the forum/consortium in</w:t>
      </w:r>
      <w:r w:rsidR="000A069B" w:rsidRPr="005B660C">
        <w:rPr>
          <w:szCs w:val="24"/>
          <w:lang w:eastAsia="zh-CN"/>
        </w:rPr>
        <w:t xml:space="preserve"> </w:t>
      </w:r>
      <w:r w:rsidRPr="005B660C">
        <w:rPr>
          <w:szCs w:val="24"/>
          <w:lang w:eastAsia="zh-CN"/>
        </w:rPr>
        <w:t>question is not on the list, the study group chairman asks the Director to request the</w:t>
      </w:r>
      <w:r w:rsidR="000A069B" w:rsidRPr="005B660C">
        <w:rPr>
          <w:szCs w:val="24"/>
          <w:lang w:eastAsia="zh-CN"/>
        </w:rPr>
        <w:t xml:space="preserve"> </w:t>
      </w:r>
      <w:r w:rsidRPr="005B660C">
        <w:rPr>
          <w:szCs w:val="24"/>
          <w:lang w:eastAsia="zh-CN"/>
        </w:rPr>
        <w:t>forum/consortium to provide the information and fill in the questionnaire relating to the qualifying</w:t>
      </w:r>
      <w:r w:rsidR="000A069B" w:rsidRPr="005B660C">
        <w:rPr>
          <w:szCs w:val="24"/>
          <w:lang w:eastAsia="zh-CN"/>
        </w:rPr>
        <w:t xml:space="preserve"> </w:t>
      </w:r>
      <w:r w:rsidRPr="005B660C">
        <w:rPr>
          <w:szCs w:val="24"/>
          <w:lang w:eastAsia="zh-CN"/>
        </w:rPr>
        <w:t>criteria set forth in Annex A. The Director performs a preliminary analysis of the forum/consortium</w:t>
      </w:r>
      <w:r w:rsidR="000A069B" w:rsidRPr="005B660C">
        <w:rPr>
          <w:szCs w:val="24"/>
          <w:lang w:eastAsia="zh-CN"/>
        </w:rPr>
        <w:t xml:space="preserve"> </w:t>
      </w:r>
      <w:r w:rsidRPr="005B660C">
        <w:rPr>
          <w:szCs w:val="24"/>
          <w:lang w:eastAsia="zh-CN"/>
        </w:rPr>
        <w:t>and transmits it to the affected study group(s), which shall review the analysis and make a decision</w:t>
      </w:r>
      <w:r w:rsidR="000A069B" w:rsidRPr="005B660C">
        <w:rPr>
          <w:szCs w:val="24"/>
          <w:lang w:eastAsia="zh-CN"/>
        </w:rPr>
        <w:t xml:space="preserve"> </w:t>
      </w:r>
      <w:r w:rsidRPr="005B660C">
        <w:rPr>
          <w:szCs w:val="24"/>
          <w:lang w:eastAsia="zh-CN"/>
        </w:rPr>
        <w:t>whether or not to communicate. Any areas of concern should be immediately shared with other</w:t>
      </w:r>
      <w:r w:rsidR="000A069B" w:rsidRPr="005B660C">
        <w:rPr>
          <w:szCs w:val="24"/>
          <w:lang w:eastAsia="zh-CN"/>
        </w:rPr>
        <w:t xml:space="preserve"> </w:t>
      </w:r>
      <w:r w:rsidRPr="005B660C">
        <w:rPr>
          <w:szCs w:val="24"/>
          <w:lang w:eastAsia="zh-CN"/>
        </w:rPr>
        <w:t>interested study group chairmen and the Director. If the study group decides to approve, the study</w:t>
      </w:r>
      <w:r w:rsidR="000A069B" w:rsidRPr="005B660C">
        <w:rPr>
          <w:szCs w:val="24"/>
          <w:lang w:eastAsia="zh-CN"/>
        </w:rPr>
        <w:t xml:space="preserve"> </w:t>
      </w:r>
      <w:r w:rsidRPr="005B660C">
        <w:rPr>
          <w:szCs w:val="24"/>
          <w:lang w:eastAsia="zh-CN"/>
        </w:rPr>
        <w:t>group chairman shall establish the communication process. The study group chairman should</w:t>
      </w:r>
      <w:r w:rsidR="000A069B" w:rsidRPr="005B660C">
        <w:rPr>
          <w:szCs w:val="24"/>
          <w:lang w:eastAsia="zh-CN"/>
        </w:rPr>
        <w:t xml:space="preserve"> </w:t>
      </w:r>
      <w:r w:rsidRPr="005B660C">
        <w:rPr>
          <w:szCs w:val="24"/>
          <w:lang w:eastAsia="zh-CN"/>
        </w:rPr>
        <w:t>facilitate the process as described in 2.2.</w:t>
      </w:r>
    </w:p>
    <w:p w14:paraId="58527E56" w14:textId="05BB56BE" w:rsidR="005607B7" w:rsidRPr="005B660C" w:rsidRDefault="005607B7" w:rsidP="000A069B">
      <w:pPr>
        <w:pStyle w:val="Heading3"/>
        <w:rPr>
          <w:lang w:eastAsia="zh-CN"/>
        </w:rPr>
      </w:pPr>
      <w:r w:rsidRPr="005B660C">
        <w:rPr>
          <w:lang w:eastAsia="zh-CN"/>
        </w:rPr>
        <w:t>2.1.2</w:t>
      </w:r>
      <w:r w:rsidR="000A069B" w:rsidRPr="005B660C">
        <w:rPr>
          <w:lang w:eastAsia="zh-CN"/>
        </w:rPr>
        <w:tab/>
      </w:r>
      <w:r w:rsidRPr="005B660C">
        <w:rPr>
          <w:lang w:eastAsia="zh-CN"/>
        </w:rPr>
        <w:t>Communication process initiated by a forum/consortium</w:t>
      </w:r>
    </w:p>
    <w:p w14:paraId="7F85D436" w14:textId="2E0B1054" w:rsidR="005607B7" w:rsidRPr="005B660C" w:rsidRDefault="005607B7" w:rsidP="000A069B">
      <w:pPr>
        <w:rPr>
          <w:szCs w:val="24"/>
          <w:lang w:eastAsia="zh-CN"/>
        </w:rPr>
      </w:pPr>
      <w:r w:rsidRPr="005B660C">
        <w:rPr>
          <w:lang w:eastAsia="zh-CN"/>
        </w:rPr>
        <w:t>If a forum/consortium wishes to establish a communication process with a study group, that study</w:t>
      </w:r>
      <w:r w:rsidR="000A069B" w:rsidRPr="005B660C">
        <w:rPr>
          <w:lang w:eastAsia="zh-CN"/>
        </w:rPr>
        <w:t xml:space="preserve"> </w:t>
      </w:r>
      <w:r w:rsidRPr="005B660C">
        <w:rPr>
          <w:szCs w:val="24"/>
          <w:lang w:eastAsia="zh-CN"/>
        </w:rPr>
        <w:t>group should first check the ITU-T A.4-qualified organizations list (see 2.3) and obtain the</w:t>
      </w:r>
      <w:r w:rsidR="000A069B" w:rsidRPr="005B660C">
        <w:rPr>
          <w:szCs w:val="24"/>
          <w:lang w:eastAsia="zh-CN"/>
        </w:rPr>
        <w:t xml:space="preserve"> </w:t>
      </w:r>
      <w:r w:rsidRPr="005B660C">
        <w:rPr>
          <w:szCs w:val="24"/>
          <w:lang w:eastAsia="zh-CN"/>
        </w:rPr>
        <w:lastRenderedPageBreak/>
        <w:t>Director's analysis. The study group shall review the analysis and make a decision whether or not to</w:t>
      </w:r>
      <w:r w:rsidR="000A069B" w:rsidRPr="005B660C">
        <w:rPr>
          <w:szCs w:val="24"/>
          <w:lang w:eastAsia="zh-CN"/>
        </w:rPr>
        <w:t xml:space="preserve"> </w:t>
      </w:r>
      <w:r w:rsidRPr="005B660C">
        <w:rPr>
          <w:szCs w:val="24"/>
          <w:lang w:eastAsia="zh-CN"/>
        </w:rPr>
        <w:t>communicate with the forum/consortium. If the forum/consortium is not on the list, the procedure</w:t>
      </w:r>
      <w:r w:rsidR="000A069B" w:rsidRPr="005B660C">
        <w:rPr>
          <w:szCs w:val="24"/>
          <w:lang w:eastAsia="zh-CN"/>
        </w:rPr>
        <w:t xml:space="preserve"> </w:t>
      </w:r>
      <w:r w:rsidRPr="005B660C">
        <w:rPr>
          <w:szCs w:val="24"/>
          <w:lang w:eastAsia="zh-CN"/>
        </w:rPr>
        <w:t>described for this case in 2.1.1 is applied. Any areas of concern should immediately be shared with</w:t>
      </w:r>
      <w:r w:rsidR="000A069B" w:rsidRPr="005B660C">
        <w:rPr>
          <w:szCs w:val="24"/>
          <w:lang w:eastAsia="zh-CN"/>
        </w:rPr>
        <w:t xml:space="preserve"> </w:t>
      </w:r>
      <w:r w:rsidRPr="005B660C">
        <w:rPr>
          <w:szCs w:val="24"/>
          <w:lang w:eastAsia="zh-CN"/>
        </w:rPr>
        <w:t>other interested study group chairmen and the Director. If the study group decides to approve, the</w:t>
      </w:r>
      <w:r w:rsidR="000A069B" w:rsidRPr="005B660C">
        <w:rPr>
          <w:szCs w:val="24"/>
          <w:lang w:eastAsia="zh-CN"/>
        </w:rPr>
        <w:t xml:space="preserve"> </w:t>
      </w:r>
      <w:r w:rsidRPr="005B660C">
        <w:rPr>
          <w:szCs w:val="24"/>
          <w:lang w:eastAsia="zh-CN"/>
        </w:rPr>
        <w:t>communication process can be established. The study group chairman should facilitate the process</w:t>
      </w:r>
      <w:r w:rsidR="000A069B" w:rsidRPr="005B660C">
        <w:rPr>
          <w:szCs w:val="24"/>
          <w:lang w:eastAsia="zh-CN"/>
        </w:rPr>
        <w:t xml:space="preserve"> </w:t>
      </w:r>
      <w:r w:rsidRPr="005B660C">
        <w:rPr>
          <w:szCs w:val="24"/>
          <w:lang w:eastAsia="zh-CN"/>
        </w:rPr>
        <w:t>as described in 2.2.</w:t>
      </w:r>
    </w:p>
    <w:p w14:paraId="2C8C5C66" w14:textId="1B5D833D" w:rsidR="005607B7" w:rsidRPr="005B660C" w:rsidRDefault="005607B7" w:rsidP="000A069B">
      <w:pPr>
        <w:rPr>
          <w:szCs w:val="24"/>
          <w:lang w:eastAsia="zh-CN"/>
        </w:rPr>
      </w:pPr>
      <w:r w:rsidRPr="005B660C">
        <w:rPr>
          <w:lang w:eastAsia="zh-CN"/>
        </w:rPr>
        <w:t>If a forum/consortium contacts the Director of TSB to establish a communication process with</w:t>
      </w:r>
      <w:r w:rsidR="000A069B" w:rsidRPr="005B660C">
        <w:rPr>
          <w:lang w:eastAsia="zh-CN"/>
        </w:rPr>
        <w:t xml:space="preserve"> </w:t>
      </w:r>
      <w:r w:rsidRPr="005B660C">
        <w:rPr>
          <w:szCs w:val="24"/>
          <w:lang w:eastAsia="zh-CN"/>
        </w:rPr>
        <w:t>ITU</w:t>
      </w:r>
      <w:r w:rsidR="000A069B" w:rsidRPr="005B660C">
        <w:rPr>
          <w:szCs w:val="24"/>
          <w:lang w:eastAsia="zh-CN"/>
        </w:rPr>
        <w:noBreakHyphen/>
      </w:r>
      <w:r w:rsidRPr="005B660C">
        <w:rPr>
          <w:szCs w:val="24"/>
          <w:lang w:eastAsia="zh-CN"/>
        </w:rPr>
        <w:t>T, the Director should first determine whether it is appropriate for:</w:t>
      </w:r>
    </w:p>
    <w:p w14:paraId="1FC18D79" w14:textId="73F2E898" w:rsidR="005607B7" w:rsidRPr="005B660C" w:rsidRDefault="005607B7" w:rsidP="000A069B">
      <w:pPr>
        <w:pStyle w:val="enumlev1"/>
        <w:rPr>
          <w:lang w:eastAsia="zh-CN"/>
        </w:rPr>
      </w:pPr>
      <w:r w:rsidRPr="005B660C">
        <w:rPr>
          <w:i/>
          <w:iCs/>
          <w:lang w:eastAsia="zh-CN"/>
        </w:rPr>
        <w:t>a)</w:t>
      </w:r>
      <w:r w:rsidR="000A069B" w:rsidRPr="005B660C">
        <w:rPr>
          <w:i/>
          <w:iCs/>
          <w:lang w:eastAsia="zh-CN"/>
        </w:rPr>
        <w:tab/>
      </w:r>
      <w:r w:rsidRPr="005B660C">
        <w:rPr>
          <w:lang w:eastAsia="zh-CN"/>
        </w:rPr>
        <w:t>ITU-T (for related policy issues); or</w:t>
      </w:r>
    </w:p>
    <w:p w14:paraId="5F5D1B52" w14:textId="7E72B1E9" w:rsidR="005607B7" w:rsidRPr="005B660C" w:rsidRDefault="005607B7" w:rsidP="000A069B">
      <w:pPr>
        <w:pStyle w:val="enumlev1"/>
        <w:rPr>
          <w:lang w:eastAsia="zh-CN"/>
        </w:rPr>
      </w:pPr>
      <w:r w:rsidRPr="005B660C">
        <w:rPr>
          <w:i/>
          <w:iCs/>
          <w:lang w:eastAsia="zh-CN"/>
        </w:rPr>
        <w:t>b)</w:t>
      </w:r>
      <w:r w:rsidR="000A069B" w:rsidRPr="005B660C">
        <w:rPr>
          <w:i/>
          <w:iCs/>
          <w:lang w:eastAsia="zh-CN"/>
        </w:rPr>
        <w:tab/>
      </w:r>
      <w:r w:rsidRPr="005B660C">
        <w:rPr>
          <w:lang w:eastAsia="zh-CN"/>
        </w:rPr>
        <w:t>one or more study groups (for topics relating to their work).</w:t>
      </w:r>
    </w:p>
    <w:p w14:paraId="37081EA5" w14:textId="12027147" w:rsidR="005607B7" w:rsidRPr="005B660C" w:rsidRDefault="005607B7" w:rsidP="000A069B">
      <w:pPr>
        <w:rPr>
          <w:szCs w:val="24"/>
          <w:lang w:eastAsia="zh-CN"/>
        </w:rPr>
      </w:pPr>
      <w:r w:rsidRPr="005B660C">
        <w:rPr>
          <w:lang w:eastAsia="zh-CN"/>
        </w:rPr>
        <w:t xml:space="preserve">In case </w:t>
      </w:r>
      <w:r w:rsidRPr="005B660C">
        <w:rPr>
          <w:i/>
          <w:iCs/>
          <w:lang w:eastAsia="zh-CN"/>
        </w:rPr>
        <w:t>a)</w:t>
      </w:r>
      <w:r w:rsidRPr="005B660C">
        <w:rPr>
          <w:lang w:eastAsia="zh-CN"/>
        </w:rPr>
        <w:t>, the Director evaluates the forum/consortium according to the criteria in Annex A. If the</w:t>
      </w:r>
      <w:r w:rsidR="000A069B" w:rsidRPr="005B660C">
        <w:rPr>
          <w:lang w:eastAsia="zh-CN"/>
        </w:rPr>
        <w:t xml:space="preserve"> </w:t>
      </w:r>
      <w:r w:rsidRPr="005B660C">
        <w:rPr>
          <w:szCs w:val="24"/>
          <w:lang w:eastAsia="zh-CN"/>
        </w:rPr>
        <w:t>Director decides to approve, he shall establish the communication process and inform TSAG and all</w:t>
      </w:r>
      <w:r w:rsidR="000A069B" w:rsidRPr="005B660C">
        <w:rPr>
          <w:szCs w:val="24"/>
          <w:lang w:eastAsia="zh-CN"/>
        </w:rPr>
        <w:t xml:space="preserve"> </w:t>
      </w:r>
      <w:r w:rsidRPr="005B660C">
        <w:rPr>
          <w:szCs w:val="24"/>
          <w:lang w:eastAsia="zh-CN"/>
        </w:rPr>
        <w:t>study groups.</w:t>
      </w:r>
    </w:p>
    <w:p w14:paraId="510ECC49" w14:textId="66174AE1" w:rsidR="005607B7" w:rsidRPr="005B660C" w:rsidRDefault="005607B7" w:rsidP="000A069B">
      <w:pPr>
        <w:rPr>
          <w:szCs w:val="24"/>
          <w:lang w:eastAsia="zh-CN"/>
        </w:rPr>
      </w:pPr>
      <w:r w:rsidRPr="005B660C">
        <w:rPr>
          <w:lang w:eastAsia="zh-CN"/>
        </w:rPr>
        <w:t xml:space="preserve">In case </w:t>
      </w:r>
      <w:r w:rsidRPr="005B660C">
        <w:rPr>
          <w:i/>
          <w:iCs/>
          <w:lang w:eastAsia="zh-CN"/>
        </w:rPr>
        <w:t>b)</w:t>
      </w:r>
      <w:r w:rsidRPr="005B660C">
        <w:rPr>
          <w:lang w:eastAsia="zh-CN"/>
        </w:rPr>
        <w:t>, the Director performs a preliminary analysis and transmits it to the affected study</w:t>
      </w:r>
      <w:r w:rsidR="000A069B" w:rsidRPr="005B660C">
        <w:rPr>
          <w:lang w:eastAsia="zh-CN"/>
        </w:rPr>
        <w:t xml:space="preserve"> </w:t>
      </w:r>
      <w:r w:rsidRPr="005B660C">
        <w:rPr>
          <w:szCs w:val="24"/>
          <w:lang w:eastAsia="zh-CN"/>
        </w:rPr>
        <w:t>group(s), which shall proceed as outlined in the first paragraph of 2.1.2. If multiple study groups are</w:t>
      </w:r>
      <w:r w:rsidR="000A069B" w:rsidRPr="005B660C">
        <w:rPr>
          <w:szCs w:val="24"/>
          <w:lang w:eastAsia="zh-CN"/>
        </w:rPr>
        <w:t xml:space="preserve"> </w:t>
      </w:r>
      <w:r w:rsidRPr="005B660C">
        <w:rPr>
          <w:szCs w:val="24"/>
          <w:lang w:eastAsia="zh-CN"/>
        </w:rPr>
        <w:t>involved, the decision of each study group should be communicated to the others, to TSAG and to</w:t>
      </w:r>
      <w:r w:rsidR="000A069B" w:rsidRPr="005B660C">
        <w:rPr>
          <w:szCs w:val="24"/>
          <w:lang w:eastAsia="zh-CN"/>
        </w:rPr>
        <w:t xml:space="preserve"> </w:t>
      </w:r>
      <w:r w:rsidRPr="005B660C">
        <w:rPr>
          <w:szCs w:val="24"/>
          <w:lang w:eastAsia="zh-CN"/>
        </w:rPr>
        <w:t>the Director of TSB.</w:t>
      </w:r>
    </w:p>
    <w:p w14:paraId="3FBFE576" w14:textId="09CA0F89" w:rsidR="005607B7" w:rsidRPr="005B660C" w:rsidRDefault="005607B7" w:rsidP="000A069B">
      <w:pPr>
        <w:pStyle w:val="Heading2"/>
        <w:rPr>
          <w:lang w:eastAsia="zh-CN"/>
        </w:rPr>
      </w:pPr>
      <w:r w:rsidRPr="005B660C">
        <w:rPr>
          <w:lang w:eastAsia="zh-CN"/>
        </w:rPr>
        <w:t>2.2</w:t>
      </w:r>
      <w:r w:rsidR="000A069B" w:rsidRPr="005B660C">
        <w:rPr>
          <w:lang w:eastAsia="zh-CN"/>
        </w:rPr>
        <w:tab/>
      </w:r>
      <w:r w:rsidRPr="005B660C">
        <w:rPr>
          <w:lang w:eastAsia="zh-CN"/>
        </w:rPr>
        <w:t>Communication process once established</w:t>
      </w:r>
    </w:p>
    <w:p w14:paraId="3FD2AAA5" w14:textId="54FAC0FB" w:rsidR="005607B7" w:rsidRPr="005B660C" w:rsidRDefault="005607B7" w:rsidP="000A069B">
      <w:pPr>
        <w:pStyle w:val="Heading3"/>
        <w:rPr>
          <w:lang w:eastAsia="zh-CN"/>
        </w:rPr>
      </w:pPr>
      <w:r w:rsidRPr="005B660C">
        <w:rPr>
          <w:lang w:eastAsia="zh-CN"/>
        </w:rPr>
        <w:t>2.2.1</w:t>
      </w:r>
      <w:r w:rsidR="000A069B" w:rsidRPr="005B660C">
        <w:rPr>
          <w:lang w:eastAsia="zh-CN"/>
        </w:rPr>
        <w:tab/>
      </w:r>
      <w:r w:rsidRPr="005B660C">
        <w:rPr>
          <w:lang w:eastAsia="zh-CN"/>
        </w:rPr>
        <w:t>Documents sent to ITU-T A.4-qualified forums/consortia</w:t>
      </w:r>
    </w:p>
    <w:p w14:paraId="098E4561" w14:textId="41001B35" w:rsidR="005607B7" w:rsidRPr="005B660C" w:rsidRDefault="005607B7" w:rsidP="000A069B">
      <w:pPr>
        <w:rPr>
          <w:szCs w:val="24"/>
          <w:lang w:eastAsia="zh-CN"/>
        </w:rPr>
      </w:pPr>
      <w:r w:rsidRPr="005B660C">
        <w:rPr>
          <w:lang w:eastAsia="zh-CN"/>
        </w:rPr>
        <w:t>A proposal to send a liaison statement to an ITU-T A.4-qualified forum/consortium can arise from</w:t>
      </w:r>
      <w:r w:rsidR="000A069B" w:rsidRPr="005B660C">
        <w:rPr>
          <w:lang w:eastAsia="zh-CN"/>
        </w:rPr>
        <w:t xml:space="preserve"> </w:t>
      </w:r>
      <w:r w:rsidRPr="005B660C">
        <w:rPr>
          <w:szCs w:val="24"/>
          <w:lang w:eastAsia="zh-CN"/>
        </w:rPr>
        <w:t>work by a rapporteur group, working party or study group. The decision to send such information is</w:t>
      </w:r>
      <w:r w:rsidR="000A069B" w:rsidRPr="005B660C">
        <w:rPr>
          <w:szCs w:val="24"/>
          <w:lang w:eastAsia="zh-CN"/>
        </w:rPr>
        <w:t xml:space="preserve"> </w:t>
      </w:r>
      <w:r w:rsidRPr="005B660C">
        <w:rPr>
          <w:szCs w:val="24"/>
          <w:lang w:eastAsia="zh-CN"/>
        </w:rPr>
        <w:t>made by the study group chairman in consultation with the relevant working party chairman, and, if</w:t>
      </w:r>
      <w:r w:rsidR="000A069B" w:rsidRPr="005B660C">
        <w:rPr>
          <w:szCs w:val="24"/>
          <w:lang w:eastAsia="zh-CN"/>
        </w:rPr>
        <w:t xml:space="preserve"> </w:t>
      </w:r>
      <w:r w:rsidRPr="005B660C">
        <w:rPr>
          <w:szCs w:val="24"/>
          <w:lang w:eastAsia="zh-CN"/>
        </w:rPr>
        <w:t>arising from a study group meeting, with the agreement of the study group. The documentation is</w:t>
      </w:r>
      <w:r w:rsidR="000A069B" w:rsidRPr="005B660C">
        <w:rPr>
          <w:szCs w:val="24"/>
          <w:lang w:eastAsia="zh-CN"/>
        </w:rPr>
        <w:t xml:space="preserve"> </w:t>
      </w:r>
      <w:r w:rsidRPr="005B660C">
        <w:rPr>
          <w:szCs w:val="24"/>
          <w:lang w:eastAsia="zh-CN"/>
        </w:rPr>
        <w:t>sent to the forum/consortium by TSB on behalf of the study group.</w:t>
      </w:r>
    </w:p>
    <w:p w14:paraId="5E39EE7F" w14:textId="4D0863E7" w:rsidR="005607B7" w:rsidRPr="005B660C" w:rsidRDefault="005607B7" w:rsidP="000A069B">
      <w:pPr>
        <w:rPr>
          <w:szCs w:val="24"/>
          <w:lang w:eastAsia="zh-CN"/>
        </w:rPr>
      </w:pPr>
      <w:r w:rsidRPr="005B660C">
        <w:rPr>
          <w:lang w:eastAsia="zh-CN"/>
        </w:rPr>
        <w:t>When necessary, between scheduled meetings, the liaison statement may be prepared by an</w:t>
      </w:r>
      <w:r w:rsidR="000A069B" w:rsidRPr="005B660C">
        <w:rPr>
          <w:lang w:eastAsia="zh-CN"/>
        </w:rPr>
        <w:t xml:space="preserve"> </w:t>
      </w:r>
      <w:r w:rsidRPr="005B660C">
        <w:rPr>
          <w:szCs w:val="24"/>
          <w:lang w:eastAsia="zh-CN"/>
        </w:rPr>
        <w:t>appropriate correspondence process and approved by the study group chairman in consultation with</w:t>
      </w:r>
      <w:r w:rsidR="000A069B" w:rsidRPr="005B660C">
        <w:rPr>
          <w:szCs w:val="24"/>
          <w:lang w:eastAsia="zh-CN"/>
        </w:rPr>
        <w:t xml:space="preserve"> </w:t>
      </w:r>
      <w:r w:rsidRPr="005B660C">
        <w:rPr>
          <w:szCs w:val="24"/>
          <w:lang w:eastAsia="zh-CN"/>
        </w:rPr>
        <w:t>the study group management.</w:t>
      </w:r>
    </w:p>
    <w:p w14:paraId="6F7F62D6" w14:textId="1D005E4A" w:rsidR="005607B7" w:rsidRPr="005B660C" w:rsidRDefault="005607B7" w:rsidP="000A069B">
      <w:pPr>
        <w:pStyle w:val="Heading3"/>
        <w:rPr>
          <w:lang w:eastAsia="zh-CN"/>
        </w:rPr>
      </w:pPr>
      <w:r w:rsidRPr="005B660C">
        <w:rPr>
          <w:lang w:eastAsia="zh-CN"/>
        </w:rPr>
        <w:t>2.2.2</w:t>
      </w:r>
      <w:r w:rsidR="000A069B" w:rsidRPr="005B660C">
        <w:rPr>
          <w:lang w:eastAsia="zh-CN"/>
        </w:rPr>
        <w:tab/>
      </w:r>
      <w:r w:rsidRPr="005B660C">
        <w:rPr>
          <w:lang w:eastAsia="zh-CN"/>
        </w:rPr>
        <w:t>Documents received from ITU-T A.4-qualified forums/consortia</w:t>
      </w:r>
    </w:p>
    <w:p w14:paraId="1ECFBFAC" w14:textId="7AF085CE" w:rsidR="005607B7" w:rsidRPr="005B660C" w:rsidRDefault="005607B7" w:rsidP="000A069B">
      <w:pPr>
        <w:rPr>
          <w:szCs w:val="24"/>
          <w:lang w:eastAsia="zh-CN"/>
        </w:rPr>
      </w:pPr>
      <w:r w:rsidRPr="005B660C">
        <w:rPr>
          <w:lang w:eastAsia="zh-CN"/>
        </w:rPr>
        <w:t>Documents submitted to ITU-T by qualified forums/consortia should conform to criterion 8 in</w:t>
      </w:r>
      <w:r w:rsidR="000A069B" w:rsidRPr="005B660C">
        <w:rPr>
          <w:lang w:eastAsia="zh-CN"/>
        </w:rPr>
        <w:t xml:space="preserve"> </w:t>
      </w:r>
      <w:r w:rsidRPr="005B660C">
        <w:rPr>
          <w:szCs w:val="24"/>
          <w:lang w:eastAsia="zh-CN"/>
        </w:rPr>
        <w:t>Annex A. These documents are not issued as Contributions. As soon as they arrive they are made</w:t>
      </w:r>
      <w:r w:rsidR="000A069B" w:rsidRPr="005B660C">
        <w:rPr>
          <w:szCs w:val="24"/>
          <w:lang w:eastAsia="zh-CN"/>
        </w:rPr>
        <w:t xml:space="preserve"> </w:t>
      </w:r>
      <w:r w:rsidRPr="005B660C">
        <w:rPr>
          <w:szCs w:val="24"/>
          <w:lang w:eastAsia="zh-CN"/>
        </w:rPr>
        <w:t>available, with the agreement of the study group chairman for advance consideration by the relevant</w:t>
      </w:r>
      <w:r w:rsidR="000A069B" w:rsidRPr="005B660C">
        <w:rPr>
          <w:szCs w:val="24"/>
          <w:lang w:eastAsia="zh-CN"/>
        </w:rPr>
        <w:t xml:space="preserve"> </w:t>
      </w:r>
      <w:r w:rsidRPr="005B660C">
        <w:rPr>
          <w:szCs w:val="24"/>
          <w:lang w:eastAsia="zh-CN"/>
        </w:rPr>
        <w:t>group. Moreover, they are issued as a document to the relevant group with a reference to the</w:t>
      </w:r>
      <w:r w:rsidR="000A069B" w:rsidRPr="005B660C">
        <w:rPr>
          <w:szCs w:val="24"/>
          <w:lang w:eastAsia="zh-CN"/>
        </w:rPr>
        <w:t xml:space="preserve"> </w:t>
      </w:r>
      <w:r w:rsidRPr="005B660C">
        <w:rPr>
          <w:szCs w:val="24"/>
          <w:lang w:eastAsia="zh-CN"/>
        </w:rPr>
        <w:t>originating forum/consortium, i.e. as a Temporary Document at a study group or working party</w:t>
      </w:r>
      <w:r w:rsidR="000A069B" w:rsidRPr="005B660C">
        <w:rPr>
          <w:szCs w:val="24"/>
          <w:lang w:eastAsia="zh-CN"/>
        </w:rPr>
        <w:t xml:space="preserve"> </w:t>
      </w:r>
      <w:r w:rsidRPr="005B660C">
        <w:rPr>
          <w:szCs w:val="24"/>
          <w:lang w:eastAsia="zh-CN"/>
        </w:rPr>
        <w:t>meeting, or as a document at a rapporteur meeting. In the latter case, the receipt and disposition of</w:t>
      </w:r>
      <w:r w:rsidR="000A069B" w:rsidRPr="005B660C">
        <w:rPr>
          <w:szCs w:val="24"/>
          <w:lang w:eastAsia="zh-CN"/>
        </w:rPr>
        <w:t xml:space="preserve"> </w:t>
      </w:r>
      <w:r w:rsidRPr="005B660C">
        <w:rPr>
          <w:szCs w:val="24"/>
          <w:lang w:eastAsia="zh-CN"/>
        </w:rPr>
        <w:t>the document received should be recorded in the report of the rapporteur meeting.</w:t>
      </w:r>
    </w:p>
    <w:p w14:paraId="22F8F17E" w14:textId="5828F990" w:rsidR="005607B7" w:rsidRPr="005B660C" w:rsidRDefault="005607B7" w:rsidP="000A069B">
      <w:pPr>
        <w:pStyle w:val="Heading2"/>
        <w:rPr>
          <w:lang w:eastAsia="zh-CN"/>
        </w:rPr>
      </w:pPr>
      <w:r w:rsidRPr="005B660C">
        <w:rPr>
          <w:lang w:eastAsia="zh-CN"/>
        </w:rPr>
        <w:t>2.3</w:t>
      </w:r>
      <w:r w:rsidR="000A069B" w:rsidRPr="005B660C">
        <w:rPr>
          <w:lang w:eastAsia="zh-CN"/>
        </w:rPr>
        <w:tab/>
      </w:r>
      <w:r w:rsidRPr="005B660C">
        <w:rPr>
          <w:lang w:eastAsia="zh-CN"/>
        </w:rPr>
        <w:t>ITU-T A.4-qualified organizations list</w:t>
      </w:r>
    </w:p>
    <w:p w14:paraId="201993F7" w14:textId="4C74E3CF" w:rsidR="005607B7" w:rsidRPr="005B660C" w:rsidRDefault="005607B7" w:rsidP="000A069B">
      <w:pPr>
        <w:rPr>
          <w:szCs w:val="24"/>
          <w:lang w:eastAsia="zh-CN"/>
        </w:rPr>
      </w:pPr>
      <w:r w:rsidRPr="005B660C">
        <w:rPr>
          <w:lang w:eastAsia="zh-CN"/>
        </w:rPr>
        <w:t>The Director of TSB is requested to maintain an up-to-date ITU-T A.4-qualified list of the</w:t>
      </w:r>
      <w:r w:rsidR="000A069B" w:rsidRPr="005B660C">
        <w:rPr>
          <w:lang w:eastAsia="zh-CN"/>
        </w:rPr>
        <w:t xml:space="preserve"> </w:t>
      </w:r>
      <w:r w:rsidRPr="005B660C">
        <w:rPr>
          <w:szCs w:val="24"/>
          <w:lang w:eastAsia="zh-CN"/>
        </w:rPr>
        <w:t>forums/consortia that are under evaluation and/or have been approved for the communication</w:t>
      </w:r>
      <w:r w:rsidR="000A069B" w:rsidRPr="005B660C">
        <w:rPr>
          <w:szCs w:val="24"/>
          <w:lang w:eastAsia="zh-CN"/>
        </w:rPr>
        <w:t xml:space="preserve"> </w:t>
      </w:r>
      <w:r w:rsidRPr="005B660C">
        <w:rPr>
          <w:szCs w:val="24"/>
          <w:lang w:eastAsia="zh-CN"/>
        </w:rPr>
        <w:t>process, including identification of the study groups concerned, and make it available online.</w:t>
      </w:r>
    </w:p>
    <w:p w14:paraId="104E30A4" w14:textId="59F8799D" w:rsidR="005607B7" w:rsidRPr="005B660C" w:rsidRDefault="005607B7" w:rsidP="000A069B">
      <w:pPr>
        <w:pStyle w:val="Heading2"/>
        <w:rPr>
          <w:lang w:eastAsia="zh-CN"/>
        </w:rPr>
      </w:pPr>
      <w:r w:rsidRPr="005B660C">
        <w:rPr>
          <w:lang w:eastAsia="zh-CN"/>
        </w:rPr>
        <w:t>2.4</w:t>
      </w:r>
      <w:r w:rsidR="000A069B" w:rsidRPr="005B660C">
        <w:rPr>
          <w:lang w:eastAsia="zh-CN"/>
        </w:rPr>
        <w:tab/>
      </w:r>
      <w:r w:rsidRPr="005B660C">
        <w:rPr>
          <w:lang w:eastAsia="zh-CN"/>
        </w:rPr>
        <w:t>Copyright arrangements</w:t>
      </w:r>
    </w:p>
    <w:p w14:paraId="6DA781DB" w14:textId="644A73E8" w:rsidR="005607B7" w:rsidRPr="005B660C" w:rsidRDefault="005607B7" w:rsidP="000A069B">
      <w:pPr>
        <w:rPr>
          <w:szCs w:val="24"/>
          <w:lang w:eastAsia="zh-CN"/>
        </w:rPr>
      </w:pPr>
      <w:r w:rsidRPr="005B660C">
        <w:rPr>
          <w:lang w:eastAsia="zh-CN"/>
        </w:rPr>
        <w:t>The subject of modifications to texts and arrangements for royalty-free copyright licenses, including</w:t>
      </w:r>
      <w:r w:rsidR="000A069B" w:rsidRPr="005B660C">
        <w:rPr>
          <w:lang w:eastAsia="zh-CN"/>
        </w:rPr>
        <w:t xml:space="preserve"> </w:t>
      </w:r>
      <w:r w:rsidRPr="005B660C">
        <w:rPr>
          <w:szCs w:val="24"/>
          <w:lang w:eastAsia="zh-CN"/>
        </w:rPr>
        <w:t>the right to sub-license, for texts accepted by either ITU-T or by forums/consortia and their</w:t>
      </w:r>
      <w:r w:rsidR="000A069B" w:rsidRPr="005B660C">
        <w:rPr>
          <w:szCs w:val="24"/>
          <w:lang w:eastAsia="zh-CN"/>
        </w:rPr>
        <w:t xml:space="preserve"> </w:t>
      </w:r>
      <w:r w:rsidRPr="005B660C">
        <w:rPr>
          <w:szCs w:val="24"/>
          <w:lang w:eastAsia="zh-CN"/>
        </w:rPr>
        <w:lastRenderedPageBreak/>
        <w:t>publishers and others, is a matter to be agreed upon between TSB and the particular</w:t>
      </w:r>
      <w:r w:rsidR="003264E0" w:rsidRPr="005B660C">
        <w:rPr>
          <w:szCs w:val="24"/>
          <w:lang w:eastAsia="zh-CN"/>
        </w:rPr>
        <w:t xml:space="preserve"> </w:t>
      </w:r>
      <w:r w:rsidRPr="005B660C">
        <w:rPr>
          <w:szCs w:val="24"/>
          <w:lang w:eastAsia="zh-CN"/>
        </w:rPr>
        <w:t>forums/consortia. However, the originating organization retains the copyright for its texts.</w:t>
      </w:r>
    </w:p>
    <w:p w14:paraId="78D1A343" w14:textId="77777777" w:rsidR="00BA4679" w:rsidRPr="005B660C" w:rsidRDefault="00BA4679" w:rsidP="00BA4679">
      <w:pPr>
        <w:spacing w:before="0" w:after="160" w:line="259" w:lineRule="auto"/>
        <w:rPr>
          <w:rFonts w:eastAsia="Calibri"/>
          <w:szCs w:val="22"/>
        </w:rPr>
      </w:pPr>
      <w:r w:rsidRPr="005B660C">
        <w:rPr>
          <w:rFonts w:eastAsia="Calibri"/>
          <w:szCs w:val="22"/>
        </w:rPr>
        <w:br w:type="page"/>
      </w:r>
    </w:p>
    <w:p w14:paraId="1D7129B8" w14:textId="48759192" w:rsidR="00BA4679" w:rsidRPr="005B660C" w:rsidRDefault="00BA4679" w:rsidP="00BA4679">
      <w:pPr>
        <w:pStyle w:val="AnnexNotitle"/>
        <w:rPr>
          <w:rFonts w:eastAsia="Calibri"/>
          <w:sz w:val="22"/>
        </w:rPr>
      </w:pPr>
      <w:r w:rsidRPr="005B660C">
        <w:rPr>
          <w:rFonts w:eastAsia="Calibri"/>
        </w:rPr>
        <w:lastRenderedPageBreak/>
        <w:t>ANNEX 2</w:t>
      </w:r>
    </w:p>
    <w:p w14:paraId="195A2C5F" w14:textId="41778A8E" w:rsidR="00BA4679" w:rsidRPr="005B660C" w:rsidRDefault="00B34FA4" w:rsidP="00BA4679">
      <w:pPr>
        <w:pStyle w:val="AnnexNotitle"/>
        <w:jc w:val="left"/>
        <w:rPr>
          <w:rFonts w:eastAsia="Calibri"/>
        </w:rPr>
      </w:pPr>
      <w:r w:rsidRPr="005B660C">
        <w:rPr>
          <w:rFonts w:eastAsia="Calibri"/>
        </w:rPr>
        <w:t xml:space="preserve">Draft </w:t>
      </w:r>
      <w:r w:rsidR="00BA4679" w:rsidRPr="005B660C">
        <w:rPr>
          <w:rFonts w:eastAsia="Calibri"/>
        </w:rPr>
        <w:t>r</w:t>
      </w:r>
      <w:r w:rsidRPr="005B660C">
        <w:rPr>
          <w:rFonts w:eastAsia="Calibri"/>
        </w:rPr>
        <w:t>e</w:t>
      </w:r>
      <w:r w:rsidR="00BA4679" w:rsidRPr="005B660C">
        <w:rPr>
          <w:rFonts w:eastAsia="Calibri"/>
        </w:rPr>
        <w:t xml:space="preserve">vision </w:t>
      </w:r>
      <w:r w:rsidRPr="005B660C">
        <w:rPr>
          <w:rFonts w:eastAsia="Calibri"/>
        </w:rPr>
        <w:t xml:space="preserve">of </w:t>
      </w:r>
      <w:bookmarkStart w:id="11" w:name="_Hlk156388957"/>
      <w:r w:rsidR="00BA4679" w:rsidRPr="005B660C">
        <w:rPr>
          <w:rFonts w:eastAsia="Calibri"/>
        </w:rPr>
        <w:t>Recomm</w:t>
      </w:r>
      <w:r w:rsidRPr="005B660C">
        <w:rPr>
          <w:rFonts w:eastAsia="Calibri"/>
        </w:rPr>
        <w:t>e</w:t>
      </w:r>
      <w:r w:rsidR="00BA4679" w:rsidRPr="005B660C">
        <w:rPr>
          <w:rFonts w:eastAsia="Calibri"/>
        </w:rPr>
        <w:t>ndation IT</w:t>
      </w:r>
      <w:r w:rsidRPr="005B660C">
        <w:rPr>
          <w:rFonts w:eastAsia="Calibri"/>
        </w:rPr>
        <w:t>U</w:t>
      </w:r>
      <w:r w:rsidR="00BA4679" w:rsidRPr="005B660C">
        <w:rPr>
          <w:rFonts w:eastAsia="Calibri"/>
        </w:rPr>
        <w:t xml:space="preserve">-T A.6 </w:t>
      </w:r>
      <w:bookmarkEnd w:id="11"/>
    </w:p>
    <w:p w14:paraId="3364F8A7" w14:textId="21D6450B" w:rsidR="00BA4679" w:rsidRPr="005B660C" w:rsidRDefault="00B34FA4" w:rsidP="000A069B">
      <w:pPr>
        <w:pStyle w:val="Rectitle"/>
        <w:rPr>
          <w:lang w:eastAsia="zh-CN"/>
        </w:rPr>
      </w:pPr>
      <w:r w:rsidRPr="005B660C">
        <w:rPr>
          <w:lang w:eastAsia="zh-CN"/>
        </w:rPr>
        <w:t>Cooperation and exchange of information between the</w:t>
      </w:r>
      <w:r w:rsidR="000A069B" w:rsidRPr="005B660C">
        <w:rPr>
          <w:lang w:eastAsia="zh-CN"/>
        </w:rPr>
        <w:br/>
      </w:r>
      <w:r w:rsidRPr="005B660C">
        <w:rPr>
          <w:lang w:eastAsia="zh-CN"/>
        </w:rPr>
        <w:t xml:space="preserve">ITU Telecommunication Standardization Sector and </w:t>
      </w:r>
      <w:r w:rsidR="000A069B" w:rsidRPr="005B660C">
        <w:rPr>
          <w:lang w:eastAsia="zh-CN"/>
        </w:rPr>
        <w:br/>
      </w:r>
      <w:r w:rsidRPr="005B660C">
        <w:rPr>
          <w:lang w:eastAsia="zh-CN"/>
        </w:rPr>
        <w:t>national and regional standards development organizations</w:t>
      </w:r>
    </w:p>
    <w:p w14:paraId="43A3E4BA" w14:textId="584500E7" w:rsidR="00BA4679" w:rsidRPr="005B660C" w:rsidRDefault="00BA4679" w:rsidP="00BA4679">
      <w:pPr>
        <w:jc w:val="center"/>
        <w:rPr>
          <w:rFonts w:eastAsia="Calibri"/>
          <w:i/>
          <w:iCs/>
        </w:rPr>
      </w:pPr>
      <w:r w:rsidRPr="005B660C">
        <w:rPr>
          <w:rFonts w:eastAsia="Calibri"/>
          <w:i/>
          <w:iCs/>
        </w:rPr>
        <w:t xml:space="preserve">(1998; 2000; 2002; 2006; 2007; 2012; </w:t>
      </w:r>
      <w:r w:rsidRPr="005B660C">
        <w:rPr>
          <w:rFonts w:eastAsia="Calibri"/>
          <w:i/>
          <w:iCs/>
          <w:highlight w:val="yellow"/>
        </w:rPr>
        <w:t>2024</w:t>
      </w:r>
      <w:r w:rsidRPr="005B660C">
        <w:rPr>
          <w:rFonts w:eastAsia="Calibri"/>
          <w:i/>
          <w:iCs/>
        </w:rPr>
        <w:t>)</w:t>
      </w:r>
    </w:p>
    <w:p w14:paraId="58829A1C" w14:textId="61078B77" w:rsidR="00D11FFC" w:rsidRPr="005B660C" w:rsidRDefault="00D11FFC" w:rsidP="000A069B">
      <w:pPr>
        <w:pStyle w:val="Heading1"/>
        <w:rPr>
          <w:lang w:eastAsia="zh-CN"/>
        </w:rPr>
      </w:pPr>
      <w:r w:rsidRPr="005B660C">
        <w:rPr>
          <w:lang w:eastAsia="zh-CN"/>
        </w:rPr>
        <w:t>1</w:t>
      </w:r>
      <w:r w:rsidR="000A069B" w:rsidRPr="005B660C">
        <w:rPr>
          <w:lang w:eastAsia="zh-CN"/>
        </w:rPr>
        <w:tab/>
      </w:r>
      <w:r w:rsidRPr="005B660C">
        <w:rPr>
          <w:lang w:eastAsia="zh-CN"/>
        </w:rPr>
        <w:t>Scope</w:t>
      </w:r>
    </w:p>
    <w:p w14:paraId="3A6B71CF" w14:textId="74DFDB8E" w:rsidR="00BA4679" w:rsidRPr="005B660C" w:rsidRDefault="00D11FFC" w:rsidP="000A069B">
      <w:pPr>
        <w:rPr>
          <w:szCs w:val="24"/>
          <w:lang w:eastAsia="zh-CN"/>
        </w:rPr>
      </w:pPr>
      <w:r w:rsidRPr="005B660C">
        <w:rPr>
          <w:lang w:eastAsia="zh-CN"/>
        </w:rPr>
        <w:t>In order to facilitate the development of cooperative relationships with national and regional</w:t>
      </w:r>
      <w:r w:rsidR="000A069B" w:rsidRPr="005B660C">
        <w:rPr>
          <w:lang w:eastAsia="zh-CN"/>
        </w:rPr>
        <w:t xml:space="preserve"> </w:t>
      </w:r>
      <w:r w:rsidRPr="005B660C">
        <w:rPr>
          <w:szCs w:val="24"/>
          <w:lang w:eastAsia="zh-CN"/>
        </w:rPr>
        <w:t>standards development organizations, and to encourage cooperation and information exchange,</w:t>
      </w:r>
      <w:r w:rsidR="000A069B" w:rsidRPr="005B660C">
        <w:rPr>
          <w:szCs w:val="24"/>
          <w:lang w:eastAsia="zh-CN"/>
        </w:rPr>
        <w:t xml:space="preserve"> </w:t>
      </w:r>
      <w:r w:rsidRPr="005B660C">
        <w:rPr>
          <w:szCs w:val="24"/>
          <w:lang w:eastAsia="zh-CN"/>
        </w:rPr>
        <w:t>procedures are provided, founded on the basis of reciprocity, for use when structuring the cooperation and information exchange process.</w:t>
      </w:r>
      <w:r w:rsidR="00BA4679" w:rsidRPr="005B660C">
        <w:rPr>
          <w:rFonts w:eastAsia="Calibri"/>
        </w:rPr>
        <w:t xml:space="preserve"> </w:t>
      </w:r>
    </w:p>
    <w:p w14:paraId="46F9F09C" w14:textId="0589E3A2" w:rsidR="00BA4679" w:rsidRPr="005B660C" w:rsidRDefault="00D11FFC" w:rsidP="000A069B">
      <w:pPr>
        <w:rPr>
          <w:rFonts w:eastAsia="Calibri"/>
          <w:highlight w:val="yellow"/>
        </w:rPr>
      </w:pPr>
      <w:r w:rsidRPr="005B660C">
        <w:rPr>
          <w:rFonts w:eastAsia="Calibri"/>
          <w:highlight w:val="yellow"/>
        </w:rPr>
        <w:t>This R</w:t>
      </w:r>
      <w:r w:rsidR="00BA4679" w:rsidRPr="005B660C">
        <w:rPr>
          <w:rFonts w:eastAsia="Calibri"/>
          <w:highlight w:val="yellow"/>
        </w:rPr>
        <w:t>ecomm</w:t>
      </w:r>
      <w:r w:rsidR="003264E0" w:rsidRPr="005B660C">
        <w:rPr>
          <w:rFonts w:eastAsia="Calibri"/>
          <w:highlight w:val="yellow"/>
        </w:rPr>
        <w:t>e</w:t>
      </w:r>
      <w:r w:rsidR="00BA4679" w:rsidRPr="005B660C">
        <w:rPr>
          <w:rFonts w:eastAsia="Calibri"/>
          <w:highlight w:val="yellow"/>
        </w:rPr>
        <w:t>ndation appli</w:t>
      </w:r>
      <w:r w:rsidRPr="005B660C">
        <w:rPr>
          <w:rFonts w:eastAsia="Calibri"/>
          <w:highlight w:val="yellow"/>
        </w:rPr>
        <w:t xml:space="preserve">es </w:t>
      </w:r>
      <w:r w:rsidR="00BA4679" w:rsidRPr="005B660C">
        <w:rPr>
          <w:rFonts w:eastAsia="Calibri"/>
          <w:highlight w:val="yellow"/>
        </w:rPr>
        <w:t>sp</w:t>
      </w:r>
      <w:r w:rsidR="007A50DE" w:rsidRPr="005B660C">
        <w:rPr>
          <w:rFonts w:eastAsia="Calibri"/>
          <w:highlight w:val="yellow"/>
        </w:rPr>
        <w:t>ecifically</w:t>
      </w:r>
      <w:r w:rsidR="00BA4679" w:rsidRPr="005B660C">
        <w:rPr>
          <w:rFonts w:eastAsia="Calibri"/>
          <w:highlight w:val="yellow"/>
        </w:rPr>
        <w:t xml:space="preserve"> </w:t>
      </w:r>
      <w:r w:rsidR="007A50DE" w:rsidRPr="005B660C">
        <w:rPr>
          <w:rFonts w:eastAsia="Calibri"/>
          <w:highlight w:val="yellow"/>
        </w:rPr>
        <w:t>to regional or national standards dev</w:t>
      </w:r>
      <w:r w:rsidR="003264E0" w:rsidRPr="005B660C">
        <w:rPr>
          <w:rFonts w:eastAsia="Calibri"/>
          <w:highlight w:val="yellow"/>
        </w:rPr>
        <w:t>e</w:t>
      </w:r>
      <w:r w:rsidR="007A50DE" w:rsidRPr="005B660C">
        <w:rPr>
          <w:rFonts w:eastAsia="Calibri"/>
          <w:highlight w:val="yellow"/>
        </w:rPr>
        <w:t>lopment organizations</w:t>
      </w:r>
      <w:r w:rsidR="00BA4679" w:rsidRPr="005B660C">
        <w:rPr>
          <w:rFonts w:eastAsia="Calibri"/>
          <w:highlight w:val="yellow"/>
        </w:rPr>
        <w:t>.</w:t>
      </w:r>
    </w:p>
    <w:p w14:paraId="7D9070E0" w14:textId="427A1D7A" w:rsidR="00BA4679" w:rsidRPr="005B660C" w:rsidRDefault="00BA4679" w:rsidP="000A069B">
      <w:pPr>
        <w:pStyle w:val="Heading1"/>
        <w:rPr>
          <w:rFonts w:eastAsia="Calibri"/>
          <w:highlight w:val="yellow"/>
        </w:rPr>
      </w:pPr>
      <w:r w:rsidRPr="005B660C">
        <w:rPr>
          <w:rFonts w:eastAsia="Calibri"/>
          <w:highlight w:val="yellow"/>
        </w:rPr>
        <w:t>2</w:t>
      </w:r>
      <w:r w:rsidR="000A069B" w:rsidRPr="005B660C">
        <w:rPr>
          <w:rFonts w:eastAsia="Calibri"/>
          <w:highlight w:val="yellow"/>
        </w:rPr>
        <w:tab/>
      </w:r>
      <w:r w:rsidRPr="005B660C">
        <w:rPr>
          <w:rFonts w:eastAsia="Calibri"/>
          <w:highlight w:val="yellow"/>
        </w:rPr>
        <w:t>D</w:t>
      </w:r>
      <w:r w:rsidR="003264E0" w:rsidRPr="005B660C">
        <w:rPr>
          <w:rFonts w:eastAsia="Calibri"/>
          <w:highlight w:val="yellow"/>
        </w:rPr>
        <w:t>e</w:t>
      </w:r>
      <w:r w:rsidRPr="005B660C">
        <w:rPr>
          <w:rFonts w:eastAsia="Calibri"/>
          <w:highlight w:val="yellow"/>
        </w:rPr>
        <w:t xml:space="preserve">finition </w:t>
      </w:r>
      <w:r w:rsidR="003264E0" w:rsidRPr="005B660C">
        <w:rPr>
          <w:rFonts w:eastAsia="Calibri"/>
          <w:highlight w:val="yellow"/>
        </w:rPr>
        <w:t>and characteristics</w:t>
      </w:r>
    </w:p>
    <w:p w14:paraId="29474A45" w14:textId="565D1ABE" w:rsidR="00BA4679" w:rsidRPr="005B660C" w:rsidRDefault="007A50DE" w:rsidP="000A069B">
      <w:pPr>
        <w:rPr>
          <w:szCs w:val="24"/>
          <w:lang w:eastAsia="zh-CN"/>
        </w:rPr>
      </w:pPr>
      <w:r w:rsidRPr="005B660C">
        <w:rPr>
          <w:highlight w:val="yellow"/>
          <w:lang w:eastAsia="zh-CN"/>
        </w:rPr>
        <w:t>"National and regional standards development organizations", referred to as "standards</w:t>
      </w:r>
      <w:r w:rsidR="000A069B" w:rsidRPr="005B660C">
        <w:rPr>
          <w:highlight w:val="yellow"/>
          <w:lang w:eastAsia="zh-CN"/>
        </w:rPr>
        <w:t xml:space="preserve"> </w:t>
      </w:r>
      <w:r w:rsidRPr="005B660C">
        <w:rPr>
          <w:szCs w:val="24"/>
          <w:highlight w:val="yellow"/>
          <w:lang w:eastAsia="zh-CN"/>
        </w:rPr>
        <w:t>development organizations" (SDOs) in the text that follows, are those organizations that develop</w:t>
      </w:r>
      <w:r w:rsidR="000A069B" w:rsidRPr="005B660C">
        <w:rPr>
          <w:szCs w:val="24"/>
          <w:highlight w:val="yellow"/>
          <w:lang w:eastAsia="zh-CN"/>
        </w:rPr>
        <w:t xml:space="preserve"> </w:t>
      </w:r>
      <w:r w:rsidRPr="005B660C">
        <w:rPr>
          <w:szCs w:val="24"/>
          <w:highlight w:val="yellow"/>
          <w:lang w:eastAsia="zh-CN"/>
        </w:rPr>
        <w:t>standards recognized and implemented at the national and/or regional level. In this</w:t>
      </w:r>
      <w:r w:rsidR="000A069B" w:rsidRPr="005B660C">
        <w:rPr>
          <w:szCs w:val="24"/>
          <w:highlight w:val="yellow"/>
          <w:lang w:eastAsia="zh-CN"/>
        </w:rPr>
        <w:t xml:space="preserve"> </w:t>
      </w:r>
      <w:r w:rsidRPr="005B660C">
        <w:rPr>
          <w:szCs w:val="24"/>
          <w:highlight w:val="yellow"/>
          <w:lang w:eastAsia="zh-CN"/>
        </w:rPr>
        <w:t>Recommendation, the term "approved document" refers to an official output of a standards</w:t>
      </w:r>
      <w:r w:rsidR="000A069B" w:rsidRPr="005B660C">
        <w:rPr>
          <w:szCs w:val="24"/>
          <w:highlight w:val="yellow"/>
          <w:lang w:eastAsia="zh-CN"/>
        </w:rPr>
        <w:t xml:space="preserve"> </w:t>
      </w:r>
      <w:r w:rsidRPr="005B660C">
        <w:rPr>
          <w:szCs w:val="24"/>
          <w:highlight w:val="yellow"/>
          <w:lang w:eastAsia="zh-CN"/>
        </w:rPr>
        <w:t xml:space="preserve">development organization that has been formally approved. The term "draft document" refers to an output, which is still in draft </w:t>
      </w:r>
      <w:commentRangeStart w:id="12"/>
      <w:r w:rsidRPr="005B660C">
        <w:rPr>
          <w:szCs w:val="24"/>
          <w:highlight w:val="yellow"/>
          <w:lang w:eastAsia="zh-CN"/>
        </w:rPr>
        <w:t>form</w:t>
      </w:r>
      <w:commentRangeEnd w:id="12"/>
      <w:r w:rsidRPr="005B660C">
        <w:rPr>
          <w:rStyle w:val="CommentReference"/>
        </w:rPr>
        <w:commentReference w:id="12"/>
      </w:r>
      <w:r w:rsidRPr="005B660C">
        <w:rPr>
          <w:szCs w:val="24"/>
          <w:lang w:eastAsia="zh-CN"/>
        </w:rPr>
        <w:t>.</w:t>
      </w:r>
    </w:p>
    <w:p w14:paraId="2EF90D83" w14:textId="7910C562" w:rsidR="00BA4679" w:rsidRPr="005B660C" w:rsidRDefault="00BA4679" w:rsidP="00BA4679">
      <w:pPr>
        <w:pStyle w:val="Heading1"/>
        <w:rPr>
          <w:rFonts w:eastAsia="Calibri"/>
        </w:rPr>
      </w:pPr>
      <w:r w:rsidRPr="005B660C">
        <w:rPr>
          <w:rFonts w:eastAsia="Calibri"/>
        </w:rPr>
        <w:t>2</w:t>
      </w:r>
      <w:r w:rsidRPr="005B660C">
        <w:rPr>
          <w:rFonts w:eastAsia="Calibri"/>
        </w:rPr>
        <w:tab/>
        <w:t>Proc</w:t>
      </w:r>
      <w:r w:rsidR="007A26E2" w:rsidRPr="005B660C">
        <w:rPr>
          <w:rFonts w:eastAsia="Calibri"/>
        </w:rPr>
        <w:t>e</w:t>
      </w:r>
      <w:r w:rsidRPr="005B660C">
        <w:rPr>
          <w:rFonts w:eastAsia="Calibri"/>
        </w:rPr>
        <w:t xml:space="preserve">dures </w:t>
      </w:r>
    </w:p>
    <w:p w14:paraId="3ACA6A0C" w14:textId="401A6827" w:rsidR="007A26E2" w:rsidRPr="005B660C" w:rsidRDefault="007A26E2" w:rsidP="000A069B">
      <w:pPr>
        <w:rPr>
          <w:szCs w:val="24"/>
          <w:lang w:eastAsia="zh-CN"/>
        </w:rPr>
      </w:pPr>
      <w:r w:rsidRPr="005B660C">
        <w:rPr>
          <w:lang w:eastAsia="zh-CN"/>
        </w:rPr>
        <w:t>Study groups are encouraged to make use of documents, both approved and in draft form, provided</w:t>
      </w:r>
      <w:r w:rsidR="000A069B" w:rsidRPr="005B660C">
        <w:rPr>
          <w:lang w:eastAsia="zh-CN"/>
        </w:rPr>
        <w:t xml:space="preserve"> </w:t>
      </w:r>
      <w:r w:rsidRPr="005B660C">
        <w:rPr>
          <w:szCs w:val="24"/>
          <w:lang w:eastAsia="zh-CN"/>
        </w:rPr>
        <w:t>by standards development organizations, as appropriate. Similarly, standards development</w:t>
      </w:r>
      <w:r w:rsidR="000A069B" w:rsidRPr="005B660C">
        <w:rPr>
          <w:szCs w:val="24"/>
          <w:lang w:eastAsia="zh-CN"/>
        </w:rPr>
        <w:t xml:space="preserve"> </w:t>
      </w:r>
      <w:r w:rsidRPr="005B660C">
        <w:rPr>
          <w:szCs w:val="24"/>
          <w:lang w:eastAsia="zh-CN"/>
        </w:rPr>
        <w:t>organizations are encouraged to make use of draft or approved ITU-T Recommendations. This</w:t>
      </w:r>
      <w:r w:rsidR="000A069B" w:rsidRPr="005B660C">
        <w:rPr>
          <w:szCs w:val="24"/>
          <w:lang w:eastAsia="zh-CN"/>
        </w:rPr>
        <w:t xml:space="preserve"> </w:t>
      </w:r>
      <w:r w:rsidRPr="005B660C">
        <w:rPr>
          <w:szCs w:val="24"/>
          <w:lang w:eastAsia="zh-CN"/>
        </w:rPr>
        <w:t>Recommendation contains procedures for formal cooperation and exchange of information between</w:t>
      </w:r>
      <w:r w:rsidR="000A069B" w:rsidRPr="005B660C">
        <w:rPr>
          <w:szCs w:val="24"/>
          <w:lang w:eastAsia="zh-CN"/>
        </w:rPr>
        <w:t xml:space="preserve"> </w:t>
      </w:r>
      <w:r w:rsidRPr="005B660C">
        <w:rPr>
          <w:szCs w:val="24"/>
          <w:lang w:eastAsia="zh-CN"/>
        </w:rPr>
        <w:t>ITU-T study groups and standards development organizations that qualify, according to the criteria</w:t>
      </w:r>
      <w:r w:rsidR="000A069B" w:rsidRPr="005B660C">
        <w:rPr>
          <w:szCs w:val="24"/>
          <w:lang w:eastAsia="zh-CN"/>
        </w:rPr>
        <w:t xml:space="preserve"> </w:t>
      </w:r>
      <w:r w:rsidRPr="005B660C">
        <w:rPr>
          <w:szCs w:val="24"/>
          <w:lang w:eastAsia="zh-CN"/>
        </w:rPr>
        <w:t>in Annex A. In particular, this Recommendation addresses the case of an organization accepting</w:t>
      </w:r>
      <w:r w:rsidR="000A069B" w:rsidRPr="005B660C">
        <w:rPr>
          <w:szCs w:val="24"/>
          <w:lang w:eastAsia="zh-CN"/>
        </w:rPr>
        <w:t xml:space="preserve"> </w:t>
      </w:r>
      <w:r w:rsidRPr="005B660C">
        <w:rPr>
          <w:szCs w:val="24"/>
          <w:lang w:eastAsia="zh-CN"/>
        </w:rPr>
        <w:t>texts, in part or in whole, from another organization. The case of normative referencing is addressed</w:t>
      </w:r>
      <w:r w:rsidR="000A069B" w:rsidRPr="005B660C">
        <w:rPr>
          <w:szCs w:val="24"/>
          <w:lang w:eastAsia="zh-CN"/>
        </w:rPr>
        <w:t xml:space="preserve"> </w:t>
      </w:r>
      <w:r w:rsidRPr="005B660C">
        <w:rPr>
          <w:szCs w:val="24"/>
          <w:lang w:eastAsia="zh-CN"/>
        </w:rPr>
        <w:t>in Recommendation ITU-T A.5. Establishing a communication process provides a framework for</w:t>
      </w:r>
      <w:r w:rsidR="000A069B" w:rsidRPr="005B660C">
        <w:rPr>
          <w:szCs w:val="24"/>
          <w:lang w:eastAsia="zh-CN"/>
        </w:rPr>
        <w:t xml:space="preserve"> </w:t>
      </w:r>
      <w:r w:rsidRPr="005B660C">
        <w:rPr>
          <w:szCs w:val="24"/>
          <w:lang w:eastAsia="zh-CN"/>
        </w:rPr>
        <w:t>ongoing communications to:</w:t>
      </w:r>
    </w:p>
    <w:p w14:paraId="4900D7CE" w14:textId="615A7A6B" w:rsidR="007A26E2" w:rsidRPr="005B660C" w:rsidRDefault="007A26E2" w:rsidP="000A069B">
      <w:pPr>
        <w:pStyle w:val="enumlev1"/>
        <w:rPr>
          <w:lang w:eastAsia="zh-CN"/>
        </w:rPr>
      </w:pPr>
      <w:r w:rsidRPr="005B660C">
        <w:rPr>
          <w:lang w:eastAsia="zh-CN"/>
        </w:rPr>
        <w:t>–</w:t>
      </w:r>
      <w:r w:rsidR="000A069B" w:rsidRPr="005B660C">
        <w:rPr>
          <w:lang w:eastAsia="zh-CN"/>
        </w:rPr>
        <w:tab/>
      </w:r>
      <w:r w:rsidRPr="005B660C">
        <w:rPr>
          <w:lang w:eastAsia="zh-CN"/>
        </w:rPr>
        <w:t>prevent inadvertent duplication of effort, while allowing each organization to pursue its</w:t>
      </w:r>
      <w:r w:rsidR="000A069B" w:rsidRPr="005B660C">
        <w:rPr>
          <w:lang w:eastAsia="zh-CN"/>
        </w:rPr>
        <w:t xml:space="preserve"> </w:t>
      </w:r>
      <w:r w:rsidRPr="005B660C">
        <w:rPr>
          <w:lang w:eastAsia="zh-CN"/>
        </w:rPr>
        <w:t>own mandate;</w:t>
      </w:r>
    </w:p>
    <w:p w14:paraId="5237EB73" w14:textId="2A82B39D" w:rsidR="007A26E2" w:rsidRPr="005B660C" w:rsidRDefault="007A26E2" w:rsidP="000A069B">
      <w:pPr>
        <w:pStyle w:val="enumlev1"/>
        <w:rPr>
          <w:lang w:eastAsia="zh-CN"/>
        </w:rPr>
      </w:pPr>
      <w:r w:rsidRPr="005B660C">
        <w:rPr>
          <w:lang w:eastAsia="zh-CN"/>
        </w:rPr>
        <w:t>–</w:t>
      </w:r>
      <w:r w:rsidR="000A069B" w:rsidRPr="005B660C">
        <w:rPr>
          <w:lang w:eastAsia="zh-CN"/>
        </w:rPr>
        <w:tab/>
      </w:r>
      <w:r w:rsidRPr="005B660C">
        <w:rPr>
          <w:lang w:eastAsia="zh-CN"/>
        </w:rPr>
        <w:t>provide authoritative information regarding one organization's dependencies on the other's</w:t>
      </w:r>
      <w:r w:rsidR="000A069B" w:rsidRPr="005B660C">
        <w:rPr>
          <w:lang w:eastAsia="zh-CN"/>
        </w:rPr>
        <w:t xml:space="preserve"> </w:t>
      </w:r>
      <w:r w:rsidRPr="005B660C">
        <w:rPr>
          <w:lang w:eastAsia="zh-CN"/>
        </w:rPr>
        <w:t>work;</w:t>
      </w:r>
    </w:p>
    <w:p w14:paraId="55356D7C" w14:textId="05DB5A9B" w:rsidR="007A26E2" w:rsidRPr="005B660C" w:rsidRDefault="007A26E2" w:rsidP="000A069B">
      <w:pPr>
        <w:pStyle w:val="enumlev1"/>
        <w:rPr>
          <w:lang w:eastAsia="zh-CN"/>
        </w:rPr>
      </w:pPr>
      <w:r w:rsidRPr="005B660C">
        <w:rPr>
          <w:lang w:eastAsia="zh-CN"/>
        </w:rPr>
        <w:t>–</w:t>
      </w:r>
      <w:r w:rsidR="000A069B" w:rsidRPr="005B660C">
        <w:rPr>
          <w:lang w:eastAsia="zh-CN"/>
        </w:rPr>
        <w:tab/>
      </w:r>
      <w:r w:rsidRPr="005B660C">
        <w:rPr>
          <w:lang w:eastAsia="zh-CN"/>
        </w:rPr>
        <w:t>exchange information on topics of mutual interest.</w:t>
      </w:r>
    </w:p>
    <w:p w14:paraId="0B83A9F5" w14:textId="022D0485" w:rsidR="007A26E2" w:rsidRPr="005B660C" w:rsidRDefault="007A26E2" w:rsidP="000A069B">
      <w:pPr>
        <w:pStyle w:val="Heading2"/>
        <w:rPr>
          <w:lang w:eastAsia="zh-CN"/>
        </w:rPr>
      </w:pPr>
      <w:r w:rsidRPr="005B660C">
        <w:rPr>
          <w:lang w:eastAsia="zh-CN"/>
        </w:rPr>
        <w:t>2.1</w:t>
      </w:r>
      <w:r w:rsidR="000A069B" w:rsidRPr="005B660C">
        <w:rPr>
          <w:lang w:eastAsia="zh-CN"/>
        </w:rPr>
        <w:tab/>
      </w:r>
      <w:r w:rsidRPr="005B660C">
        <w:rPr>
          <w:lang w:eastAsia="zh-CN"/>
        </w:rPr>
        <w:t>Establishment of the process for cooperation and exchange of information</w:t>
      </w:r>
    </w:p>
    <w:p w14:paraId="1F9177EA" w14:textId="4D69C5CA" w:rsidR="007A26E2" w:rsidRPr="005B660C" w:rsidRDefault="007A26E2" w:rsidP="000A069B">
      <w:pPr>
        <w:rPr>
          <w:szCs w:val="24"/>
          <w:lang w:eastAsia="zh-CN"/>
        </w:rPr>
      </w:pPr>
      <w:r w:rsidRPr="005B660C">
        <w:rPr>
          <w:lang w:eastAsia="zh-CN"/>
        </w:rPr>
        <w:t>Establishment of a process for cooperation and exchange of information between ITU-T study</w:t>
      </w:r>
      <w:r w:rsidR="000A069B" w:rsidRPr="005B660C">
        <w:rPr>
          <w:lang w:eastAsia="zh-CN"/>
        </w:rPr>
        <w:t xml:space="preserve"> </w:t>
      </w:r>
      <w:r w:rsidRPr="005B660C">
        <w:rPr>
          <w:szCs w:val="24"/>
          <w:lang w:eastAsia="zh-CN"/>
        </w:rPr>
        <w:t xml:space="preserve">groups and </w:t>
      </w:r>
      <w:r w:rsidRPr="005B660C">
        <w:rPr>
          <w:szCs w:val="24"/>
          <w:highlight w:val="yellow"/>
          <w:lang w:eastAsia="zh-CN"/>
        </w:rPr>
        <w:t>regional or national</w:t>
      </w:r>
      <w:r w:rsidRPr="005B660C">
        <w:rPr>
          <w:szCs w:val="24"/>
          <w:lang w:eastAsia="zh-CN"/>
        </w:rPr>
        <w:t xml:space="preserve"> standards development organizations should be considered on a </w:t>
      </w:r>
      <w:r w:rsidRPr="005B660C">
        <w:rPr>
          <w:szCs w:val="24"/>
          <w:lang w:eastAsia="zh-CN"/>
        </w:rPr>
        <w:lastRenderedPageBreak/>
        <w:t>case-by-case basis, and should be evaluated with due care and diligence using the set of criteria in Annex A. For ITU-T, the process is established at the study group level; for standards development organizations, the process is established at the appropriate level. To avoid multiple requests to a standards development organization for information pertaining to the criteria in Annex A, and to facilitate evaluation by study groups, the Director of TSB makes such requests, and subsequently makes an analysis of the responses to verify that the organizations meet the relevant criteria. A schematic diagram of the process is provided in Appendix I.</w:t>
      </w:r>
    </w:p>
    <w:p w14:paraId="0070DB81" w14:textId="0ED13E0C" w:rsidR="007A26E2" w:rsidRPr="005B660C" w:rsidRDefault="007A26E2" w:rsidP="000A069B">
      <w:pPr>
        <w:pStyle w:val="Heading3"/>
        <w:rPr>
          <w:lang w:eastAsia="zh-CN"/>
        </w:rPr>
      </w:pPr>
      <w:r w:rsidRPr="005B660C">
        <w:rPr>
          <w:lang w:eastAsia="zh-CN"/>
        </w:rPr>
        <w:t>2.1.1</w:t>
      </w:r>
      <w:r w:rsidR="000A069B" w:rsidRPr="005B660C">
        <w:rPr>
          <w:lang w:eastAsia="zh-CN"/>
        </w:rPr>
        <w:tab/>
      </w:r>
      <w:r w:rsidRPr="005B660C">
        <w:rPr>
          <w:lang w:eastAsia="zh-CN"/>
        </w:rPr>
        <w:t>Exchange of information initiated by an ITU-T study group</w:t>
      </w:r>
    </w:p>
    <w:p w14:paraId="111CCDBB" w14:textId="4F723657" w:rsidR="00BA4679" w:rsidRPr="005B660C" w:rsidRDefault="007A26E2" w:rsidP="000A069B">
      <w:pPr>
        <w:rPr>
          <w:szCs w:val="24"/>
          <w:lang w:eastAsia="zh-CN"/>
        </w:rPr>
      </w:pPr>
      <w:r w:rsidRPr="005B660C">
        <w:rPr>
          <w:lang w:eastAsia="zh-CN"/>
        </w:rPr>
        <w:t>If a study group considers that it is beneficial to establish an exchange of information or documents</w:t>
      </w:r>
      <w:r w:rsidR="000A069B" w:rsidRPr="005B660C">
        <w:rPr>
          <w:lang w:eastAsia="zh-CN"/>
        </w:rPr>
        <w:t xml:space="preserve"> </w:t>
      </w:r>
      <w:r w:rsidRPr="005B660C">
        <w:rPr>
          <w:lang w:eastAsia="zh-CN"/>
        </w:rPr>
        <w:t xml:space="preserve">with a </w:t>
      </w:r>
      <w:bookmarkStart w:id="13" w:name="_Hlk156389739"/>
      <w:r w:rsidRPr="005B660C">
        <w:rPr>
          <w:highlight w:val="yellow"/>
          <w:lang w:eastAsia="zh-CN"/>
        </w:rPr>
        <w:t>regional or national</w:t>
      </w:r>
      <w:r w:rsidRPr="005B660C">
        <w:rPr>
          <w:lang w:eastAsia="zh-CN"/>
        </w:rPr>
        <w:t xml:space="preserve"> </w:t>
      </w:r>
      <w:bookmarkEnd w:id="13"/>
      <w:r w:rsidRPr="005B660C">
        <w:rPr>
          <w:lang w:eastAsia="zh-CN"/>
        </w:rPr>
        <w:t>standards development organization, the study group should first consult the ITU-T A.6-qualified organizations list (see 2.3) and obtain an analysis of that standards development organization from the Director. The study group reviews the analysis and decides whether or not to communicate with the standards development organization. If the standards development organization in question is not on the list, the study group chairman asks the Director to request the standards development organization to provide the information and fill in the questionnaire relating to the qualifying criteria set forth in Annex A. The Director performs a preliminary analysis of the standards development organization and transmits it to the affected study group(s), which shall review the analysis and make a decision whether or not to communicate. Any areas of concern should be immediately shared with other interested study group chairmen and the Director. If the study group decides to approve, the study group chairman</w:t>
      </w:r>
      <w:r w:rsidR="006C6158" w:rsidRPr="005B660C">
        <w:rPr>
          <w:lang w:eastAsia="zh-CN"/>
        </w:rPr>
        <w:t xml:space="preserve"> </w:t>
      </w:r>
      <w:r w:rsidR="007E21C5" w:rsidRPr="005B660C">
        <w:rPr>
          <w:szCs w:val="24"/>
          <w:lang w:eastAsia="zh-CN"/>
        </w:rPr>
        <w:t>establishes the cooperation document acceptance and exchange processes in accordance with 2.2.</w:t>
      </w:r>
    </w:p>
    <w:p w14:paraId="4FEB90D0" w14:textId="791B68D7" w:rsidR="000B76E2" w:rsidRPr="005B660C" w:rsidRDefault="000B76E2" w:rsidP="000A069B">
      <w:pPr>
        <w:pStyle w:val="Heading3"/>
        <w:rPr>
          <w:b w:val="0"/>
          <w:bCs/>
          <w:szCs w:val="24"/>
          <w:lang w:eastAsia="zh-CN"/>
        </w:rPr>
      </w:pPr>
      <w:r w:rsidRPr="005B660C">
        <w:rPr>
          <w:lang w:eastAsia="zh-CN"/>
        </w:rPr>
        <w:t>2.1.2</w:t>
      </w:r>
      <w:r w:rsidR="000A069B" w:rsidRPr="005B660C">
        <w:rPr>
          <w:lang w:eastAsia="zh-CN"/>
        </w:rPr>
        <w:tab/>
      </w:r>
      <w:r w:rsidRPr="005B660C">
        <w:rPr>
          <w:lang w:eastAsia="zh-CN"/>
        </w:rPr>
        <w:t>Exchange of information initiated by a national or regional standards development</w:t>
      </w:r>
      <w:r w:rsidR="000A069B" w:rsidRPr="005B660C">
        <w:rPr>
          <w:lang w:eastAsia="zh-CN"/>
        </w:rPr>
        <w:t xml:space="preserve"> </w:t>
      </w:r>
      <w:r w:rsidR="006C6158" w:rsidRPr="005B660C">
        <w:rPr>
          <w:bCs/>
          <w:szCs w:val="24"/>
          <w:lang w:eastAsia="zh-CN"/>
        </w:rPr>
        <w:t>o</w:t>
      </w:r>
      <w:r w:rsidRPr="005B660C">
        <w:rPr>
          <w:bCs/>
          <w:szCs w:val="24"/>
          <w:lang w:eastAsia="zh-CN"/>
        </w:rPr>
        <w:t>rganization</w:t>
      </w:r>
    </w:p>
    <w:p w14:paraId="1BD4EB90" w14:textId="18417888" w:rsidR="000B76E2" w:rsidRPr="005B660C" w:rsidRDefault="000B76E2" w:rsidP="000A069B">
      <w:pPr>
        <w:rPr>
          <w:szCs w:val="24"/>
          <w:lang w:eastAsia="zh-CN"/>
        </w:rPr>
      </w:pPr>
      <w:r w:rsidRPr="005B660C">
        <w:rPr>
          <w:lang w:eastAsia="zh-CN"/>
        </w:rPr>
        <w:t xml:space="preserve">If a </w:t>
      </w:r>
      <w:r w:rsidRPr="005B660C">
        <w:rPr>
          <w:highlight w:val="yellow"/>
          <w:lang w:eastAsia="zh-CN"/>
        </w:rPr>
        <w:t>regional or national</w:t>
      </w:r>
      <w:r w:rsidRPr="005B660C">
        <w:rPr>
          <w:lang w:eastAsia="zh-CN"/>
        </w:rPr>
        <w:t xml:space="preserve"> standards development organization contacts the Director of TSB to establish an exchange of</w:t>
      </w:r>
      <w:r w:rsidR="000A069B" w:rsidRPr="005B660C">
        <w:rPr>
          <w:lang w:eastAsia="zh-CN"/>
        </w:rPr>
        <w:t xml:space="preserve"> </w:t>
      </w:r>
      <w:r w:rsidRPr="005B660C">
        <w:rPr>
          <w:szCs w:val="24"/>
          <w:lang w:eastAsia="zh-CN"/>
        </w:rPr>
        <w:t>information or documents with ITU-T, the Director should first determine whether the exchange of</w:t>
      </w:r>
      <w:r w:rsidR="000A069B" w:rsidRPr="005B660C">
        <w:rPr>
          <w:szCs w:val="24"/>
          <w:lang w:eastAsia="zh-CN"/>
        </w:rPr>
        <w:t xml:space="preserve"> </w:t>
      </w:r>
      <w:r w:rsidRPr="005B660C">
        <w:rPr>
          <w:szCs w:val="24"/>
          <w:lang w:eastAsia="zh-CN"/>
        </w:rPr>
        <w:t>information or documents is relevant to:</w:t>
      </w:r>
    </w:p>
    <w:p w14:paraId="525DA2AB" w14:textId="10660D4A" w:rsidR="000B76E2" w:rsidRPr="005B660C" w:rsidRDefault="000B76E2" w:rsidP="000A069B">
      <w:pPr>
        <w:pStyle w:val="enumlev1"/>
        <w:rPr>
          <w:lang w:eastAsia="zh-CN"/>
        </w:rPr>
      </w:pPr>
      <w:r w:rsidRPr="005B660C">
        <w:rPr>
          <w:i/>
          <w:iCs/>
          <w:lang w:eastAsia="zh-CN"/>
        </w:rPr>
        <w:t>a)</w:t>
      </w:r>
      <w:r w:rsidR="000A069B" w:rsidRPr="005B660C">
        <w:rPr>
          <w:i/>
          <w:iCs/>
          <w:lang w:eastAsia="zh-CN"/>
        </w:rPr>
        <w:tab/>
      </w:r>
      <w:r w:rsidRPr="005B660C">
        <w:rPr>
          <w:lang w:eastAsia="zh-CN"/>
        </w:rPr>
        <w:t>the ITU-T Sector (for related policy issues); or</w:t>
      </w:r>
    </w:p>
    <w:p w14:paraId="6D364C2A" w14:textId="2C29878C" w:rsidR="000B76E2" w:rsidRPr="005B660C" w:rsidRDefault="000B76E2" w:rsidP="000A069B">
      <w:pPr>
        <w:pStyle w:val="enumlev1"/>
        <w:rPr>
          <w:lang w:eastAsia="zh-CN"/>
        </w:rPr>
      </w:pPr>
      <w:r w:rsidRPr="005B660C">
        <w:rPr>
          <w:i/>
          <w:iCs/>
          <w:lang w:eastAsia="zh-CN"/>
        </w:rPr>
        <w:t>b)</w:t>
      </w:r>
      <w:r w:rsidR="000A069B" w:rsidRPr="005B660C">
        <w:rPr>
          <w:i/>
          <w:iCs/>
          <w:lang w:eastAsia="zh-CN"/>
        </w:rPr>
        <w:tab/>
      </w:r>
      <w:r w:rsidRPr="005B660C">
        <w:rPr>
          <w:lang w:eastAsia="zh-CN"/>
        </w:rPr>
        <w:t>one or more study groups (for topics relating to their work).</w:t>
      </w:r>
    </w:p>
    <w:p w14:paraId="4E9C3A0F" w14:textId="46294470" w:rsidR="000B76E2" w:rsidRPr="005B660C" w:rsidRDefault="000B76E2" w:rsidP="000A069B">
      <w:pPr>
        <w:rPr>
          <w:szCs w:val="24"/>
          <w:lang w:eastAsia="zh-CN"/>
        </w:rPr>
      </w:pPr>
      <w:r w:rsidRPr="005B660C">
        <w:rPr>
          <w:lang w:eastAsia="zh-CN"/>
        </w:rPr>
        <w:t xml:space="preserve">In case </w:t>
      </w:r>
      <w:r w:rsidRPr="005B660C">
        <w:rPr>
          <w:i/>
          <w:iCs/>
          <w:lang w:eastAsia="zh-CN"/>
        </w:rPr>
        <w:t>a)</w:t>
      </w:r>
      <w:r w:rsidRPr="005B660C">
        <w:rPr>
          <w:lang w:eastAsia="zh-CN"/>
        </w:rPr>
        <w:t>, the Director evaluates the standards development organization according to the criteria in</w:t>
      </w:r>
      <w:r w:rsidR="000A069B" w:rsidRPr="005B660C">
        <w:rPr>
          <w:lang w:eastAsia="zh-CN"/>
        </w:rPr>
        <w:t xml:space="preserve"> </w:t>
      </w:r>
      <w:r w:rsidRPr="005B660C">
        <w:rPr>
          <w:szCs w:val="24"/>
          <w:lang w:eastAsia="zh-CN"/>
        </w:rPr>
        <w:t>Annex A. If the Director decides to approve, he establishes the exchange and informs TSAG and all</w:t>
      </w:r>
      <w:r w:rsidR="000A069B" w:rsidRPr="005B660C">
        <w:rPr>
          <w:szCs w:val="24"/>
          <w:lang w:eastAsia="zh-CN"/>
        </w:rPr>
        <w:t xml:space="preserve"> </w:t>
      </w:r>
      <w:r w:rsidRPr="005B660C">
        <w:rPr>
          <w:szCs w:val="24"/>
          <w:lang w:eastAsia="zh-CN"/>
        </w:rPr>
        <w:t>ITU-T study groups.</w:t>
      </w:r>
    </w:p>
    <w:p w14:paraId="6EC9F1AF" w14:textId="2C66B81A" w:rsidR="000B76E2" w:rsidRPr="005B660C" w:rsidRDefault="000B76E2" w:rsidP="000A069B">
      <w:pPr>
        <w:rPr>
          <w:szCs w:val="24"/>
          <w:lang w:eastAsia="zh-CN"/>
        </w:rPr>
      </w:pPr>
      <w:r w:rsidRPr="005B660C">
        <w:rPr>
          <w:lang w:eastAsia="zh-CN"/>
        </w:rPr>
        <w:t xml:space="preserve">In case </w:t>
      </w:r>
      <w:r w:rsidRPr="005B660C">
        <w:rPr>
          <w:i/>
          <w:iCs/>
          <w:lang w:eastAsia="zh-CN"/>
        </w:rPr>
        <w:t>b)</w:t>
      </w:r>
      <w:r w:rsidRPr="005B660C">
        <w:rPr>
          <w:lang w:eastAsia="zh-CN"/>
        </w:rPr>
        <w:t>, the Director performs an analysis and transmits it to the affected study group(s), which</w:t>
      </w:r>
      <w:r w:rsidR="000A069B" w:rsidRPr="005B660C">
        <w:rPr>
          <w:lang w:eastAsia="zh-CN"/>
        </w:rPr>
        <w:t xml:space="preserve"> </w:t>
      </w:r>
      <w:r w:rsidRPr="005B660C">
        <w:rPr>
          <w:szCs w:val="24"/>
          <w:lang w:eastAsia="zh-CN"/>
        </w:rPr>
        <w:t>shall review the analysis and make a decision whether or not to communicate. If multiple study groups are involved, the decision of each</w:t>
      </w:r>
      <w:r w:rsidR="007E21C5" w:rsidRPr="005B660C">
        <w:t xml:space="preserve"> </w:t>
      </w:r>
      <w:r w:rsidR="007E21C5" w:rsidRPr="005B660C">
        <w:rPr>
          <w:szCs w:val="24"/>
          <w:lang w:eastAsia="zh-CN"/>
        </w:rPr>
        <w:t>study group should be communicated to the others, to the</w:t>
      </w:r>
      <w:r w:rsidR="000A069B" w:rsidRPr="005B660C">
        <w:rPr>
          <w:szCs w:val="24"/>
          <w:lang w:eastAsia="zh-CN"/>
        </w:rPr>
        <w:t xml:space="preserve"> </w:t>
      </w:r>
      <w:r w:rsidR="007E21C5" w:rsidRPr="005B660C">
        <w:rPr>
          <w:szCs w:val="24"/>
          <w:lang w:eastAsia="zh-CN"/>
        </w:rPr>
        <w:t>TSAG and to the Director of TSB.</w:t>
      </w:r>
    </w:p>
    <w:p w14:paraId="51AC57CD" w14:textId="364520E2" w:rsidR="00BA4679" w:rsidRPr="005B660C" w:rsidRDefault="000B76E2" w:rsidP="000A069B">
      <w:pPr>
        <w:pStyle w:val="Heading2"/>
        <w:rPr>
          <w:szCs w:val="24"/>
          <w:lang w:eastAsia="zh-CN"/>
        </w:rPr>
      </w:pPr>
      <w:r w:rsidRPr="005B660C">
        <w:rPr>
          <w:rFonts w:eastAsia="Calibri"/>
        </w:rPr>
        <w:t>2.2</w:t>
      </w:r>
      <w:r w:rsidR="000A069B" w:rsidRPr="005B660C">
        <w:rPr>
          <w:rFonts w:eastAsia="Calibri"/>
        </w:rPr>
        <w:tab/>
      </w:r>
      <w:r w:rsidRPr="005B660C">
        <w:rPr>
          <w:rFonts w:eastAsia="Calibri"/>
        </w:rPr>
        <w:t>Process for cooperation and exchange of information once the process is established</w:t>
      </w:r>
    </w:p>
    <w:p w14:paraId="461E13F4" w14:textId="367F10B8" w:rsidR="000B76E2" w:rsidRPr="005B660C" w:rsidRDefault="000B76E2" w:rsidP="000A069B">
      <w:pPr>
        <w:pStyle w:val="Heading3"/>
        <w:rPr>
          <w:lang w:eastAsia="zh-CN"/>
        </w:rPr>
      </w:pPr>
      <w:r w:rsidRPr="005B660C">
        <w:rPr>
          <w:lang w:eastAsia="zh-CN"/>
        </w:rPr>
        <w:t>2.2.1</w:t>
      </w:r>
      <w:r w:rsidR="000A069B" w:rsidRPr="005B660C">
        <w:rPr>
          <w:lang w:eastAsia="zh-CN"/>
        </w:rPr>
        <w:tab/>
      </w:r>
      <w:r w:rsidRPr="005B660C">
        <w:rPr>
          <w:lang w:eastAsia="zh-CN"/>
        </w:rPr>
        <w:t>Documents sent to ITU-T A.6-qualified national and regional standards development organizations</w:t>
      </w:r>
    </w:p>
    <w:p w14:paraId="0034327E" w14:textId="61BB903A" w:rsidR="000B76E2" w:rsidRPr="005B660C" w:rsidRDefault="000B76E2" w:rsidP="006F5591">
      <w:pPr>
        <w:rPr>
          <w:szCs w:val="24"/>
          <w:lang w:eastAsia="zh-CN"/>
        </w:rPr>
      </w:pPr>
      <w:r w:rsidRPr="005B660C">
        <w:rPr>
          <w:lang w:eastAsia="zh-CN"/>
        </w:rPr>
        <w:t>A standards development organization may accept, in whole or in part, the text of a draft or</w:t>
      </w:r>
      <w:r w:rsidR="006F5591" w:rsidRPr="005B660C">
        <w:rPr>
          <w:lang w:eastAsia="zh-CN"/>
        </w:rPr>
        <w:t xml:space="preserve"> </w:t>
      </w:r>
      <w:r w:rsidRPr="005B660C">
        <w:rPr>
          <w:szCs w:val="24"/>
          <w:lang w:eastAsia="zh-CN"/>
        </w:rPr>
        <w:t>approved ITU-T Recommendation, as all or part of the text of its draft document, with or without</w:t>
      </w:r>
      <w:r w:rsidR="006F5591" w:rsidRPr="005B660C">
        <w:rPr>
          <w:szCs w:val="24"/>
          <w:lang w:eastAsia="zh-CN"/>
        </w:rPr>
        <w:t xml:space="preserve"> </w:t>
      </w:r>
      <w:r w:rsidRPr="005B660C">
        <w:rPr>
          <w:szCs w:val="24"/>
          <w:lang w:eastAsia="zh-CN"/>
        </w:rPr>
        <w:t>modification to the ITU-T text.</w:t>
      </w:r>
    </w:p>
    <w:p w14:paraId="7A2AA8B0" w14:textId="0FE12B59" w:rsidR="000B76E2" w:rsidRPr="005B660C" w:rsidRDefault="000B76E2" w:rsidP="006F5591">
      <w:pPr>
        <w:rPr>
          <w:szCs w:val="24"/>
          <w:lang w:eastAsia="zh-CN"/>
        </w:rPr>
      </w:pPr>
      <w:r w:rsidRPr="005B660C">
        <w:rPr>
          <w:lang w:eastAsia="zh-CN"/>
        </w:rPr>
        <w:t>When a standards development organization decides to accept ITU-T texts, it notifies TSB about</w:t>
      </w:r>
      <w:r w:rsidR="006F5591" w:rsidRPr="005B660C">
        <w:rPr>
          <w:lang w:eastAsia="zh-CN"/>
        </w:rPr>
        <w:t xml:space="preserve"> </w:t>
      </w:r>
      <w:r w:rsidRPr="005B660C">
        <w:rPr>
          <w:szCs w:val="24"/>
          <w:lang w:eastAsia="zh-CN"/>
        </w:rPr>
        <w:t>the actions taken concerning those texts. The use, acceptance or reproduction of such texts by the</w:t>
      </w:r>
      <w:r w:rsidR="006F5591" w:rsidRPr="005B660C">
        <w:rPr>
          <w:szCs w:val="24"/>
          <w:lang w:eastAsia="zh-CN"/>
        </w:rPr>
        <w:t xml:space="preserve"> </w:t>
      </w:r>
      <w:r w:rsidRPr="005B660C">
        <w:rPr>
          <w:szCs w:val="24"/>
          <w:lang w:eastAsia="zh-CN"/>
        </w:rPr>
        <w:t>standards development organization is subject to the copyright arrangements set out in 2.4.</w:t>
      </w:r>
    </w:p>
    <w:p w14:paraId="07171D92" w14:textId="363EFAF7" w:rsidR="000B76E2" w:rsidRPr="005B660C" w:rsidRDefault="000B76E2" w:rsidP="006F5591">
      <w:pPr>
        <w:rPr>
          <w:szCs w:val="24"/>
          <w:lang w:eastAsia="zh-CN"/>
        </w:rPr>
      </w:pPr>
      <w:r w:rsidRPr="005B660C">
        <w:rPr>
          <w:lang w:eastAsia="zh-CN"/>
        </w:rPr>
        <w:lastRenderedPageBreak/>
        <w:t>A proposal to send a liaison statement to an ITU-T A.6-qualified standards development</w:t>
      </w:r>
      <w:r w:rsidR="006F5591" w:rsidRPr="005B660C">
        <w:rPr>
          <w:lang w:eastAsia="zh-CN"/>
        </w:rPr>
        <w:t xml:space="preserve"> </w:t>
      </w:r>
      <w:r w:rsidRPr="005B660C">
        <w:rPr>
          <w:szCs w:val="24"/>
          <w:lang w:eastAsia="zh-CN"/>
        </w:rPr>
        <w:t>organization can arise from work by a rapporteur group, working party or study group. The decision</w:t>
      </w:r>
      <w:r w:rsidR="006F5591" w:rsidRPr="005B660C">
        <w:rPr>
          <w:szCs w:val="24"/>
          <w:lang w:eastAsia="zh-CN"/>
        </w:rPr>
        <w:t xml:space="preserve"> </w:t>
      </w:r>
      <w:r w:rsidRPr="005B660C">
        <w:rPr>
          <w:szCs w:val="24"/>
          <w:lang w:eastAsia="zh-CN"/>
        </w:rPr>
        <w:t>to send such information is made by the study group chairman in consultation with the relevant</w:t>
      </w:r>
      <w:r w:rsidR="006F5591" w:rsidRPr="005B660C">
        <w:rPr>
          <w:szCs w:val="24"/>
          <w:lang w:eastAsia="zh-CN"/>
        </w:rPr>
        <w:t xml:space="preserve"> </w:t>
      </w:r>
      <w:r w:rsidRPr="005B660C">
        <w:rPr>
          <w:szCs w:val="24"/>
          <w:lang w:eastAsia="zh-CN"/>
        </w:rPr>
        <w:t>working party chairman, and, if arising from a study group meeting, with the agreement of the study</w:t>
      </w:r>
      <w:r w:rsidR="006F5591" w:rsidRPr="005B660C">
        <w:rPr>
          <w:szCs w:val="24"/>
          <w:lang w:eastAsia="zh-CN"/>
        </w:rPr>
        <w:t xml:space="preserve"> </w:t>
      </w:r>
      <w:r w:rsidRPr="005B660C">
        <w:rPr>
          <w:szCs w:val="24"/>
          <w:lang w:eastAsia="zh-CN"/>
        </w:rPr>
        <w:t>group. The text is sent to the standards development organization by TSB on behalf of the study</w:t>
      </w:r>
      <w:r w:rsidR="006F5591" w:rsidRPr="005B660C">
        <w:rPr>
          <w:szCs w:val="24"/>
          <w:lang w:eastAsia="zh-CN"/>
        </w:rPr>
        <w:t xml:space="preserve"> </w:t>
      </w:r>
      <w:r w:rsidRPr="005B660C">
        <w:rPr>
          <w:szCs w:val="24"/>
          <w:lang w:eastAsia="zh-CN"/>
        </w:rPr>
        <w:t>group.</w:t>
      </w:r>
    </w:p>
    <w:p w14:paraId="1CA174B4" w14:textId="406A754E" w:rsidR="000B76E2" w:rsidRPr="005B660C" w:rsidRDefault="000B76E2" w:rsidP="006F5591">
      <w:pPr>
        <w:rPr>
          <w:szCs w:val="24"/>
          <w:lang w:eastAsia="zh-CN"/>
        </w:rPr>
      </w:pPr>
      <w:r w:rsidRPr="005B660C">
        <w:rPr>
          <w:lang w:eastAsia="zh-CN"/>
        </w:rPr>
        <w:t>When necessary, between scheduled meetings, the liaison statement may be prepared by an</w:t>
      </w:r>
      <w:r w:rsidR="006F5591" w:rsidRPr="005B660C">
        <w:rPr>
          <w:lang w:eastAsia="zh-CN"/>
        </w:rPr>
        <w:t xml:space="preserve"> </w:t>
      </w:r>
      <w:r w:rsidRPr="005B660C">
        <w:rPr>
          <w:szCs w:val="24"/>
          <w:lang w:eastAsia="zh-CN"/>
        </w:rPr>
        <w:t>appropriate correspondence process and approved by the study group chairman in consultation with the study group management.</w:t>
      </w:r>
    </w:p>
    <w:p w14:paraId="3E564C32" w14:textId="77777777" w:rsidR="006C6158" w:rsidRPr="005B660C" w:rsidRDefault="006C6158" w:rsidP="006C6158">
      <w:pPr>
        <w:pStyle w:val="Heading3"/>
      </w:pPr>
      <w:r w:rsidRPr="005B660C">
        <w:t>2.2.2</w:t>
      </w:r>
      <w:r w:rsidRPr="005B660C">
        <w:tab/>
        <w:t xml:space="preserve">Documents received from ITU-T A.6-qualified national and regional standards development organizations </w:t>
      </w:r>
    </w:p>
    <w:p w14:paraId="5494EBA7" w14:textId="77777777" w:rsidR="006C6158" w:rsidRPr="005B660C" w:rsidRDefault="006C6158" w:rsidP="006C6158">
      <w:r w:rsidRPr="005B660C">
        <w:t xml:space="preserve">An ITU-T study group may accept from an ITU-T A.6-qualified standards development organization, in whole or in part, the text of a draft document, or an approved document, as all or part of the text of a draft ITU-T Recommendation, with or without modification to the text. </w:t>
      </w:r>
    </w:p>
    <w:p w14:paraId="5B1AD4C1" w14:textId="77777777" w:rsidR="006C6158" w:rsidRPr="005B660C" w:rsidRDefault="006C6158" w:rsidP="006C6158">
      <w:r w:rsidRPr="005B660C">
        <w:t xml:space="preserve">When an ITU-T study group decides to accept texts from an ITU-T A.6-qualified standards development organization, it notifies the organization about the actions taken concerning those texts. The use, acceptance or reproduction of such texts by the ITU-T study group is subject to the copyright arrangements set out in 2.4. </w:t>
      </w:r>
    </w:p>
    <w:p w14:paraId="0E04BB1A" w14:textId="77777777" w:rsidR="006C6158" w:rsidRPr="005B660C" w:rsidRDefault="006C6158" w:rsidP="006C6158">
      <w:r w:rsidRPr="005B660C">
        <w:t xml:space="preserve">Documents submitted to the ITU-T study groups by ITU-T A.6-qualified standards development organizations should conform to criterion 8) in Annex A. </w:t>
      </w:r>
    </w:p>
    <w:p w14:paraId="072B0B71" w14:textId="4D8F5034" w:rsidR="006C6158" w:rsidRPr="005B660C" w:rsidRDefault="006C6158" w:rsidP="006C6158">
      <w:r w:rsidRPr="005B660C">
        <w:t xml:space="preserve">These documents are not issued as Contributions. As soon as they arrive they are made available, with the agreement of the study group chairman, for advance consideration by the relevant group. Moreover, they are issued as a document to the relevant group with a reference to the originating standards development organization, i.e. as a Temporary Document at a study group or working party meeting, or as a document at a rapporteur meeting. In the latter case, the receipt and disposition of the document received should be recorded in the report of the rapporteur meeting. </w:t>
      </w:r>
    </w:p>
    <w:p w14:paraId="2014A447" w14:textId="2B02029D" w:rsidR="000B76E2" w:rsidRPr="005B660C" w:rsidRDefault="000B76E2" w:rsidP="006C6158">
      <w:pPr>
        <w:pStyle w:val="Heading2"/>
        <w:rPr>
          <w:lang w:eastAsia="zh-CN"/>
        </w:rPr>
      </w:pPr>
      <w:r w:rsidRPr="005B660C">
        <w:rPr>
          <w:lang w:eastAsia="zh-CN"/>
        </w:rPr>
        <w:t>2.3</w:t>
      </w:r>
      <w:r w:rsidR="006F5591" w:rsidRPr="005B660C">
        <w:rPr>
          <w:lang w:eastAsia="zh-CN"/>
        </w:rPr>
        <w:tab/>
      </w:r>
      <w:r w:rsidRPr="005B660C">
        <w:rPr>
          <w:lang w:eastAsia="zh-CN"/>
        </w:rPr>
        <w:t xml:space="preserve">ITU-T A.6-qualified </w:t>
      </w:r>
      <w:bookmarkStart w:id="14" w:name="_Hlk156397332"/>
      <w:r w:rsidRPr="005B660C">
        <w:rPr>
          <w:highlight w:val="yellow"/>
          <w:lang w:eastAsia="zh-CN"/>
        </w:rPr>
        <w:t>regional or national</w:t>
      </w:r>
      <w:r w:rsidRPr="005B660C">
        <w:rPr>
          <w:lang w:eastAsia="zh-CN"/>
        </w:rPr>
        <w:t xml:space="preserve"> </w:t>
      </w:r>
      <w:bookmarkEnd w:id="14"/>
      <w:r w:rsidRPr="005B660C">
        <w:rPr>
          <w:lang w:eastAsia="zh-CN"/>
        </w:rPr>
        <w:t>organizations list</w:t>
      </w:r>
    </w:p>
    <w:p w14:paraId="2EE21FC9" w14:textId="168231F0" w:rsidR="000B76E2" w:rsidRPr="005B660C" w:rsidRDefault="000B76E2" w:rsidP="006F5591">
      <w:pPr>
        <w:rPr>
          <w:lang w:eastAsia="zh-CN"/>
        </w:rPr>
      </w:pPr>
      <w:r w:rsidRPr="005B660C">
        <w:rPr>
          <w:lang w:eastAsia="zh-CN"/>
        </w:rPr>
        <w:t xml:space="preserve">The Director of TSB is requested to maintain an up-to-date </w:t>
      </w:r>
      <w:r w:rsidR="007E21C5" w:rsidRPr="005B660C">
        <w:rPr>
          <w:lang w:eastAsia="zh-CN"/>
        </w:rPr>
        <w:t xml:space="preserve">list of </w:t>
      </w:r>
      <w:r w:rsidRPr="005B660C">
        <w:rPr>
          <w:lang w:eastAsia="zh-CN"/>
        </w:rPr>
        <w:t xml:space="preserve">ITU-T A.6-qualified </w:t>
      </w:r>
      <w:r w:rsidR="007E21C5" w:rsidRPr="005B660C">
        <w:rPr>
          <w:highlight w:val="yellow"/>
          <w:lang w:eastAsia="zh-CN"/>
        </w:rPr>
        <w:t>regional and national</w:t>
      </w:r>
      <w:r w:rsidR="007E21C5" w:rsidRPr="005B660C">
        <w:rPr>
          <w:lang w:eastAsia="zh-CN"/>
        </w:rPr>
        <w:t xml:space="preserve"> </w:t>
      </w:r>
      <w:r w:rsidRPr="005B660C">
        <w:rPr>
          <w:lang w:eastAsia="zh-CN"/>
        </w:rPr>
        <w:t xml:space="preserve">organizations </w:t>
      </w:r>
      <w:r w:rsidR="006C6158" w:rsidRPr="005B660C">
        <w:rPr>
          <w:lang w:eastAsia="zh-CN"/>
        </w:rPr>
        <w:t xml:space="preserve">list </w:t>
      </w:r>
      <w:r w:rsidRPr="005B660C">
        <w:rPr>
          <w:lang w:eastAsia="zh-CN"/>
        </w:rPr>
        <w:t>and associated analyses of the national and regional standards development organizations that are</w:t>
      </w:r>
      <w:r w:rsidR="007E21C5" w:rsidRPr="005B660C">
        <w:rPr>
          <w:lang w:eastAsia="zh-CN"/>
        </w:rPr>
        <w:t xml:space="preserve"> </w:t>
      </w:r>
      <w:r w:rsidRPr="005B660C">
        <w:rPr>
          <w:lang w:eastAsia="zh-CN"/>
        </w:rPr>
        <w:t>under evaluation and/or have been approved for cooperation and exchange of information, including identification of the study groups concerned, and make it available online</w:t>
      </w:r>
      <w:r w:rsidR="006C6158" w:rsidRPr="005B660C">
        <w:rPr>
          <w:lang w:eastAsia="zh-CN"/>
        </w:rPr>
        <w:t>.</w:t>
      </w:r>
    </w:p>
    <w:p w14:paraId="1C1CC5DA" w14:textId="22F4E657" w:rsidR="000B76E2" w:rsidRPr="005B660C" w:rsidRDefault="000B76E2" w:rsidP="006F5591">
      <w:pPr>
        <w:pStyle w:val="Heading2"/>
        <w:rPr>
          <w:lang w:eastAsia="zh-CN"/>
        </w:rPr>
      </w:pPr>
      <w:r w:rsidRPr="005B660C">
        <w:rPr>
          <w:lang w:eastAsia="zh-CN"/>
        </w:rPr>
        <w:t>2.4</w:t>
      </w:r>
      <w:r w:rsidR="006F5591" w:rsidRPr="005B660C">
        <w:rPr>
          <w:lang w:eastAsia="zh-CN"/>
        </w:rPr>
        <w:tab/>
      </w:r>
      <w:r w:rsidRPr="005B660C">
        <w:rPr>
          <w:lang w:eastAsia="zh-CN"/>
        </w:rPr>
        <w:t>Copyright arrangements</w:t>
      </w:r>
    </w:p>
    <w:p w14:paraId="19AF9D87" w14:textId="6121C900" w:rsidR="000B76E2" w:rsidRPr="005B660C" w:rsidRDefault="000B76E2" w:rsidP="006F5591">
      <w:pPr>
        <w:rPr>
          <w:szCs w:val="24"/>
          <w:lang w:eastAsia="zh-CN"/>
        </w:rPr>
      </w:pPr>
      <w:r w:rsidRPr="005B660C">
        <w:rPr>
          <w:lang w:eastAsia="zh-CN"/>
        </w:rPr>
        <w:t>The subject of modifications to texts and arrangements for royalty-free copyright licenses, including</w:t>
      </w:r>
      <w:r w:rsidR="006F5591" w:rsidRPr="005B660C">
        <w:rPr>
          <w:lang w:eastAsia="zh-CN"/>
        </w:rPr>
        <w:t xml:space="preserve"> </w:t>
      </w:r>
      <w:r w:rsidRPr="005B660C">
        <w:rPr>
          <w:szCs w:val="24"/>
          <w:lang w:eastAsia="zh-CN"/>
        </w:rPr>
        <w:t xml:space="preserve">the right to sub-license, for texts accepted by either ITU-T or by ITU-T A.6-qualified </w:t>
      </w:r>
      <w:bookmarkStart w:id="15" w:name="_Hlk156397419"/>
      <w:r w:rsidR="00343276" w:rsidRPr="005B660C">
        <w:rPr>
          <w:szCs w:val="24"/>
          <w:highlight w:val="yellow"/>
          <w:lang w:eastAsia="zh-CN"/>
        </w:rPr>
        <w:t>regional or</w:t>
      </w:r>
      <w:r w:rsidR="00343276" w:rsidRPr="005B660C">
        <w:rPr>
          <w:szCs w:val="24"/>
          <w:lang w:eastAsia="zh-CN"/>
        </w:rPr>
        <w:t xml:space="preserve"> </w:t>
      </w:r>
      <w:r w:rsidR="00343276" w:rsidRPr="005B660C">
        <w:rPr>
          <w:szCs w:val="24"/>
          <w:highlight w:val="yellow"/>
          <w:lang w:eastAsia="zh-CN"/>
        </w:rPr>
        <w:t>national</w:t>
      </w:r>
      <w:bookmarkEnd w:id="15"/>
      <w:r w:rsidR="00343276" w:rsidRPr="005B660C">
        <w:rPr>
          <w:szCs w:val="24"/>
          <w:lang w:eastAsia="zh-CN"/>
        </w:rPr>
        <w:t xml:space="preserve"> </w:t>
      </w:r>
      <w:r w:rsidRPr="005B660C">
        <w:rPr>
          <w:szCs w:val="24"/>
          <w:lang w:eastAsia="zh-CN"/>
        </w:rPr>
        <w:t>standards</w:t>
      </w:r>
      <w:r w:rsidR="00343276" w:rsidRPr="005B660C">
        <w:rPr>
          <w:szCs w:val="24"/>
          <w:lang w:eastAsia="zh-CN"/>
        </w:rPr>
        <w:t xml:space="preserve"> </w:t>
      </w:r>
      <w:r w:rsidRPr="005B660C">
        <w:rPr>
          <w:szCs w:val="24"/>
          <w:lang w:eastAsia="zh-CN"/>
        </w:rPr>
        <w:t>development organizations and their publishers and others, is a matter to be agreed upon between</w:t>
      </w:r>
      <w:r w:rsidR="00343276" w:rsidRPr="005B660C">
        <w:rPr>
          <w:szCs w:val="24"/>
          <w:lang w:eastAsia="zh-CN"/>
        </w:rPr>
        <w:t xml:space="preserve"> </w:t>
      </w:r>
      <w:r w:rsidRPr="005B660C">
        <w:rPr>
          <w:szCs w:val="24"/>
          <w:lang w:eastAsia="zh-CN"/>
        </w:rPr>
        <w:t xml:space="preserve">TSB and the particular </w:t>
      </w:r>
      <w:r w:rsidR="007E21C5" w:rsidRPr="005B660C">
        <w:rPr>
          <w:szCs w:val="24"/>
          <w:highlight w:val="yellow"/>
          <w:lang w:eastAsia="zh-CN"/>
        </w:rPr>
        <w:t>regional or</w:t>
      </w:r>
      <w:r w:rsidR="007E21C5" w:rsidRPr="005B660C">
        <w:rPr>
          <w:szCs w:val="24"/>
          <w:lang w:eastAsia="zh-CN"/>
        </w:rPr>
        <w:t xml:space="preserve"> </w:t>
      </w:r>
      <w:r w:rsidR="007E21C5" w:rsidRPr="005B660C">
        <w:rPr>
          <w:szCs w:val="24"/>
          <w:highlight w:val="yellow"/>
          <w:lang w:eastAsia="zh-CN"/>
        </w:rPr>
        <w:t>national</w:t>
      </w:r>
      <w:r w:rsidR="007E21C5" w:rsidRPr="005B660C">
        <w:rPr>
          <w:szCs w:val="24"/>
          <w:lang w:eastAsia="zh-CN"/>
        </w:rPr>
        <w:t xml:space="preserve"> </w:t>
      </w:r>
      <w:r w:rsidRPr="005B660C">
        <w:rPr>
          <w:szCs w:val="24"/>
          <w:lang w:eastAsia="zh-CN"/>
        </w:rPr>
        <w:t>standards development organization. However, the originating organization</w:t>
      </w:r>
      <w:r w:rsidR="00343276" w:rsidRPr="005B660C">
        <w:rPr>
          <w:szCs w:val="24"/>
          <w:lang w:eastAsia="zh-CN"/>
        </w:rPr>
        <w:t xml:space="preserve"> </w:t>
      </w:r>
      <w:r w:rsidRPr="005B660C">
        <w:rPr>
          <w:szCs w:val="24"/>
          <w:lang w:eastAsia="zh-CN"/>
        </w:rPr>
        <w:t>retains the copyright for its texts.</w:t>
      </w:r>
    </w:p>
    <w:p w14:paraId="013B0ED3" w14:textId="12B6F234" w:rsidR="000B76E2" w:rsidRPr="005B660C" w:rsidRDefault="000B76E2" w:rsidP="006F5591">
      <w:pPr>
        <w:pStyle w:val="Heading2"/>
        <w:rPr>
          <w:lang w:eastAsia="zh-CN"/>
        </w:rPr>
      </w:pPr>
      <w:r w:rsidRPr="005B660C">
        <w:rPr>
          <w:lang w:eastAsia="zh-CN"/>
        </w:rPr>
        <w:t>2.5</w:t>
      </w:r>
      <w:r w:rsidR="006F5591" w:rsidRPr="005B660C">
        <w:rPr>
          <w:lang w:eastAsia="zh-CN"/>
        </w:rPr>
        <w:tab/>
      </w:r>
      <w:r w:rsidRPr="005B660C">
        <w:rPr>
          <w:lang w:eastAsia="zh-CN"/>
        </w:rPr>
        <w:t>Electronic document exchange</w:t>
      </w:r>
    </w:p>
    <w:p w14:paraId="5A329A64" w14:textId="32166D7D" w:rsidR="00BA4679" w:rsidRPr="005B660C" w:rsidRDefault="000B76E2" w:rsidP="006F5591">
      <w:pPr>
        <w:rPr>
          <w:szCs w:val="24"/>
          <w:lang w:eastAsia="zh-CN"/>
        </w:rPr>
      </w:pPr>
      <w:r w:rsidRPr="005B660C">
        <w:rPr>
          <w:lang w:eastAsia="zh-CN"/>
        </w:rPr>
        <w:t>Where possible, the exchange of documents will be in electronic format. Questions of electronic</w:t>
      </w:r>
      <w:r w:rsidR="006F5591" w:rsidRPr="005B660C">
        <w:rPr>
          <w:lang w:eastAsia="zh-CN"/>
        </w:rPr>
        <w:t xml:space="preserve"> </w:t>
      </w:r>
      <w:r w:rsidRPr="005B660C">
        <w:rPr>
          <w:szCs w:val="24"/>
          <w:lang w:eastAsia="zh-CN"/>
        </w:rPr>
        <w:t>links to enable document exchange is to be agreed upon by the Secretariats of the organizations</w:t>
      </w:r>
      <w:r w:rsidR="00343276" w:rsidRPr="005B660C">
        <w:rPr>
          <w:szCs w:val="24"/>
          <w:lang w:eastAsia="zh-CN"/>
        </w:rPr>
        <w:t xml:space="preserve"> </w:t>
      </w:r>
      <w:r w:rsidRPr="005B660C">
        <w:rPr>
          <w:szCs w:val="24"/>
          <w:lang w:eastAsia="zh-CN"/>
        </w:rPr>
        <w:t>concerned</w:t>
      </w:r>
      <w:r w:rsidR="005B660C" w:rsidRPr="005B660C">
        <w:rPr>
          <w:szCs w:val="24"/>
          <w:lang w:eastAsia="zh-CN"/>
        </w:rPr>
        <w:t>.</w:t>
      </w:r>
    </w:p>
    <w:p w14:paraId="053FAD12" w14:textId="77777777" w:rsidR="00BA4679" w:rsidRPr="00343276" w:rsidRDefault="00BA4679" w:rsidP="00BA4679">
      <w:pPr>
        <w:spacing w:before="0" w:after="160" w:line="259" w:lineRule="auto"/>
        <w:jc w:val="center"/>
        <w:rPr>
          <w:rFonts w:eastAsia="Calibri"/>
          <w:sz w:val="22"/>
          <w:szCs w:val="22"/>
        </w:rPr>
      </w:pPr>
      <w:r w:rsidRPr="005B660C">
        <w:rPr>
          <w:rFonts w:eastAsia="Calibri"/>
          <w:sz w:val="22"/>
          <w:szCs w:val="22"/>
        </w:rPr>
        <w:t>_________________</w:t>
      </w:r>
    </w:p>
    <w:sectPr w:rsidR="00BA4679" w:rsidRPr="00343276" w:rsidSect="00BA4679">
      <w:headerReference w:type="even" r:id="rId15"/>
      <w:headerReference w:type="default" r:id="rId16"/>
      <w:footerReference w:type="even" r:id="rId17"/>
      <w:footerReference w:type="default" r:id="rId18"/>
      <w:headerReference w:type="first" r:id="rId19"/>
      <w:footerReference w:type="first" r:id="rId20"/>
      <w:pgSz w:w="11907" w:h="16834"/>
      <w:pgMar w:top="1417" w:right="1134" w:bottom="1417" w:left="1134" w:header="720"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LING-E" w:date="2024-01-17T13:01:00Z" w:initials="LING-E">
    <w:p w14:paraId="42B032D4" w14:textId="108FE158" w:rsidR="007A50DE" w:rsidRDefault="007A50DE">
      <w:pPr>
        <w:pStyle w:val="CommentText"/>
      </w:pPr>
      <w:r>
        <w:rPr>
          <w:rStyle w:val="CommentReference"/>
        </w:rPr>
        <w:annotationRef/>
      </w:r>
      <w:r>
        <w:t xml:space="preserve">This has been highlighted as new text in the contribution but seems identical to </w:t>
      </w:r>
      <w:r w:rsidR="007A26E2">
        <w:t xml:space="preserve">the text of </w:t>
      </w:r>
      <w:r w:rsidR="007A26E2" w:rsidRPr="00B34FA4">
        <w:rPr>
          <w:rFonts w:eastAsia="Calibri"/>
        </w:rPr>
        <w:t>Recomm</w:t>
      </w:r>
      <w:r w:rsidR="007A26E2">
        <w:rPr>
          <w:rFonts w:eastAsia="Calibri"/>
        </w:rPr>
        <w:t>e</w:t>
      </w:r>
      <w:r w:rsidR="007A26E2" w:rsidRPr="00B34FA4">
        <w:rPr>
          <w:rFonts w:eastAsia="Calibri"/>
        </w:rPr>
        <w:t>ndation ITU-T A.6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B032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524E34" w16cex:dateUtc="2024-01-17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B032D4" w16cid:durableId="29524E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DA54E" w14:textId="77777777" w:rsidR="00BA4679" w:rsidRDefault="00BA4679">
      <w:pPr>
        <w:spacing w:before="0"/>
      </w:pPr>
      <w:r>
        <w:separator/>
      </w:r>
    </w:p>
  </w:endnote>
  <w:endnote w:type="continuationSeparator" w:id="0">
    <w:p w14:paraId="75CE2D7C" w14:textId="77777777" w:rsidR="00BA4679" w:rsidRDefault="00BA467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0E3F" w14:textId="77777777" w:rsidR="00574D9B" w:rsidRDefault="00574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C8857" w14:textId="00BF1BDA" w:rsidR="007E21C5" w:rsidRPr="00574D9B" w:rsidRDefault="007E21C5" w:rsidP="00574D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F429" w14:textId="57431804" w:rsidR="000A069B" w:rsidRPr="00574D9B" w:rsidRDefault="000A069B" w:rsidP="00574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14CBD" w14:textId="77777777" w:rsidR="00BA4679" w:rsidRDefault="00BA4679">
      <w:r>
        <w:t>____________________</w:t>
      </w:r>
    </w:p>
  </w:footnote>
  <w:footnote w:type="continuationSeparator" w:id="0">
    <w:p w14:paraId="3F653E79" w14:textId="77777777" w:rsidR="00BA4679" w:rsidRDefault="00BA467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43C5" w14:textId="77777777" w:rsidR="00574D9B" w:rsidRDefault="00574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2F73C" w14:textId="322875E2" w:rsidR="00BA4679" w:rsidRPr="00BA4679" w:rsidRDefault="00BA4679" w:rsidP="00BA4679">
    <w:pPr>
      <w:pStyle w:val="Header"/>
    </w:pPr>
    <w:r w:rsidRPr="00BA4679">
      <w:t xml:space="preserve">- </w:t>
    </w:r>
    <w:r w:rsidRPr="00BA4679">
      <w:fldChar w:fldCharType="begin"/>
    </w:r>
    <w:r w:rsidRPr="00BA4679">
      <w:instrText xml:space="preserve"> PAGE  \* MERGEFORMAT </w:instrText>
    </w:r>
    <w:r w:rsidRPr="00BA4679">
      <w:fldChar w:fldCharType="separate"/>
    </w:r>
    <w:r w:rsidRPr="00BA4679">
      <w:rPr>
        <w:noProof/>
      </w:rPr>
      <w:t>1</w:t>
    </w:r>
    <w:r w:rsidRPr="00BA4679">
      <w:fldChar w:fldCharType="end"/>
    </w:r>
    <w:r w:rsidRPr="00BA4679">
      <w:t xml:space="preserve"> -</w:t>
    </w:r>
  </w:p>
  <w:p w14:paraId="7322621F" w14:textId="683D4E32" w:rsidR="00BA4679" w:rsidRPr="00BA4679" w:rsidRDefault="00BA4679" w:rsidP="00BA4679">
    <w:pPr>
      <w:pStyle w:val="Header"/>
      <w:spacing w:after="240"/>
    </w:pPr>
    <w:r w:rsidRPr="00BA4679">
      <w:fldChar w:fldCharType="begin"/>
    </w:r>
    <w:r w:rsidRPr="00BA4679">
      <w:instrText xml:space="preserve"> STYLEREF  Docnumber  </w:instrText>
    </w:r>
    <w:r w:rsidRPr="00BA4679">
      <w:fldChar w:fldCharType="separate"/>
    </w:r>
    <w:r w:rsidR="00574D9B">
      <w:rPr>
        <w:noProof/>
      </w:rPr>
      <w:t>TSAG–C82</w:t>
    </w:r>
    <w:r w:rsidRPr="00BA4679">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BDD7" w14:textId="77777777" w:rsidR="00574D9B" w:rsidRDefault="00574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26556"/>
    <w:multiLevelType w:val="hybridMultilevel"/>
    <w:tmpl w:val="ABE029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AB36BA"/>
    <w:multiLevelType w:val="hybridMultilevel"/>
    <w:tmpl w:val="52FAD606"/>
    <w:lvl w:ilvl="0" w:tplc="7F72CAD0">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CA6E0C"/>
    <w:multiLevelType w:val="hybridMultilevel"/>
    <w:tmpl w:val="19841C42"/>
    <w:lvl w:ilvl="0" w:tplc="7F72CAD0">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9A2F81"/>
    <w:multiLevelType w:val="hybridMultilevel"/>
    <w:tmpl w:val="35C410CA"/>
    <w:lvl w:ilvl="0" w:tplc="7F72CAD0">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BE71A0"/>
    <w:multiLevelType w:val="hybridMultilevel"/>
    <w:tmpl w:val="2F0A208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18455309">
    <w:abstractNumId w:val="1"/>
  </w:num>
  <w:num w:numId="2" w16cid:durableId="187765236">
    <w:abstractNumId w:val="0"/>
  </w:num>
  <w:num w:numId="3" w16cid:durableId="1832482493">
    <w:abstractNumId w:val="4"/>
  </w:num>
  <w:num w:numId="4" w16cid:durableId="337585548">
    <w:abstractNumId w:val="2"/>
  </w:num>
  <w:num w:numId="5" w16cid:durableId="497382380">
    <w:abstractNumId w:val="3"/>
  </w:num>
  <w:num w:numId="6" w16cid:durableId="2209685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G-E">
    <w15:presenceInfo w15:providerId="None" w15:userId="LI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679"/>
    <w:rsid w:val="000A069B"/>
    <w:rsid w:val="000B76E2"/>
    <w:rsid w:val="00162B05"/>
    <w:rsid w:val="00246FB7"/>
    <w:rsid w:val="002748E7"/>
    <w:rsid w:val="002909A5"/>
    <w:rsid w:val="002B40A5"/>
    <w:rsid w:val="002C42FA"/>
    <w:rsid w:val="00307588"/>
    <w:rsid w:val="003264E0"/>
    <w:rsid w:val="00343276"/>
    <w:rsid w:val="003D378C"/>
    <w:rsid w:val="003D771B"/>
    <w:rsid w:val="00402467"/>
    <w:rsid w:val="004430D1"/>
    <w:rsid w:val="00490695"/>
    <w:rsid w:val="005607B7"/>
    <w:rsid w:val="005629BB"/>
    <w:rsid w:val="00574D9B"/>
    <w:rsid w:val="005B50FD"/>
    <w:rsid w:val="005B660C"/>
    <w:rsid w:val="0062068C"/>
    <w:rsid w:val="00663D31"/>
    <w:rsid w:val="00681E88"/>
    <w:rsid w:val="006C6158"/>
    <w:rsid w:val="006C737B"/>
    <w:rsid w:val="006F4536"/>
    <w:rsid w:val="006F5591"/>
    <w:rsid w:val="0071424D"/>
    <w:rsid w:val="007A26E2"/>
    <w:rsid w:val="007A50DE"/>
    <w:rsid w:val="007E21C5"/>
    <w:rsid w:val="008059E9"/>
    <w:rsid w:val="0092102E"/>
    <w:rsid w:val="00A41FB9"/>
    <w:rsid w:val="00A854BF"/>
    <w:rsid w:val="00AA6CF8"/>
    <w:rsid w:val="00AE5EFA"/>
    <w:rsid w:val="00B34FA4"/>
    <w:rsid w:val="00B9546E"/>
    <w:rsid w:val="00BA4679"/>
    <w:rsid w:val="00D11FFC"/>
    <w:rsid w:val="00D62222"/>
    <w:rsid w:val="00E12352"/>
    <w:rsid w:val="00E64461"/>
    <w:rsid w:val="00ED724C"/>
    <w:rsid w:val="00F97273"/>
    <w:rsid w:val="00FA7FB7"/>
    <w:rsid w:val="00FD3609"/>
    <w:rsid w:val="00FE6AF5"/>
    <w:rsid w:val="00FF1292"/>
    <w:rsid w:val="00FF27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639E9"/>
  <w15:docId w15:val="{D1824A86-AE92-4A7A-B808-3C77CFAE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paragraph" w:customStyle="1" w:styleId="AppendixNotitle">
    <w:name w:val="Appendix_No &amp; title"/>
    <w:basedOn w:val="AnnexNotitle"/>
    <w:next w:val="Normal"/>
  </w:style>
  <w:style w:type="paragraph" w:customStyle="1" w:styleId="AnnexNotitle">
    <w:name w:val="Annex_No &amp; title"/>
    <w:basedOn w:val="Normal"/>
    <w:next w:val="Normal"/>
    <w:pPr>
      <w:keepNext/>
      <w:keepLines/>
      <w:spacing w:before="48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enumlev1">
    <w:name w:val="enumlev1"/>
    <w:basedOn w:val="Normal"/>
    <w:next w:val="Normal"/>
    <w:pPr>
      <w:spacing w:before="80"/>
      <w:ind w:left="794" w:hanging="794"/>
    </w:pPr>
  </w:style>
  <w:style w:type="paragraph" w:customStyle="1" w:styleId="enumlev2">
    <w:name w:val="enumlev2"/>
    <w:basedOn w:val="enumlev1"/>
    <w:next w:val="Normal"/>
    <w:pPr>
      <w:ind w:left="1191" w:hanging="397"/>
    </w:pPr>
  </w:style>
  <w:style w:type="paragraph" w:customStyle="1" w:styleId="enumlev3">
    <w:name w:val="enumlev3"/>
    <w:basedOn w:val="enumlev2"/>
    <w:next w:val="Normal"/>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character" w:styleId="PageNumber">
    <w:name w:val="page number"/>
    <w:basedOn w:val="DefaultParagraphFont"/>
    <w:semiHidden/>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semiHidden/>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semiHidden/>
    <w:pPr>
      <w:tabs>
        <w:tab w:val="clear" w:pos="794"/>
        <w:tab w:val="clear" w:pos="1191"/>
        <w:tab w:val="clear" w:pos="1588"/>
        <w:tab w:val="clear" w:pos="1985"/>
      </w:tabs>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Headingb">
    <w:name w:val="Heading_b"/>
    <w:basedOn w:val="Normal"/>
    <w:next w:val="Normal"/>
    <w:pPr>
      <w:keepNext/>
      <w:spacing w:before="160"/>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FooterPubl">
    <w:name w:val="Footer_Publ"/>
    <w:basedOn w:val="Normal"/>
    <w:pPr>
      <w:tabs>
        <w:tab w:val="clear" w:pos="794"/>
        <w:tab w:val="clear" w:pos="1191"/>
        <w:tab w:val="clear" w:pos="1588"/>
        <w:tab w:val="clear" w:pos="1985"/>
        <w:tab w:val="left" w:pos="5954"/>
        <w:tab w:val="right" w:pos="9639"/>
      </w:tabs>
      <w:spacing w:before="60" w:after="60"/>
    </w:pPr>
    <w:rPr>
      <w:sz w:val="18"/>
    </w:rPr>
  </w:style>
  <w:style w:type="paragraph" w:customStyle="1" w:styleId="Docnumber">
    <w:name w:val="Docnumber"/>
    <w:basedOn w:val="Normal"/>
    <w:link w:val="DocnumberChar"/>
    <w:qFormat/>
    <w:rsid w:val="00BA4679"/>
    <w:pPr>
      <w:jc w:val="right"/>
    </w:pPr>
    <w:rPr>
      <w:b/>
      <w:bCs/>
      <w:sz w:val="40"/>
    </w:rPr>
  </w:style>
  <w:style w:type="character" w:customStyle="1" w:styleId="DocnumberChar">
    <w:name w:val="Docnumber Char"/>
    <w:basedOn w:val="DefaultParagraphFont"/>
    <w:link w:val="Docnumber"/>
    <w:rsid w:val="00BA4679"/>
    <w:rPr>
      <w:rFonts w:ascii="Times New Roman" w:hAnsi="Times New Roman"/>
      <w:b/>
      <w:bCs/>
      <w:sz w:val="40"/>
      <w:lang w:val="en-GB" w:eastAsia="en-US"/>
    </w:rPr>
  </w:style>
  <w:style w:type="character" w:styleId="Hyperlink">
    <w:name w:val="Hyperlink"/>
    <w:aliases w:val="超级链接,超链接1,하이퍼링크2,Style 58,하이퍼링크21,超?级链,超????,CEO_Hyperlink"/>
    <w:basedOn w:val="DefaultParagraphFont"/>
    <w:uiPriority w:val="99"/>
    <w:qFormat/>
    <w:rsid w:val="00BA4679"/>
    <w:rPr>
      <w:color w:val="0000FF"/>
      <w:u w:val="single"/>
    </w:rPr>
  </w:style>
  <w:style w:type="paragraph" w:styleId="ListParagraph">
    <w:name w:val="List Paragraph"/>
    <w:basedOn w:val="Normal"/>
    <w:uiPriority w:val="34"/>
    <w:rsid w:val="00BA4679"/>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paragraph" w:customStyle="1" w:styleId="TSBHeaderSummary">
    <w:name w:val="TSBHeaderSummary"/>
    <w:basedOn w:val="Normal"/>
    <w:rsid w:val="00BA4679"/>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character" w:customStyle="1" w:styleId="rynqvb">
    <w:name w:val="rynqvb"/>
    <w:basedOn w:val="DefaultParagraphFont"/>
    <w:rsid w:val="00BA4679"/>
  </w:style>
  <w:style w:type="table" w:styleId="TableGrid">
    <w:name w:val="Table Grid"/>
    <w:basedOn w:val="TableNormal"/>
    <w:rsid w:val="00BA4679"/>
    <w:rPr>
      <w:rFonts w:asciiTheme="minorHAnsi" w:eastAsiaTheme="minorEastAsia"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50DE"/>
    <w:rPr>
      <w:sz w:val="16"/>
      <w:szCs w:val="16"/>
    </w:rPr>
  </w:style>
  <w:style w:type="paragraph" w:styleId="CommentText">
    <w:name w:val="annotation text"/>
    <w:basedOn w:val="Normal"/>
    <w:link w:val="CommentTextChar"/>
    <w:uiPriority w:val="99"/>
    <w:semiHidden/>
    <w:unhideWhenUsed/>
    <w:rsid w:val="007A50DE"/>
    <w:rPr>
      <w:sz w:val="20"/>
    </w:rPr>
  </w:style>
  <w:style w:type="character" w:customStyle="1" w:styleId="CommentTextChar">
    <w:name w:val="Comment Text Char"/>
    <w:basedOn w:val="DefaultParagraphFont"/>
    <w:link w:val="CommentText"/>
    <w:uiPriority w:val="99"/>
    <w:semiHidden/>
    <w:rsid w:val="007A50DE"/>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7A50DE"/>
    <w:rPr>
      <w:b/>
      <w:bCs/>
    </w:rPr>
  </w:style>
  <w:style w:type="character" w:customStyle="1" w:styleId="CommentSubjectChar">
    <w:name w:val="Comment Subject Char"/>
    <w:basedOn w:val="CommentTextChar"/>
    <w:link w:val="CommentSubject"/>
    <w:uiPriority w:val="99"/>
    <w:semiHidden/>
    <w:rsid w:val="007A50DE"/>
    <w:rPr>
      <w:rFonts w:ascii="Times New Roman" w:hAnsi="Times New Roman"/>
      <w:b/>
      <w:bCs/>
      <w:lang w:val="en-GB" w:eastAsia="en-US"/>
    </w:rPr>
  </w:style>
  <w:style w:type="character" w:customStyle="1" w:styleId="FooterChar">
    <w:name w:val="Footer Char"/>
    <w:basedOn w:val="DefaultParagraphFont"/>
    <w:link w:val="Footer"/>
    <w:semiHidden/>
    <w:rsid w:val="000A069B"/>
    <w:rPr>
      <w:rFonts w:ascii="Times New Roman" w:hAnsi="Times New Roman"/>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ulinetsafak@yahoo.fr" TargetMode="Externa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lbassong@ymail.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pauline.tsafak@minpostel.gov.cm" TargetMode="External"/><Relationship Id="rId14" Type="http://schemas.microsoft.com/office/2018/08/relationships/commentsExtensible" Target="commentsExtensible.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TSB\PE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PE_TSB.dotm</Template>
  <TotalTime>4</TotalTime>
  <Pages>10</Pages>
  <Words>3745</Words>
  <Characters>21710</Characters>
  <Application>Microsoft Office Word</Application>
  <DocSecurity>4</DocSecurity>
  <Lines>1550</Lines>
  <Paragraphs>877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TPU E RR</dc:creator>
  <cp:keywords/>
  <dc:description>TSAG–C82  For: xxx_x000d_Document date: _x000d_Saved by ITU51017649 at 12:18:54 on 10.01.24</dc:description>
  <cp:lastModifiedBy>Al-Mnini, Lara</cp:lastModifiedBy>
  <cp:revision>2</cp:revision>
  <cp:lastPrinted>2002-04-25T17:28:00Z</cp:lastPrinted>
  <dcterms:created xsi:type="dcterms:W3CDTF">2024-01-17T15:30:00Z</dcterms:created>
  <dcterms:modified xsi:type="dcterms:W3CDTF">2024-01-17T15:30:00Z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TSAG–C82</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xxx</vt:lpwstr>
  </property>
  <property fmtid="{D5CDD505-2E9C-101B-9397-08002B2CF9AE}" pid="7" name="Docauthor">
    <vt:lpwstr/>
  </property>
</Properties>
</file>