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10E7E4E4" w14:textId="77777777" w:rsidTr="0081064E">
        <w:trPr>
          <w:cantSplit/>
          <w:jc w:val="center"/>
        </w:trPr>
        <w:tc>
          <w:tcPr>
            <w:tcW w:w="1134" w:type="dxa"/>
            <w:vMerge w:val="restart"/>
            <w:vAlign w:val="center"/>
          </w:tcPr>
          <w:p w14:paraId="5926A56E" w14:textId="77777777" w:rsidR="005A64A7" w:rsidRPr="00567F52" w:rsidRDefault="005A64A7" w:rsidP="0081064E">
            <w:pPr>
              <w:spacing w:before="0"/>
              <w:jc w:val="center"/>
            </w:pPr>
            <w:r>
              <w:rPr>
                <w:noProof/>
              </w:rPr>
              <w:drawing>
                <wp:inline distT="0" distB="0" distL="0" distR="0" wp14:anchorId="353B815F" wp14:editId="46DEE51D">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3AA5442E" w14:textId="77777777" w:rsidR="005A64A7" w:rsidRPr="00F70513" w:rsidRDefault="005A64A7" w:rsidP="009F42B3">
            <w:pPr>
              <w:rPr>
                <w:sz w:val="16"/>
                <w:szCs w:val="16"/>
              </w:rPr>
            </w:pPr>
            <w:r w:rsidRPr="00F70513">
              <w:rPr>
                <w:sz w:val="16"/>
                <w:szCs w:val="16"/>
              </w:rPr>
              <w:t>INTERNATIONAL TELECOMMUNICATION UNION</w:t>
            </w:r>
          </w:p>
          <w:p w14:paraId="71355CAB"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273102A9"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1E3FCEA9" w14:textId="5AB62981" w:rsidR="005A64A7" w:rsidRPr="0095099F" w:rsidRDefault="005A64A7" w:rsidP="005A64A7">
            <w:pPr>
              <w:pStyle w:val="Docnumber"/>
              <w:rPr>
                <w:highlight w:val="yellow"/>
              </w:rPr>
            </w:pPr>
            <w:r w:rsidRPr="001970B3">
              <w:rPr>
                <w:noProof/>
              </w:rPr>
              <w:t>TSAG</w:t>
            </w:r>
            <w:r w:rsidRPr="005C4F27">
              <w:t>-C</w:t>
            </w:r>
            <w:r w:rsidR="00E14FCE" w:rsidRPr="00E14FCE">
              <w:t>84</w:t>
            </w:r>
          </w:p>
        </w:tc>
      </w:tr>
      <w:tr w:rsidR="005A64A7" w:rsidRPr="0095099F" w14:paraId="70175E3D" w14:textId="77777777" w:rsidTr="009B75B3">
        <w:trPr>
          <w:cantSplit/>
          <w:jc w:val="center"/>
        </w:trPr>
        <w:tc>
          <w:tcPr>
            <w:tcW w:w="1134" w:type="dxa"/>
            <w:vMerge/>
          </w:tcPr>
          <w:p w14:paraId="2B44BAD9" w14:textId="77777777" w:rsidR="005A64A7" w:rsidRPr="00072A4E" w:rsidRDefault="005A64A7" w:rsidP="00FD35D4">
            <w:pPr>
              <w:rPr>
                <w:smallCaps/>
                <w:sz w:val="20"/>
              </w:rPr>
            </w:pPr>
          </w:p>
        </w:tc>
        <w:tc>
          <w:tcPr>
            <w:tcW w:w="3969" w:type="dxa"/>
            <w:gridSpan w:val="2"/>
            <w:vMerge/>
          </w:tcPr>
          <w:p w14:paraId="06C0DD45" w14:textId="77777777" w:rsidR="005A64A7" w:rsidRPr="00072A4E" w:rsidRDefault="005A64A7" w:rsidP="00FD35D4">
            <w:pPr>
              <w:rPr>
                <w:smallCaps/>
                <w:sz w:val="20"/>
              </w:rPr>
            </w:pPr>
          </w:p>
        </w:tc>
        <w:tc>
          <w:tcPr>
            <w:tcW w:w="4537" w:type="dxa"/>
            <w:gridSpan w:val="3"/>
          </w:tcPr>
          <w:p w14:paraId="2FF549A7"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19DA4AEE" w14:textId="77777777" w:rsidTr="009B75B3">
        <w:trPr>
          <w:cantSplit/>
          <w:jc w:val="center"/>
        </w:trPr>
        <w:tc>
          <w:tcPr>
            <w:tcW w:w="1134" w:type="dxa"/>
            <w:vMerge/>
            <w:tcBorders>
              <w:bottom w:val="single" w:sz="12" w:space="0" w:color="auto"/>
            </w:tcBorders>
          </w:tcPr>
          <w:p w14:paraId="4B872A71" w14:textId="77777777" w:rsidR="005A64A7" w:rsidRPr="0037415F" w:rsidRDefault="005A64A7" w:rsidP="00691C94">
            <w:pPr>
              <w:rPr>
                <w:b/>
                <w:bCs/>
                <w:sz w:val="26"/>
              </w:rPr>
            </w:pPr>
          </w:p>
        </w:tc>
        <w:tc>
          <w:tcPr>
            <w:tcW w:w="3969" w:type="dxa"/>
            <w:gridSpan w:val="2"/>
            <w:vMerge/>
            <w:tcBorders>
              <w:bottom w:val="single" w:sz="12" w:space="0" w:color="auto"/>
            </w:tcBorders>
          </w:tcPr>
          <w:p w14:paraId="1B741AA1"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502E4357" w14:textId="77777777" w:rsidR="005A64A7" w:rsidRPr="00363445" w:rsidRDefault="005A64A7" w:rsidP="006F4361">
            <w:pPr>
              <w:pStyle w:val="TSBHeaderRight14"/>
            </w:pPr>
            <w:r w:rsidRPr="00363445">
              <w:t>Original: English</w:t>
            </w:r>
          </w:p>
        </w:tc>
      </w:tr>
      <w:tr w:rsidR="005A64A7" w:rsidRPr="0037415F" w14:paraId="727AF8F2" w14:textId="77777777" w:rsidTr="00D57D7F">
        <w:trPr>
          <w:cantSplit/>
          <w:jc w:val="center"/>
        </w:trPr>
        <w:tc>
          <w:tcPr>
            <w:tcW w:w="1418" w:type="dxa"/>
            <w:gridSpan w:val="2"/>
          </w:tcPr>
          <w:p w14:paraId="66795CA2" w14:textId="77777777" w:rsidR="005A64A7" w:rsidRPr="0037415F" w:rsidRDefault="005A64A7" w:rsidP="00691C94">
            <w:pPr>
              <w:rPr>
                <w:b/>
                <w:bCs/>
              </w:rPr>
            </w:pPr>
            <w:r w:rsidRPr="0037415F">
              <w:rPr>
                <w:b/>
                <w:bCs/>
              </w:rPr>
              <w:t>Question(s):</w:t>
            </w:r>
          </w:p>
        </w:tc>
        <w:tc>
          <w:tcPr>
            <w:tcW w:w="3827" w:type="dxa"/>
            <w:gridSpan w:val="2"/>
          </w:tcPr>
          <w:p w14:paraId="58E39A54" w14:textId="3C0A5F30" w:rsidR="005A64A7" w:rsidRPr="00FA2E6D" w:rsidRDefault="00CD20D8" w:rsidP="002534C9">
            <w:pPr>
              <w:pStyle w:val="TSBHeaderQuestion"/>
              <w:rPr>
                <w:highlight w:val="yellow"/>
              </w:rPr>
            </w:pPr>
            <w:r w:rsidRPr="00363445">
              <w:rPr>
                <w:noProof/>
              </w:rPr>
              <w:t>RG-IEM</w:t>
            </w:r>
          </w:p>
        </w:tc>
        <w:tc>
          <w:tcPr>
            <w:tcW w:w="4395" w:type="dxa"/>
            <w:gridSpan w:val="2"/>
          </w:tcPr>
          <w:p w14:paraId="2EA45C70" w14:textId="1E32FA98" w:rsidR="005A64A7" w:rsidRPr="00363445" w:rsidRDefault="00CD20D8" w:rsidP="0081064E">
            <w:pPr>
              <w:pStyle w:val="VenueDate"/>
            </w:pPr>
            <w:r w:rsidRPr="00363445">
              <w:t>Geneva</w:t>
            </w:r>
            <w:r w:rsidR="005A64A7" w:rsidRPr="00363445">
              <w:t xml:space="preserve">, </w:t>
            </w:r>
            <w:r w:rsidRPr="00363445">
              <w:t>22-26 January 2024</w:t>
            </w:r>
            <w:r w:rsidR="005A64A7" w:rsidRPr="00363445">
              <w:t>]</w:t>
            </w:r>
          </w:p>
        </w:tc>
      </w:tr>
      <w:tr w:rsidR="005A64A7" w:rsidRPr="00A4045F" w14:paraId="7CAE7F81" w14:textId="77777777" w:rsidTr="00BC1FAE">
        <w:trPr>
          <w:cantSplit/>
          <w:jc w:val="center"/>
        </w:trPr>
        <w:tc>
          <w:tcPr>
            <w:tcW w:w="9640" w:type="dxa"/>
            <w:gridSpan w:val="6"/>
          </w:tcPr>
          <w:p w14:paraId="72AD47F5" w14:textId="77777777" w:rsidR="005A64A7" w:rsidRPr="00363445" w:rsidRDefault="005A64A7" w:rsidP="0095099F">
            <w:pPr>
              <w:jc w:val="center"/>
              <w:rPr>
                <w:b/>
                <w:bCs/>
              </w:rPr>
            </w:pPr>
            <w:r w:rsidRPr="00363445">
              <w:rPr>
                <w:b/>
                <w:bCs/>
              </w:rPr>
              <w:t>CONTRIBUTION</w:t>
            </w:r>
          </w:p>
        </w:tc>
      </w:tr>
      <w:tr w:rsidR="005A64A7" w:rsidRPr="0037415F" w14:paraId="608C3118" w14:textId="77777777" w:rsidTr="00D57D7F">
        <w:trPr>
          <w:cantSplit/>
          <w:jc w:val="center"/>
        </w:trPr>
        <w:tc>
          <w:tcPr>
            <w:tcW w:w="1418" w:type="dxa"/>
            <w:gridSpan w:val="2"/>
          </w:tcPr>
          <w:p w14:paraId="4D5E81A8" w14:textId="77777777" w:rsidR="005A64A7" w:rsidRPr="0037415F" w:rsidRDefault="005A64A7" w:rsidP="00691C94">
            <w:pPr>
              <w:rPr>
                <w:b/>
                <w:bCs/>
              </w:rPr>
            </w:pPr>
            <w:r>
              <w:rPr>
                <w:b/>
                <w:bCs/>
              </w:rPr>
              <w:t>Source:</w:t>
            </w:r>
          </w:p>
        </w:tc>
        <w:tc>
          <w:tcPr>
            <w:tcW w:w="8222" w:type="dxa"/>
            <w:gridSpan w:val="4"/>
          </w:tcPr>
          <w:p w14:paraId="3DA0E55F" w14:textId="510681A9" w:rsidR="005A64A7" w:rsidRPr="00363445" w:rsidRDefault="00CD20D8" w:rsidP="002534C9">
            <w:pPr>
              <w:pStyle w:val="TSBHeaderSource"/>
            </w:pPr>
            <w:r w:rsidRPr="00363445">
              <w:t>Broadcom Europe Ltd.</w:t>
            </w:r>
          </w:p>
        </w:tc>
      </w:tr>
      <w:tr w:rsidR="005A64A7" w:rsidRPr="0037415F" w14:paraId="044DE424" w14:textId="77777777" w:rsidTr="00D57D7F">
        <w:trPr>
          <w:cantSplit/>
          <w:jc w:val="center"/>
        </w:trPr>
        <w:tc>
          <w:tcPr>
            <w:tcW w:w="1418" w:type="dxa"/>
            <w:gridSpan w:val="2"/>
          </w:tcPr>
          <w:p w14:paraId="7D445FC6" w14:textId="77777777" w:rsidR="005A64A7" w:rsidRPr="0037415F" w:rsidRDefault="005A64A7" w:rsidP="00691C94">
            <w:r w:rsidRPr="0037415F">
              <w:rPr>
                <w:b/>
                <w:bCs/>
              </w:rPr>
              <w:t>Title:</w:t>
            </w:r>
          </w:p>
        </w:tc>
        <w:tc>
          <w:tcPr>
            <w:tcW w:w="8222" w:type="dxa"/>
            <w:gridSpan w:val="4"/>
          </w:tcPr>
          <w:p w14:paraId="431B2B03" w14:textId="597CA04D" w:rsidR="005A64A7" w:rsidRPr="00363445" w:rsidRDefault="003C2BDC" w:rsidP="00054813">
            <w:pPr>
              <w:pStyle w:val="TSBHeaderTitle"/>
            </w:pPr>
            <w:r>
              <w:t>Progressing</w:t>
            </w:r>
            <w:r w:rsidR="00363445">
              <w:t xml:space="preserve"> RG-IEM </w:t>
            </w:r>
            <w:proofErr w:type="spellStart"/>
            <w:r w:rsidR="00363445">
              <w:t>ToR</w:t>
            </w:r>
            <w:proofErr w:type="spellEnd"/>
            <w:r w:rsidR="00363445">
              <w:t xml:space="preserve"> item 3 on ‘new and emerging technologies’</w:t>
            </w:r>
          </w:p>
        </w:tc>
      </w:tr>
      <w:tr w:rsidR="005A64A7" w:rsidRPr="0037415F" w14:paraId="11472FA1" w14:textId="77777777" w:rsidTr="0081064E">
        <w:trPr>
          <w:cantSplit/>
          <w:jc w:val="center"/>
        </w:trPr>
        <w:tc>
          <w:tcPr>
            <w:tcW w:w="1418" w:type="dxa"/>
            <w:gridSpan w:val="2"/>
            <w:tcBorders>
              <w:top w:val="single" w:sz="6" w:space="0" w:color="auto"/>
              <w:bottom w:val="single" w:sz="6" w:space="0" w:color="auto"/>
            </w:tcBorders>
          </w:tcPr>
          <w:p w14:paraId="3B35E895"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1E287C1D" w14:textId="42C361EE" w:rsidR="005A64A7" w:rsidRPr="00363445" w:rsidRDefault="00CD20D8" w:rsidP="005C4F27">
            <w:r w:rsidRPr="00363445">
              <w:t>Arnaud Taddei</w:t>
            </w:r>
            <w:r w:rsidR="005A64A7" w:rsidRPr="00363445">
              <w:br/>
            </w:r>
            <w:r w:rsidR="00363445" w:rsidRPr="00363445">
              <w:t>Broadcom Europe Ltd.</w:t>
            </w:r>
            <w:r w:rsidR="005A64A7" w:rsidRPr="00363445">
              <w:br/>
            </w:r>
            <w:r w:rsidR="00363445" w:rsidRPr="00363445">
              <w:t>United Kingdom</w:t>
            </w:r>
          </w:p>
        </w:tc>
        <w:tc>
          <w:tcPr>
            <w:tcW w:w="4111" w:type="dxa"/>
            <w:tcBorders>
              <w:top w:val="single" w:sz="6" w:space="0" w:color="auto"/>
              <w:bottom w:val="single" w:sz="6" w:space="0" w:color="auto"/>
            </w:tcBorders>
          </w:tcPr>
          <w:p w14:paraId="122E322A" w14:textId="3F7FBE74" w:rsidR="005A64A7" w:rsidRPr="00363445" w:rsidRDefault="005A64A7" w:rsidP="00B57342">
            <w:pPr>
              <w:tabs>
                <w:tab w:val="left" w:pos="794"/>
              </w:tabs>
            </w:pPr>
            <w:r w:rsidRPr="00363445">
              <w:t>Tel:</w:t>
            </w:r>
            <w:r w:rsidRPr="00363445">
              <w:tab/>
              <w:t>+</w:t>
            </w:r>
            <w:r w:rsidR="00363445" w:rsidRPr="00363445">
              <w:t>41795061129</w:t>
            </w:r>
            <w:r w:rsidRPr="00363445">
              <w:br/>
              <w:t>E-mail:</w:t>
            </w:r>
            <w:r w:rsidRPr="00363445">
              <w:tab/>
            </w:r>
            <w:r w:rsidR="00363445" w:rsidRPr="00363445">
              <w:t>Arnaud.Taddei@broadcom.com</w:t>
            </w:r>
          </w:p>
        </w:tc>
      </w:tr>
    </w:tbl>
    <w:p w14:paraId="7CF53055"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D549AB5" w14:textId="77777777" w:rsidTr="00D57D7F">
        <w:trPr>
          <w:cantSplit/>
          <w:jc w:val="center"/>
        </w:trPr>
        <w:tc>
          <w:tcPr>
            <w:tcW w:w="1418" w:type="dxa"/>
          </w:tcPr>
          <w:p w14:paraId="654C2104" w14:textId="77777777" w:rsidR="005A64A7" w:rsidRPr="008F7104" w:rsidRDefault="005A64A7" w:rsidP="00EB6775">
            <w:pPr>
              <w:rPr>
                <w:b/>
                <w:bCs/>
              </w:rPr>
            </w:pPr>
            <w:r w:rsidRPr="008F7104">
              <w:rPr>
                <w:b/>
                <w:bCs/>
              </w:rPr>
              <w:t>Abstract:</w:t>
            </w:r>
          </w:p>
        </w:tc>
        <w:tc>
          <w:tcPr>
            <w:tcW w:w="8222" w:type="dxa"/>
          </w:tcPr>
          <w:p w14:paraId="349B8546" w14:textId="2AA36089" w:rsidR="005A64A7" w:rsidRPr="00165942" w:rsidRDefault="00363445" w:rsidP="00165942">
            <w:pPr>
              <w:pStyle w:val="TSBHeaderSummary"/>
              <w:rPr>
                <w:highlight w:val="yellow"/>
              </w:rPr>
            </w:pPr>
            <w:r w:rsidRPr="00363445">
              <w:t xml:space="preserve">This contribution proposes </w:t>
            </w:r>
            <w:r w:rsidR="00E14FCE">
              <w:t xml:space="preserve">a way forward </w:t>
            </w:r>
            <w:r w:rsidRPr="00363445">
              <w:t xml:space="preserve">to </w:t>
            </w:r>
            <w:r w:rsidR="004A6479">
              <w:t>progress</w:t>
            </w:r>
            <w:r w:rsidRPr="00363445">
              <w:t xml:space="preserve"> RG-IEM </w:t>
            </w:r>
            <w:proofErr w:type="spellStart"/>
            <w:r w:rsidRPr="00363445">
              <w:t>ToR</w:t>
            </w:r>
            <w:proofErr w:type="spellEnd"/>
            <w:r w:rsidRPr="00363445">
              <w:t xml:space="preserve"> item 3 on ‘new and emerging technologies’</w:t>
            </w:r>
          </w:p>
        </w:tc>
      </w:tr>
    </w:tbl>
    <w:p w14:paraId="41BFE825" w14:textId="77777777" w:rsidR="005A64A7" w:rsidRDefault="005A64A7" w:rsidP="0089088E"/>
    <w:p w14:paraId="72DE9946" w14:textId="680F649A" w:rsidR="008D27FE" w:rsidRDefault="008D27FE" w:rsidP="008D27FE">
      <w:pPr>
        <w:pStyle w:val="Heading1"/>
      </w:pPr>
      <w:r>
        <w:t>Introduction</w:t>
      </w:r>
    </w:p>
    <w:p w14:paraId="5A9CD5D6" w14:textId="77777777" w:rsidR="00363445" w:rsidRDefault="00363445" w:rsidP="00363445">
      <w:r>
        <w:t>As a reminder, RG-IEM is tasked</w:t>
      </w:r>
      <w:r>
        <w:rPr>
          <w:rStyle w:val="FootnoteReference"/>
        </w:rPr>
        <w:footnoteReference w:id="1"/>
      </w:r>
      <w:r>
        <w:t xml:space="preserve"> to: </w:t>
      </w:r>
    </w:p>
    <w:p w14:paraId="7E30C801" w14:textId="5B1653B5" w:rsidR="00363445" w:rsidRPr="008D27FE" w:rsidRDefault="00363445" w:rsidP="00363445">
      <w:pPr>
        <w:numPr>
          <w:ilvl w:val="0"/>
          <w:numId w:val="11"/>
        </w:numPr>
        <w:spacing w:after="60"/>
        <w:ind w:left="714" w:hanging="357"/>
        <w:rPr>
          <w:i/>
          <w:iCs/>
          <w:sz w:val="21"/>
          <w:szCs w:val="21"/>
        </w:rPr>
      </w:pPr>
      <w:r w:rsidRPr="00B61D17">
        <w:rPr>
          <w:i/>
          <w:iCs/>
          <w:sz w:val="21"/>
          <w:szCs w:val="21"/>
        </w:rPr>
        <w:t>Establish an appropriate mechanism at TSAG level to be used at the study group level and at the Focus group level to examine and coordinate work on new and emerging technologies (Res.22 resolves 5, 6, 7).</w:t>
      </w:r>
    </w:p>
    <w:p w14:paraId="335718DB" w14:textId="544796E5" w:rsidR="00363445" w:rsidRDefault="00363445" w:rsidP="00363445">
      <w:r>
        <w:t xml:space="preserve">After several iterations </w:t>
      </w:r>
      <w:r w:rsidR="00E0702C">
        <w:t xml:space="preserve">(in particular </w:t>
      </w:r>
      <w:hyperlink r:id="rId11" w:history="1">
        <w:r w:rsidR="00E0702C" w:rsidRPr="008C54D5">
          <w:rPr>
            <w:rStyle w:val="Hyperlink"/>
          </w:rPr>
          <w:t>TD258</w:t>
        </w:r>
      </w:hyperlink>
      <w:r w:rsidR="00E0702C">
        <w:t xml:space="preserve"> and other contributions) </w:t>
      </w:r>
      <w:r>
        <w:t xml:space="preserve">in </w:t>
      </w:r>
      <w:r w:rsidR="00E0702C">
        <w:t xml:space="preserve">the </w:t>
      </w:r>
      <w:r>
        <w:t>RG-IEM</w:t>
      </w:r>
      <w:r w:rsidR="000118DA">
        <w:t xml:space="preserve"> rapporteur group meetings</w:t>
      </w:r>
      <w:r>
        <w:t xml:space="preserve">, </w:t>
      </w:r>
      <w:r w:rsidR="00E0702C">
        <w:t xml:space="preserve">at the last TSAG, </w:t>
      </w:r>
      <w:r>
        <w:t xml:space="preserve">Broadcom offered a problem decomposition and analysis as per </w:t>
      </w:r>
      <w:hyperlink r:id="rId12" w:history="1">
        <w:r w:rsidRPr="000306EE">
          <w:rPr>
            <w:rStyle w:val="Hyperlink"/>
          </w:rPr>
          <w:t>C31</w:t>
        </w:r>
      </w:hyperlink>
      <w:r>
        <w:t>.</w:t>
      </w:r>
    </w:p>
    <w:p w14:paraId="41B42554" w14:textId="1A27091E" w:rsidR="00363445" w:rsidRDefault="00363445" w:rsidP="00363445">
      <w:r>
        <w:t>In this latter contribution, on purpose, Broadcom didn’t want to propose a first candidate mechanism as the analysis revealed a lot of ‘grey’ areas and the requirement to address some of the issues</w:t>
      </w:r>
      <w:r w:rsidR="000118DA">
        <w:t xml:space="preserve"> first.</w:t>
      </w:r>
    </w:p>
    <w:p w14:paraId="3708DB96" w14:textId="669573B3" w:rsidR="00363445" w:rsidRDefault="00363445" w:rsidP="00363445">
      <w:r>
        <w:t xml:space="preserve">To summarize the situation, the table below re-uses the </w:t>
      </w:r>
      <w:r w:rsidRPr="00EE0F3D">
        <w:rPr>
          <w:i/>
          <w:iCs/>
        </w:rPr>
        <w:t xml:space="preserve">Table 1 – RG-IEM </w:t>
      </w:r>
      <w:proofErr w:type="spellStart"/>
      <w:r w:rsidRPr="00EE0F3D">
        <w:rPr>
          <w:i/>
          <w:iCs/>
        </w:rPr>
        <w:t>ToR</w:t>
      </w:r>
      <w:proofErr w:type="spellEnd"/>
      <w:r w:rsidRPr="00EE0F3D">
        <w:rPr>
          <w:i/>
          <w:iCs/>
        </w:rPr>
        <w:t xml:space="preserve"> item breakdown</w:t>
      </w:r>
      <w:r>
        <w:t xml:space="preserve"> from </w:t>
      </w:r>
      <w:hyperlink r:id="rId13" w:history="1">
        <w:r w:rsidR="000118DA" w:rsidRPr="000306EE">
          <w:rPr>
            <w:rStyle w:val="Hyperlink"/>
          </w:rPr>
          <w:t>C31</w:t>
        </w:r>
      </w:hyperlink>
      <w:r>
        <w:t xml:space="preserve"> and provides a status and actions needed:</w:t>
      </w:r>
    </w:p>
    <w:p w14:paraId="69DCDBB0" w14:textId="77777777" w:rsidR="00363445" w:rsidRDefault="00363445" w:rsidP="00363445"/>
    <w:tbl>
      <w:tblPr>
        <w:tblStyle w:val="TableGrid"/>
        <w:tblW w:w="0" w:type="auto"/>
        <w:tblLook w:val="04A0" w:firstRow="1" w:lastRow="0" w:firstColumn="1" w:lastColumn="0" w:noHBand="0" w:noVBand="1"/>
      </w:tblPr>
      <w:tblGrid>
        <w:gridCol w:w="745"/>
        <w:gridCol w:w="1944"/>
        <w:gridCol w:w="2835"/>
        <w:gridCol w:w="3492"/>
      </w:tblGrid>
      <w:tr w:rsidR="00363445" w:rsidRPr="000D6D51" w14:paraId="55D42E3D" w14:textId="77777777" w:rsidTr="00BF78C0">
        <w:tc>
          <w:tcPr>
            <w:tcW w:w="745" w:type="dxa"/>
          </w:tcPr>
          <w:p w14:paraId="58E4D2BE" w14:textId="77777777" w:rsidR="00363445" w:rsidRPr="000D6D51" w:rsidRDefault="00363445" w:rsidP="00BF78C0">
            <w:pPr>
              <w:jc w:val="center"/>
              <w:rPr>
                <w:b/>
                <w:bCs/>
                <w:sz w:val="16"/>
                <w:szCs w:val="16"/>
                <w:lang w:eastAsia="en-US"/>
              </w:rPr>
            </w:pPr>
            <w:r w:rsidRPr="000D6D51">
              <w:rPr>
                <w:b/>
                <w:bCs/>
                <w:sz w:val="16"/>
                <w:szCs w:val="16"/>
                <w:lang w:eastAsia="en-US"/>
              </w:rPr>
              <w:t>Piece #</w:t>
            </w:r>
          </w:p>
        </w:tc>
        <w:tc>
          <w:tcPr>
            <w:tcW w:w="1944" w:type="dxa"/>
          </w:tcPr>
          <w:p w14:paraId="5D759AC3" w14:textId="77777777" w:rsidR="00363445" w:rsidRPr="000D6D51" w:rsidRDefault="00363445" w:rsidP="00BF78C0">
            <w:pPr>
              <w:jc w:val="center"/>
              <w:rPr>
                <w:b/>
                <w:bCs/>
                <w:sz w:val="16"/>
                <w:szCs w:val="16"/>
                <w:lang w:eastAsia="en-US"/>
              </w:rPr>
            </w:pPr>
            <w:r w:rsidRPr="000D6D51">
              <w:rPr>
                <w:b/>
                <w:bCs/>
                <w:sz w:val="16"/>
                <w:szCs w:val="16"/>
                <w:lang w:eastAsia="en-US"/>
              </w:rPr>
              <w:t xml:space="preserve">RG-IEM </w:t>
            </w:r>
            <w:proofErr w:type="spellStart"/>
            <w:r w:rsidRPr="000D6D51">
              <w:rPr>
                <w:b/>
                <w:bCs/>
                <w:sz w:val="16"/>
                <w:szCs w:val="16"/>
                <w:lang w:eastAsia="en-US"/>
              </w:rPr>
              <w:t>ToR</w:t>
            </w:r>
            <w:proofErr w:type="spellEnd"/>
            <w:r w:rsidRPr="000D6D51">
              <w:rPr>
                <w:b/>
                <w:bCs/>
                <w:sz w:val="16"/>
                <w:szCs w:val="16"/>
                <w:lang w:eastAsia="en-US"/>
              </w:rPr>
              <w:t xml:space="preserve"> item extract</w:t>
            </w:r>
          </w:p>
        </w:tc>
        <w:tc>
          <w:tcPr>
            <w:tcW w:w="2835" w:type="dxa"/>
          </w:tcPr>
          <w:p w14:paraId="03BF1F95" w14:textId="77777777" w:rsidR="00363445" w:rsidRPr="000D6D51" w:rsidRDefault="00363445" w:rsidP="00BF78C0">
            <w:pPr>
              <w:jc w:val="center"/>
              <w:rPr>
                <w:b/>
                <w:bCs/>
                <w:sz w:val="16"/>
                <w:szCs w:val="16"/>
              </w:rPr>
            </w:pPr>
            <w:r w:rsidRPr="000D6D51">
              <w:rPr>
                <w:b/>
                <w:bCs/>
                <w:sz w:val="16"/>
                <w:szCs w:val="16"/>
              </w:rPr>
              <w:t>Status</w:t>
            </w:r>
          </w:p>
        </w:tc>
        <w:tc>
          <w:tcPr>
            <w:tcW w:w="3492" w:type="dxa"/>
          </w:tcPr>
          <w:p w14:paraId="562B4A74" w14:textId="77777777" w:rsidR="00363445" w:rsidRPr="000D6D51" w:rsidRDefault="00363445" w:rsidP="00BF78C0">
            <w:pPr>
              <w:jc w:val="center"/>
              <w:rPr>
                <w:b/>
                <w:bCs/>
                <w:sz w:val="16"/>
                <w:szCs w:val="16"/>
              </w:rPr>
            </w:pPr>
            <w:r w:rsidRPr="000D6D51">
              <w:rPr>
                <w:b/>
                <w:bCs/>
                <w:sz w:val="16"/>
                <w:szCs w:val="16"/>
              </w:rPr>
              <w:t>Actions needed</w:t>
            </w:r>
          </w:p>
        </w:tc>
      </w:tr>
      <w:tr w:rsidR="00363445" w:rsidRPr="000D6D51" w14:paraId="1308C114" w14:textId="77777777" w:rsidTr="00BF78C0">
        <w:tc>
          <w:tcPr>
            <w:tcW w:w="745" w:type="dxa"/>
          </w:tcPr>
          <w:p w14:paraId="47FEBBCB" w14:textId="77777777" w:rsidR="00363445" w:rsidRPr="000D6D51" w:rsidRDefault="00363445" w:rsidP="00BF78C0">
            <w:pPr>
              <w:rPr>
                <w:sz w:val="16"/>
                <w:szCs w:val="16"/>
                <w:lang w:eastAsia="en-US"/>
              </w:rPr>
            </w:pPr>
            <w:r w:rsidRPr="000D6D51">
              <w:rPr>
                <w:sz w:val="16"/>
                <w:szCs w:val="16"/>
                <w:lang w:eastAsia="en-US"/>
              </w:rPr>
              <w:t>P</w:t>
            </w:r>
            <w:r w:rsidRPr="000D6D51">
              <w:rPr>
                <w:sz w:val="16"/>
                <w:szCs w:val="16"/>
                <w:vertAlign w:val="subscript"/>
                <w:lang w:eastAsia="en-US"/>
              </w:rPr>
              <w:t>1</w:t>
            </w:r>
          </w:p>
        </w:tc>
        <w:tc>
          <w:tcPr>
            <w:tcW w:w="1944" w:type="dxa"/>
          </w:tcPr>
          <w:p w14:paraId="1277283A" w14:textId="77777777" w:rsidR="00363445" w:rsidRPr="000D6D51" w:rsidRDefault="00363445" w:rsidP="00BF78C0">
            <w:pPr>
              <w:rPr>
                <w:i/>
                <w:iCs/>
                <w:sz w:val="16"/>
                <w:szCs w:val="16"/>
                <w:lang w:eastAsia="en-US"/>
              </w:rPr>
            </w:pPr>
            <w:r w:rsidRPr="000D6D51">
              <w:rPr>
                <w:i/>
                <w:iCs/>
                <w:sz w:val="16"/>
                <w:szCs w:val="16"/>
                <w:lang w:eastAsia="en-US"/>
              </w:rPr>
              <w:t>establish an appropriate mechanism at TSAG level</w:t>
            </w:r>
          </w:p>
        </w:tc>
        <w:tc>
          <w:tcPr>
            <w:tcW w:w="2835" w:type="dxa"/>
          </w:tcPr>
          <w:p w14:paraId="105790DB" w14:textId="4075A9C6" w:rsidR="003C771F" w:rsidRDefault="003C771F" w:rsidP="003C771F">
            <w:pPr>
              <w:rPr>
                <w:sz w:val="16"/>
                <w:szCs w:val="16"/>
              </w:rPr>
            </w:pPr>
            <w:r>
              <w:rPr>
                <w:sz w:val="16"/>
                <w:szCs w:val="16"/>
              </w:rPr>
              <w:t>Analysis shows that:</w:t>
            </w:r>
          </w:p>
          <w:p w14:paraId="36B3E85C" w14:textId="16B8B2E8" w:rsidR="003C771F" w:rsidRPr="003C771F" w:rsidRDefault="003C771F" w:rsidP="003C771F">
            <w:pPr>
              <w:pStyle w:val="ListParagraph"/>
              <w:numPr>
                <w:ilvl w:val="0"/>
                <w:numId w:val="15"/>
              </w:numPr>
              <w:ind w:left="321" w:hanging="284"/>
              <w:rPr>
                <w:sz w:val="16"/>
                <w:szCs w:val="16"/>
              </w:rPr>
            </w:pPr>
            <w:r w:rsidRPr="003C771F">
              <w:rPr>
                <w:sz w:val="16"/>
                <w:szCs w:val="16"/>
              </w:rPr>
              <w:t xml:space="preserve">there </w:t>
            </w:r>
            <w:r>
              <w:rPr>
                <w:sz w:val="16"/>
                <w:szCs w:val="16"/>
              </w:rPr>
              <w:t>are</w:t>
            </w:r>
            <w:r w:rsidRPr="003C771F">
              <w:rPr>
                <w:sz w:val="16"/>
                <w:szCs w:val="16"/>
              </w:rPr>
              <w:t xml:space="preserve"> a lot of lessons learnt from the previous study period</w:t>
            </w:r>
            <w:r>
              <w:rPr>
                <w:sz w:val="16"/>
                <w:szCs w:val="16"/>
              </w:rPr>
              <w:t>,</w:t>
            </w:r>
          </w:p>
          <w:p w14:paraId="67B8E1D0" w14:textId="77777777" w:rsidR="003C771F" w:rsidRDefault="003C771F" w:rsidP="003C771F">
            <w:pPr>
              <w:pStyle w:val="ListParagraph"/>
              <w:numPr>
                <w:ilvl w:val="0"/>
                <w:numId w:val="15"/>
              </w:numPr>
              <w:ind w:left="321" w:hanging="284"/>
              <w:rPr>
                <w:sz w:val="16"/>
                <w:szCs w:val="16"/>
              </w:rPr>
            </w:pPr>
            <w:r>
              <w:rPr>
                <w:sz w:val="16"/>
                <w:szCs w:val="16"/>
              </w:rPr>
              <w:t>that the concerns from the stakeholders are not formalised,</w:t>
            </w:r>
          </w:p>
          <w:p w14:paraId="004EE582" w14:textId="355607CA" w:rsidR="003C771F" w:rsidRPr="003C771F" w:rsidRDefault="003C771F" w:rsidP="003C771F">
            <w:pPr>
              <w:pStyle w:val="ListParagraph"/>
              <w:numPr>
                <w:ilvl w:val="0"/>
                <w:numId w:val="15"/>
              </w:numPr>
              <w:ind w:left="321" w:hanging="284"/>
              <w:rPr>
                <w:sz w:val="16"/>
                <w:szCs w:val="16"/>
              </w:rPr>
            </w:pPr>
            <w:r>
              <w:rPr>
                <w:sz w:val="16"/>
                <w:szCs w:val="16"/>
              </w:rPr>
              <w:t>that no mechanism was suggested yet.</w:t>
            </w:r>
          </w:p>
        </w:tc>
        <w:tc>
          <w:tcPr>
            <w:tcW w:w="3492" w:type="dxa"/>
          </w:tcPr>
          <w:p w14:paraId="6DC754AF" w14:textId="3B6CBFEE" w:rsidR="00363445" w:rsidRPr="000D6D51" w:rsidRDefault="003C771F" w:rsidP="00BF78C0">
            <w:pPr>
              <w:rPr>
                <w:sz w:val="16"/>
                <w:szCs w:val="16"/>
              </w:rPr>
            </w:pPr>
            <w:r>
              <w:rPr>
                <w:sz w:val="16"/>
                <w:szCs w:val="16"/>
              </w:rPr>
              <w:t>A candidate mechanism should be proposed to lead and frame the rest of the work.</w:t>
            </w:r>
          </w:p>
        </w:tc>
      </w:tr>
      <w:tr w:rsidR="00363445" w:rsidRPr="000D6D51" w14:paraId="5CE9A855" w14:textId="77777777" w:rsidTr="00BF78C0">
        <w:tc>
          <w:tcPr>
            <w:tcW w:w="745" w:type="dxa"/>
          </w:tcPr>
          <w:p w14:paraId="51E3D5BC" w14:textId="77777777" w:rsidR="00363445" w:rsidRPr="000D6D51" w:rsidRDefault="00363445" w:rsidP="00BF78C0">
            <w:pPr>
              <w:rPr>
                <w:sz w:val="16"/>
                <w:szCs w:val="16"/>
                <w:lang w:eastAsia="en-US"/>
              </w:rPr>
            </w:pPr>
            <w:r w:rsidRPr="000D6D51">
              <w:rPr>
                <w:sz w:val="16"/>
                <w:szCs w:val="16"/>
                <w:lang w:eastAsia="en-US"/>
              </w:rPr>
              <w:t>P</w:t>
            </w:r>
            <w:r w:rsidRPr="000D6D51">
              <w:rPr>
                <w:sz w:val="16"/>
                <w:szCs w:val="16"/>
                <w:vertAlign w:val="subscript"/>
                <w:lang w:eastAsia="en-US"/>
              </w:rPr>
              <w:t>2</w:t>
            </w:r>
          </w:p>
        </w:tc>
        <w:tc>
          <w:tcPr>
            <w:tcW w:w="1944" w:type="dxa"/>
          </w:tcPr>
          <w:p w14:paraId="2C8B735A" w14:textId="77777777" w:rsidR="00363445" w:rsidRPr="000D6D51" w:rsidRDefault="00363445" w:rsidP="00BF78C0">
            <w:pPr>
              <w:rPr>
                <w:i/>
                <w:iCs/>
                <w:sz w:val="16"/>
                <w:szCs w:val="16"/>
                <w:lang w:eastAsia="en-US"/>
              </w:rPr>
            </w:pPr>
            <w:r w:rsidRPr="000D6D51">
              <w:rPr>
                <w:i/>
                <w:iCs/>
                <w:sz w:val="16"/>
                <w:szCs w:val="16"/>
                <w:lang w:eastAsia="en-US"/>
              </w:rPr>
              <w:t>to be used at the SG and FG level</w:t>
            </w:r>
          </w:p>
        </w:tc>
        <w:tc>
          <w:tcPr>
            <w:tcW w:w="2835" w:type="dxa"/>
          </w:tcPr>
          <w:p w14:paraId="4F507AB9" w14:textId="450D0A68" w:rsidR="0065720F" w:rsidRPr="0065720F" w:rsidRDefault="0065720F" w:rsidP="0065720F">
            <w:pPr>
              <w:rPr>
                <w:sz w:val="16"/>
                <w:szCs w:val="16"/>
                <w:lang w:eastAsia="en-US"/>
              </w:rPr>
            </w:pPr>
            <w:r w:rsidRPr="0065720F">
              <w:rPr>
                <w:sz w:val="16"/>
                <w:szCs w:val="16"/>
              </w:rPr>
              <w:t xml:space="preserve">Analysis shows that lessons from the previous study period demonstrated that Study Groups are </w:t>
            </w:r>
            <w:r w:rsidRPr="0065720F">
              <w:rPr>
                <w:sz w:val="16"/>
                <w:szCs w:val="16"/>
                <w:lang w:eastAsia="en-US"/>
              </w:rPr>
              <w:t xml:space="preserve">not set for collaboration but for competition which is certainly an issue directly linked to the </w:t>
            </w:r>
            <w:r w:rsidR="008D27FE" w:rsidRPr="0065720F">
              <w:rPr>
                <w:sz w:val="16"/>
                <w:szCs w:val="16"/>
                <w:lang w:eastAsia="en-US"/>
              </w:rPr>
              <w:t>bottom-up</w:t>
            </w:r>
            <w:r w:rsidRPr="0065720F">
              <w:rPr>
                <w:sz w:val="16"/>
                <w:szCs w:val="16"/>
                <w:lang w:eastAsia="en-US"/>
              </w:rPr>
              <w:t xml:space="preserve"> gravitation nature of standardisation in general and ITU-T in particular.</w:t>
            </w:r>
            <w:r w:rsidR="008D27FE">
              <w:rPr>
                <w:sz w:val="16"/>
                <w:szCs w:val="16"/>
                <w:lang w:eastAsia="en-US"/>
              </w:rPr>
              <w:t xml:space="preserve"> </w:t>
            </w:r>
          </w:p>
          <w:p w14:paraId="7CD5064E" w14:textId="5D80EEC9" w:rsidR="00363445" w:rsidRPr="0065720F" w:rsidRDefault="00363445" w:rsidP="0065720F">
            <w:pPr>
              <w:rPr>
                <w:sz w:val="16"/>
                <w:szCs w:val="16"/>
              </w:rPr>
            </w:pPr>
          </w:p>
        </w:tc>
        <w:tc>
          <w:tcPr>
            <w:tcW w:w="3492" w:type="dxa"/>
          </w:tcPr>
          <w:p w14:paraId="135FCA89" w14:textId="694B6FC0" w:rsidR="00363445" w:rsidRPr="000D6D51" w:rsidRDefault="008D27FE" w:rsidP="00BF78C0">
            <w:pPr>
              <w:rPr>
                <w:sz w:val="16"/>
                <w:szCs w:val="16"/>
              </w:rPr>
            </w:pPr>
            <w:r>
              <w:rPr>
                <w:sz w:val="16"/>
                <w:szCs w:val="16"/>
              </w:rPr>
              <w:lastRenderedPageBreak/>
              <w:t>Further understanding on the allocation of new and emerging technologies is required and links to P</w:t>
            </w:r>
            <w:r w:rsidRPr="008D27FE">
              <w:rPr>
                <w:sz w:val="16"/>
                <w:szCs w:val="16"/>
                <w:vertAlign w:val="subscript"/>
              </w:rPr>
              <w:t>3</w:t>
            </w:r>
            <w:r>
              <w:rPr>
                <w:sz w:val="16"/>
                <w:szCs w:val="16"/>
              </w:rPr>
              <w:t>.</w:t>
            </w:r>
          </w:p>
        </w:tc>
      </w:tr>
      <w:tr w:rsidR="00363445" w:rsidRPr="000D6D51" w14:paraId="2C0D7A7C" w14:textId="77777777" w:rsidTr="00BF78C0">
        <w:tc>
          <w:tcPr>
            <w:tcW w:w="745" w:type="dxa"/>
          </w:tcPr>
          <w:p w14:paraId="0AEBB86C" w14:textId="77777777" w:rsidR="00363445" w:rsidRPr="000D6D51" w:rsidRDefault="00363445" w:rsidP="00BF78C0">
            <w:pPr>
              <w:rPr>
                <w:sz w:val="16"/>
                <w:szCs w:val="16"/>
                <w:lang w:eastAsia="en-US"/>
              </w:rPr>
            </w:pPr>
            <w:r w:rsidRPr="000D6D51">
              <w:rPr>
                <w:sz w:val="16"/>
                <w:szCs w:val="16"/>
                <w:lang w:eastAsia="en-US"/>
              </w:rPr>
              <w:t>P</w:t>
            </w:r>
            <w:r w:rsidRPr="000D6D51">
              <w:rPr>
                <w:sz w:val="16"/>
                <w:szCs w:val="16"/>
                <w:vertAlign w:val="subscript"/>
                <w:lang w:eastAsia="en-US"/>
              </w:rPr>
              <w:t>3</w:t>
            </w:r>
          </w:p>
        </w:tc>
        <w:tc>
          <w:tcPr>
            <w:tcW w:w="1944" w:type="dxa"/>
          </w:tcPr>
          <w:p w14:paraId="100EBE29" w14:textId="77777777" w:rsidR="00363445" w:rsidRPr="000D6D51" w:rsidRDefault="00363445" w:rsidP="00BF78C0">
            <w:pPr>
              <w:rPr>
                <w:i/>
                <w:iCs/>
                <w:sz w:val="16"/>
                <w:szCs w:val="16"/>
                <w:lang w:eastAsia="en-US"/>
              </w:rPr>
            </w:pPr>
            <w:r w:rsidRPr="000D6D51">
              <w:rPr>
                <w:i/>
                <w:iCs/>
                <w:sz w:val="16"/>
                <w:szCs w:val="16"/>
                <w:lang w:eastAsia="en-US"/>
              </w:rPr>
              <w:t>to examine and coordinate work</w:t>
            </w:r>
          </w:p>
        </w:tc>
        <w:tc>
          <w:tcPr>
            <w:tcW w:w="2835" w:type="dxa"/>
          </w:tcPr>
          <w:p w14:paraId="20A1E3D8" w14:textId="042CC8C5" w:rsidR="008D27FE" w:rsidRPr="008D27FE" w:rsidRDefault="008D27FE" w:rsidP="008D27FE">
            <w:pPr>
              <w:rPr>
                <w:sz w:val="16"/>
                <w:szCs w:val="16"/>
              </w:rPr>
            </w:pPr>
            <w:r>
              <w:rPr>
                <w:sz w:val="16"/>
                <w:szCs w:val="16"/>
              </w:rPr>
              <w:t xml:space="preserve">Analysis shows that </w:t>
            </w:r>
            <w:r w:rsidRPr="008D27FE">
              <w:rPr>
                <w:sz w:val="16"/>
                <w:szCs w:val="16"/>
              </w:rPr>
              <w:t>there is a need for a significant tooling to support the ‘examination’ of each new and emerging technologies that is required to support coordination.</w:t>
            </w:r>
          </w:p>
        </w:tc>
        <w:tc>
          <w:tcPr>
            <w:tcW w:w="3492" w:type="dxa"/>
          </w:tcPr>
          <w:p w14:paraId="7DAE8ABD" w14:textId="212283F1" w:rsidR="00363445" w:rsidRPr="000D6D51" w:rsidRDefault="008D27FE" w:rsidP="00BF78C0">
            <w:pPr>
              <w:rPr>
                <w:sz w:val="16"/>
                <w:szCs w:val="16"/>
              </w:rPr>
            </w:pPr>
            <w:r>
              <w:rPr>
                <w:sz w:val="16"/>
                <w:szCs w:val="16"/>
              </w:rPr>
              <w:t>Analysis of other SDOs mechanisms should be conducted and thinking on tooling design would certainly help but it requires that P</w:t>
            </w:r>
            <w:r w:rsidRPr="008D27FE">
              <w:rPr>
                <w:sz w:val="16"/>
                <w:szCs w:val="16"/>
                <w:vertAlign w:val="subscript"/>
              </w:rPr>
              <w:t>4</w:t>
            </w:r>
            <w:r>
              <w:rPr>
                <w:sz w:val="16"/>
                <w:szCs w:val="16"/>
              </w:rPr>
              <w:t xml:space="preserve"> progresses.</w:t>
            </w:r>
          </w:p>
        </w:tc>
      </w:tr>
      <w:tr w:rsidR="00363445" w:rsidRPr="000D6D51" w14:paraId="5610ACE4" w14:textId="77777777" w:rsidTr="00BF78C0">
        <w:tc>
          <w:tcPr>
            <w:tcW w:w="745" w:type="dxa"/>
          </w:tcPr>
          <w:p w14:paraId="1C20AA69" w14:textId="77777777" w:rsidR="00363445" w:rsidRPr="000D6D51" w:rsidRDefault="00363445" w:rsidP="00BF78C0">
            <w:pPr>
              <w:rPr>
                <w:sz w:val="16"/>
                <w:szCs w:val="16"/>
                <w:lang w:eastAsia="en-US"/>
              </w:rPr>
            </w:pPr>
            <w:r w:rsidRPr="000D6D51">
              <w:rPr>
                <w:sz w:val="16"/>
                <w:szCs w:val="16"/>
                <w:lang w:eastAsia="en-US"/>
              </w:rPr>
              <w:t>P</w:t>
            </w:r>
            <w:r w:rsidRPr="000D6D51">
              <w:rPr>
                <w:sz w:val="16"/>
                <w:szCs w:val="16"/>
                <w:vertAlign w:val="subscript"/>
                <w:lang w:eastAsia="en-US"/>
              </w:rPr>
              <w:t>4</w:t>
            </w:r>
          </w:p>
        </w:tc>
        <w:tc>
          <w:tcPr>
            <w:tcW w:w="1944" w:type="dxa"/>
          </w:tcPr>
          <w:p w14:paraId="2C363CF0" w14:textId="77777777" w:rsidR="00363445" w:rsidRPr="000D6D51" w:rsidRDefault="00363445" w:rsidP="00BF78C0">
            <w:pPr>
              <w:rPr>
                <w:i/>
                <w:iCs/>
                <w:sz w:val="16"/>
                <w:szCs w:val="16"/>
                <w:lang w:eastAsia="en-US"/>
              </w:rPr>
            </w:pPr>
            <w:r w:rsidRPr="000D6D51">
              <w:rPr>
                <w:i/>
                <w:iCs/>
                <w:sz w:val="16"/>
                <w:szCs w:val="16"/>
                <w:lang w:eastAsia="en-US"/>
              </w:rPr>
              <w:t>on new and emerging technologies</w:t>
            </w:r>
          </w:p>
        </w:tc>
        <w:tc>
          <w:tcPr>
            <w:tcW w:w="2835" w:type="dxa"/>
          </w:tcPr>
          <w:p w14:paraId="37CC7EE8" w14:textId="77777777" w:rsidR="00363445" w:rsidRPr="000D6D51" w:rsidRDefault="00363445" w:rsidP="00BF78C0">
            <w:pPr>
              <w:rPr>
                <w:sz w:val="16"/>
                <w:szCs w:val="16"/>
              </w:rPr>
            </w:pPr>
            <w:r w:rsidRPr="000D6D51">
              <w:rPr>
                <w:sz w:val="16"/>
                <w:szCs w:val="16"/>
              </w:rPr>
              <w:t xml:space="preserve">Analysis shows that: </w:t>
            </w:r>
          </w:p>
          <w:p w14:paraId="3B2D5B34" w14:textId="77777777" w:rsidR="00363445" w:rsidRPr="000D6D51" w:rsidRDefault="00363445" w:rsidP="00BF78C0">
            <w:pPr>
              <w:rPr>
                <w:sz w:val="16"/>
                <w:szCs w:val="16"/>
              </w:rPr>
            </w:pPr>
            <w:r w:rsidRPr="000D6D51">
              <w:rPr>
                <w:sz w:val="16"/>
                <w:szCs w:val="16"/>
              </w:rPr>
              <w:t>a) this term is not defined however,</w:t>
            </w:r>
          </w:p>
          <w:p w14:paraId="5610BA53" w14:textId="77777777" w:rsidR="00363445" w:rsidRPr="000D6D51" w:rsidRDefault="00363445" w:rsidP="00BF78C0">
            <w:pPr>
              <w:rPr>
                <w:sz w:val="16"/>
                <w:szCs w:val="16"/>
              </w:rPr>
            </w:pPr>
            <w:r w:rsidRPr="000D6D51">
              <w:rPr>
                <w:sz w:val="16"/>
                <w:szCs w:val="16"/>
              </w:rPr>
              <w:t>b) it is intensively used in both a large fraction of WTSA resolutions and in them, in a large sub-fraction of operative parts,</w:t>
            </w:r>
          </w:p>
          <w:p w14:paraId="5AC8D339" w14:textId="77777777" w:rsidR="00363445" w:rsidRPr="000D6D51" w:rsidRDefault="00363445" w:rsidP="00BF78C0">
            <w:pPr>
              <w:rPr>
                <w:sz w:val="16"/>
                <w:szCs w:val="16"/>
              </w:rPr>
            </w:pPr>
            <w:r w:rsidRPr="000D6D51">
              <w:rPr>
                <w:sz w:val="16"/>
                <w:szCs w:val="16"/>
              </w:rPr>
              <w:t>c) there is a large variety of synonyms and nuances by scope and other dimensions.</w:t>
            </w:r>
          </w:p>
        </w:tc>
        <w:tc>
          <w:tcPr>
            <w:tcW w:w="3492" w:type="dxa"/>
          </w:tcPr>
          <w:p w14:paraId="655C2013" w14:textId="77777777" w:rsidR="00363445" w:rsidRPr="000D6D51" w:rsidRDefault="00363445" w:rsidP="00BF78C0">
            <w:pPr>
              <w:rPr>
                <w:sz w:val="16"/>
                <w:szCs w:val="16"/>
              </w:rPr>
            </w:pPr>
            <w:r w:rsidRPr="000D6D51">
              <w:rPr>
                <w:sz w:val="16"/>
                <w:szCs w:val="16"/>
              </w:rPr>
              <w:t>This study could be extended to e.g. PP Resolutions to ensure that there is the complete and coherent view between ITU-T and ITU Resolutions.</w:t>
            </w:r>
          </w:p>
          <w:p w14:paraId="1A476819" w14:textId="77777777" w:rsidR="00363445" w:rsidRPr="000D6D51" w:rsidRDefault="00363445" w:rsidP="00BF78C0">
            <w:pPr>
              <w:rPr>
                <w:sz w:val="16"/>
                <w:szCs w:val="16"/>
              </w:rPr>
            </w:pPr>
          </w:p>
          <w:p w14:paraId="40714FD6" w14:textId="77777777" w:rsidR="00363445" w:rsidRPr="000D6D51" w:rsidRDefault="00363445" w:rsidP="00BF78C0">
            <w:pPr>
              <w:rPr>
                <w:sz w:val="16"/>
                <w:szCs w:val="16"/>
              </w:rPr>
            </w:pPr>
            <w:r w:rsidRPr="000D6D51">
              <w:rPr>
                <w:sz w:val="16"/>
                <w:szCs w:val="16"/>
              </w:rPr>
              <w:t>Then proposals to define this term and related ones to cover the various semantics needed and this is a pre-requisite to P</w:t>
            </w:r>
            <w:r w:rsidRPr="000D6D51">
              <w:rPr>
                <w:sz w:val="16"/>
                <w:szCs w:val="16"/>
                <w:vertAlign w:val="subscript"/>
              </w:rPr>
              <w:t>3</w:t>
            </w:r>
            <w:r w:rsidRPr="000D6D51">
              <w:rPr>
                <w:sz w:val="16"/>
                <w:szCs w:val="16"/>
              </w:rPr>
              <w:t>.</w:t>
            </w:r>
          </w:p>
        </w:tc>
      </w:tr>
      <w:tr w:rsidR="00363445" w:rsidRPr="000D6D51" w14:paraId="082FF24D" w14:textId="77777777" w:rsidTr="00BF78C0">
        <w:tc>
          <w:tcPr>
            <w:tcW w:w="745" w:type="dxa"/>
          </w:tcPr>
          <w:p w14:paraId="58C59319" w14:textId="77777777" w:rsidR="00363445" w:rsidRPr="000D6D51" w:rsidRDefault="00363445" w:rsidP="00BF78C0">
            <w:pPr>
              <w:rPr>
                <w:sz w:val="16"/>
                <w:szCs w:val="16"/>
                <w:lang w:eastAsia="en-US"/>
              </w:rPr>
            </w:pPr>
            <w:r w:rsidRPr="000D6D51">
              <w:rPr>
                <w:sz w:val="16"/>
                <w:szCs w:val="16"/>
                <w:lang w:eastAsia="en-US"/>
              </w:rPr>
              <w:t>P</w:t>
            </w:r>
            <w:r w:rsidRPr="000D6D51">
              <w:rPr>
                <w:sz w:val="16"/>
                <w:szCs w:val="16"/>
                <w:vertAlign w:val="subscript"/>
                <w:lang w:eastAsia="en-US"/>
              </w:rPr>
              <w:t>5</w:t>
            </w:r>
          </w:p>
        </w:tc>
        <w:tc>
          <w:tcPr>
            <w:tcW w:w="1944" w:type="dxa"/>
          </w:tcPr>
          <w:p w14:paraId="2EA911FB" w14:textId="77777777" w:rsidR="00363445" w:rsidRPr="000D6D51" w:rsidRDefault="00363445" w:rsidP="00BF78C0">
            <w:pPr>
              <w:rPr>
                <w:i/>
                <w:iCs/>
                <w:sz w:val="16"/>
                <w:szCs w:val="16"/>
                <w:lang w:eastAsia="en-US"/>
              </w:rPr>
            </w:pPr>
            <w:r w:rsidRPr="000D6D51">
              <w:rPr>
                <w:i/>
                <w:iCs/>
                <w:sz w:val="16"/>
                <w:szCs w:val="16"/>
                <w:lang w:eastAsia="en-US"/>
              </w:rPr>
              <w:t>Res.22 resolves 5,6,7</w:t>
            </w:r>
          </w:p>
        </w:tc>
        <w:tc>
          <w:tcPr>
            <w:tcW w:w="2835" w:type="dxa"/>
          </w:tcPr>
          <w:p w14:paraId="2723933E" w14:textId="77777777" w:rsidR="00363445" w:rsidRPr="000D6D51" w:rsidRDefault="00363445" w:rsidP="00BF78C0">
            <w:pPr>
              <w:rPr>
                <w:sz w:val="16"/>
                <w:szCs w:val="16"/>
              </w:rPr>
            </w:pPr>
            <w:r w:rsidRPr="000D6D51">
              <w:rPr>
                <w:sz w:val="16"/>
                <w:szCs w:val="16"/>
              </w:rPr>
              <w:t xml:space="preserve">Analysis shows a difference between WTSA20 Res. 22 and the way the item 3 of the </w:t>
            </w:r>
            <w:proofErr w:type="spellStart"/>
            <w:r w:rsidRPr="000D6D51">
              <w:rPr>
                <w:sz w:val="16"/>
                <w:szCs w:val="16"/>
              </w:rPr>
              <w:t>ToR</w:t>
            </w:r>
            <w:proofErr w:type="spellEnd"/>
            <w:r w:rsidRPr="000D6D51">
              <w:rPr>
                <w:sz w:val="16"/>
                <w:szCs w:val="16"/>
              </w:rPr>
              <w:t xml:space="preserve"> to RG-IEM are expressed as Res.22 seems to instruct 2 mechanisms and the RG-IEM </w:t>
            </w:r>
            <w:proofErr w:type="spellStart"/>
            <w:r w:rsidRPr="000D6D51">
              <w:rPr>
                <w:sz w:val="16"/>
                <w:szCs w:val="16"/>
              </w:rPr>
              <w:t>ToR</w:t>
            </w:r>
            <w:proofErr w:type="spellEnd"/>
            <w:r w:rsidRPr="000D6D51">
              <w:rPr>
                <w:sz w:val="16"/>
                <w:szCs w:val="16"/>
              </w:rPr>
              <w:t xml:space="preserve"> is identifying one mechanism.</w:t>
            </w:r>
          </w:p>
        </w:tc>
        <w:tc>
          <w:tcPr>
            <w:tcW w:w="3492" w:type="dxa"/>
          </w:tcPr>
          <w:p w14:paraId="1AD468D3" w14:textId="77777777" w:rsidR="00363445" w:rsidRPr="000D6D51" w:rsidRDefault="00363445" w:rsidP="00BF78C0">
            <w:pPr>
              <w:rPr>
                <w:sz w:val="16"/>
                <w:szCs w:val="16"/>
              </w:rPr>
            </w:pPr>
            <w:r w:rsidRPr="000D6D51">
              <w:rPr>
                <w:sz w:val="16"/>
                <w:szCs w:val="16"/>
              </w:rPr>
              <w:t>This ambiguity needs to be lifted by TSAG.</w:t>
            </w:r>
          </w:p>
          <w:p w14:paraId="61C61C13" w14:textId="77777777" w:rsidR="00363445" w:rsidRPr="000D6D51" w:rsidRDefault="00363445" w:rsidP="00BF78C0">
            <w:pPr>
              <w:rPr>
                <w:sz w:val="16"/>
                <w:szCs w:val="16"/>
              </w:rPr>
            </w:pPr>
            <w:r w:rsidRPr="000D6D51">
              <w:rPr>
                <w:sz w:val="16"/>
                <w:szCs w:val="16"/>
              </w:rPr>
              <w:t xml:space="preserve">The current assumption will be that the mechanism is at this stage limited on ‘new and emerging’ not ‘on strategy’, though recognizing that if a proper work is done for ‘new and emerging’ it may (or should be designed so that it is) easily be extended to ‘strategy’. </w:t>
            </w:r>
          </w:p>
        </w:tc>
      </w:tr>
    </w:tbl>
    <w:p w14:paraId="326F2EF1" w14:textId="359037F9" w:rsidR="00363445" w:rsidRDefault="00363445" w:rsidP="00363445"/>
    <w:p w14:paraId="6E68AB84" w14:textId="35AC65B5" w:rsidR="00363445" w:rsidRDefault="003C2BDC" w:rsidP="008D27FE">
      <w:pPr>
        <w:pStyle w:val="Heading1"/>
      </w:pPr>
      <w:r>
        <w:t>New considerations</w:t>
      </w:r>
    </w:p>
    <w:p w14:paraId="477B4A85" w14:textId="78C01A81" w:rsidR="00363445" w:rsidRDefault="00C759C2" w:rsidP="008D27FE">
      <w:r>
        <w:t xml:space="preserve">In addition to all the above considerations and their details in </w:t>
      </w:r>
      <w:hyperlink r:id="rId14" w:history="1">
        <w:r w:rsidR="00E0702C" w:rsidRPr="000306EE">
          <w:rPr>
            <w:rStyle w:val="Hyperlink"/>
          </w:rPr>
          <w:t>C31</w:t>
        </w:r>
      </w:hyperlink>
      <w:r>
        <w:t xml:space="preserve">, </w:t>
      </w:r>
      <w:r w:rsidR="008D27FE">
        <w:t>Broadcom observed the following:</w:t>
      </w:r>
    </w:p>
    <w:p w14:paraId="116E53F3" w14:textId="4C43E937" w:rsidR="00AC157E" w:rsidRPr="00EE0F3D" w:rsidRDefault="00AC157E" w:rsidP="00363445">
      <w:pPr>
        <w:pStyle w:val="ListParagraph"/>
        <w:numPr>
          <w:ilvl w:val="0"/>
          <w:numId w:val="19"/>
        </w:numPr>
        <w:rPr>
          <w:b/>
          <w:bCs/>
        </w:rPr>
      </w:pPr>
      <w:r>
        <w:t xml:space="preserve">The current “coordination” ‘by Liaison Statements’ or by ‘delineations and lead study groups within Resolution 2’ led to a large distribution of topics across nearly all the Study Groups as demonstrated by contributions in RG-WPR and questions </w:t>
      </w:r>
      <w:r w:rsidRPr="00EE0F3D">
        <w:rPr>
          <w:b/>
          <w:bCs/>
        </w:rPr>
        <w:t xml:space="preserve">if there is </w:t>
      </w:r>
      <w:proofErr w:type="gramStart"/>
      <w:r w:rsidRPr="00EE0F3D">
        <w:rPr>
          <w:b/>
          <w:bCs/>
        </w:rPr>
        <w:t>actually any</w:t>
      </w:r>
      <w:proofErr w:type="gramEnd"/>
      <w:r w:rsidRPr="00EE0F3D">
        <w:rPr>
          <w:b/>
          <w:bCs/>
        </w:rPr>
        <w:t xml:space="preserve"> “coordination”.</w:t>
      </w:r>
    </w:p>
    <w:p w14:paraId="7A36B348" w14:textId="263A1BF0" w:rsidR="00AC157E" w:rsidRDefault="00AC157E" w:rsidP="00363445">
      <w:pPr>
        <w:pStyle w:val="ListParagraph"/>
        <w:numPr>
          <w:ilvl w:val="0"/>
          <w:numId w:val="19"/>
        </w:numPr>
      </w:pPr>
      <w:r>
        <w:t xml:space="preserve">Last TSAG demonstrated in one clear occasion that when agreements occurred between some Study Group chairs about which SG will do what, that this one and maybe others </w:t>
      </w:r>
      <w:r w:rsidRPr="00EE0F3D">
        <w:rPr>
          <w:b/>
          <w:bCs/>
        </w:rPr>
        <w:t>are not documented</w:t>
      </w:r>
      <w:r>
        <w:t xml:space="preserve"> which led to a significant issue between 2 Study Group chairs and shows there are limits to point of records outside of assemblies. </w:t>
      </w:r>
    </w:p>
    <w:p w14:paraId="1A8911BF" w14:textId="0D9B1481" w:rsidR="00890A07" w:rsidRDefault="00890A07" w:rsidP="00363445">
      <w:pPr>
        <w:pStyle w:val="ListParagraph"/>
        <w:numPr>
          <w:ilvl w:val="0"/>
          <w:numId w:val="19"/>
        </w:numPr>
      </w:pPr>
      <w:r>
        <w:t xml:space="preserve">Given how time compressed are the TSAG meetings, Broadcom doesn’t see any chance that ‘new and emerging technologies’ </w:t>
      </w:r>
      <w:r w:rsidRPr="00EE0F3D">
        <w:rPr>
          <w:b/>
          <w:bCs/>
        </w:rPr>
        <w:t>be properly addressed during TSAG meetings</w:t>
      </w:r>
      <w:r>
        <w:t xml:space="preserve">. </w:t>
      </w:r>
    </w:p>
    <w:p w14:paraId="0EA7407B" w14:textId="23EB4199" w:rsidR="00AC157E" w:rsidRDefault="00AC157E" w:rsidP="00AC157E">
      <w:pPr>
        <w:pStyle w:val="ListParagraph"/>
        <w:numPr>
          <w:ilvl w:val="0"/>
          <w:numId w:val="19"/>
        </w:numPr>
      </w:pPr>
      <w:r>
        <w:t xml:space="preserve">Regarding coordination, the only moment when Study Group chairs can meet is a short meeting with TSB director during TSAG meetings. </w:t>
      </w:r>
      <w:r w:rsidRPr="00EE0F3D">
        <w:rPr>
          <w:b/>
          <w:bCs/>
        </w:rPr>
        <w:t>Broadcom questions what can be coordinated</w:t>
      </w:r>
      <w:r>
        <w:t xml:space="preserve"> and if the whole coordination resumes to 2 times 1-2h per year sounds grossly </w:t>
      </w:r>
      <w:r w:rsidR="00C759C2">
        <w:t>insufficient.</w:t>
      </w:r>
    </w:p>
    <w:p w14:paraId="1CBC929E" w14:textId="7CC5B8E7" w:rsidR="00996CCA" w:rsidRDefault="00996CCA" w:rsidP="00363445">
      <w:pPr>
        <w:rPr>
          <w:lang w:val="en-US"/>
        </w:rPr>
      </w:pPr>
    </w:p>
    <w:p w14:paraId="2674C90B" w14:textId="04A0E741" w:rsidR="003C2BDC" w:rsidRDefault="003C2BDC" w:rsidP="000118DA">
      <w:pPr>
        <w:pStyle w:val="Heading1"/>
        <w:rPr>
          <w:lang w:val="en-US"/>
        </w:rPr>
      </w:pPr>
      <w:r>
        <w:rPr>
          <w:lang w:val="en-US"/>
        </w:rPr>
        <w:t>Proposed way forward</w:t>
      </w:r>
    </w:p>
    <w:p w14:paraId="0149F894" w14:textId="396427F9" w:rsidR="003C2BDC" w:rsidRDefault="003C2BDC" w:rsidP="00363445">
      <w:pPr>
        <w:rPr>
          <w:lang w:val="en-US"/>
        </w:rPr>
      </w:pPr>
      <w:r>
        <w:rPr>
          <w:lang w:val="en-US"/>
        </w:rPr>
        <w:t xml:space="preserve">Broadcom understands that establishing a mechanism will be a </w:t>
      </w:r>
      <w:r w:rsidR="000118DA">
        <w:rPr>
          <w:lang w:val="en-US"/>
        </w:rPr>
        <w:t>long-term</w:t>
      </w:r>
      <w:r>
        <w:rPr>
          <w:lang w:val="en-US"/>
        </w:rPr>
        <w:t xml:space="preserve"> task and would like to propose a </w:t>
      </w:r>
      <w:r w:rsidR="00E0702C">
        <w:rPr>
          <w:lang w:val="en-US"/>
        </w:rPr>
        <w:t>step-by-step</w:t>
      </w:r>
      <w:r>
        <w:rPr>
          <w:lang w:val="en-US"/>
        </w:rPr>
        <w:t xml:space="preserve"> approach</w:t>
      </w:r>
      <w:r w:rsidR="00534117">
        <w:rPr>
          <w:lang w:val="en-US"/>
        </w:rPr>
        <w:t>.</w:t>
      </w:r>
      <w:r w:rsidR="007C0E06">
        <w:rPr>
          <w:lang w:val="en-US"/>
        </w:rPr>
        <w:t xml:space="preserve"> </w:t>
      </w:r>
    </w:p>
    <w:p w14:paraId="55461B5A" w14:textId="17B6EB5F" w:rsidR="00534117" w:rsidRDefault="00534117" w:rsidP="00363445">
      <w:pPr>
        <w:rPr>
          <w:lang w:val="en-US"/>
        </w:rPr>
      </w:pPr>
      <w:r>
        <w:rPr>
          <w:lang w:val="en-US"/>
        </w:rPr>
        <w:t>Following the breakdown proposed above, it is suggested here to:</w:t>
      </w:r>
    </w:p>
    <w:p w14:paraId="0E240C88" w14:textId="05E0659E" w:rsidR="00534117" w:rsidRDefault="00534117" w:rsidP="00534117">
      <w:pPr>
        <w:pStyle w:val="ListParagraph"/>
        <w:numPr>
          <w:ilvl w:val="0"/>
          <w:numId w:val="19"/>
        </w:numPr>
        <w:rPr>
          <w:lang w:val="en-US"/>
        </w:rPr>
      </w:pPr>
      <w:r>
        <w:rPr>
          <w:lang w:val="en-US"/>
        </w:rPr>
        <w:t>resolve P</w:t>
      </w:r>
      <w:r w:rsidRPr="000118DA">
        <w:rPr>
          <w:vertAlign w:val="subscript"/>
          <w:lang w:val="en-US"/>
        </w:rPr>
        <w:t>5</w:t>
      </w:r>
      <w:r>
        <w:rPr>
          <w:lang w:val="en-US"/>
        </w:rPr>
        <w:t xml:space="preserve"> at this TSAG meeting,</w:t>
      </w:r>
    </w:p>
    <w:p w14:paraId="3A82E346" w14:textId="6591C62B" w:rsidR="00534117" w:rsidRDefault="00534117" w:rsidP="00534117">
      <w:pPr>
        <w:pStyle w:val="ListParagraph"/>
        <w:numPr>
          <w:ilvl w:val="0"/>
          <w:numId w:val="19"/>
        </w:numPr>
        <w:rPr>
          <w:lang w:val="en-US"/>
        </w:rPr>
      </w:pPr>
      <w:r>
        <w:rPr>
          <w:lang w:val="en-US"/>
        </w:rPr>
        <w:t>progress P</w:t>
      </w:r>
      <w:r w:rsidRPr="000118DA">
        <w:rPr>
          <w:vertAlign w:val="subscript"/>
          <w:lang w:val="en-US"/>
        </w:rPr>
        <w:t>4</w:t>
      </w:r>
      <w:r>
        <w:rPr>
          <w:lang w:val="en-US"/>
        </w:rPr>
        <w:t xml:space="preserve"> and </w:t>
      </w:r>
      <w:r w:rsidR="000118DA">
        <w:rPr>
          <w:lang w:val="en-US"/>
        </w:rPr>
        <w:t xml:space="preserve">possibly </w:t>
      </w:r>
      <w:r>
        <w:rPr>
          <w:lang w:val="en-US"/>
        </w:rPr>
        <w:t>P</w:t>
      </w:r>
      <w:r w:rsidRPr="000118DA">
        <w:rPr>
          <w:vertAlign w:val="subscript"/>
          <w:lang w:val="en-US"/>
        </w:rPr>
        <w:t>3</w:t>
      </w:r>
      <w:r>
        <w:rPr>
          <w:lang w:val="en-US"/>
        </w:rPr>
        <w:t xml:space="preserve"> during the next leg of RG-IEM RGMs</w:t>
      </w:r>
    </w:p>
    <w:p w14:paraId="5A1B0708" w14:textId="42B52616" w:rsidR="00534117" w:rsidRPr="00534117" w:rsidRDefault="00534117" w:rsidP="000118DA">
      <w:pPr>
        <w:pStyle w:val="ListParagraph"/>
        <w:numPr>
          <w:ilvl w:val="0"/>
          <w:numId w:val="19"/>
        </w:numPr>
        <w:rPr>
          <w:lang w:val="en-US"/>
        </w:rPr>
      </w:pPr>
      <w:r>
        <w:rPr>
          <w:lang w:val="en-US"/>
        </w:rPr>
        <w:t>examine progress at the next TSAG meeting.</w:t>
      </w:r>
    </w:p>
    <w:p w14:paraId="3F5C33C4" w14:textId="53E02535" w:rsidR="007C0E06" w:rsidRDefault="00534117" w:rsidP="007C0E06">
      <w:pPr>
        <w:pStyle w:val="Heading2"/>
        <w:rPr>
          <w:lang w:val="en-US"/>
        </w:rPr>
      </w:pPr>
      <w:r>
        <w:rPr>
          <w:lang w:val="en-US"/>
        </w:rPr>
        <w:lastRenderedPageBreak/>
        <w:t>P</w:t>
      </w:r>
      <w:r w:rsidRPr="000118DA">
        <w:rPr>
          <w:vertAlign w:val="subscript"/>
          <w:lang w:val="en-US"/>
        </w:rPr>
        <w:t>5</w:t>
      </w:r>
      <w:r>
        <w:rPr>
          <w:lang w:val="en-US"/>
        </w:rPr>
        <w:t xml:space="preserve"> - </w:t>
      </w:r>
      <w:r w:rsidR="007C0E06">
        <w:rPr>
          <w:lang w:val="en-US"/>
        </w:rPr>
        <w:t xml:space="preserve">Pending key questions that need to be </w:t>
      </w:r>
      <w:proofErr w:type="gramStart"/>
      <w:r w:rsidR="007C0E06">
        <w:rPr>
          <w:lang w:val="en-US"/>
        </w:rPr>
        <w:t>resolved</w:t>
      </w:r>
      <w:proofErr w:type="gramEnd"/>
    </w:p>
    <w:p w14:paraId="44A252A2" w14:textId="2CDA568F" w:rsidR="007C0E06" w:rsidRDefault="00534117" w:rsidP="007C0E06">
      <w:pPr>
        <w:rPr>
          <w:lang w:val="en-US" w:eastAsia="en-US"/>
        </w:rPr>
      </w:pPr>
      <w:r>
        <w:rPr>
          <w:lang w:val="en-US" w:eastAsia="en-US"/>
        </w:rPr>
        <w:t>P</w:t>
      </w:r>
      <w:r w:rsidRPr="000118DA">
        <w:rPr>
          <w:vertAlign w:val="subscript"/>
          <w:lang w:val="en-US" w:eastAsia="en-US"/>
        </w:rPr>
        <w:t>5</w:t>
      </w:r>
      <w:r>
        <w:rPr>
          <w:lang w:val="en-US" w:eastAsia="en-US"/>
        </w:rPr>
        <w:t xml:space="preserve"> shows</w:t>
      </w:r>
      <w:r w:rsidR="007C0E06">
        <w:rPr>
          <w:lang w:val="en-US" w:eastAsia="en-US"/>
        </w:rPr>
        <w:t xml:space="preserve"> a gap between the TSAG </w:t>
      </w:r>
      <w:proofErr w:type="spellStart"/>
      <w:r w:rsidR="007C0E06">
        <w:rPr>
          <w:lang w:val="en-US" w:eastAsia="en-US"/>
        </w:rPr>
        <w:t>ToR</w:t>
      </w:r>
      <w:proofErr w:type="spellEnd"/>
      <w:r w:rsidR="007C0E06">
        <w:rPr>
          <w:lang w:val="en-US" w:eastAsia="en-US"/>
        </w:rPr>
        <w:t xml:space="preserve"> item and </w:t>
      </w:r>
      <w:hyperlink r:id="rId15" w:history="1">
        <w:r w:rsidR="007C0E06" w:rsidRPr="007C0E06">
          <w:rPr>
            <w:rStyle w:val="Hyperlink"/>
            <w:lang w:val="en-US" w:eastAsia="en-US"/>
          </w:rPr>
          <w:t>WTSA20 Res. 22</w:t>
        </w:r>
      </w:hyperlink>
      <w:r w:rsidR="007C0E06">
        <w:rPr>
          <w:lang w:val="en-US" w:eastAsia="en-US"/>
        </w:rPr>
        <w:t>.</w:t>
      </w:r>
      <w:r>
        <w:rPr>
          <w:lang w:val="en-US" w:eastAsia="en-US"/>
        </w:rPr>
        <w:t xml:space="preserve"> Here are some questions to help a needed discussion:</w:t>
      </w:r>
    </w:p>
    <w:p w14:paraId="2C78D7BF" w14:textId="614AE424" w:rsidR="007C0E06" w:rsidRPr="00534117" w:rsidRDefault="007C0E06" w:rsidP="000118DA">
      <w:pPr>
        <w:pStyle w:val="ListParagraph"/>
        <w:numPr>
          <w:ilvl w:val="0"/>
          <w:numId w:val="19"/>
        </w:numPr>
        <w:rPr>
          <w:lang w:val="en-US" w:eastAsia="en-US"/>
        </w:rPr>
      </w:pPr>
      <w:r w:rsidRPr="00534117">
        <w:rPr>
          <w:lang w:val="en-US" w:eastAsia="en-US"/>
        </w:rPr>
        <w:t>Are resolve 5, 6, and 7 prescribing one mechanism about new and emerging technologies?</w:t>
      </w:r>
    </w:p>
    <w:p w14:paraId="20EA7BC3" w14:textId="77777777" w:rsidR="00534117" w:rsidRDefault="007C0E06" w:rsidP="007C0E06">
      <w:pPr>
        <w:pStyle w:val="ListParagraph"/>
        <w:numPr>
          <w:ilvl w:val="0"/>
          <w:numId w:val="19"/>
        </w:numPr>
        <w:rPr>
          <w:lang w:val="en-US" w:eastAsia="en-US"/>
        </w:rPr>
      </w:pPr>
      <w:r w:rsidRPr="00534117">
        <w:rPr>
          <w:lang w:val="en-US" w:eastAsia="en-US"/>
        </w:rPr>
        <w:t>Or are they prescribing two mechanisms, one for new and emerging technologies and another for standardization strategies?</w:t>
      </w:r>
    </w:p>
    <w:p w14:paraId="4EE86CB4" w14:textId="77777777" w:rsidR="00534117" w:rsidRDefault="007C0E06" w:rsidP="007C0E06">
      <w:pPr>
        <w:pStyle w:val="ListParagraph"/>
        <w:numPr>
          <w:ilvl w:val="0"/>
          <w:numId w:val="19"/>
        </w:numPr>
        <w:rPr>
          <w:lang w:val="en-US" w:eastAsia="en-US"/>
        </w:rPr>
      </w:pPr>
      <w:r w:rsidRPr="00534117">
        <w:rPr>
          <w:lang w:val="en-US" w:eastAsia="en-US"/>
        </w:rPr>
        <w:t>Or are they prescribing an overall mechanism about new and emerging technologies within the context of a standardization strategy?</w:t>
      </w:r>
    </w:p>
    <w:p w14:paraId="536C1908" w14:textId="77777777" w:rsidR="00534117" w:rsidRDefault="007C0E06" w:rsidP="007C0E06">
      <w:pPr>
        <w:pStyle w:val="ListParagraph"/>
        <w:numPr>
          <w:ilvl w:val="0"/>
          <w:numId w:val="19"/>
        </w:numPr>
        <w:rPr>
          <w:lang w:val="en-US" w:eastAsia="en-US"/>
        </w:rPr>
      </w:pPr>
      <w:r w:rsidRPr="00534117">
        <w:rPr>
          <w:lang w:val="en-US" w:eastAsia="en-US"/>
        </w:rPr>
        <w:t xml:space="preserve">Is this correctly written in the Resolution and does the TSAG </w:t>
      </w:r>
      <w:proofErr w:type="spellStart"/>
      <w:r w:rsidRPr="00534117">
        <w:rPr>
          <w:lang w:val="en-US" w:eastAsia="en-US"/>
        </w:rPr>
        <w:t>ToR</w:t>
      </w:r>
      <w:proofErr w:type="spellEnd"/>
      <w:r w:rsidRPr="00534117">
        <w:rPr>
          <w:lang w:val="en-US" w:eastAsia="en-US"/>
        </w:rPr>
        <w:t xml:space="preserve"> item need to be clarified?</w:t>
      </w:r>
    </w:p>
    <w:p w14:paraId="191995FB" w14:textId="77777777" w:rsidR="00EE0F3D" w:rsidRDefault="007C0E06" w:rsidP="007C0E06">
      <w:pPr>
        <w:pStyle w:val="ListParagraph"/>
        <w:numPr>
          <w:ilvl w:val="0"/>
          <w:numId w:val="19"/>
        </w:numPr>
        <w:rPr>
          <w:lang w:val="en-US" w:eastAsia="en-US"/>
        </w:rPr>
      </w:pPr>
      <w:r w:rsidRPr="00534117">
        <w:rPr>
          <w:lang w:val="en-US" w:eastAsia="en-US"/>
        </w:rPr>
        <w:t>Or is it on the contrary that the Resolution should be clarified?</w:t>
      </w:r>
    </w:p>
    <w:p w14:paraId="240B2E02" w14:textId="5F7B5285" w:rsidR="00534117" w:rsidRDefault="00534117" w:rsidP="007C0E06">
      <w:pPr>
        <w:pStyle w:val="ListParagraph"/>
        <w:numPr>
          <w:ilvl w:val="0"/>
          <w:numId w:val="19"/>
        </w:numPr>
        <w:rPr>
          <w:lang w:val="en-US" w:eastAsia="en-US"/>
        </w:rPr>
      </w:pPr>
      <w:r>
        <w:rPr>
          <w:lang w:val="en-US" w:eastAsia="en-US"/>
        </w:rPr>
        <w:t>Any other question/suggestion?</w:t>
      </w:r>
    </w:p>
    <w:p w14:paraId="46A37579" w14:textId="1FF114BD" w:rsidR="00534117" w:rsidRDefault="00534117" w:rsidP="00534117">
      <w:pPr>
        <w:rPr>
          <w:lang w:val="en-US" w:eastAsia="en-US"/>
        </w:rPr>
      </w:pPr>
      <w:r>
        <w:rPr>
          <w:lang w:val="en-US" w:eastAsia="en-US"/>
        </w:rPr>
        <w:t>Broadcom insists that:</w:t>
      </w:r>
    </w:p>
    <w:p w14:paraId="699C100D" w14:textId="6B4C93FF" w:rsidR="00534117" w:rsidRDefault="00124C52" w:rsidP="00534117">
      <w:pPr>
        <w:pStyle w:val="ListParagraph"/>
        <w:numPr>
          <w:ilvl w:val="0"/>
          <w:numId w:val="21"/>
        </w:numPr>
        <w:rPr>
          <w:lang w:val="en-US" w:eastAsia="en-US"/>
        </w:rPr>
      </w:pPr>
      <w:r>
        <w:rPr>
          <w:lang w:val="en-US" w:eastAsia="en-US"/>
        </w:rPr>
        <w:t>t</w:t>
      </w:r>
      <w:r w:rsidR="00534117">
        <w:rPr>
          <w:lang w:val="en-US" w:eastAsia="en-US"/>
        </w:rPr>
        <w:t>hese questions must be discussed at this TSAG meeting,</w:t>
      </w:r>
    </w:p>
    <w:p w14:paraId="6AECBFF5" w14:textId="138C1785" w:rsidR="00534117" w:rsidRDefault="00534117" w:rsidP="00534117">
      <w:pPr>
        <w:pStyle w:val="ListParagraph"/>
        <w:numPr>
          <w:ilvl w:val="0"/>
          <w:numId w:val="21"/>
        </w:numPr>
        <w:rPr>
          <w:lang w:val="en-US" w:eastAsia="en-US"/>
        </w:rPr>
      </w:pPr>
      <w:r>
        <w:rPr>
          <w:lang w:val="en-US" w:eastAsia="en-US"/>
        </w:rPr>
        <w:t>a way forward to resolve the issue must be agreed.</w:t>
      </w:r>
    </w:p>
    <w:p w14:paraId="15429102" w14:textId="13E8B48B" w:rsidR="00534117" w:rsidRPr="00534117" w:rsidRDefault="00534117" w:rsidP="00534117">
      <w:pPr>
        <w:rPr>
          <w:lang w:val="en-US" w:eastAsia="en-US"/>
        </w:rPr>
      </w:pPr>
      <w:r>
        <w:rPr>
          <w:lang w:val="en-US" w:eastAsia="en-US"/>
        </w:rPr>
        <w:t xml:space="preserve">Resolving this issue is both urgent and existential to the execution of this </w:t>
      </w:r>
      <w:proofErr w:type="spellStart"/>
      <w:r>
        <w:rPr>
          <w:lang w:val="en-US" w:eastAsia="en-US"/>
        </w:rPr>
        <w:t>ToR</w:t>
      </w:r>
      <w:proofErr w:type="spellEnd"/>
      <w:r>
        <w:rPr>
          <w:lang w:val="en-US" w:eastAsia="en-US"/>
        </w:rPr>
        <w:t xml:space="preserve"> item.</w:t>
      </w:r>
    </w:p>
    <w:p w14:paraId="5E66006D" w14:textId="19C2B5B2" w:rsidR="007C0E06" w:rsidRDefault="007C0E06" w:rsidP="000118DA">
      <w:pPr>
        <w:pStyle w:val="Heading2"/>
        <w:rPr>
          <w:lang w:val="en-US"/>
        </w:rPr>
      </w:pPr>
      <w:r>
        <w:rPr>
          <w:lang w:val="en-US"/>
        </w:rPr>
        <w:t xml:space="preserve">Progressing </w:t>
      </w:r>
      <w:r w:rsidR="00534117">
        <w:rPr>
          <w:lang w:val="en-US"/>
        </w:rPr>
        <w:t>P</w:t>
      </w:r>
      <w:r w:rsidR="00534117" w:rsidRPr="00EE0F3D">
        <w:rPr>
          <w:vertAlign w:val="subscript"/>
          <w:lang w:val="en-US"/>
        </w:rPr>
        <w:t>4</w:t>
      </w:r>
      <w:r w:rsidR="00534117">
        <w:rPr>
          <w:lang w:val="en-US"/>
        </w:rPr>
        <w:t xml:space="preserve"> and P</w:t>
      </w:r>
      <w:r w:rsidR="00534117" w:rsidRPr="00EE0F3D">
        <w:rPr>
          <w:vertAlign w:val="subscript"/>
          <w:lang w:val="en-US"/>
        </w:rPr>
        <w:t>3</w:t>
      </w:r>
    </w:p>
    <w:p w14:paraId="2193651C" w14:textId="0A549ACE" w:rsidR="007C0E06" w:rsidRDefault="007C0E06" w:rsidP="007C0E06">
      <w:pPr>
        <w:rPr>
          <w:lang w:val="en-US" w:eastAsia="en-US"/>
        </w:rPr>
      </w:pPr>
      <w:r>
        <w:rPr>
          <w:lang w:val="en-US" w:eastAsia="en-US"/>
        </w:rPr>
        <w:t>Regardless of the above questions</w:t>
      </w:r>
      <w:r w:rsidR="00534117">
        <w:rPr>
          <w:lang w:val="en-US" w:eastAsia="en-US"/>
        </w:rPr>
        <w:t xml:space="preserve"> there are two aspects that can progress:</w:t>
      </w:r>
    </w:p>
    <w:p w14:paraId="43F3C311" w14:textId="64A8E94C" w:rsidR="00534117" w:rsidRDefault="00534117" w:rsidP="00534117">
      <w:pPr>
        <w:pStyle w:val="ListParagraph"/>
        <w:numPr>
          <w:ilvl w:val="0"/>
          <w:numId w:val="19"/>
        </w:numPr>
        <w:rPr>
          <w:lang w:val="en-US" w:eastAsia="en-US"/>
        </w:rPr>
      </w:pPr>
      <w:r>
        <w:rPr>
          <w:lang w:val="en-US" w:eastAsia="en-US"/>
        </w:rPr>
        <w:t>developing a definition for ‘new and emerging’ as per P</w:t>
      </w:r>
      <w:r w:rsidRPr="00EE0F3D">
        <w:rPr>
          <w:vertAlign w:val="subscript"/>
          <w:lang w:val="en-US" w:eastAsia="en-US"/>
        </w:rPr>
        <w:t>4</w:t>
      </w:r>
      <w:r>
        <w:rPr>
          <w:lang w:val="en-US" w:eastAsia="en-US"/>
        </w:rPr>
        <w:t>,</w:t>
      </w:r>
    </w:p>
    <w:p w14:paraId="074772D9" w14:textId="2D3EA53E" w:rsidR="000118DA" w:rsidRDefault="00534117" w:rsidP="000118DA">
      <w:pPr>
        <w:pStyle w:val="ListParagraph"/>
        <w:numPr>
          <w:ilvl w:val="0"/>
          <w:numId w:val="19"/>
        </w:numPr>
        <w:rPr>
          <w:lang w:val="en-US" w:eastAsia="en-US"/>
        </w:rPr>
      </w:pPr>
      <w:r>
        <w:rPr>
          <w:lang w:val="en-US" w:eastAsia="en-US"/>
        </w:rPr>
        <w:t>developing ideas for ‘tooling’ to support the examination of new and emerging technologies.</w:t>
      </w:r>
    </w:p>
    <w:p w14:paraId="7B9DF7A2" w14:textId="42DA8FD3" w:rsidR="000118DA" w:rsidRDefault="000118DA" w:rsidP="000118DA">
      <w:pPr>
        <w:rPr>
          <w:lang w:val="en-US" w:eastAsia="en-US"/>
        </w:rPr>
      </w:pPr>
      <w:r>
        <w:rPr>
          <w:lang w:val="en-US" w:eastAsia="en-US"/>
        </w:rPr>
        <w:t>Broadcom recognizes that ideally P</w:t>
      </w:r>
      <w:r w:rsidRPr="00EE0F3D">
        <w:rPr>
          <w:vertAlign w:val="subscript"/>
          <w:lang w:val="en-US" w:eastAsia="en-US"/>
        </w:rPr>
        <w:t>4</w:t>
      </w:r>
      <w:r>
        <w:rPr>
          <w:lang w:val="en-US" w:eastAsia="en-US"/>
        </w:rPr>
        <w:t xml:space="preserve"> should be done before P</w:t>
      </w:r>
      <w:r w:rsidRPr="00EE0F3D">
        <w:rPr>
          <w:vertAlign w:val="subscript"/>
          <w:lang w:val="en-US" w:eastAsia="en-US"/>
        </w:rPr>
        <w:t>3</w:t>
      </w:r>
      <w:r>
        <w:rPr>
          <w:lang w:val="en-US" w:eastAsia="en-US"/>
        </w:rPr>
        <w:t>. However</w:t>
      </w:r>
      <w:r w:rsidR="00EE0F3D">
        <w:rPr>
          <w:lang w:val="en-US" w:eastAsia="en-US"/>
        </w:rPr>
        <w:t>,</w:t>
      </w:r>
      <w:r>
        <w:rPr>
          <w:lang w:val="en-US" w:eastAsia="en-US"/>
        </w:rPr>
        <w:t xml:space="preserve"> it </w:t>
      </w:r>
      <w:r w:rsidR="00B159A4">
        <w:rPr>
          <w:lang w:val="en-US" w:eastAsia="en-US"/>
        </w:rPr>
        <w:t>may be</w:t>
      </w:r>
      <w:r>
        <w:rPr>
          <w:lang w:val="en-US" w:eastAsia="en-US"/>
        </w:rPr>
        <w:t xml:space="preserve"> possible</w:t>
      </w:r>
      <w:r w:rsidR="00B159A4">
        <w:rPr>
          <w:lang w:val="en-US" w:eastAsia="en-US"/>
        </w:rPr>
        <w:t xml:space="preserve"> and likely</w:t>
      </w:r>
      <w:r>
        <w:rPr>
          <w:lang w:val="en-US" w:eastAsia="en-US"/>
        </w:rPr>
        <w:t xml:space="preserve"> </w:t>
      </w:r>
      <w:r w:rsidR="00B159A4">
        <w:rPr>
          <w:lang w:val="en-US" w:eastAsia="en-US"/>
        </w:rPr>
        <w:t xml:space="preserve">desirable </w:t>
      </w:r>
      <w:r>
        <w:rPr>
          <w:lang w:val="en-US" w:eastAsia="en-US"/>
        </w:rPr>
        <w:t>to work by anticipation</w:t>
      </w:r>
      <w:r w:rsidR="00B159A4">
        <w:rPr>
          <w:lang w:val="en-US" w:eastAsia="en-US"/>
        </w:rPr>
        <w:t>.</w:t>
      </w:r>
    </w:p>
    <w:p w14:paraId="7F926C35" w14:textId="5175C1A9" w:rsidR="00B159A4" w:rsidRPr="000118DA" w:rsidRDefault="00B159A4" w:rsidP="00EE0F3D">
      <w:pPr>
        <w:rPr>
          <w:lang w:val="en-US" w:eastAsia="en-US"/>
        </w:rPr>
      </w:pPr>
      <w:r>
        <w:rPr>
          <w:lang w:val="en-US" w:eastAsia="en-US"/>
        </w:rPr>
        <w:t>Broadcom recognizes that in one hand, progressing both P</w:t>
      </w:r>
      <w:r w:rsidRPr="00EE0F3D">
        <w:rPr>
          <w:vertAlign w:val="subscript"/>
          <w:lang w:val="en-US" w:eastAsia="en-US"/>
        </w:rPr>
        <w:t>4</w:t>
      </w:r>
      <w:r>
        <w:rPr>
          <w:lang w:val="en-US" w:eastAsia="en-US"/>
        </w:rPr>
        <w:t xml:space="preserve"> and P</w:t>
      </w:r>
      <w:r w:rsidRPr="00EE0F3D">
        <w:rPr>
          <w:vertAlign w:val="subscript"/>
          <w:lang w:val="en-US" w:eastAsia="en-US"/>
        </w:rPr>
        <w:t>3</w:t>
      </w:r>
      <w:r>
        <w:rPr>
          <w:lang w:val="en-US" w:eastAsia="en-US"/>
        </w:rPr>
        <w:t xml:space="preserve"> at the same time might be ambitious considering potential resources to contribute and on the other hand, it would be beneficial for P</w:t>
      </w:r>
      <w:r w:rsidRPr="00EE0F3D">
        <w:rPr>
          <w:vertAlign w:val="subscript"/>
          <w:lang w:val="en-US" w:eastAsia="en-US"/>
        </w:rPr>
        <w:t>4</w:t>
      </w:r>
      <w:r>
        <w:rPr>
          <w:lang w:val="en-US" w:eastAsia="en-US"/>
        </w:rPr>
        <w:t xml:space="preserve"> that P</w:t>
      </w:r>
      <w:r w:rsidRPr="00EE0F3D">
        <w:rPr>
          <w:vertAlign w:val="subscript"/>
          <w:lang w:val="en-US" w:eastAsia="en-US"/>
        </w:rPr>
        <w:t>3</w:t>
      </w:r>
      <w:r>
        <w:rPr>
          <w:lang w:val="en-US" w:eastAsia="en-US"/>
        </w:rPr>
        <w:t xml:space="preserve"> starts as it would provide both a context and one way to test candidate definitions being developed in P</w:t>
      </w:r>
      <w:r w:rsidRPr="00EE0F3D">
        <w:rPr>
          <w:vertAlign w:val="subscript"/>
          <w:lang w:val="en-US" w:eastAsia="en-US"/>
        </w:rPr>
        <w:t>4</w:t>
      </w:r>
      <w:r>
        <w:rPr>
          <w:lang w:val="en-US" w:eastAsia="en-US"/>
        </w:rPr>
        <w:t xml:space="preserve">. </w:t>
      </w:r>
    </w:p>
    <w:p w14:paraId="687199A7" w14:textId="05167697" w:rsidR="00534117" w:rsidRDefault="00534117" w:rsidP="00534117">
      <w:pPr>
        <w:rPr>
          <w:lang w:val="en-US" w:eastAsia="en-US"/>
        </w:rPr>
      </w:pPr>
      <w:r>
        <w:rPr>
          <w:lang w:val="en-US" w:eastAsia="en-US"/>
        </w:rPr>
        <w:t xml:space="preserve">Broadcom proposes that RG-IEM rapporteur group meetings start to progress by contributions on these two aspects as pre-requisites for the rest of the work. </w:t>
      </w:r>
    </w:p>
    <w:p w14:paraId="37A71EE4" w14:textId="4D2D70F8" w:rsidR="00534117" w:rsidRPr="000118DA" w:rsidRDefault="00534117" w:rsidP="00534117">
      <w:pPr>
        <w:rPr>
          <w:lang w:val="en-US" w:eastAsia="en-US"/>
        </w:rPr>
      </w:pPr>
      <w:r>
        <w:rPr>
          <w:lang w:val="en-US" w:eastAsia="en-US"/>
        </w:rPr>
        <w:t xml:space="preserve">RG-IEM will report on </w:t>
      </w:r>
      <w:r w:rsidR="00616500">
        <w:rPr>
          <w:lang w:val="en-US" w:eastAsia="en-US"/>
        </w:rPr>
        <w:t xml:space="preserve">the progress on </w:t>
      </w:r>
      <w:r>
        <w:rPr>
          <w:lang w:val="en-US" w:eastAsia="en-US"/>
        </w:rPr>
        <w:t xml:space="preserve">both items at the next </w:t>
      </w:r>
      <w:r w:rsidR="00616500">
        <w:rPr>
          <w:lang w:val="en-US" w:eastAsia="en-US"/>
        </w:rPr>
        <w:t>TSAG meeting.</w:t>
      </w:r>
    </w:p>
    <w:p w14:paraId="49539F56" w14:textId="2B22BC8E" w:rsidR="008D27FE" w:rsidRDefault="00363445" w:rsidP="008D27FE">
      <w:pPr>
        <w:pStyle w:val="Heading1"/>
      </w:pPr>
      <w:r>
        <w:t>Proposal</w:t>
      </w:r>
    </w:p>
    <w:p w14:paraId="1B733126" w14:textId="77777777" w:rsidR="0000161F" w:rsidRPr="0000161F" w:rsidRDefault="0000161F" w:rsidP="0000161F">
      <w:pPr>
        <w:rPr>
          <w:lang w:eastAsia="en-US"/>
        </w:rPr>
      </w:pPr>
    </w:p>
    <w:p w14:paraId="46D12845" w14:textId="5B7885BE" w:rsidR="00996CCA" w:rsidRDefault="00996CCA" w:rsidP="00996CCA">
      <w:pPr>
        <w:pStyle w:val="ListParagraph"/>
        <w:numPr>
          <w:ilvl w:val="0"/>
          <w:numId w:val="12"/>
        </w:numPr>
        <w:spacing w:before="0"/>
      </w:pPr>
      <w:r>
        <w:t xml:space="preserve">Request RG-IEM </w:t>
      </w:r>
      <w:r w:rsidR="00616500">
        <w:t xml:space="preserve">rapporteur group </w:t>
      </w:r>
      <w:r>
        <w:t>meetings to e</w:t>
      </w:r>
      <w:r w:rsidR="00363445">
        <w:t xml:space="preserve">nhance </w:t>
      </w:r>
      <w:hyperlink r:id="rId16" w:history="1">
        <w:r w:rsidR="00C21BA7" w:rsidRPr="008C54D5">
          <w:rPr>
            <w:rStyle w:val="Hyperlink"/>
          </w:rPr>
          <w:t>TD258</w:t>
        </w:r>
      </w:hyperlink>
      <w:r w:rsidR="00C21BA7">
        <w:t xml:space="preserve"> </w:t>
      </w:r>
      <w:r>
        <w:t xml:space="preserve">for the next TSAG meeting in order to capture </w:t>
      </w:r>
      <w:hyperlink r:id="rId17" w:history="1">
        <w:r w:rsidR="00B159A4" w:rsidRPr="000306EE">
          <w:rPr>
            <w:rStyle w:val="Hyperlink"/>
          </w:rPr>
          <w:t>C31</w:t>
        </w:r>
      </w:hyperlink>
      <w:r>
        <w:t xml:space="preserve"> and </w:t>
      </w:r>
      <w:r w:rsidR="009F11D5">
        <w:t xml:space="preserve">the </w:t>
      </w:r>
      <w:r>
        <w:t>relevant</w:t>
      </w:r>
      <w:r w:rsidR="009F11D5">
        <w:t>,</w:t>
      </w:r>
      <w:r>
        <w:t xml:space="preserve"> agreeable content</w:t>
      </w:r>
      <w:r w:rsidR="008C54D5">
        <w:t xml:space="preserve"> </w:t>
      </w:r>
      <w:r w:rsidR="009F11D5">
        <w:t xml:space="preserve">in this contribution </w:t>
      </w:r>
      <w:r w:rsidR="008C54D5">
        <w:t>and any future work in one place</w:t>
      </w:r>
    </w:p>
    <w:p w14:paraId="73F33D23" w14:textId="4D3B12B1" w:rsidR="00616500" w:rsidRDefault="00616500" w:rsidP="00996CCA">
      <w:pPr>
        <w:pStyle w:val="ListParagraph"/>
        <w:numPr>
          <w:ilvl w:val="0"/>
          <w:numId w:val="12"/>
        </w:numPr>
        <w:spacing w:before="0"/>
      </w:pPr>
      <w:r>
        <w:t>Resolve P</w:t>
      </w:r>
      <w:r w:rsidRPr="000118DA">
        <w:rPr>
          <w:vertAlign w:val="subscript"/>
        </w:rPr>
        <w:t>5</w:t>
      </w:r>
      <w:r>
        <w:t xml:space="preserve"> (the perceived gap between WTSA20 Res. 22 and the TSAG </w:t>
      </w:r>
      <w:proofErr w:type="spellStart"/>
      <w:r>
        <w:t>ToR</w:t>
      </w:r>
      <w:proofErr w:type="spellEnd"/>
      <w:r>
        <w:t xml:space="preserve"> item) at this TSAG meeting.</w:t>
      </w:r>
    </w:p>
    <w:p w14:paraId="634DF712" w14:textId="43D4B3E4" w:rsidR="00616500" w:rsidRDefault="009F11D5" w:rsidP="00996CCA">
      <w:pPr>
        <w:pStyle w:val="ListParagraph"/>
        <w:numPr>
          <w:ilvl w:val="0"/>
          <w:numId w:val="12"/>
        </w:numPr>
        <w:spacing w:before="0"/>
      </w:pPr>
      <w:r>
        <w:t xml:space="preserve">Make a call for contribution to the </w:t>
      </w:r>
      <w:r w:rsidR="00616500">
        <w:t>RG-IEM rapporteur group meetings to engage the development of P</w:t>
      </w:r>
      <w:r w:rsidR="00616500" w:rsidRPr="000118DA">
        <w:rPr>
          <w:vertAlign w:val="subscript"/>
        </w:rPr>
        <w:t>4</w:t>
      </w:r>
      <w:r w:rsidR="00616500">
        <w:t xml:space="preserve"> and </w:t>
      </w:r>
      <w:r>
        <w:t xml:space="preserve">possibly </w:t>
      </w:r>
      <w:r w:rsidR="00616500">
        <w:t>P</w:t>
      </w:r>
      <w:r w:rsidR="00616500" w:rsidRPr="000118DA">
        <w:rPr>
          <w:vertAlign w:val="subscript"/>
        </w:rPr>
        <w:t>3</w:t>
      </w:r>
      <w:r w:rsidR="00616500">
        <w:t>, respectively on the definitions and the tooling, and report progress at the next TSAG meeting.</w:t>
      </w:r>
    </w:p>
    <w:p w14:paraId="1211D42C" w14:textId="77777777" w:rsidR="00E0702C" w:rsidRDefault="00E0702C" w:rsidP="00E0702C">
      <w:pPr>
        <w:spacing w:before="0"/>
      </w:pPr>
    </w:p>
    <w:p w14:paraId="055DD4F7" w14:textId="77777777" w:rsidR="00E0702C" w:rsidRDefault="00E0702C" w:rsidP="00E0702C">
      <w:pPr>
        <w:spacing w:before="0"/>
      </w:pPr>
    </w:p>
    <w:p w14:paraId="39584CDD" w14:textId="77777777" w:rsidR="005A64A7" w:rsidRDefault="005A64A7" w:rsidP="00E0702C">
      <w:pPr>
        <w:spacing w:before="0" w:after="160" w:line="259" w:lineRule="auto"/>
        <w:jc w:val="center"/>
      </w:pPr>
      <w:r>
        <w:t>_______________________</w:t>
      </w:r>
    </w:p>
    <w:p w14:paraId="0B89818C" w14:textId="77777777" w:rsidR="005A64A7" w:rsidRDefault="005A64A7" w:rsidP="0089088E"/>
    <w:sectPr w:rsidR="005A64A7" w:rsidSect="0024696D">
      <w:headerReference w:type="default" r:id="rId1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11DD" w14:textId="77777777" w:rsidR="0024696D" w:rsidRDefault="0024696D" w:rsidP="00C42125">
      <w:pPr>
        <w:spacing w:before="0"/>
      </w:pPr>
      <w:r>
        <w:separator/>
      </w:r>
    </w:p>
  </w:endnote>
  <w:endnote w:type="continuationSeparator" w:id="0">
    <w:p w14:paraId="02049A33" w14:textId="77777777" w:rsidR="0024696D" w:rsidRDefault="0024696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20B0604020202020204"/>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31D3" w14:textId="77777777" w:rsidR="0024696D" w:rsidRDefault="0024696D" w:rsidP="00C42125">
      <w:pPr>
        <w:spacing w:before="0"/>
      </w:pPr>
      <w:r>
        <w:separator/>
      </w:r>
    </w:p>
  </w:footnote>
  <w:footnote w:type="continuationSeparator" w:id="0">
    <w:p w14:paraId="4BDAE7AE" w14:textId="77777777" w:rsidR="0024696D" w:rsidRDefault="0024696D" w:rsidP="00C42125">
      <w:pPr>
        <w:spacing w:before="0"/>
      </w:pPr>
      <w:r>
        <w:continuationSeparator/>
      </w:r>
    </w:p>
  </w:footnote>
  <w:footnote w:id="1">
    <w:p w14:paraId="0A4C1E17" w14:textId="77777777" w:rsidR="00363445" w:rsidRPr="000306EE" w:rsidRDefault="00363445" w:rsidP="00363445">
      <w:pPr>
        <w:pStyle w:val="FootnoteText"/>
        <w:rPr>
          <w:lang w:val="en-US"/>
        </w:rPr>
      </w:pPr>
      <w:r>
        <w:rPr>
          <w:rStyle w:val="FootnoteReference"/>
        </w:rPr>
        <w:footnoteRef/>
      </w:r>
      <w:r>
        <w:t xml:space="preserve"> </w:t>
      </w:r>
      <w:r>
        <w:rPr>
          <w:lang w:eastAsia="en-US"/>
        </w:rPr>
        <w:t>item 3 of the Terms of Reference (</w:t>
      </w:r>
      <w:proofErr w:type="spellStart"/>
      <w:r>
        <w:rPr>
          <w:lang w:eastAsia="en-US"/>
        </w:rPr>
        <w:t>ToR</w:t>
      </w:r>
      <w:proofErr w:type="spellEnd"/>
      <w:r>
        <w:rPr>
          <w:lang w:eastAsia="en-US"/>
        </w:rPr>
        <w:t xml:space="preserve">) of RG-IEM as per section D.7 of Annex D of the (Draft) Report of the first TSAG meeting (Geneva, 12-16 December 2022) contained in </w:t>
      </w:r>
      <w:hyperlink r:id="rId1" w:history="1">
        <w:r w:rsidRPr="00842973">
          <w:rPr>
            <w:rStyle w:val="Hyperlink"/>
            <w:lang w:eastAsia="en-US"/>
          </w:rPr>
          <w:t>TSAG-TD004R1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2682"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170D18E1" w14:textId="555E5AA9" w:rsidR="00C42125" w:rsidRPr="00C42125" w:rsidRDefault="00253DBE" w:rsidP="007E53E4">
    <w:pPr>
      <w:pStyle w:val="Header"/>
    </w:pPr>
    <w:r>
      <w:fldChar w:fldCharType="begin"/>
    </w:r>
    <w:r>
      <w:instrText xml:space="preserve"> STYLEREF  Docnumber  </w:instrText>
    </w:r>
    <w:r>
      <w:fldChar w:fldCharType="separate"/>
    </w:r>
    <w:r w:rsidR="00124C52">
      <w:rPr>
        <w:noProof/>
      </w:rPr>
      <w:t>TSAG-C84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F748D"/>
    <w:multiLevelType w:val="hybridMultilevel"/>
    <w:tmpl w:val="1E3C3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B68A3"/>
    <w:multiLevelType w:val="hybridMultilevel"/>
    <w:tmpl w:val="30E8C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C44AEF"/>
    <w:multiLevelType w:val="hybridMultilevel"/>
    <w:tmpl w:val="5C58FC28"/>
    <w:lvl w:ilvl="0" w:tplc="ED349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E4CF8"/>
    <w:multiLevelType w:val="multilevel"/>
    <w:tmpl w:val="DD48C3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9451DA8"/>
    <w:multiLevelType w:val="hybridMultilevel"/>
    <w:tmpl w:val="0FDC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8508FF"/>
    <w:multiLevelType w:val="hybridMultilevel"/>
    <w:tmpl w:val="471A35E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77434"/>
    <w:multiLevelType w:val="hybridMultilevel"/>
    <w:tmpl w:val="143A7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4672E7"/>
    <w:multiLevelType w:val="hybridMultilevel"/>
    <w:tmpl w:val="169835B4"/>
    <w:lvl w:ilvl="0" w:tplc="71E49D68">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BD81E90"/>
    <w:multiLevelType w:val="hybridMultilevel"/>
    <w:tmpl w:val="99504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F04B5A"/>
    <w:multiLevelType w:val="hybridMultilevel"/>
    <w:tmpl w:val="0FDCE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210420">
    <w:abstractNumId w:val="9"/>
  </w:num>
  <w:num w:numId="2" w16cid:durableId="953369192">
    <w:abstractNumId w:val="7"/>
  </w:num>
  <w:num w:numId="3" w16cid:durableId="1351757425">
    <w:abstractNumId w:val="6"/>
  </w:num>
  <w:num w:numId="4" w16cid:durableId="2021542371">
    <w:abstractNumId w:val="5"/>
  </w:num>
  <w:num w:numId="5" w16cid:durableId="1482889673">
    <w:abstractNumId w:val="4"/>
  </w:num>
  <w:num w:numId="6" w16cid:durableId="1218666259">
    <w:abstractNumId w:val="8"/>
  </w:num>
  <w:num w:numId="7" w16cid:durableId="766581264">
    <w:abstractNumId w:val="3"/>
  </w:num>
  <w:num w:numId="8" w16cid:durableId="846290338">
    <w:abstractNumId w:val="2"/>
  </w:num>
  <w:num w:numId="9" w16cid:durableId="709305401">
    <w:abstractNumId w:val="1"/>
  </w:num>
  <w:num w:numId="10" w16cid:durableId="1521970254">
    <w:abstractNumId w:val="0"/>
  </w:num>
  <w:num w:numId="11" w16cid:durableId="1129668710">
    <w:abstractNumId w:val="18"/>
  </w:num>
  <w:num w:numId="12" w16cid:durableId="17321618">
    <w:abstractNumId w:val="12"/>
  </w:num>
  <w:num w:numId="13" w16cid:durableId="1757246882">
    <w:abstractNumId w:val="11"/>
  </w:num>
  <w:num w:numId="14" w16cid:durableId="1592540514">
    <w:abstractNumId w:val="10"/>
  </w:num>
  <w:num w:numId="15" w16cid:durableId="1699814745">
    <w:abstractNumId w:val="20"/>
  </w:num>
  <w:num w:numId="16" w16cid:durableId="1910458884">
    <w:abstractNumId w:val="14"/>
  </w:num>
  <w:num w:numId="17" w16cid:durableId="1557546342">
    <w:abstractNumId w:val="16"/>
  </w:num>
  <w:num w:numId="18" w16cid:durableId="125972954">
    <w:abstractNumId w:val="13"/>
  </w:num>
  <w:num w:numId="19" w16cid:durableId="57368316">
    <w:abstractNumId w:val="17"/>
  </w:num>
  <w:num w:numId="20" w16cid:durableId="1535920553">
    <w:abstractNumId w:val="15"/>
  </w:num>
  <w:num w:numId="21" w16cid:durableId="5999949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61F"/>
    <w:rsid w:val="000118DA"/>
    <w:rsid w:val="000171DB"/>
    <w:rsid w:val="00023D9A"/>
    <w:rsid w:val="0002490E"/>
    <w:rsid w:val="00037538"/>
    <w:rsid w:val="00043D75"/>
    <w:rsid w:val="00054813"/>
    <w:rsid w:val="00057000"/>
    <w:rsid w:val="000640E0"/>
    <w:rsid w:val="00064226"/>
    <w:rsid w:val="000A5CA2"/>
    <w:rsid w:val="000B25B1"/>
    <w:rsid w:val="000B4523"/>
    <w:rsid w:val="000C3DDD"/>
    <w:rsid w:val="000C46EE"/>
    <w:rsid w:val="001042AE"/>
    <w:rsid w:val="00124C52"/>
    <w:rsid w:val="001251DA"/>
    <w:rsid w:val="00125432"/>
    <w:rsid w:val="00137F40"/>
    <w:rsid w:val="00165942"/>
    <w:rsid w:val="0017240B"/>
    <w:rsid w:val="001871EC"/>
    <w:rsid w:val="001A1E91"/>
    <w:rsid w:val="001A670F"/>
    <w:rsid w:val="001C3FE2"/>
    <w:rsid w:val="001C62B8"/>
    <w:rsid w:val="001D11B5"/>
    <w:rsid w:val="001E7B0E"/>
    <w:rsid w:val="001F141D"/>
    <w:rsid w:val="00200A06"/>
    <w:rsid w:val="00225175"/>
    <w:rsid w:val="00231DC5"/>
    <w:rsid w:val="00241832"/>
    <w:rsid w:val="0024696D"/>
    <w:rsid w:val="002534C9"/>
    <w:rsid w:val="00253DBE"/>
    <w:rsid w:val="002622FA"/>
    <w:rsid w:val="00263518"/>
    <w:rsid w:val="002759E7"/>
    <w:rsid w:val="00275ED1"/>
    <w:rsid w:val="00277326"/>
    <w:rsid w:val="002A49E0"/>
    <w:rsid w:val="002C015C"/>
    <w:rsid w:val="002C26C0"/>
    <w:rsid w:val="002C2BC5"/>
    <w:rsid w:val="002C60C5"/>
    <w:rsid w:val="002E2053"/>
    <w:rsid w:val="002E79CB"/>
    <w:rsid w:val="002F1CFE"/>
    <w:rsid w:val="002F7F55"/>
    <w:rsid w:val="0030745F"/>
    <w:rsid w:val="00314630"/>
    <w:rsid w:val="0032090A"/>
    <w:rsid w:val="00321CDE"/>
    <w:rsid w:val="00323562"/>
    <w:rsid w:val="00333E15"/>
    <w:rsid w:val="00336046"/>
    <w:rsid w:val="00345FDC"/>
    <w:rsid w:val="00350492"/>
    <w:rsid w:val="0035343D"/>
    <w:rsid w:val="00363445"/>
    <w:rsid w:val="0037422B"/>
    <w:rsid w:val="0038715D"/>
    <w:rsid w:val="00394DBF"/>
    <w:rsid w:val="003957A6"/>
    <w:rsid w:val="00395C05"/>
    <w:rsid w:val="003A43EF"/>
    <w:rsid w:val="003A5982"/>
    <w:rsid w:val="003C2BDC"/>
    <w:rsid w:val="003C7445"/>
    <w:rsid w:val="003C771F"/>
    <w:rsid w:val="003D2CC8"/>
    <w:rsid w:val="003F2BED"/>
    <w:rsid w:val="00404998"/>
    <w:rsid w:val="00443878"/>
    <w:rsid w:val="0044609F"/>
    <w:rsid w:val="004539A8"/>
    <w:rsid w:val="004712CA"/>
    <w:rsid w:val="0047422E"/>
    <w:rsid w:val="0049674B"/>
    <w:rsid w:val="004A2672"/>
    <w:rsid w:val="004A6479"/>
    <w:rsid w:val="004C0673"/>
    <w:rsid w:val="004C4E4E"/>
    <w:rsid w:val="004F3816"/>
    <w:rsid w:val="004F6151"/>
    <w:rsid w:val="005155ED"/>
    <w:rsid w:val="005241CD"/>
    <w:rsid w:val="00534117"/>
    <w:rsid w:val="00543D41"/>
    <w:rsid w:val="00552142"/>
    <w:rsid w:val="0055782F"/>
    <w:rsid w:val="00566EDA"/>
    <w:rsid w:val="00567F52"/>
    <w:rsid w:val="00572654"/>
    <w:rsid w:val="00577559"/>
    <w:rsid w:val="00583CED"/>
    <w:rsid w:val="005A64A7"/>
    <w:rsid w:val="005B3023"/>
    <w:rsid w:val="005B5629"/>
    <w:rsid w:val="005C0300"/>
    <w:rsid w:val="005C4F27"/>
    <w:rsid w:val="005F4B6A"/>
    <w:rsid w:val="006010F3"/>
    <w:rsid w:val="00604127"/>
    <w:rsid w:val="00615A0A"/>
    <w:rsid w:val="00616500"/>
    <w:rsid w:val="006243D6"/>
    <w:rsid w:val="006333D4"/>
    <w:rsid w:val="006369B2"/>
    <w:rsid w:val="00642D16"/>
    <w:rsid w:val="00647525"/>
    <w:rsid w:val="006570B0"/>
    <w:rsid w:val="0065720F"/>
    <w:rsid w:val="0069180E"/>
    <w:rsid w:val="00691C94"/>
    <w:rsid w:val="0069210B"/>
    <w:rsid w:val="006A4055"/>
    <w:rsid w:val="006A7457"/>
    <w:rsid w:val="006C34D2"/>
    <w:rsid w:val="006C5641"/>
    <w:rsid w:val="006D1089"/>
    <w:rsid w:val="006D1B86"/>
    <w:rsid w:val="006D7355"/>
    <w:rsid w:val="006F2ACE"/>
    <w:rsid w:val="006F4361"/>
    <w:rsid w:val="00715B22"/>
    <w:rsid w:val="00715CA6"/>
    <w:rsid w:val="00731135"/>
    <w:rsid w:val="007324AF"/>
    <w:rsid w:val="007409B4"/>
    <w:rsid w:val="00741974"/>
    <w:rsid w:val="00751A08"/>
    <w:rsid w:val="0075525E"/>
    <w:rsid w:val="00756D3D"/>
    <w:rsid w:val="007745D0"/>
    <w:rsid w:val="007806C2"/>
    <w:rsid w:val="007903F8"/>
    <w:rsid w:val="00794F4F"/>
    <w:rsid w:val="007974BE"/>
    <w:rsid w:val="007A0916"/>
    <w:rsid w:val="007A0DFD"/>
    <w:rsid w:val="007A59C4"/>
    <w:rsid w:val="007A6474"/>
    <w:rsid w:val="007C0E06"/>
    <w:rsid w:val="007C7122"/>
    <w:rsid w:val="007D3F11"/>
    <w:rsid w:val="007D6BA3"/>
    <w:rsid w:val="007E53E4"/>
    <w:rsid w:val="007E656A"/>
    <w:rsid w:val="007F664D"/>
    <w:rsid w:val="0081064E"/>
    <w:rsid w:val="00810DE2"/>
    <w:rsid w:val="008128CE"/>
    <w:rsid w:val="00841217"/>
    <w:rsid w:val="00842137"/>
    <w:rsid w:val="00855D14"/>
    <w:rsid w:val="00860DC1"/>
    <w:rsid w:val="00887ED8"/>
    <w:rsid w:val="0089088E"/>
    <w:rsid w:val="00890A07"/>
    <w:rsid w:val="00892297"/>
    <w:rsid w:val="00893996"/>
    <w:rsid w:val="008B6F4A"/>
    <w:rsid w:val="008C54D5"/>
    <w:rsid w:val="008D0C7E"/>
    <w:rsid w:val="008D27FE"/>
    <w:rsid w:val="008E0172"/>
    <w:rsid w:val="008E370F"/>
    <w:rsid w:val="008F1DBA"/>
    <w:rsid w:val="00914912"/>
    <w:rsid w:val="00932AB7"/>
    <w:rsid w:val="00934405"/>
    <w:rsid w:val="00934C5D"/>
    <w:rsid w:val="009406B5"/>
    <w:rsid w:val="00943FFC"/>
    <w:rsid w:val="00946166"/>
    <w:rsid w:val="00947A28"/>
    <w:rsid w:val="0095099F"/>
    <w:rsid w:val="00983164"/>
    <w:rsid w:val="00996CCA"/>
    <w:rsid w:val="009972EF"/>
    <w:rsid w:val="009B75B3"/>
    <w:rsid w:val="009C3160"/>
    <w:rsid w:val="009E766E"/>
    <w:rsid w:val="009F11D5"/>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30A6"/>
    <w:rsid w:val="00A971A0"/>
    <w:rsid w:val="00AA1F22"/>
    <w:rsid w:val="00AA203F"/>
    <w:rsid w:val="00AB0B51"/>
    <w:rsid w:val="00AB7B0F"/>
    <w:rsid w:val="00AC157E"/>
    <w:rsid w:val="00AC6FE4"/>
    <w:rsid w:val="00AE38E1"/>
    <w:rsid w:val="00B05821"/>
    <w:rsid w:val="00B159A4"/>
    <w:rsid w:val="00B26C28"/>
    <w:rsid w:val="00B4174C"/>
    <w:rsid w:val="00B453F5"/>
    <w:rsid w:val="00B52517"/>
    <w:rsid w:val="00B52CA8"/>
    <w:rsid w:val="00B56FD7"/>
    <w:rsid w:val="00B57342"/>
    <w:rsid w:val="00B61624"/>
    <w:rsid w:val="00B718A5"/>
    <w:rsid w:val="00B8261A"/>
    <w:rsid w:val="00BC1FAE"/>
    <w:rsid w:val="00BC62E2"/>
    <w:rsid w:val="00BE2495"/>
    <w:rsid w:val="00BE36F8"/>
    <w:rsid w:val="00BF0E60"/>
    <w:rsid w:val="00C21BA7"/>
    <w:rsid w:val="00C22C5F"/>
    <w:rsid w:val="00C37FDD"/>
    <w:rsid w:val="00C42125"/>
    <w:rsid w:val="00C62814"/>
    <w:rsid w:val="00C74937"/>
    <w:rsid w:val="00C759C2"/>
    <w:rsid w:val="00CB381C"/>
    <w:rsid w:val="00CD20D8"/>
    <w:rsid w:val="00CF34A7"/>
    <w:rsid w:val="00D44EEB"/>
    <w:rsid w:val="00D57D7F"/>
    <w:rsid w:val="00D73137"/>
    <w:rsid w:val="00D838A1"/>
    <w:rsid w:val="00DA313C"/>
    <w:rsid w:val="00DB1307"/>
    <w:rsid w:val="00DB138B"/>
    <w:rsid w:val="00DC0323"/>
    <w:rsid w:val="00DC48DC"/>
    <w:rsid w:val="00DD50DE"/>
    <w:rsid w:val="00DE3062"/>
    <w:rsid w:val="00E015D6"/>
    <w:rsid w:val="00E01E12"/>
    <w:rsid w:val="00E0702C"/>
    <w:rsid w:val="00E07600"/>
    <w:rsid w:val="00E14FCE"/>
    <w:rsid w:val="00E204DD"/>
    <w:rsid w:val="00E2145E"/>
    <w:rsid w:val="00E24D43"/>
    <w:rsid w:val="00E353EC"/>
    <w:rsid w:val="00E53C24"/>
    <w:rsid w:val="00E625BC"/>
    <w:rsid w:val="00EB444A"/>
    <w:rsid w:val="00EB444D"/>
    <w:rsid w:val="00EE0F3D"/>
    <w:rsid w:val="00F02294"/>
    <w:rsid w:val="00F066F7"/>
    <w:rsid w:val="00F25254"/>
    <w:rsid w:val="00F35F57"/>
    <w:rsid w:val="00F403F5"/>
    <w:rsid w:val="00F50467"/>
    <w:rsid w:val="00F562A0"/>
    <w:rsid w:val="00F8791A"/>
    <w:rsid w:val="00FA2177"/>
    <w:rsid w:val="00FA2E6D"/>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3C44"/>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numPr>
        <w:numId w:val="18"/>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numPr>
        <w:ilvl w:val="1"/>
      </w:numPr>
      <w:spacing w:before="240"/>
      <w:outlineLvl w:val="1"/>
    </w:pPr>
  </w:style>
  <w:style w:type="paragraph" w:styleId="Heading3">
    <w:name w:val="heading 3"/>
    <w:basedOn w:val="Heading1"/>
    <w:next w:val="Normal"/>
    <w:link w:val="Heading3Char"/>
    <w:rsid w:val="00566EDA"/>
    <w:pPr>
      <w:numPr>
        <w:ilvl w:val="2"/>
      </w:numPr>
      <w:spacing w:before="160"/>
      <w:outlineLvl w:val="2"/>
    </w:pPr>
  </w:style>
  <w:style w:type="paragraph" w:styleId="Heading4">
    <w:name w:val="heading 4"/>
    <w:basedOn w:val="Heading3"/>
    <w:next w:val="Normal"/>
    <w:link w:val="Heading4Char"/>
    <w:qFormat/>
    <w:rsid w:val="00566EDA"/>
    <w:pPr>
      <w:numPr>
        <w:ilvl w:val="3"/>
      </w:numPr>
      <w:tabs>
        <w:tab w:val="clear" w:pos="794"/>
        <w:tab w:val="left" w:pos="1021"/>
      </w:tabs>
      <w:outlineLvl w:val="3"/>
    </w:pPr>
  </w:style>
  <w:style w:type="paragraph" w:styleId="Heading5">
    <w:name w:val="heading 5"/>
    <w:basedOn w:val="Heading4"/>
    <w:next w:val="Normal"/>
    <w:link w:val="Heading5Char"/>
    <w:qFormat/>
    <w:rsid w:val="00566EDA"/>
    <w:pPr>
      <w:numPr>
        <w:ilvl w:val="4"/>
      </w:numPr>
      <w:outlineLvl w:val="4"/>
    </w:pPr>
  </w:style>
  <w:style w:type="paragraph" w:styleId="Heading6">
    <w:name w:val="heading 6"/>
    <w:basedOn w:val="Heading4"/>
    <w:next w:val="Normal"/>
    <w:link w:val="Heading6Char"/>
    <w:rsid w:val="00566EDA"/>
    <w:pPr>
      <w:numPr>
        <w:ilvl w:val="5"/>
      </w:numPr>
      <w:tabs>
        <w:tab w:val="clear" w:pos="1021"/>
        <w:tab w:val="clear" w:pos="1191"/>
      </w:tabs>
      <w:outlineLvl w:val="5"/>
    </w:pPr>
  </w:style>
  <w:style w:type="paragraph" w:styleId="Heading7">
    <w:name w:val="heading 7"/>
    <w:basedOn w:val="Heading6"/>
    <w:next w:val="Normal"/>
    <w:link w:val="Heading7Char"/>
    <w:rsid w:val="00566EDA"/>
    <w:pPr>
      <w:numPr>
        <w:ilvl w:val="6"/>
      </w:numPr>
      <w:outlineLvl w:val="6"/>
    </w:pPr>
  </w:style>
  <w:style w:type="paragraph" w:styleId="Heading8">
    <w:name w:val="heading 8"/>
    <w:basedOn w:val="Heading6"/>
    <w:next w:val="Normal"/>
    <w:link w:val="Heading8Char"/>
    <w:rsid w:val="00566EDA"/>
    <w:pPr>
      <w:numPr>
        <w:ilvl w:val="7"/>
      </w:numPr>
      <w:outlineLvl w:val="7"/>
    </w:pPr>
  </w:style>
  <w:style w:type="paragraph" w:styleId="Heading9">
    <w:name w:val="heading 9"/>
    <w:basedOn w:val="Heading6"/>
    <w:next w:val="Normal"/>
    <w:link w:val="Heading9Char"/>
    <w:rsid w:val="00566E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basedOn w:val="DefaultParagraphFon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36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TSAG-C-0031/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22-TSAG-C-0031/en" TargetMode="External"/><Relationship Id="rId17" Type="http://schemas.openxmlformats.org/officeDocument/2006/relationships/hyperlink" Target="https://www.itu.int/md/T22-TSAG-C-0031/en" TargetMode="External"/><Relationship Id="rId2" Type="http://schemas.openxmlformats.org/officeDocument/2006/relationships/customXml" Target="../customXml/item2.xml"/><Relationship Id="rId16" Type="http://schemas.openxmlformats.org/officeDocument/2006/relationships/hyperlink" Target="https://www.itu.int/md/T22-TSAG-230530-TD-GEN-0258/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22-TSAG-230530-TD-GEN-0258/en" TargetMode="External"/><Relationship Id="rId5" Type="http://schemas.openxmlformats.org/officeDocument/2006/relationships/styles" Target="styles.xml"/><Relationship Id="rId15" Type="http://schemas.openxmlformats.org/officeDocument/2006/relationships/hyperlink" Target="https://www.itu.int/pub/T-RES-T.22-2022"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TSAG-C-0031/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22-TSAG-221212-TD-GEN-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DDP template for TSAG (2022-2024 study period)</vt:lpstr>
    </vt:vector>
  </TitlesOfParts>
  <Manager>ITU-T</Manager>
  <Company>International Telecommunication Union (ITU)</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Arnaud Taddei</cp:lastModifiedBy>
  <cp:revision>8</cp:revision>
  <cp:lastPrinted>2017-02-22T09:55:00Z</cp:lastPrinted>
  <dcterms:created xsi:type="dcterms:W3CDTF">2024-01-09T17:16:00Z</dcterms:created>
  <dcterms:modified xsi:type="dcterms:W3CDTF">2024-01-09T17:29:00Z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