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629"/>
        <w:gridCol w:w="8577"/>
      </w:tblGrid>
      <w:tr w:rsidR="00D517B2" w:rsidRPr="00D517B2" w14:paraId="2C86509A" w14:textId="77777777" w:rsidTr="00D517B2">
        <w:trPr>
          <w:cantSplit/>
          <w:trHeight w:val="1134"/>
        </w:trPr>
        <w:tc>
          <w:tcPr>
            <w:tcW w:w="798" w:type="pct"/>
          </w:tcPr>
          <w:p w14:paraId="61D491B8" w14:textId="77777777" w:rsidR="00D517B2" w:rsidRPr="00D517B2" w:rsidRDefault="00D517B2" w:rsidP="00D517B2">
            <w:pPr>
              <w:spacing w:before="0" w:line="240" w:lineRule="auto"/>
              <w:rPr>
                <w:b/>
                <w:bCs/>
                <w:rtl/>
                <w:lang w:bidi="ar-EG"/>
              </w:rPr>
            </w:pPr>
            <w:r w:rsidRPr="00D517B2">
              <w:rPr>
                <w:noProof/>
              </w:rPr>
              <w:drawing>
                <wp:inline distT="0" distB="0" distL="0" distR="0" wp14:anchorId="2BCD060B" wp14:editId="736DA5BD">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2E730C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A46786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625"/>
        <w:gridCol w:w="4078"/>
        <w:gridCol w:w="4503"/>
      </w:tblGrid>
      <w:tr w:rsidR="00D517B2" w:rsidRPr="00D517B2" w14:paraId="1D7D0682" w14:textId="77777777" w:rsidTr="00D517B2">
        <w:trPr>
          <w:cantSplit/>
          <w:trHeight w:val="148"/>
          <w:jc w:val="center"/>
        </w:trPr>
        <w:tc>
          <w:tcPr>
            <w:tcW w:w="796" w:type="pct"/>
          </w:tcPr>
          <w:p w14:paraId="052E5615" w14:textId="77777777" w:rsidR="00D517B2" w:rsidRPr="00D517B2" w:rsidRDefault="00D517B2" w:rsidP="00364CE7">
            <w:pPr>
              <w:spacing w:before="240" w:after="240" w:line="300" w:lineRule="exact"/>
              <w:jc w:val="left"/>
              <w:rPr>
                <w:position w:val="2"/>
                <w:lang w:bidi="ar-EG"/>
              </w:rPr>
            </w:pPr>
          </w:p>
        </w:tc>
        <w:tc>
          <w:tcPr>
            <w:tcW w:w="1998" w:type="pct"/>
          </w:tcPr>
          <w:p w14:paraId="5DA90D36" w14:textId="77777777" w:rsidR="00D517B2" w:rsidRPr="00D517B2" w:rsidRDefault="00D517B2" w:rsidP="00364CE7">
            <w:pPr>
              <w:spacing w:before="240" w:after="240" w:line="300" w:lineRule="exact"/>
              <w:jc w:val="left"/>
              <w:rPr>
                <w:position w:val="2"/>
              </w:rPr>
            </w:pPr>
          </w:p>
        </w:tc>
        <w:tc>
          <w:tcPr>
            <w:tcW w:w="2206" w:type="pct"/>
          </w:tcPr>
          <w:p w14:paraId="396CC98D" w14:textId="3F883BB9" w:rsidR="00D517B2" w:rsidRPr="00ED0469" w:rsidRDefault="00FB1F89" w:rsidP="00364CE7">
            <w:pPr>
              <w:spacing w:before="240" w:after="240" w:line="300" w:lineRule="exact"/>
              <w:jc w:val="left"/>
              <w:rPr>
                <w:position w:val="2"/>
                <w:rtl/>
                <w:lang w:bidi="ar-EG"/>
              </w:rPr>
            </w:pPr>
            <w:r w:rsidRPr="00ED0469">
              <w:rPr>
                <w:rFonts w:hint="cs"/>
                <w:position w:val="2"/>
                <w:rtl/>
              </w:rPr>
              <w:t xml:space="preserve">جنيف، </w:t>
            </w:r>
            <w:r w:rsidR="00D70035">
              <w:rPr>
                <w:position w:val="2"/>
              </w:rPr>
              <w:t>12</w:t>
            </w:r>
            <w:r w:rsidRPr="00ED0469">
              <w:rPr>
                <w:rFonts w:hint="cs"/>
                <w:position w:val="2"/>
                <w:rtl/>
                <w:lang w:bidi="ar-EG"/>
              </w:rPr>
              <w:t xml:space="preserve"> </w:t>
            </w:r>
            <w:r w:rsidR="00D70035">
              <w:rPr>
                <w:rFonts w:hint="cs"/>
                <w:position w:val="2"/>
                <w:rtl/>
                <w:lang w:bidi="ar-EG"/>
              </w:rPr>
              <w:t>أبريل</w:t>
            </w:r>
            <w:r w:rsidRPr="00ED0469">
              <w:rPr>
                <w:rFonts w:hint="cs"/>
                <w:position w:val="2"/>
                <w:rtl/>
                <w:lang w:bidi="ar-EG"/>
              </w:rPr>
              <w:t xml:space="preserve"> </w:t>
            </w:r>
            <w:r w:rsidR="00D70035">
              <w:rPr>
                <w:position w:val="2"/>
              </w:rPr>
              <w:t>2024</w:t>
            </w:r>
          </w:p>
        </w:tc>
      </w:tr>
      <w:tr w:rsidR="00EC5EFC" w:rsidRPr="00D517B2" w14:paraId="19C6D14E" w14:textId="77777777" w:rsidTr="00D517B2">
        <w:trPr>
          <w:cantSplit/>
          <w:trHeight w:val="340"/>
          <w:jc w:val="center"/>
        </w:trPr>
        <w:tc>
          <w:tcPr>
            <w:tcW w:w="796" w:type="pct"/>
          </w:tcPr>
          <w:p w14:paraId="606F6C5C" w14:textId="77777777" w:rsidR="00EC5EFC" w:rsidRPr="00842463" w:rsidRDefault="00EC5EFC" w:rsidP="00364CE7">
            <w:pPr>
              <w:spacing w:before="60" w:after="60" w:line="300" w:lineRule="exact"/>
              <w:jc w:val="left"/>
              <w:rPr>
                <w:position w:val="2"/>
              </w:rPr>
            </w:pPr>
            <w:r w:rsidRPr="00842463">
              <w:rPr>
                <w:rFonts w:hint="cs"/>
                <w:position w:val="2"/>
                <w:rtl/>
              </w:rPr>
              <w:t>المرجع:</w:t>
            </w:r>
          </w:p>
        </w:tc>
        <w:tc>
          <w:tcPr>
            <w:tcW w:w="1998" w:type="pct"/>
          </w:tcPr>
          <w:p w14:paraId="4FDFDA21" w14:textId="4CEF341D" w:rsidR="00EC5EFC" w:rsidRDefault="00EC5EFC" w:rsidP="00364CE7">
            <w:pPr>
              <w:spacing w:before="60" w:after="60" w:line="300" w:lineRule="exact"/>
              <w:jc w:val="left"/>
              <w:rPr>
                <w:b/>
                <w:position w:val="2"/>
              </w:rPr>
            </w:pPr>
            <w:r w:rsidRPr="00D517B2">
              <w:rPr>
                <w:b/>
                <w:position w:val="2"/>
              </w:rPr>
              <w:t xml:space="preserve">TSB Collective letter </w:t>
            </w:r>
            <w:r w:rsidR="00D70035">
              <w:rPr>
                <w:b/>
                <w:position w:val="2"/>
              </w:rPr>
              <w:t>4</w:t>
            </w:r>
          </w:p>
          <w:p w14:paraId="2D9CFC09" w14:textId="44EF6E60" w:rsidR="00EC5EFC" w:rsidRPr="00ED0469" w:rsidRDefault="00EC5EFC" w:rsidP="00364CE7">
            <w:pPr>
              <w:spacing w:before="60" w:after="60" w:line="300" w:lineRule="exact"/>
              <w:jc w:val="left"/>
              <w:rPr>
                <w:bCs/>
                <w:position w:val="2"/>
              </w:rPr>
            </w:pPr>
            <w:r w:rsidRPr="00ED0469">
              <w:rPr>
                <w:bCs/>
                <w:position w:val="2"/>
                <w:lang w:val="en-GB"/>
              </w:rPr>
              <w:t>TSAG/BJ</w:t>
            </w:r>
          </w:p>
        </w:tc>
        <w:tc>
          <w:tcPr>
            <w:tcW w:w="2206" w:type="pct"/>
            <w:vMerge w:val="restart"/>
          </w:tcPr>
          <w:p w14:paraId="7A7DAD59" w14:textId="77777777" w:rsidR="00EC5EFC" w:rsidRPr="00D517B2" w:rsidRDefault="00EC5EFC" w:rsidP="00364CE7">
            <w:pPr>
              <w:tabs>
                <w:tab w:val="clear" w:pos="794"/>
                <w:tab w:val="left" w:pos="284"/>
              </w:tabs>
              <w:spacing w:before="60" w:after="60" w:line="300" w:lineRule="exact"/>
              <w:ind w:left="284" w:hanging="284"/>
              <w:jc w:val="left"/>
              <w:rPr>
                <w:position w:val="2"/>
                <w:rtl/>
                <w:lang w:bidi="ar-EG"/>
              </w:rPr>
            </w:pPr>
            <w:r w:rsidRPr="00D517B2">
              <w:rPr>
                <w:rFonts w:hint="cs"/>
                <w:position w:val="2"/>
                <w:rtl/>
              </w:rPr>
              <w:t>إلى:</w:t>
            </w:r>
          </w:p>
          <w:p w14:paraId="7400504F" w14:textId="77777777" w:rsidR="00EC5EFC" w:rsidRPr="00E434B2" w:rsidRDefault="00EC5EFC" w:rsidP="00364CE7">
            <w:pPr>
              <w:tabs>
                <w:tab w:val="clear" w:pos="794"/>
                <w:tab w:val="left" w:pos="367"/>
              </w:tabs>
              <w:spacing w:before="60" w:after="60" w:line="300" w:lineRule="exact"/>
              <w:ind w:left="367" w:hanging="367"/>
              <w:rPr>
                <w:rtl/>
                <w:lang w:bidi="ar-EG"/>
              </w:rPr>
            </w:pPr>
            <w:r w:rsidRPr="00D517B2">
              <w:rPr>
                <w:rFonts w:hint="cs"/>
                <w:position w:val="2"/>
                <w:rtl/>
              </w:rPr>
              <w:t>-</w:t>
            </w:r>
            <w:r w:rsidRPr="00D517B2">
              <w:rPr>
                <w:position w:val="2"/>
                <w:rtl/>
              </w:rPr>
              <w:tab/>
            </w:r>
            <w:r w:rsidRPr="00E434B2">
              <w:rPr>
                <w:rFonts w:hint="cs"/>
                <w:rtl/>
              </w:rPr>
              <w:t>إدارات الدول الأعضاء في الات</w:t>
            </w:r>
            <w:r>
              <w:rPr>
                <w:rFonts w:hint="cs"/>
                <w:rtl/>
                <w:lang w:bidi="ar-EG"/>
              </w:rPr>
              <w:t>‍</w:t>
            </w:r>
            <w:r w:rsidRPr="00E434B2">
              <w:rPr>
                <w:rFonts w:hint="cs"/>
                <w:rtl/>
              </w:rPr>
              <w:t>حاد؛</w:t>
            </w:r>
          </w:p>
          <w:p w14:paraId="4B15D093" w14:textId="77777777" w:rsidR="00EC5EFC" w:rsidRDefault="00EC5EFC" w:rsidP="00364CE7">
            <w:pPr>
              <w:tabs>
                <w:tab w:val="clear" w:pos="794"/>
                <w:tab w:val="left" w:pos="367"/>
              </w:tabs>
              <w:spacing w:before="60" w:after="60" w:line="300" w:lineRule="exact"/>
              <w:ind w:left="367" w:hanging="367"/>
            </w:pPr>
            <w:r w:rsidRPr="00E434B2">
              <w:rPr>
                <w:rFonts w:hint="cs"/>
                <w:rtl/>
              </w:rPr>
              <w:t>-</w:t>
            </w:r>
            <w:r w:rsidRPr="00A06381">
              <w:rPr>
                <w:rtl/>
              </w:rPr>
              <w:tab/>
            </w:r>
            <w:r w:rsidRPr="00E434B2">
              <w:rPr>
                <w:rFonts w:hint="cs"/>
                <w:rtl/>
              </w:rPr>
              <w:t>أعضاء قطاع تقييس الاتصالات في الات</w:t>
            </w:r>
            <w:r>
              <w:rPr>
                <w:rFonts w:hint="cs"/>
                <w:rtl/>
              </w:rPr>
              <w:t>ح</w:t>
            </w:r>
            <w:r w:rsidRPr="00E434B2">
              <w:rPr>
                <w:rFonts w:hint="cs"/>
                <w:rtl/>
              </w:rPr>
              <w:t>اد؛</w:t>
            </w:r>
          </w:p>
          <w:p w14:paraId="1EEF6435" w14:textId="246E8752" w:rsidR="00EC5EFC" w:rsidRDefault="00EC5EFC" w:rsidP="00364CE7">
            <w:pPr>
              <w:tabs>
                <w:tab w:val="clear" w:pos="794"/>
                <w:tab w:val="left" w:pos="367"/>
              </w:tabs>
              <w:spacing w:before="60" w:after="60" w:line="300" w:lineRule="exact"/>
              <w:ind w:left="367" w:hanging="367"/>
              <w:rPr>
                <w:rtl/>
              </w:rPr>
            </w:pPr>
            <w:r>
              <w:rPr>
                <w:rFonts w:hint="cs"/>
                <w:rtl/>
                <w:lang w:bidi="ar-EG"/>
              </w:rPr>
              <w:t>-</w:t>
            </w:r>
            <w:r w:rsidRPr="00E434B2">
              <w:rPr>
                <w:rtl/>
              </w:rPr>
              <w:tab/>
            </w:r>
            <w:r w:rsidRPr="00A06381">
              <w:rPr>
                <w:rFonts w:hint="cs"/>
                <w:rtl/>
              </w:rPr>
              <w:t xml:space="preserve">الهيئات الأكاديمية المنضمة إلى </w:t>
            </w:r>
            <w:r w:rsidRPr="00A06381">
              <w:rPr>
                <w:rFonts w:hint="cs"/>
                <w:rtl/>
                <w:lang w:bidi="ar-EG"/>
              </w:rPr>
              <w:t>الاتحاد</w:t>
            </w:r>
            <w:r w:rsidRPr="00A06381">
              <w:rPr>
                <w:rFonts w:hint="cs"/>
                <w:rtl/>
              </w:rPr>
              <w:t>؛</w:t>
            </w:r>
          </w:p>
          <w:p w14:paraId="60E3FFB2" w14:textId="18AD3FE1" w:rsidR="00EC5EFC" w:rsidRPr="00A06381" w:rsidRDefault="00EC5EFC" w:rsidP="00364CE7">
            <w:pPr>
              <w:tabs>
                <w:tab w:val="clear" w:pos="794"/>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الأمين</w:t>
            </w:r>
            <w:r w:rsidR="00F67629">
              <w:rPr>
                <w:rFonts w:hint="cs"/>
                <w:rtl/>
              </w:rPr>
              <w:t>ة</w:t>
            </w:r>
            <w:r w:rsidRPr="00A06381">
              <w:rPr>
                <w:rFonts w:hint="cs"/>
                <w:rtl/>
              </w:rPr>
              <w:t xml:space="preserve"> العام</w:t>
            </w:r>
            <w:r w:rsidR="00F67629">
              <w:rPr>
                <w:rFonts w:hint="cs"/>
                <w:rtl/>
              </w:rPr>
              <w:t>ة</w:t>
            </w:r>
            <w:r w:rsidRPr="00A06381">
              <w:rPr>
                <w:rFonts w:hint="cs"/>
                <w:rtl/>
              </w:rPr>
              <w:t xml:space="preserve"> للاتحاد</w:t>
            </w:r>
            <w:r w:rsidR="00F67629">
              <w:rPr>
                <w:rFonts w:hint="cs"/>
                <w:rtl/>
              </w:rPr>
              <w:t xml:space="preserve"> الدولي للاتصالات</w:t>
            </w:r>
            <w:r w:rsidRPr="00A06381">
              <w:rPr>
                <w:rFonts w:hint="cs"/>
                <w:rtl/>
              </w:rPr>
              <w:t>؛</w:t>
            </w:r>
          </w:p>
          <w:p w14:paraId="25D54394" w14:textId="77777777" w:rsidR="00EC5EFC" w:rsidRPr="00A06381" w:rsidRDefault="00EC5EFC" w:rsidP="00364CE7">
            <w:pPr>
              <w:tabs>
                <w:tab w:val="clear" w:pos="794"/>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مدير مكتب الاتصالات الراديوية؛</w:t>
            </w:r>
          </w:p>
          <w:p w14:paraId="018E5E89" w14:textId="2E8B423A" w:rsidR="00EC5EFC" w:rsidRPr="00A06381" w:rsidRDefault="00EC5EFC" w:rsidP="00364CE7">
            <w:pPr>
              <w:tabs>
                <w:tab w:val="clear" w:pos="794"/>
                <w:tab w:val="left" w:pos="367"/>
              </w:tabs>
              <w:spacing w:before="60" w:after="60" w:line="300" w:lineRule="exact"/>
              <w:ind w:left="367" w:hanging="367"/>
              <w:rPr>
                <w:rtl/>
              </w:rPr>
            </w:pPr>
            <w:r w:rsidRPr="00A06381">
              <w:rPr>
                <w:rFonts w:hint="cs"/>
                <w:rtl/>
              </w:rPr>
              <w:t>-</w:t>
            </w:r>
            <w:r w:rsidRPr="00A06381">
              <w:rPr>
                <w:rtl/>
              </w:rPr>
              <w:tab/>
            </w:r>
            <w:r w:rsidRPr="00A06381">
              <w:rPr>
                <w:rFonts w:hint="cs"/>
                <w:rtl/>
              </w:rPr>
              <w:t>مدير</w:t>
            </w:r>
            <w:r>
              <w:rPr>
                <w:rFonts w:hint="cs"/>
                <w:rtl/>
              </w:rPr>
              <w:t>ة</w:t>
            </w:r>
            <w:r w:rsidRPr="00A06381">
              <w:rPr>
                <w:rFonts w:hint="cs"/>
                <w:rtl/>
              </w:rPr>
              <w:t xml:space="preserve"> مكتب تنمية الاتصالات؛</w:t>
            </w:r>
          </w:p>
          <w:p w14:paraId="4DCD521C" w14:textId="6933AC60" w:rsidR="00EC5EFC" w:rsidRDefault="00EC5EFC" w:rsidP="00364CE7">
            <w:pPr>
              <w:tabs>
                <w:tab w:val="clear" w:pos="794"/>
                <w:tab w:val="left" w:pos="367"/>
              </w:tabs>
              <w:spacing w:before="60" w:after="60" w:line="300" w:lineRule="exact"/>
              <w:ind w:left="367" w:hanging="367"/>
              <w:rPr>
                <w:lang w:bidi="ar-EG"/>
              </w:rPr>
            </w:pPr>
            <w:r w:rsidRPr="00A06381">
              <w:rPr>
                <w:rFonts w:hint="cs"/>
                <w:rtl/>
              </w:rPr>
              <w:t>-</w:t>
            </w:r>
            <w:r w:rsidRPr="00A06381">
              <w:rPr>
                <w:rtl/>
              </w:rPr>
              <w:tab/>
            </w:r>
            <w:r w:rsidRPr="00A06381">
              <w:rPr>
                <w:rFonts w:hint="cs"/>
                <w:rtl/>
              </w:rPr>
              <w:t>رؤساء لجان دراسات قطاع تقييس الاتصالات</w:t>
            </w:r>
            <w:r w:rsidRPr="00A06381">
              <w:rPr>
                <w:rFonts w:hint="cs"/>
                <w:rtl/>
                <w:lang w:bidi="ar-EG"/>
              </w:rPr>
              <w:t>؛</w:t>
            </w:r>
          </w:p>
          <w:p w14:paraId="7E68CB84" w14:textId="2096AD94" w:rsidR="00EC5EFC" w:rsidRPr="00314DFD" w:rsidRDefault="00EC5EFC" w:rsidP="00364CE7">
            <w:pPr>
              <w:tabs>
                <w:tab w:val="clear" w:pos="794"/>
                <w:tab w:val="left" w:pos="367"/>
              </w:tabs>
              <w:spacing w:before="60" w:after="60" w:line="300" w:lineRule="exact"/>
              <w:ind w:left="367" w:hanging="367"/>
              <w:rPr>
                <w:rtl/>
                <w:lang w:bidi="ar-EG"/>
              </w:rPr>
            </w:pPr>
            <w:r w:rsidRPr="00A06381">
              <w:rPr>
                <w:rFonts w:hint="cs"/>
                <w:rtl/>
              </w:rPr>
              <w:t>-</w:t>
            </w:r>
            <w:r w:rsidRPr="00A06381">
              <w:rPr>
                <w:rtl/>
              </w:rPr>
              <w:tab/>
            </w:r>
            <w:r>
              <w:rPr>
                <w:rFonts w:hint="cs"/>
                <w:rtl/>
              </w:rPr>
              <w:t>رؤساء الأفرقة الإقليمية التابعة للجان دراسات قطاع تقييس الاتصالات</w:t>
            </w:r>
          </w:p>
          <w:p w14:paraId="15C0A000" w14:textId="3F3A6306" w:rsidR="00EC5EFC" w:rsidRPr="00D517B2" w:rsidRDefault="00EC5EFC" w:rsidP="000A5CDB">
            <w:pPr>
              <w:tabs>
                <w:tab w:val="clear" w:pos="794"/>
                <w:tab w:val="left" w:pos="383"/>
              </w:tabs>
              <w:spacing w:before="60" w:after="60" w:line="300" w:lineRule="exact"/>
              <w:ind w:left="367" w:hanging="367"/>
              <w:rPr>
                <w:position w:val="2"/>
                <w:rtl/>
              </w:rPr>
            </w:pPr>
            <w:r w:rsidRPr="00A06381">
              <w:rPr>
                <w:rFonts w:hint="cs"/>
                <w:rtl/>
                <w:lang w:bidi="ar-EG"/>
              </w:rPr>
              <w:t>-</w:t>
            </w:r>
            <w:r w:rsidRPr="00A06381">
              <w:rPr>
                <w:rtl/>
                <w:lang w:bidi="ar-EG"/>
              </w:rPr>
              <w:tab/>
            </w:r>
            <w:r>
              <w:rPr>
                <w:rFonts w:hint="cs"/>
                <w:spacing w:val="-8"/>
                <w:rtl/>
                <w:lang w:bidi="ar-EG"/>
              </w:rPr>
              <w:t>رئيسة</w:t>
            </w:r>
            <w:r w:rsidRPr="00F5138E">
              <w:rPr>
                <w:rFonts w:hint="cs"/>
                <w:spacing w:val="-8"/>
                <w:rtl/>
                <w:lang w:bidi="ar-EG"/>
              </w:rPr>
              <w:t xml:space="preserve"> لجنة التقييس المعنية بالمفردات التابعة لقطاع تقييس الاتصالات</w:t>
            </w:r>
          </w:p>
        </w:tc>
      </w:tr>
      <w:tr w:rsidR="00EC5EFC" w:rsidRPr="00D517B2" w14:paraId="06C4A59A" w14:textId="77777777" w:rsidTr="00D517B2">
        <w:trPr>
          <w:cantSplit/>
          <w:trHeight w:val="340"/>
          <w:jc w:val="center"/>
        </w:trPr>
        <w:tc>
          <w:tcPr>
            <w:tcW w:w="796" w:type="pct"/>
          </w:tcPr>
          <w:p w14:paraId="7B5864BD" w14:textId="77777777" w:rsidR="00EC5EFC" w:rsidRPr="00842463" w:rsidRDefault="00EC5EFC" w:rsidP="00364CE7">
            <w:pPr>
              <w:spacing w:before="60" w:after="60" w:line="300" w:lineRule="exact"/>
              <w:jc w:val="left"/>
              <w:rPr>
                <w:position w:val="2"/>
                <w:rtl/>
                <w:lang w:bidi="ar-EG"/>
              </w:rPr>
            </w:pPr>
          </w:p>
        </w:tc>
        <w:tc>
          <w:tcPr>
            <w:tcW w:w="1998" w:type="pct"/>
          </w:tcPr>
          <w:p w14:paraId="091DAAD6" w14:textId="77777777" w:rsidR="00EC5EFC" w:rsidRPr="00D517B2" w:rsidRDefault="00EC5EFC" w:rsidP="00364CE7">
            <w:pPr>
              <w:spacing w:before="60" w:after="60" w:line="300" w:lineRule="exact"/>
              <w:jc w:val="left"/>
              <w:rPr>
                <w:position w:val="2"/>
              </w:rPr>
            </w:pPr>
          </w:p>
        </w:tc>
        <w:tc>
          <w:tcPr>
            <w:tcW w:w="2206" w:type="pct"/>
            <w:vMerge/>
          </w:tcPr>
          <w:p w14:paraId="522F971A" w14:textId="77777777" w:rsidR="00EC5EFC" w:rsidRPr="00D517B2" w:rsidRDefault="00EC5EFC" w:rsidP="00364CE7">
            <w:pPr>
              <w:spacing w:before="60" w:after="60" w:line="300" w:lineRule="exact"/>
              <w:jc w:val="left"/>
              <w:rPr>
                <w:position w:val="2"/>
                <w:rtl/>
              </w:rPr>
            </w:pPr>
          </w:p>
        </w:tc>
      </w:tr>
      <w:tr w:rsidR="00EC5EFC" w:rsidRPr="00D517B2" w14:paraId="6F68AC03" w14:textId="77777777" w:rsidTr="00D517B2">
        <w:trPr>
          <w:cantSplit/>
          <w:trHeight w:val="340"/>
          <w:jc w:val="center"/>
        </w:trPr>
        <w:tc>
          <w:tcPr>
            <w:tcW w:w="796" w:type="pct"/>
          </w:tcPr>
          <w:p w14:paraId="4111C0AA" w14:textId="77777777" w:rsidR="00EC5EFC" w:rsidRPr="00842463" w:rsidRDefault="00EC5EFC" w:rsidP="00364CE7">
            <w:pPr>
              <w:spacing w:before="60" w:after="60" w:line="300" w:lineRule="exact"/>
              <w:jc w:val="left"/>
              <w:rPr>
                <w:position w:val="2"/>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61190AAE" w14:textId="4F0518F9" w:rsidR="00EC5EFC" w:rsidRPr="00D517B2" w:rsidRDefault="00EC5EFC" w:rsidP="00364CE7">
            <w:pPr>
              <w:spacing w:before="60" w:after="60" w:line="300" w:lineRule="exact"/>
              <w:jc w:val="left"/>
              <w:rPr>
                <w:b/>
                <w:position w:val="2"/>
              </w:rPr>
            </w:pPr>
            <w:r w:rsidRPr="00D517B2">
              <w:rPr>
                <w:position w:val="2"/>
              </w:rPr>
              <w:t>+41 22 730 </w:t>
            </w:r>
            <w:r>
              <w:rPr>
                <w:position w:val="2"/>
              </w:rPr>
              <w:t>6311</w:t>
            </w:r>
          </w:p>
        </w:tc>
        <w:tc>
          <w:tcPr>
            <w:tcW w:w="2206" w:type="pct"/>
            <w:vMerge/>
          </w:tcPr>
          <w:p w14:paraId="18BB95A5" w14:textId="77777777" w:rsidR="00EC5EFC" w:rsidRPr="00D517B2" w:rsidRDefault="00EC5EFC" w:rsidP="00364CE7">
            <w:pPr>
              <w:spacing w:before="60" w:after="60" w:line="300" w:lineRule="exact"/>
              <w:jc w:val="left"/>
              <w:rPr>
                <w:position w:val="2"/>
                <w:rtl/>
              </w:rPr>
            </w:pPr>
          </w:p>
        </w:tc>
      </w:tr>
      <w:tr w:rsidR="00EC5EFC" w:rsidRPr="00D517B2" w14:paraId="595059B2" w14:textId="77777777" w:rsidTr="00D517B2">
        <w:trPr>
          <w:cantSplit/>
          <w:trHeight w:val="340"/>
          <w:jc w:val="center"/>
        </w:trPr>
        <w:tc>
          <w:tcPr>
            <w:tcW w:w="796" w:type="pct"/>
          </w:tcPr>
          <w:p w14:paraId="1D9BDD76" w14:textId="77777777" w:rsidR="00EC5EFC" w:rsidRPr="00842463" w:rsidRDefault="00EC5EFC" w:rsidP="00364CE7">
            <w:pPr>
              <w:spacing w:before="60" w:after="60" w:line="300" w:lineRule="exact"/>
              <w:jc w:val="left"/>
              <w:rPr>
                <w:position w:val="2"/>
                <w:rtl/>
                <w:lang w:bidi="ar-EG"/>
              </w:rPr>
            </w:pPr>
            <w:r w:rsidRPr="00842463">
              <w:rPr>
                <w:rFonts w:hint="cs"/>
                <w:position w:val="2"/>
                <w:rtl/>
              </w:rPr>
              <w:t>الفاكس:</w:t>
            </w:r>
          </w:p>
        </w:tc>
        <w:tc>
          <w:tcPr>
            <w:tcW w:w="1998" w:type="pct"/>
          </w:tcPr>
          <w:p w14:paraId="7F8BC0C5" w14:textId="77777777" w:rsidR="00EC5EFC" w:rsidRPr="00D517B2" w:rsidRDefault="00EC5EFC" w:rsidP="00364CE7">
            <w:pPr>
              <w:spacing w:before="60" w:after="60" w:line="300" w:lineRule="exact"/>
              <w:jc w:val="left"/>
              <w:rPr>
                <w:position w:val="2"/>
              </w:rPr>
            </w:pPr>
            <w:r w:rsidRPr="00D517B2">
              <w:rPr>
                <w:position w:val="2"/>
              </w:rPr>
              <w:t>+41 22 730 5853</w:t>
            </w:r>
          </w:p>
        </w:tc>
        <w:tc>
          <w:tcPr>
            <w:tcW w:w="2206" w:type="pct"/>
            <w:vMerge/>
          </w:tcPr>
          <w:p w14:paraId="2F6F3BA8" w14:textId="77777777" w:rsidR="00EC5EFC" w:rsidRPr="00D517B2" w:rsidRDefault="00EC5EFC" w:rsidP="00364CE7">
            <w:pPr>
              <w:spacing w:before="60" w:after="60" w:line="300" w:lineRule="exact"/>
              <w:jc w:val="left"/>
              <w:rPr>
                <w:position w:val="2"/>
                <w:rtl/>
              </w:rPr>
            </w:pPr>
          </w:p>
        </w:tc>
      </w:tr>
      <w:tr w:rsidR="00EC5EFC" w:rsidRPr="00D517B2" w14:paraId="4197CFE3" w14:textId="77777777" w:rsidTr="00EC5EFC">
        <w:trPr>
          <w:cantSplit/>
          <w:trHeight w:val="795"/>
          <w:jc w:val="center"/>
        </w:trPr>
        <w:tc>
          <w:tcPr>
            <w:tcW w:w="796" w:type="pct"/>
          </w:tcPr>
          <w:p w14:paraId="7A8DEE4F" w14:textId="77777777" w:rsidR="00EC5EFC" w:rsidRPr="00842463" w:rsidRDefault="00EC5EFC" w:rsidP="00364CE7">
            <w:pPr>
              <w:spacing w:before="60" w:after="60" w:line="300" w:lineRule="exact"/>
              <w:jc w:val="left"/>
              <w:rPr>
                <w:position w:val="2"/>
                <w:rtl/>
                <w:lang w:bidi="ar-EG"/>
              </w:rPr>
            </w:pPr>
            <w:r w:rsidRPr="00842463">
              <w:rPr>
                <w:rFonts w:hint="cs"/>
                <w:position w:val="2"/>
                <w:rtl/>
              </w:rPr>
              <w:t>البريد الإلكتروني:</w:t>
            </w:r>
          </w:p>
        </w:tc>
        <w:tc>
          <w:tcPr>
            <w:tcW w:w="1998" w:type="pct"/>
          </w:tcPr>
          <w:p w14:paraId="31FC3513" w14:textId="07904650" w:rsidR="00EC5EFC" w:rsidRPr="000E498D" w:rsidRDefault="009E56D6" w:rsidP="00364CE7">
            <w:pPr>
              <w:spacing w:before="60" w:after="60" w:line="300" w:lineRule="exact"/>
              <w:rPr>
                <w:position w:val="2"/>
              </w:rPr>
            </w:pPr>
            <w:hyperlink r:id="rId9" w:history="1">
              <w:bookmarkStart w:id="0" w:name="lt_pId038"/>
              <w:r w:rsidR="00EC5EFC" w:rsidRPr="00FA5B6D">
                <w:rPr>
                  <w:rStyle w:val="Hyperlink"/>
                </w:rPr>
                <w:t>tsbtsag@itu.int</w:t>
              </w:r>
              <w:bookmarkEnd w:id="0"/>
            </w:hyperlink>
          </w:p>
        </w:tc>
        <w:tc>
          <w:tcPr>
            <w:tcW w:w="2206" w:type="pct"/>
            <w:vMerge/>
          </w:tcPr>
          <w:p w14:paraId="338CF4CB" w14:textId="77777777" w:rsidR="00EC5EFC" w:rsidRPr="00D517B2" w:rsidRDefault="00EC5EFC" w:rsidP="00364CE7">
            <w:pPr>
              <w:spacing w:before="60" w:after="60" w:line="300" w:lineRule="exact"/>
              <w:jc w:val="left"/>
              <w:rPr>
                <w:position w:val="2"/>
                <w:rtl/>
              </w:rPr>
            </w:pPr>
          </w:p>
        </w:tc>
      </w:tr>
      <w:tr w:rsidR="00EC5EFC" w:rsidRPr="00D517B2" w14:paraId="4AA183DD" w14:textId="77777777" w:rsidTr="00D517B2">
        <w:trPr>
          <w:cantSplit/>
          <w:trHeight w:val="795"/>
          <w:jc w:val="center"/>
        </w:trPr>
        <w:tc>
          <w:tcPr>
            <w:tcW w:w="796" w:type="pct"/>
          </w:tcPr>
          <w:p w14:paraId="166816EC" w14:textId="145902F4" w:rsidR="00EC5EFC" w:rsidRPr="00842463" w:rsidRDefault="00EC5EFC" w:rsidP="00EC5EFC">
            <w:pPr>
              <w:spacing w:before="60" w:after="60" w:line="300" w:lineRule="exact"/>
              <w:jc w:val="left"/>
              <w:rPr>
                <w:position w:val="2"/>
                <w:rtl/>
                <w:lang w:bidi="ar-EG"/>
              </w:rPr>
            </w:pPr>
            <w:r>
              <w:rPr>
                <w:rFonts w:hint="cs"/>
                <w:position w:val="2"/>
                <w:rtl/>
                <w:lang w:bidi="ar-EG"/>
              </w:rPr>
              <w:t>الموقع الإلكتروني:</w:t>
            </w:r>
          </w:p>
        </w:tc>
        <w:tc>
          <w:tcPr>
            <w:tcW w:w="1998" w:type="pct"/>
          </w:tcPr>
          <w:p w14:paraId="32440745" w14:textId="012F61F0" w:rsidR="00EC5EFC" w:rsidRDefault="009E56D6" w:rsidP="00EC5EFC">
            <w:pPr>
              <w:spacing w:before="60" w:after="60" w:line="300" w:lineRule="exact"/>
            </w:pPr>
            <w:hyperlink r:id="rId10" w:history="1">
              <w:bookmarkStart w:id="1" w:name="lt_pId040"/>
              <w:r w:rsidR="00EC5EFC" w:rsidRPr="00FA5B6D">
                <w:rPr>
                  <w:rStyle w:val="Hyperlink"/>
                </w:rPr>
                <w:t>http://itu.int/go/tsag</w:t>
              </w:r>
              <w:bookmarkEnd w:id="1"/>
            </w:hyperlink>
          </w:p>
        </w:tc>
        <w:tc>
          <w:tcPr>
            <w:tcW w:w="2206" w:type="pct"/>
            <w:vMerge/>
          </w:tcPr>
          <w:p w14:paraId="76D7A9FF" w14:textId="77777777" w:rsidR="00EC5EFC" w:rsidRPr="00D517B2" w:rsidRDefault="00EC5EFC" w:rsidP="00EC5EFC">
            <w:pPr>
              <w:spacing w:before="60" w:after="60" w:line="300" w:lineRule="exact"/>
              <w:jc w:val="left"/>
              <w:rPr>
                <w:position w:val="2"/>
                <w:rtl/>
              </w:rPr>
            </w:pPr>
          </w:p>
        </w:tc>
      </w:tr>
      <w:tr w:rsidR="00EC5EFC" w:rsidRPr="00D517B2" w14:paraId="1F596E88" w14:textId="77777777" w:rsidTr="00D517B2">
        <w:trPr>
          <w:cantSplit/>
          <w:jc w:val="center"/>
        </w:trPr>
        <w:tc>
          <w:tcPr>
            <w:tcW w:w="796" w:type="pct"/>
          </w:tcPr>
          <w:p w14:paraId="5C096BB0" w14:textId="77777777" w:rsidR="00EC5EFC" w:rsidRPr="00B54F20" w:rsidRDefault="00EC5EFC" w:rsidP="00EC5EFC">
            <w:pPr>
              <w:spacing w:before="80" w:after="60" w:line="300" w:lineRule="exact"/>
              <w:jc w:val="left"/>
              <w:rPr>
                <w:b/>
                <w:bCs/>
                <w:position w:val="2"/>
                <w:rtl/>
                <w:lang w:bidi="ar-EG"/>
              </w:rPr>
            </w:pPr>
          </w:p>
        </w:tc>
        <w:tc>
          <w:tcPr>
            <w:tcW w:w="1998" w:type="pct"/>
          </w:tcPr>
          <w:p w14:paraId="70752D28" w14:textId="77777777" w:rsidR="00EC5EFC" w:rsidRPr="00D517B2" w:rsidRDefault="00EC5EFC" w:rsidP="00EC5EFC">
            <w:pPr>
              <w:spacing w:before="80" w:after="60" w:line="300" w:lineRule="exact"/>
              <w:jc w:val="left"/>
              <w:rPr>
                <w:position w:val="2"/>
              </w:rPr>
            </w:pPr>
          </w:p>
        </w:tc>
        <w:tc>
          <w:tcPr>
            <w:tcW w:w="2206" w:type="pct"/>
          </w:tcPr>
          <w:p w14:paraId="5A5238C9" w14:textId="77777777" w:rsidR="00EC5EFC" w:rsidRPr="00D517B2" w:rsidRDefault="00EC5EFC" w:rsidP="00EC5EFC">
            <w:pPr>
              <w:spacing w:before="80" w:after="60" w:line="300" w:lineRule="exact"/>
              <w:jc w:val="left"/>
              <w:rPr>
                <w:position w:val="2"/>
                <w:rtl/>
              </w:rPr>
            </w:pPr>
          </w:p>
        </w:tc>
      </w:tr>
      <w:tr w:rsidR="00EC5EFC" w:rsidRPr="00D517B2" w14:paraId="4977C031" w14:textId="77777777" w:rsidTr="00D517B2">
        <w:trPr>
          <w:cantSplit/>
          <w:jc w:val="center"/>
        </w:trPr>
        <w:tc>
          <w:tcPr>
            <w:tcW w:w="796" w:type="pct"/>
          </w:tcPr>
          <w:p w14:paraId="44F22661" w14:textId="77777777" w:rsidR="00EC5EFC" w:rsidRPr="00B54F20" w:rsidRDefault="00EC5EFC" w:rsidP="00EC5EFC">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18B74250" w14:textId="00A8864E" w:rsidR="00EC5EFC" w:rsidRPr="00D517B2" w:rsidRDefault="00EC5EFC" w:rsidP="00EC5EFC">
            <w:pPr>
              <w:spacing w:before="80" w:after="60" w:line="300" w:lineRule="exact"/>
              <w:jc w:val="left"/>
              <w:rPr>
                <w:position w:val="2"/>
              </w:rPr>
            </w:pPr>
            <w:r w:rsidRPr="00314DFD">
              <w:rPr>
                <w:rFonts w:hint="cs"/>
                <w:b/>
                <w:bCs/>
                <w:position w:val="2"/>
                <w:rtl/>
                <w:lang w:bidi="ar-EG"/>
              </w:rPr>
              <w:t xml:space="preserve">الاجتماع </w:t>
            </w:r>
            <w:r w:rsidR="00C525E3">
              <w:rPr>
                <w:rFonts w:hint="cs"/>
                <w:b/>
                <w:bCs/>
                <w:position w:val="2"/>
                <w:rtl/>
              </w:rPr>
              <w:t>الرابع</w:t>
            </w:r>
            <w:r w:rsidRPr="00314DFD">
              <w:rPr>
                <w:rFonts w:hint="cs"/>
                <w:b/>
                <w:bCs/>
                <w:position w:val="2"/>
                <w:rtl/>
                <w:lang w:bidi="ar-EG"/>
              </w:rPr>
              <w:t xml:space="preserve"> للفريق الاستشاري لتقييس الاتصالات </w:t>
            </w:r>
            <w:r w:rsidRPr="00314DFD">
              <w:rPr>
                <w:b/>
                <w:bCs/>
                <w:position w:val="2"/>
              </w:rPr>
              <w:t>(TSAG)</w:t>
            </w:r>
            <w:r w:rsidRPr="00314DFD">
              <w:rPr>
                <w:rFonts w:hint="cs"/>
                <w:b/>
                <w:bCs/>
                <w:position w:val="2"/>
                <w:rtl/>
                <w:lang w:bidi="ar-EG"/>
              </w:rPr>
              <w:t>،</w:t>
            </w:r>
            <w:r w:rsidR="00E03A73">
              <w:rPr>
                <w:b/>
                <w:bCs/>
                <w:position w:val="2"/>
                <w:rtl/>
                <w:lang w:bidi="ar-EG"/>
              </w:rPr>
              <w:br/>
            </w:r>
            <w:r w:rsidRPr="00314DFD">
              <w:rPr>
                <w:rFonts w:hint="cs"/>
                <w:b/>
                <w:bCs/>
                <w:position w:val="2"/>
                <w:rtl/>
                <w:lang w:bidi="ar-EG"/>
              </w:rPr>
              <w:t xml:space="preserve">جنيف، </w:t>
            </w:r>
            <w:r w:rsidR="00C525E3">
              <w:rPr>
                <w:rFonts w:hint="cs"/>
                <w:b/>
                <w:bCs/>
                <w:position w:val="2"/>
                <w:rtl/>
              </w:rPr>
              <w:t>29</w:t>
            </w:r>
            <w:r w:rsidRPr="00314DFD">
              <w:rPr>
                <w:rFonts w:hint="cs"/>
                <w:b/>
                <w:bCs/>
                <w:position w:val="2"/>
                <w:rtl/>
                <w:lang w:bidi="ar-EG"/>
              </w:rPr>
              <w:t xml:space="preserve"> </w:t>
            </w:r>
            <w:r w:rsidR="00C525E3">
              <w:rPr>
                <w:rFonts w:hint="cs"/>
                <w:b/>
                <w:bCs/>
                <w:position w:val="2"/>
                <w:rtl/>
                <w:lang w:bidi="ar-EG"/>
              </w:rPr>
              <w:t xml:space="preserve">يوليو </w:t>
            </w:r>
            <w:r w:rsidR="00C525E3">
              <w:rPr>
                <w:b/>
                <w:bCs/>
                <w:position w:val="2"/>
                <w:rtl/>
                <w:lang w:bidi="ar-EG"/>
              </w:rPr>
              <w:t>–</w:t>
            </w:r>
            <w:r w:rsidR="00C525E3">
              <w:rPr>
                <w:rFonts w:hint="cs"/>
                <w:b/>
                <w:bCs/>
                <w:position w:val="2"/>
                <w:rtl/>
                <w:lang w:bidi="ar-EG"/>
              </w:rPr>
              <w:t xml:space="preserve"> 2 أغسطس</w:t>
            </w:r>
            <w:r w:rsidRPr="00314DFD">
              <w:rPr>
                <w:rFonts w:hint="cs"/>
                <w:b/>
                <w:bCs/>
                <w:position w:val="2"/>
                <w:rtl/>
                <w:lang w:bidi="ar-EG"/>
              </w:rPr>
              <w:t xml:space="preserve"> </w:t>
            </w:r>
            <w:r w:rsidR="00C525E3">
              <w:rPr>
                <w:b/>
                <w:bCs/>
                <w:position w:val="2"/>
              </w:rPr>
              <w:t>2024</w:t>
            </w:r>
          </w:p>
        </w:tc>
      </w:tr>
    </w:tbl>
    <w:p w14:paraId="1214FC6F" w14:textId="77777777" w:rsidR="00D517B2" w:rsidRPr="00D517B2" w:rsidRDefault="00D517B2" w:rsidP="00FF096D">
      <w:pPr>
        <w:spacing w:before="600"/>
        <w:rPr>
          <w:rtl/>
          <w:lang w:bidi="ar-SY"/>
        </w:rPr>
      </w:pPr>
      <w:r w:rsidRPr="00D517B2">
        <w:rPr>
          <w:rFonts w:hint="cs"/>
          <w:rtl/>
          <w:lang w:bidi="ar-SY"/>
        </w:rPr>
        <w:t>حضرات السادة والسيدات،</w:t>
      </w:r>
    </w:p>
    <w:p w14:paraId="4A24DFA0" w14:textId="77777777" w:rsidR="00D517B2" w:rsidRPr="00D517B2" w:rsidRDefault="00D517B2" w:rsidP="00D517B2">
      <w:pPr>
        <w:rPr>
          <w:rtl/>
          <w:lang w:bidi="ar-EG"/>
        </w:rPr>
      </w:pPr>
      <w:r w:rsidRPr="00D517B2">
        <w:rPr>
          <w:rFonts w:hint="cs"/>
          <w:rtl/>
        </w:rPr>
        <w:t>تحية طيبة وبعد،</w:t>
      </w:r>
    </w:p>
    <w:p w14:paraId="550F1D30" w14:textId="1FEB920F" w:rsidR="00314DFD" w:rsidRDefault="00314DFD" w:rsidP="00314DFD">
      <w:pPr>
        <w:rPr>
          <w:rtl/>
          <w:lang w:bidi="ar-EG"/>
        </w:rPr>
      </w:pPr>
      <w:r w:rsidRPr="001B0C05">
        <w:rPr>
          <w:rFonts w:hint="cs"/>
          <w:rtl/>
          <w:lang w:bidi="ar-SY"/>
        </w:rPr>
        <w:t xml:space="preserve">يسعدني أن أدعوكم إلى حضور الاجتماع </w:t>
      </w:r>
      <w:r w:rsidR="00C525E3">
        <w:rPr>
          <w:rFonts w:hint="cs"/>
          <w:rtl/>
          <w:lang w:bidi="ar-SY"/>
        </w:rPr>
        <w:t>الرابع</w:t>
      </w:r>
      <w:r w:rsidRPr="001B0C05">
        <w:rPr>
          <w:rFonts w:hint="cs"/>
          <w:rtl/>
          <w:lang w:bidi="ar-SY"/>
        </w:rPr>
        <w:t xml:space="preserve"> للفريق الاستشاري لتقييس الاتصالات</w:t>
      </w:r>
      <w:r w:rsidRPr="001B0C05">
        <w:rPr>
          <w:rFonts w:hint="eastAsia"/>
          <w:rtl/>
          <w:lang w:bidi="ar-SY"/>
        </w:rPr>
        <w:t> </w:t>
      </w:r>
      <w:r w:rsidRPr="001B0C05">
        <w:rPr>
          <w:lang w:bidi="ar-SY"/>
        </w:rPr>
        <w:t>(TSAG)</w:t>
      </w:r>
      <w:r w:rsidRPr="001B0C05">
        <w:rPr>
          <w:rFonts w:hint="cs"/>
          <w:rtl/>
          <w:lang w:bidi="ar-SY"/>
        </w:rPr>
        <w:t xml:space="preserve"> الذي سي</w:t>
      </w:r>
      <w:r w:rsidR="005114F1">
        <w:rPr>
          <w:rFonts w:hint="cs"/>
          <w:rtl/>
          <w:lang w:bidi="ar-SY"/>
        </w:rPr>
        <w:t>ُ</w:t>
      </w:r>
      <w:r w:rsidRPr="001B0C05">
        <w:rPr>
          <w:rFonts w:hint="cs"/>
          <w:rtl/>
          <w:lang w:bidi="ar-SY"/>
        </w:rPr>
        <w:t>عقد في</w:t>
      </w:r>
      <w:r w:rsidRPr="001B0C05">
        <w:rPr>
          <w:rFonts w:hint="eastAsia"/>
          <w:rtl/>
          <w:lang w:bidi="ar-SY"/>
        </w:rPr>
        <w:t> </w:t>
      </w:r>
      <w:r w:rsidRPr="001B0C05">
        <w:rPr>
          <w:rFonts w:hint="cs"/>
          <w:rtl/>
          <w:lang w:bidi="ar-SY"/>
        </w:rPr>
        <w:t>مقر الاتحاد بجنيف، في</w:t>
      </w:r>
      <w:r w:rsidRPr="001B0C05">
        <w:rPr>
          <w:rFonts w:hint="eastAsia"/>
          <w:rtl/>
          <w:lang w:bidi="ar-SY"/>
        </w:rPr>
        <w:t> </w:t>
      </w:r>
      <w:r w:rsidRPr="001B0C05">
        <w:rPr>
          <w:rFonts w:hint="cs"/>
          <w:rtl/>
          <w:lang w:bidi="ar-SY"/>
        </w:rPr>
        <w:t xml:space="preserve">الفترة من </w:t>
      </w:r>
      <w:r w:rsidR="00C525E3" w:rsidRPr="00C525E3">
        <w:rPr>
          <w:rFonts w:hint="cs"/>
          <w:position w:val="2"/>
          <w:rtl/>
        </w:rPr>
        <w:t>29</w:t>
      </w:r>
      <w:r w:rsidR="00C525E3" w:rsidRPr="00C525E3">
        <w:rPr>
          <w:rFonts w:hint="cs"/>
          <w:position w:val="2"/>
          <w:rtl/>
          <w:lang w:bidi="ar-EG"/>
        </w:rPr>
        <w:t xml:space="preserve"> يوليو </w:t>
      </w:r>
      <w:r w:rsidR="00C525E3" w:rsidRPr="00C525E3">
        <w:rPr>
          <w:position w:val="2"/>
          <w:rtl/>
          <w:lang w:bidi="ar-EG"/>
        </w:rPr>
        <w:t>–</w:t>
      </w:r>
      <w:r w:rsidR="00C525E3" w:rsidRPr="00C525E3">
        <w:rPr>
          <w:rFonts w:hint="cs"/>
          <w:position w:val="2"/>
          <w:rtl/>
          <w:lang w:bidi="ar-EG"/>
        </w:rPr>
        <w:t xml:space="preserve"> 2 أغسطس </w:t>
      </w:r>
      <w:r w:rsidR="00C525E3" w:rsidRPr="00C525E3">
        <w:rPr>
          <w:position w:val="2"/>
        </w:rPr>
        <w:t>2024</w:t>
      </w:r>
      <w:r w:rsidRPr="001B0C05">
        <w:rPr>
          <w:rFonts w:hint="cs"/>
          <w:rtl/>
          <w:lang w:bidi="ar-EG"/>
        </w:rPr>
        <w:t>.</w:t>
      </w:r>
    </w:p>
    <w:p w14:paraId="3FDFA5F6" w14:textId="2536558C" w:rsidR="00314DFD" w:rsidRPr="00F907A8" w:rsidRDefault="00314DFD" w:rsidP="00314DFD">
      <w:pPr>
        <w:rPr>
          <w:rtl/>
          <w:lang w:bidi="ar-EG"/>
        </w:rPr>
      </w:pPr>
      <w:r>
        <w:rPr>
          <w:rFonts w:hint="cs"/>
          <w:rtl/>
          <w:lang w:bidi="ar-EG"/>
        </w:rPr>
        <w:t xml:space="preserve">يستهل الفريق الاستشاري لتقييس الاتصالات </w:t>
      </w:r>
      <w:r>
        <w:rPr>
          <w:lang w:bidi="ar-EG"/>
        </w:rPr>
        <w:t>(TSAG)</w:t>
      </w:r>
      <w:r>
        <w:rPr>
          <w:rFonts w:hint="cs"/>
          <w:rtl/>
          <w:lang w:bidi="ar-EG"/>
        </w:rPr>
        <w:t xml:space="preserve"> فترة الدراسة </w:t>
      </w:r>
      <w:r>
        <w:rPr>
          <w:lang w:bidi="ar-EG"/>
        </w:rPr>
        <w:t>202</w:t>
      </w:r>
      <w:r w:rsidR="00274EE8">
        <w:rPr>
          <w:lang w:bidi="ar-EG"/>
        </w:rPr>
        <w:t>4</w:t>
      </w:r>
      <w:r>
        <w:rPr>
          <w:lang w:bidi="ar-EG"/>
        </w:rPr>
        <w:t>-20</w:t>
      </w:r>
      <w:r w:rsidR="00274EE8">
        <w:rPr>
          <w:lang w:bidi="ar-EG"/>
        </w:rPr>
        <w:t>22</w:t>
      </w:r>
      <w:r>
        <w:rPr>
          <w:rFonts w:hint="cs"/>
          <w:rtl/>
          <w:lang w:bidi="ar-EG"/>
        </w:rPr>
        <w:t xml:space="preserve"> بولاية قوية تشمل </w:t>
      </w:r>
      <w:r w:rsidR="005114F1">
        <w:rPr>
          <w:rFonts w:hint="cs"/>
          <w:rtl/>
          <w:lang w:bidi="ar-EG"/>
        </w:rPr>
        <w:t>إعداد إعادة هيكلة</w:t>
      </w:r>
      <w:r>
        <w:rPr>
          <w:rFonts w:hint="cs"/>
          <w:rtl/>
          <w:lang w:bidi="ar-EG"/>
        </w:rPr>
        <w:t xml:space="preserve"> </w:t>
      </w:r>
      <w:r w:rsidR="005114F1">
        <w:rPr>
          <w:rFonts w:hint="cs"/>
          <w:rtl/>
          <w:lang w:bidi="ar-EG"/>
        </w:rPr>
        <w:t>لجان دراسات قطاع</w:t>
      </w:r>
      <w:r>
        <w:rPr>
          <w:rFonts w:hint="cs"/>
          <w:rtl/>
          <w:lang w:bidi="ar-EG"/>
        </w:rPr>
        <w:t xml:space="preserve"> تقييس الاتصالات. ويُدعى قادة أفرقة خبراء التقييس التابعة للاتحاد (لجان دراسات قطاع تقييس الاتصالات) إلى أداء دور محوري في هذا العمل وتسليط الضوء على </w:t>
      </w:r>
      <w:r w:rsidR="002A663E">
        <w:rPr>
          <w:rFonts w:hint="cs"/>
          <w:rtl/>
          <w:lang w:bidi="ar-EG"/>
        </w:rPr>
        <w:t>أساس الاستراتيجية المستقبلية للجان دراسات قطاع تقييس الاتصالات</w:t>
      </w:r>
      <w:r>
        <w:rPr>
          <w:rFonts w:hint="cs"/>
          <w:rtl/>
          <w:lang w:bidi="ar-EG"/>
        </w:rPr>
        <w:t>.</w:t>
      </w:r>
    </w:p>
    <w:p w14:paraId="6FF6A030" w14:textId="037C470C" w:rsidR="00966F78" w:rsidRPr="006E4AED" w:rsidRDefault="00005FCD" w:rsidP="00005FCD">
      <w:pPr>
        <w:rPr>
          <w:lang w:bidi="ar-SY"/>
        </w:rPr>
      </w:pPr>
      <w:r w:rsidRPr="00005FCD">
        <w:rPr>
          <w:rtl/>
          <w:lang w:bidi="ar-EG"/>
        </w:rPr>
        <w:t xml:space="preserve">وأود أن استرعي انتباهكم إلى </w:t>
      </w:r>
      <w:hyperlink r:id="rId11" w:history="1">
        <w:r w:rsidRPr="00F67629">
          <w:rPr>
            <w:rStyle w:val="Hyperlink"/>
            <w:rtl/>
            <w:lang w:bidi="ar-EG"/>
          </w:rPr>
          <w:t>الرسالة المعممة</w:t>
        </w:r>
        <w:r w:rsidRPr="00F67629">
          <w:rPr>
            <w:rStyle w:val="Hyperlink"/>
            <w:rFonts w:hint="cs"/>
            <w:rtl/>
            <w:lang w:bidi="ar-EG"/>
          </w:rPr>
          <w:t xml:space="preserve"> 203</w:t>
        </w:r>
        <w:r w:rsidRPr="00F67629">
          <w:rPr>
            <w:rStyle w:val="Hyperlink"/>
            <w:rtl/>
            <w:lang w:bidi="ar-EG"/>
          </w:rPr>
          <w:t xml:space="preserve"> </w:t>
        </w:r>
        <w:r w:rsidRPr="00F67629">
          <w:rPr>
            <w:rStyle w:val="Hyperlink"/>
            <w:cs/>
            <w:lang w:bidi="ar-EG"/>
          </w:rPr>
          <w:t>‎</w:t>
        </w:r>
        <w:r w:rsidRPr="00F67629">
          <w:rPr>
            <w:rStyle w:val="Hyperlink"/>
            <w:rFonts w:hint="cs"/>
            <w:rtl/>
            <w:lang w:bidi="ar-EG"/>
          </w:rPr>
          <w:t>لمكتب تقييس الاتصالات</w:t>
        </w:r>
      </w:hyperlink>
      <w:r w:rsidRPr="00005FCD">
        <w:rPr>
          <w:rtl/>
          <w:lang w:bidi="ar-EG"/>
        </w:rPr>
        <w:t xml:space="preserve"> ‏</w:t>
      </w:r>
      <w:r>
        <w:rPr>
          <w:rFonts w:hint="cs"/>
          <w:rtl/>
          <w:lang w:bidi="ar-EG"/>
        </w:rPr>
        <w:t xml:space="preserve">(8 أبريل 2024) </w:t>
      </w:r>
      <w:r w:rsidRPr="00005FCD">
        <w:rPr>
          <w:rtl/>
          <w:lang w:bidi="ar-EG"/>
        </w:rPr>
        <w:t xml:space="preserve">التي </w:t>
      </w:r>
      <w:r>
        <w:rPr>
          <w:rFonts w:hint="cs"/>
          <w:rtl/>
          <w:lang w:bidi="ar-EG"/>
        </w:rPr>
        <w:t>تتعلق</w:t>
      </w:r>
      <w:r w:rsidRPr="00005FCD">
        <w:rPr>
          <w:rtl/>
          <w:lang w:bidi="ar-EG"/>
        </w:rPr>
        <w:t xml:space="preserve"> </w:t>
      </w:r>
      <w:r w:rsidR="009466FF">
        <w:rPr>
          <w:rFonts w:hint="cs"/>
          <w:rtl/>
          <w:lang w:bidi="ar-EG"/>
        </w:rPr>
        <w:t>ب</w:t>
      </w:r>
      <w:r w:rsidRPr="00005FCD">
        <w:rPr>
          <w:rtl/>
          <w:lang w:bidi="ar-EG"/>
        </w:rPr>
        <w:t xml:space="preserve">مشاورة الدول الأعضاء </w:t>
      </w:r>
      <w:r w:rsidR="00E968C0">
        <w:rPr>
          <w:rFonts w:hint="cs"/>
          <w:color w:val="000000"/>
          <w:rtl/>
        </w:rPr>
        <w:t>في إطار</w:t>
      </w:r>
      <w:r>
        <w:rPr>
          <w:color w:val="000000"/>
          <w:rtl/>
        </w:rPr>
        <w:t xml:space="preserve"> عملية الموافقة التقليدية </w:t>
      </w:r>
      <w:r>
        <w:rPr>
          <w:rFonts w:hint="cs"/>
          <w:color w:val="000000"/>
          <w:rtl/>
        </w:rPr>
        <w:t xml:space="preserve">بشأن </w:t>
      </w:r>
      <w:r w:rsidRPr="00005FCD">
        <w:rPr>
          <w:rtl/>
          <w:lang w:bidi="ar-EG"/>
        </w:rPr>
        <w:t xml:space="preserve">مشروع مراجعة التوصية </w:t>
      </w:r>
      <w:r w:rsidRPr="00005FCD">
        <w:rPr>
          <w:cs/>
          <w:lang w:bidi="ar-EG"/>
        </w:rPr>
        <w:t>‎</w:t>
      </w:r>
      <w:r w:rsidRPr="00005FCD">
        <w:rPr>
          <w:lang w:bidi="ar-EG"/>
        </w:rPr>
        <w:t xml:space="preserve">ITU-T </w:t>
      </w:r>
      <w:r>
        <w:rPr>
          <w:lang w:bidi="ar-EG"/>
        </w:rPr>
        <w:t>A</w:t>
      </w:r>
      <w:r w:rsidRPr="00005FCD">
        <w:rPr>
          <w:lang w:bidi="ar-EG"/>
        </w:rPr>
        <w:t>.7</w:t>
      </w:r>
      <w:r w:rsidRPr="00005FCD">
        <w:rPr>
          <w:rtl/>
          <w:lang w:bidi="ar-EG"/>
        </w:rPr>
        <w:t xml:space="preserve"> ‏</w:t>
      </w:r>
      <w:r>
        <w:rPr>
          <w:rFonts w:hint="cs"/>
          <w:rtl/>
          <w:lang w:bidi="ar-EG"/>
        </w:rPr>
        <w:t>فضلاً</w:t>
      </w:r>
      <w:r w:rsidRPr="00005FCD">
        <w:rPr>
          <w:rtl/>
          <w:lang w:bidi="ar-EG"/>
        </w:rPr>
        <w:t xml:space="preserve"> عن مشروعي التوصيتين الجديدتين</w:t>
      </w:r>
      <w:r w:rsidRPr="00005FCD">
        <w:rPr>
          <w:cs/>
          <w:lang w:bidi="ar-EG"/>
        </w:rPr>
        <w:t>‎</w:t>
      </w:r>
      <w:r w:rsidRPr="00005FCD">
        <w:rPr>
          <w:lang w:bidi="ar-EG"/>
        </w:rPr>
        <w:t xml:space="preserve">ITU-T </w:t>
      </w:r>
      <w:r>
        <w:rPr>
          <w:lang w:bidi="ar-EG"/>
        </w:rPr>
        <w:t>A</w:t>
      </w:r>
      <w:r w:rsidRPr="00005FCD">
        <w:rPr>
          <w:lang w:bidi="ar-EG"/>
        </w:rPr>
        <w:t>.18</w:t>
      </w:r>
      <w:r>
        <w:rPr>
          <w:lang w:val="en-GB" w:bidi="ar-EG"/>
        </w:rPr>
        <w:t> </w:t>
      </w:r>
      <w:r w:rsidRPr="00005FCD">
        <w:rPr>
          <w:lang w:val="en-GB" w:bidi="ar-EG"/>
        </w:rPr>
        <w:t xml:space="preserve">(ex </w:t>
      </w:r>
      <w:proofErr w:type="gramStart"/>
      <w:r w:rsidRPr="00005FCD">
        <w:rPr>
          <w:lang w:val="en-GB" w:bidi="ar-EG"/>
        </w:rPr>
        <w:t xml:space="preserve">A.JCA) </w:t>
      </w:r>
      <w:r w:rsidRPr="00005FCD">
        <w:rPr>
          <w:rtl/>
          <w:lang w:bidi="ar-EG"/>
        </w:rPr>
        <w:t xml:space="preserve"> ‏</w:t>
      </w:r>
      <w:proofErr w:type="gramEnd"/>
      <w:r w:rsidRPr="00005FCD">
        <w:rPr>
          <w:rtl/>
          <w:lang w:bidi="ar-EG"/>
        </w:rPr>
        <w:t>و</w:t>
      </w:r>
      <w:r w:rsidRPr="00005FCD">
        <w:rPr>
          <w:cs/>
          <w:lang w:bidi="ar-EG"/>
        </w:rPr>
        <w:t>‎</w:t>
      </w:r>
      <w:r>
        <w:rPr>
          <w:lang w:bidi="ar-EG"/>
        </w:rPr>
        <w:t>A</w:t>
      </w:r>
      <w:r w:rsidRPr="00005FCD">
        <w:rPr>
          <w:lang w:bidi="ar-EG"/>
        </w:rPr>
        <w:t>.24</w:t>
      </w:r>
      <w:r w:rsidRPr="00005FCD">
        <w:rPr>
          <w:rtl/>
          <w:lang w:bidi="ar-EG"/>
        </w:rPr>
        <w:t>.</w:t>
      </w:r>
      <w:r w:rsidR="00966F78" w:rsidRPr="00966F78">
        <w:rPr>
          <w:rtl/>
          <w:lang w:bidi="ar"/>
        </w:rPr>
        <w:t>.</w:t>
      </w:r>
      <w:r w:rsidR="006E4AED" w:rsidRPr="006E4AED">
        <w:rPr>
          <w:color w:val="000000"/>
          <w:rtl/>
        </w:rPr>
        <w:t xml:space="preserve"> </w:t>
      </w:r>
      <w:r w:rsidR="006E4AED">
        <w:rPr>
          <w:rFonts w:hint="cs"/>
          <w:color w:val="000000"/>
          <w:rtl/>
        </w:rPr>
        <w:t>ونود تذكير</w:t>
      </w:r>
      <w:r w:rsidR="006E4AED">
        <w:rPr>
          <w:color w:val="000000"/>
          <w:rtl/>
        </w:rPr>
        <w:t xml:space="preserve"> الدول الأعضاء </w:t>
      </w:r>
      <w:r w:rsidR="006D3267">
        <w:rPr>
          <w:rFonts w:hint="cs"/>
          <w:color w:val="000000"/>
          <w:rtl/>
        </w:rPr>
        <w:t>ب</w:t>
      </w:r>
      <w:r w:rsidR="006E4AED">
        <w:rPr>
          <w:color w:val="000000"/>
          <w:rtl/>
        </w:rPr>
        <w:t xml:space="preserve">أن الموعد النهائي للرد على هذه المشاورة هو </w:t>
      </w:r>
      <w:r w:rsidR="006D3267" w:rsidRPr="006D3267">
        <w:rPr>
          <w:rFonts w:hint="cs"/>
          <w:b/>
          <w:bCs/>
          <w:color w:val="000000"/>
          <w:rtl/>
        </w:rPr>
        <w:t>1</w:t>
      </w:r>
      <w:r w:rsidR="006E4AED" w:rsidRPr="006D3267">
        <w:rPr>
          <w:b/>
          <w:bCs/>
          <w:color w:val="000000"/>
          <w:rtl/>
        </w:rPr>
        <w:t xml:space="preserve">7 </w:t>
      </w:r>
      <w:r w:rsidR="006D3267" w:rsidRPr="006D3267">
        <w:rPr>
          <w:rFonts w:hint="cs"/>
          <w:b/>
          <w:bCs/>
          <w:color w:val="000000"/>
          <w:rtl/>
        </w:rPr>
        <w:t>يوليو</w:t>
      </w:r>
      <w:r w:rsidR="006E4AED" w:rsidRPr="006D3267">
        <w:rPr>
          <w:b/>
          <w:bCs/>
          <w:color w:val="000000"/>
          <w:rtl/>
        </w:rPr>
        <w:t xml:space="preserve"> 2024</w:t>
      </w:r>
      <w:r w:rsidR="006D3267">
        <w:rPr>
          <w:rFonts w:hint="cs"/>
          <w:color w:val="000000"/>
          <w:rtl/>
        </w:rPr>
        <w:t>،</w:t>
      </w:r>
      <w:r w:rsidR="006E4AED">
        <w:rPr>
          <w:color w:val="000000"/>
          <w:rtl/>
        </w:rPr>
        <w:t xml:space="preserve"> </w:t>
      </w:r>
      <w:r w:rsidR="006D3267">
        <w:rPr>
          <w:color w:val="000000"/>
          <w:rtl/>
        </w:rPr>
        <w:t xml:space="preserve">الساعة </w:t>
      </w:r>
      <w:r w:rsidR="006D3267">
        <w:rPr>
          <w:rFonts w:hint="cs"/>
          <w:color w:val="000000"/>
          <w:rtl/>
        </w:rPr>
        <w:t>23:59</w:t>
      </w:r>
      <w:r w:rsidR="006D3267">
        <w:rPr>
          <w:color w:val="000000"/>
          <w:rtl/>
        </w:rPr>
        <w:t xml:space="preserve"> بالتوقيت العالمي المنسق</w:t>
      </w:r>
      <w:r w:rsidR="006D3267">
        <w:rPr>
          <w:color w:val="000000"/>
        </w:rPr>
        <w:t>.</w:t>
      </w:r>
    </w:p>
    <w:p w14:paraId="39B41EF7" w14:textId="57125946" w:rsidR="00966F78" w:rsidRDefault="00966F78" w:rsidP="00966F78">
      <w:pPr>
        <w:rPr>
          <w:rtl/>
          <w:lang w:bidi="ar-EG"/>
        </w:rPr>
      </w:pPr>
      <w:r w:rsidRPr="00966F78">
        <w:rPr>
          <w:rtl/>
          <w:lang w:bidi="ar-SY"/>
        </w:rPr>
        <w:t>وسيُفتتح الاجتماع في الساعة </w:t>
      </w:r>
      <w:r w:rsidRPr="00966F78">
        <w:rPr>
          <w:lang w:val="fr-FR" w:bidi="ar-SY"/>
        </w:rPr>
        <w:t>0930</w:t>
      </w:r>
      <w:r w:rsidRPr="00966F78">
        <w:rPr>
          <w:rtl/>
          <w:lang w:bidi="ar-SY"/>
        </w:rPr>
        <w:t xml:space="preserve"> من اليوم الأول، وسيبدأ تسجيل المشاركين في الساعة </w:t>
      </w:r>
      <w:r w:rsidRPr="00966F78">
        <w:rPr>
          <w:lang w:val="fr-FR" w:bidi="ar-SY"/>
        </w:rPr>
        <w:t>0830</w:t>
      </w:r>
      <w:r w:rsidRPr="00966F78">
        <w:rPr>
          <w:rtl/>
          <w:lang w:bidi="ar-SY"/>
        </w:rPr>
        <w:t xml:space="preserve"> عند </w:t>
      </w:r>
      <w:hyperlink r:id="rId12" w:history="1">
        <w:r w:rsidRPr="00966F78">
          <w:rPr>
            <w:rStyle w:val="Hyperlink"/>
            <w:rtl/>
            <w:lang w:bidi="ar-SY"/>
          </w:rPr>
          <w:t xml:space="preserve">مدخل مبنى </w:t>
        </w:r>
        <w:proofErr w:type="spellStart"/>
        <w:r w:rsidRPr="00966F78">
          <w:rPr>
            <w:rStyle w:val="Hyperlink"/>
            <w:rtl/>
            <w:lang w:bidi="ar-SY"/>
          </w:rPr>
          <w:t>مونبريان</w:t>
        </w:r>
        <w:proofErr w:type="spellEnd"/>
      </w:hyperlink>
      <w:r w:rsidRPr="00966F78">
        <w:rPr>
          <w:rtl/>
          <w:lang w:bidi="ar-SY"/>
        </w:rPr>
        <w:t xml:space="preserve">. وستُعرض يومياً التفاصيل المتعلقة بقاعات الاجتماع على الشاشات الموجودة في مقر الاتحاد، </w:t>
      </w:r>
      <w:r w:rsidRPr="00966F78">
        <w:rPr>
          <w:rtl/>
          <w:lang w:bidi="ar-EG"/>
        </w:rPr>
        <w:t>وفي الموقع الإلكتروني</w:t>
      </w:r>
      <w:r w:rsidRPr="00966F78">
        <w:rPr>
          <w:rtl/>
        </w:rPr>
        <w:t> </w:t>
      </w:r>
      <w:hyperlink r:id="rId13" w:history="1">
        <w:r w:rsidRPr="00966F78">
          <w:rPr>
            <w:rStyle w:val="Hyperlink"/>
            <w:rtl/>
            <w:lang w:bidi="ar-SY"/>
          </w:rPr>
          <w:t>هنا</w:t>
        </w:r>
      </w:hyperlink>
      <w:r w:rsidRPr="00966F78">
        <w:rPr>
          <w:rtl/>
          <w:lang w:bidi="ar-EG"/>
        </w:rPr>
        <w:t>.</w:t>
      </w:r>
    </w:p>
    <w:p w14:paraId="011EAA31" w14:textId="5FEF33B0" w:rsidR="006A3B95" w:rsidRDefault="006A3B95" w:rsidP="00F67629">
      <w:pPr>
        <w:rPr>
          <w:rtl/>
          <w:lang w:bidi="ar-EG"/>
        </w:rPr>
      </w:pPr>
      <w:r w:rsidRPr="006A3B95">
        <w:rPr>
          <w:rtl/>
          <w:lang w:bidi="ar-EG"/>
        </w:rPr>
        <w:t>و</w:t>
      </w:r>
      <w:r>
        <w:rPr>
          <w:rFonts w:hint="cs"/>
          <w:rtl/>
          <w:lang w:bidi="ar-EG"/>
        </w:rPr>
        <w:t xml:space="preserve">قبل الاجتماع، </w:t>
      </w:r>
      <w:r w:rsidRPr="006A3B95">
        <w:rPr>
          <w:rtl/>
          <w:lang w:bidi="ar-EG"/>
        </w:rPr>
        <w:t>سيعقد اجتماع أقاليمي</w:t>
      </w:r>
      <w:r>
        <w:rPr>
          <w:rFonts w:hint="cs"/>
          <w:rtl/>
          <w:lang w:bidi="ar-EG"/>
        </w:rPr>
        <w:t xml:space="preserve"> افتراضي</w:t>
      </w:r>
      <w:r w:rsidRPr="006A3B95">
        <w:rPr>
          <w:rtl/>
          <w:lang w:bidi="ar-EG"/>
        </w:rPr>
        <w:t xml:space="preserve"> للتحضير للجمعية العالمية لتقييس الاتصالات لعام </w:t>
      </w:r>
      <w:r w:rsidRPr="006A3B95">
        <w:rPr>
          <w:cs/>
          <w:lang w:bidi="ar-EG"/>
        </w:rPr>
        <w:t>‎</w:t>
      </w:r>
      <w:r w:rsidRPr="006A3B95">
        <w:rPr>
          <w:lang w:bidi="ar-EG"/>
        </w:rPr>
        <w:t>2024</w:t>
      </w:r>
      <w:r w:rsidRPr="006A3B95">
        <w:rPr>
          <w:rtl/>
          <w:lang w:bidi="ar-EG"/>
        </w:rPr>
        <w:t xml:space="preserve"> ‏في </w:t>
      </w:r>
      <w:r w:rsidRPr="006A3B95">
        <w:rPr>
          <w:cs/>
          <w:lang w:bidi="ar-EG"/>
        </w:rPr>
        <w:t>‎</w:t>
      </w:r>
      <w:r w:rsidRPr="006A3B95">
        <w:rPr>
          <w:lang w:bidi="ar-EG"/>
        </w:rPr>
        <w:t>25</w:t>
      </w:r>
      <w:r w:rsidRPr="006A3B95">
        <w:rPr>
          <w:rtl/>
          <w:lang w:bidi="ar-EG"/>
        </w:rPr>
        <w:t xml:space="preserve"> ‏يوليو </w:t>
      </w:r>
      <w:r w:rsidRPr="006A3B95">
        <w:rPr>
          <w:cs/>
          <w:lang w:bidi="ar-EG"/>
        </w:rPr>
        <w:t>‎</w:t>
      </w:r>
      <w:r>
        <w:rPr>
          <w:rFonts w:hint="cs"/>
          <w:rtl/>
          <w:lang w:bidi="ar-EG"/>
        </w:rPr>
        <w:t>2024؛</w:t>
      </w:r>
      <w:r w:rsidRPr="006A3B95">
        <w:rPr>
          <w:rtl/>
          <w:lang w:bidi="ar-EG"/>
        </w:rPr>
        <w:t xml:space="preserve"> وستتاح تفاصيل هذا الاجتماع </w:t>
      </w:r>
      <w:proofErr w:type="spellStart"/>
      <w:r w:rsidRPr="006A3B95">
        <w:rPr>
          <w:rtl/>
          <w:lang w:bidi="ar-EG"/>
        </w:rPr>
        <w:t>الأقاليمي</w:t>
      </w:r>
      <w:proofErr w:type="spellEnd"/>
      <w:r w:rsidRPr="006A3B95">
        <w:rPr>
          <w:rtl/>
          <w:lang w:bidi="ar-EG"/>
        </w:rPr>
        <w:t xml:space="preserve"> في </w:t>
      </w:r>
      <w:hyperlink r:id="rId14" w:history="1">
        <w:r w:rsidRPr="00F67629">
          <w:rPr>
            <w:rStyle w:val="Hyperlink"/>
            <w:rtl/>
            <w:lang w:bidi="ar-EG"/>
          </w:rPr>
          <w:t xml:space="preserve">الرسالة المعممة </w:t>
        </w:r>
        <w:r w:rsidRPr="00F67629">
          <w:rPr>
            <w:rStyle w:val="Hyperlink"/>
            <w:cs/>
            <w:lang w:bidi="ar-EG"/>
          </w:rPr>
          <w:t>‎</w:t>
        </w:r>
        <w:r w:rsidR="004638F3" w:rsidRPr="00F67629">
          <w:rPr>
            <w:rStyle w:val="Hyperlink"/>
            <w:rFonts w:hint="cs"/>
            <w:rtl/>
            <w:lang w:bidi="ar-EG"/>
          </w:rPr>
          <w:t>2024 لمكتب تقييس الاتصالات</w:t>
        </w:r>
      </w:hyperlink>
      <w:r w:rsidR="004638F3">
        <w:rPr>
          <w:rFonts w:hint="cs"/>
          <w:rtl/>
          <w:lang w:bidi="ar-EG"/>
        </w:rPr>
        <w:t>.</w:t>
      </w:r>
    </w:p>
    <w:p w14:paraId="7A95C6DC" w14:textId="3D9E1183" w:rsidR="001B2AB7" w:rsidRDefault="001B2AB7" w:rsidP="00966F78">
      <w:pPr>
        <w:rPr>
          <w:rtl/>
        </w:rPr>
      </w:pPr>
      <w:r>
        <w:rPr>
          <w:color w:val="000000"/>
          <w:rtl/>
        </w:rPr>
        <w:t xml:space="preserve">وتَرِدُ معلومات عملية عن الاجتماع </w:t>
      </w:r>
      <w:r>
        <w:rPr>
          <w:rFonts w:hint="cs"/>
          <w:color w:val="000000"/>
          <w:rtl/>
        </w:rPr>
        <w:t xml:space="preserve">في </w:t>
      </w:r>
      <w:r w:rsidRPr="001B2AB7">
        <w:rPr>
          <w:rFonts w:hint="cs"/>
          <w:b/>
          <w:bCs/>
          <w:color w:val="000000"/>
          <w:rtl/>
        </w:rPr>
        <w:t xml:space="preserve">الملحق </w:t>
      </w:r>
      <w:r w:rsidRPr="001B2AB7">
        <w:rPr>
          <w:b/>
          <w:bCs/>
          <w:color w:val="000000"/>
          <w:lang w:val="en-GB"/>
        </w:rPr>
        <w:t>A</w:t>
      </w:r>
      <w:r w:rsidR="00175927">
        <w:rPr>
          <w:rFonts w:hint="cs"/>
          <w:color w:val="000000"/>
          <w:rtl/>
        </w:rPr>
        <w:t xml:space="preserve">. </w:t>
      </w:r>
      <w:r>
        <w:rPr>
          <w:color w:val="000000"/>
          <w:rtl/>
        </w:rPr>
        <w:t>ونودُّ تذكير المندوبين بأن الأحكام السارية حالياً تقتضي أن يتخذَ القرارات المشاركون الحاضرون في قاعة الاجتماع</w:t>
      </w:r>
      <w:r>
        <w:rPr>
          <w:color w:val="000000"/>
        </w:rPr>
        <w:t>.</w:t>
      </w:r>
      <w:r w:rsidRPr="001B2AB7">
        <w:rPr>
          <w:color w:val="000000"/>
          <w:rtl/>
        </w:rPr>
        <w:t xml:space="preserve"> </w:t>
      </w:r>
      <w:r>
        <w:rPr>
          <w:color w:val="000000"/>
          <w:rtl/>
        </w:rPr>
        <w:t>وستتاح المشاركة التفاعلية عن بُعد في الجلستين العامتين الافتتاحية والختامية</w:t>
      </w:r>
      <w:r>
        <w:rPr>
          <w:color w:val="000000"/>
        </w:rPr>
        <w:t xml:space="preserve"> </w:t>
      </w:r>
      <w:r>
        <w:rPr>
          <w:rFonts w:hint="cs"/>
          <w:color w:val="000000"/>
          <w:rtl/>
        </w:rPr>
        <w:t>(</w:t>
      </w:r>
      <w:r>
        <w:rPr>
          <w:color w:val="000000"/>
          <w:rtl/>
        </w:rPr>
        <w:t xml:space="preserve">انظر </w:t>
      </w:r>
      <w:r w:rsidRPr="001B2AB7">
        <w:rPr>
          <w:b/>
          <w:bCs/>
          <w:color w:val="000000"/>
          <w:rtl/>
        </w:rPr>
        <w:t>الملحق</w:t>
      </w:r>
      <w:r w:rsidRPr="001B2AB7">
        <w:rPr>
          <w:b/>
          <w:bCs/>
          <w:color w:val="000000"/>
        </w:rPr>
        <w:t xml:space="preserve"> A</w:t>
      </w:r>
      <w:r>
        <w:rPr>
          <w:color w:val="000000"/>
        </w:rPr>
        <w:t xml:space="preserve"> </w:t>
      </w:r>
      <w:r>
        <w:rPr>
          <w:color w:val="000000"/>
          <w:rtl/>
        </w:rPr>
        <w:t>للاطلاع على مزيد من التفاصيل</w:t>
      </w:r>
      <w:r>
        <w:rPr>
          <w:rFonts w:hint="cs"/>
          <w:rtl/>
        </w:rPr>
        <w:t>).</w:t>
      </w:r>
    </w:p>
    <w:p w14:paraId="7412B3D1" w14:textId="5028E598" w:rsidR="001352AB" w:rsidRPr="001B2AB7" w:rsidRDefault="001352AB" w:rsidP="00966F78">
      <w:pPr>
        <w:rPr>
          <w:rtl/>
        </w:rPr>
      </w:pPr>
      <w:r>
        <w:rPr>
          <w:color w:val="000000"/>
          <w:rtl/>
        </w:rPr>
        <w:lastRenderedPageBreak/>
        <w:t xml:space="preserve">ويرد في </w:t>
      </w:r>
      <w:r w:rsidRPr="001352AB">
        <w:rPr>
          <w:b/>
          <w:bCs/>
          <w:color w:val="000000"/>
          <w:rtl/>
        </w:rPr>
        <w:t>الملحقين</w:t>
      </w:r>
      <w:r w:rsidRPr="001352AB">
        <w:rPr>
          <w:b/>
          <w:bCs/>
          <w:color w:val="000000"/>
        </w:rPr>
        <w:t xml:space="preserve"> B </w:t>
      </w:r>
      <w:r w:rsidRPr="001352AB">
        <w:rPr>
          <w:b/>
          <w:bCs/>
          <w:color w:val="000000"/>
          <w:rtl/>
        </w:rPr>
        <w:t>و</w:t>
      </w:r>
      <w:r w:rsidRPr="001352AB">
        <w:rPr>
          <w:b/>
          <w:bCs/>
          <w:color w:val="000000"/>
        </w:rPr>
        <w:t>C</w:t>
      </w:r>
      <w:r w:rsidR="00F67629">
        <w:rPr>
          <w:rFonts w:hint="cs"/>
          <w:color w:val="000000"/>
          <w:rtl/>
        </w:rPr>
        <w:t xml:space="preserve"> </w:t>
      </w:r>
      <w:r>
        <w:rPr>
          <w:color w:val="000000"/>
          <w:rtl/>
        </w:rPr>
        <w:t xml:space="preserve">مشروع جدول </w:t>
      </w:r>
      <w:r w:rsidRPr="001352AB">
        <w:rPr>
          <w:b/>
          <w:bCs/>
          <w:color w:val="000000"/>
          <w:rtl/>
        </w:rPr>
        <w:t>أعمال الاجتماع</w:t>
      </w:r>
      <w:r>
        <w:rPr>
          <w:color w:val="000000"/>
          <w:rtl/>
        </w:rPr>
        <w:t xml:space="preserve"> ومشروع </w:t>
      </w:r>
      <w:r w:rsidRPr="001352AB">
        <w:rPr>
          <w:b/>
          <w:bCs/>
          <w:color w:val="000000"/>
          <w:rtl/>
        </w:rPr>
        <w:t>الجدول الزمني</w:t>
      </w:r>
      <w:r>
        <w:rPr>
          <w:color w:val="000000"/>
          <w:rtl/>
        </w:rPr>
        <w:t xml:space="preserve"> اللذان أعدهما السيد عبد الرحمن م. الحسن، رئيس الفريق الاستشاري لتقييس الاتصالات</w:t>
      </w:r>
      <w:r>
        <w:rPr>
          <w:rFonts w:hint="cs"/>
          <w:rtl/>
        </w:rPr>
        <w:t>.</w:t>
      </w:r>
    </w:p>
    <w:p w14:paraId="0285ADD6" w14:textId="77777777" w:rsidR="00966F78" w:rsidRPr="00E57371" w:rsidRDefault="00966F78" w:rsidP="00F63526">
      <w:pPr>
        <w:pStyle w:val="Headingb"/>
        <w:keepLines/>
        <w:spacing w:after="120"/>
        <w:rPr>
          <w:rtl/>
          <w:lang w:bidi="ar-EG"/>
        </w:rPr>
      </w:pPr>
      <w:r w:rsidRPr="00E57371">
        <w:rPr>
          <w:rtl/>
        </w:rPr>
        <w:t>أهم المواعيد النهائية:</w:t>
      </w:r>
    </w:p>
    <w:tbl>
      <w:tblPr>
        <w:tblStyle w:val="TableGrid"/>
        <w:bidiVisual/>
        <w:tblW w:w="5000" w:type="pct"/>
        <w:tblLook w:val="04A0" w:firstRow="1" w:lastRow="0" w:firstColumn="1" w:lastColumn="0" w:noHBand="0" w:noVBand="1"/>
      </w:tblPr>
      <w:tblGrid>
        <w:gridCol w:w="1925"/>
        <w:gridCol w:w="8271"/>
      </w:tblGrid>
      <w:tr w:rsidR="00966F78" w:rsidRPr="00E57371" w14:paraId="3BCC5FD0" w14:textId="77777777" w:rsidTr="00160035">
        <w:tc>
          <w:tcPr>
            <w:tcW w:w="1818" w:type="dxa"/>
            <w:vAlign w:val="center"/>
          </w:tcPr>
          <w:p w14:paraId="31D72901" w14:textId="68C46311" w:rsidR="00966F78" w:rsidRPr="00522724" w:rsidRDefault="007C5F29" w:rsidP="00F63526">
            <w:pPr>
              <w:keepNext/>
              <w:keepLines/>
              <w:spacing w:before="60" w:after="60" w:line="260" w:lineRule="exact"/>
              <w:rPr>
                <w:rtl/>
                <w:lang w:val="en-GB" w:bidi="ar-SY"/>
              </w:rPr>
            </w:pPr>
            <w:r>
              <w:rPr>
                <w:rFonts w:hint="cs"/>
                <w:rtl/>
              </w:rPr>
              <w:t>29 مايو 2024</w:t>
            </w:r>
          </w:p>
        </w:tc>
        <w:tc>
          <w:tcPr>
            <w:tcW w:w="7811" w:type="dxa"/>
            <w:vAlign w:val="center"/>
          </w:tcPr>
          <w:p w14:paraId="264CC908" w14:textId="77777777" w:rsidR="00966F78" w:rsidRPr="00E57371" w:rsidRDefault="00966F78" w:rsidP="00F63526">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rPr>
              <w:t>تقديم طلبات الحصول على خدمات العرض النصي و/أو الترجمة بلغة الإشارة في الوقت الفعلي</w:t>
            </w:r>
          </w:p>
          <w:p w14:paraId="6AC8FE30" w14:textId="77777777" w:rsidR="00966F78" w:rsidRPr="00E57371" w:rsidRDefault="00966F78" w:rsidP="00F63526">
            <w:pPr>
              <w:keepNext/>
              <w:keepLines/>
              <w:tabs>
                <w:tab w:val="clear" w:pos="794"/>
                <w:tab w:val="left" w:pos="425"/>
              </w:tabs>
              <w:spacing w:before="60" w:after="60" w:line="260" w:lineRule="exact"/>
              <w:ind w:left="425" w:hanging="425"/>
              <w:rPr>
                <w:b/>
                <w:bCs/>
                <w:rtl/>
                <w:lang w:bidi="ar-SY"/>
              </w:rPr>
            </w:pPr>
            <w:r w:rsidRPr="00E57371">
              <w:rPr>
                <w:rtl/>
                <w:lang w:bidi="ar-SY"/>
              </w:rPr>
              <w:t>-</w:t>
            </w:r>
            <w:r w:rsidRPr="00E57371">
              <w:rPr>
                <w:rtl/>
                <w:lang w:bidi="ar-SY"/>
              </w:rPr>
              <w:tab/>
            </w:r>
            <w:hyperlink r:id="rId15" w:history="1">
              <w:r w:rsidRPr="00E57371">
                <w:rPr>
                  <w:rStyle w:val="Hyperlink"/>
                  <w:rtl/>
                  <w:lang w:bidi="ar-SY"/>
                </w:rPr>
                <w:t>تقديم مساهمات أعضاء قطاع تقييس الاتصالات</w:t>
              </w:r>
            </w:hyperlink>
            <w:r w:rsidRPr="00E57371">
              <w:rPr>
                <w:rtl/>
                <w:lang w:bidi="ar-SY"/>
              </w:rPr>
              <w:t xml:space="preserve"> المطلوبة ترجمتها</w:t>
            </w:r>
          </w:p>
        </w:tc>
      </w:tr>
      <w:tr w:rsidR="00F63526" w:rsidRPr="00E57371" w14:paraId="2465C074" w14:textId="77777777" w:rsidTr="003115B4">
        <w:tc>
          <w:tcPr>
            <w:tcW w:w="1818" w:type="dxa"/>
          </w:tcPr>
          <w:p w14:paraId="2A848974" w14:textId="208FEEE7" w:rsidR="00F63526" w:rsidRPr="00E57371" w:rsidRDefault="007C5F29" w:rsidP="00F63526">
            <w:pPr>
              <w:keepNext/>
              <w:keepLines/>
              <w:spacing w:before="60" w:after="60" w:line="260" w:lineRule="exact"/>
              <w:rPr>
                <w:lang w:val="en-GB" w:bidi="ar-SY"/>
              </w:rPr>
            </w:pPr>
            <w:r>
              <w:rPr>
                <w:rFonts w:hint="cs"/>
                <w:rtl/>
              </w:rPr>
              <w:t>17 يونيو 2024</w:t>
            </w:r>
          </w:p>
        </w:tc>
        <w:tc>
          <w:tcPr>
            <w:tcW w:w="7811" w:type="dxa"/>
            <w:vAlign w:val="center"/>
          </w:tcPr>
          <w:p w14:paraId="3999E748" w14:textId="2B6D8067" w:rsidR="00F63526" w:rsidRPr="00E57371" w:rsidRDefault="00F63526" w:rsidP="00F63526">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r>
            <w:r w:rsidRPr="00E57371">
              <w:rPr>
                <w:rtl/>
                <w:lang w:bidi="ar-EG"/>
              </w:rPr>
              <w:t xml:space="preserve">تقديم </w:t>
            </w:r>
            <w:r w:rsidRPr="00E57371">
              <w:rPr>
                <w:rtl/>
                <w:lang w:bidi="ar-SY"/>
              </w:rPr>
              <w:t>طلبات الحصول على مِنح</w:t>
            </w:r>
            <w:r w:rsidRPr="00E57371">
              <w:rPr>
                <w:rtl/>
              </w:rPr>
              <w:t xml:space="preserve"> أو مِنح إلكترونية</w:t>
            </w:r>
            <w:r w:rsidRPr="00E57371">
              <w:rPr>
                <w:rtl/>
                <w:lang w:bidi="ar-SY"/>
              </w:rPr>
              <w:t xml:space="preserve"> (من خلال النماذج المتاحة في </w:t>
            </w:r>
            <w:hyperlink r:id="rId16" w:history="1">
              <w:r w:rsidR="00D640C8">
                <w:rPr>
                  <w:rStyle w:val="Hyperlink"/>
                  <w:rFonts w:hint="cs"/>
                  <w:rtl/>
                </w:rPr>
                <w:t>الصفحة الرئيسية للفريق الاستشاري لتقييس الاتصالات</w:t>
              </w:r>
            </w:hyperlink>
            <w:r w:rsidRPr="00E57371">
              <w:rPr>
                <w:rtl/>
              </w:rPr>
              <w:t>)</w:t>
            </w:r>
            <w:r w:rsidRPr="00E57371">
              <w:rPr>
                <w:rtl/>
                <w:lang w:bidi="ar-SY"/>
              </w:rPr>
              <w:t xml:space="preserve"> </w:t>
            </w:r>
          </w:p>
          <w:p w14:paraId="604A7B36" w14:textId="58E10FFD" w:rsidR="00F63526" w:rsidRPr="00E57371" w:rsidRDefault="00F63526" w:rsidP="00F63526">
            <w:pPr>
              <w:keepNext/>
              <w:keepLines/>
              <w:tabs>
                <w:tab w:val="clear" w:pos="794"/>
                <w:tab w:val="left" w:pos="425"/>
              </w:tabs>
              <w:spacing w:before="60" w:after="60" w:line="260" w:lineRule="exact"/>
              <w:ind w:left="425" w:hanging="425"/>
              <w:rPr>
                <w:b/>
                <w:bCs/>
                <w:rtl/>
                <w:lang w:bidi="ar-EG"/>
              </w:rPr>
            </w:pPr>
            <w:r w:rsidRPr="00E57371">
              <w:rPr>
                <w:rtl/>
                <w:lang w:bidi="ar-SY"/>
              </w:rPr>
              <w:t>-</w:t>
            </w:r>
            <w:r w:rsidRPr="00E57371">
              <w:rPr>
                <w:b/>
                <w:bCs/>
                <w:rtl/>
                <w:lang w:bidi="ar-EG"/>
              </w:rPr>
              <w:tab/>
            </w:r>
            <w:r w:rsidRPr="00E57371">
              <w:rPr>
                <w:rtl/>
              </w:rPr>
              <w:t>تقديم طلبات توفير الترجمة الشفوية (من خلال نموذج التسجيل الإلكتروني</w:t>
            </w:r>
            <w:r>
              <w:rPr>
                <w:rFonts w:hint="cs"/>
                <w:rtl/>
              </w:rPr>
              <w:t xml:space="preserve"> المتاح في </w:t>
            </w:r>
            <w:hyperlink r:id="rId17" w:history="1">
              <w:r w:rsidR="008B737F">
                <w:rPr>
                  <w:rStyle w:val="Hyperlink"/>
                  <w:rFonts w:hint="cs"/>
                  <w:rtl/>
                </w:rPr>
                <w:t>الصفحة الرئيسية للفريق الاستشاري لتقييس الاتصالات</w:t>
              </w:r>
            </w:hyperlink>
            <w:r w:rsidR="008B737F" w:rsidRPr="00E57371">
              <w:rPr>
                <w:rtl/>
              </w:rPr>
              <w:t>)</w:t>
            </w:r>
          </w:p>
        </w:tc>
      </w:tr>
      <w:tr w:rsidR="00F63526" w:rsidRPr="00E57371" w14:paraId="0A429BC8" w14:textId="77777777" w:rsidTr="003115B4">
        <w:tc>
          <w:tcPr>
            <w:tcW w:w="1818" w:type="dxa"/>
          </w:tcPr>
          <w:p w14:paraId="6E94E2F3" w14:textId="259B8CCD" w:rsidR="00F63526" w:rsidRPr="00E57371" w:rsidRDefault="007C5F29" w:rsidP="00F63526">
            <w:pPr>
              <w:spacing w:before="60" w:after="60" w:line="260" w:lineRule="exact"/>
              <w:rPr>
                <w:lang w:val="en-GB" w:bidi="ar-SY"/>
              </w:rPr>
            </w:pPr>
            <w:r>
              <w:rPr>
                <w:rFonts w:hint="cs"/>
                <w:rtl/>
              </w:rPr>
              <w:t>29 يونيو 2024</w:t>
            </w:r>
          </w:p>
        </w:tc>
        <w:tc>
          <w:tcPr>
            <w:tcW w:w="7811" w:type="dxa"/>
            <w:vAlign w:val="center"/>
          </w:tcPr>
          <w:p w14:paraId="1371096D" w14:textId="4A847D15" w:rsidR="00D640C8" w:rsidRPr="00E57371" w:rsidRDefault="00F63526" w:rsidP="00D640C8">
            <w:pPr>
              <w:keepNext/>
              <w:keepLines/>
              <w:tabs>
                <w:tab w:val="clear" w:pos="794"/>
                <w:tab w:val="left" w:pos="425"/>
              </w:tabs>
              <w:spacing w:before="60" w:after="60" w:line="260" w:lineRule="exact"/>
              <w:ind w:left="425" w:hanging="425"/>
              <w:rPr>
                <w:rtl/>
                <w:lang w:bidi="ar-SY"/>
              </w:rPr>
            </w:pPr>
            <w:r w:rsidRPr="00E57371">
              <w:rPr>
                <w:rtl/>
              </w:rPr>
              <w:t>-</w:t>
            </w:r>
            <w:r w:rsidRPr="00E57371">
              <w:rPr>
                <w:rtl/>
              </w:rPr>
              <w:tab/>
              <w:t>التسجيل المسبق</w:t>
            </w:r>
            <w:r w:rsidRPr="00E57371">
              <w:rPr>
                <w:rtl/>
                <w:lang w:bidi="ar-EG"/>
              </w:rPr>
              <w:t xml:space="preserve"> </w:t>
            </w:r>
            <w:r w:rsidRPr="00E57371">
              <w:rPr>
                <w:rtl/>
                <w:lang w:bidi="ar-SY"/>
              </w:rPr>
              <w:t>(</w:t>
            </w:r>
            <w:r w:rsidRPr="00E57371">
              <w:rPr>
                <w:rtl/>
                <w:lang w:bidi="ar-EG"/>
              </w:rPr>
              <w:t>من خلال نموذج التسجيل الإلكتروني</w:t>
            </w:r>
            <w:r>
              <w:rPr>
                <w:rFonts w:hint="cs"/>
                <w:rtl/>
                <w:lang w:bidi="ar-EG"/>
              </w:rPr>
              <w:t xml:space="preserve"> المتاح</w:t>
            </w:r>
            <w:r w:rsidRPr="00E57371">
              <w:rPr>
                <w:rtl/>
                <w:lang w:bidi="ar-EG"/>
              </w:rPr>
              <w:t xml:space="preserve"> </w:t>
            </w:r>
            <w:r w:rsidRPr="00E57371">
              <w:rPr>
                <w:rtl/>
                <w:lang w:bidi="ar-SY"/>
              </w:rPr>
              <w:t>في</w:t>
            </w:r>
            <w:hyperlink r:id="rId18" w:history="1">
              <w:r w:rsidR="00117521" w:rsidRPr="00117521">
                <w:rPr>
                  <w:rStyle w:val="Hyperlink"/>
                  <w:rFonts w:hint="cs"/>
                  <w:u w:val="none"/>
                  <w:rtl/>
                </w:rPr>
                <w:t xml:space="preserve"> </w:t>
              </w:r>
              <w:r w:rsidR="00D640C8">
                <w:rPr>
                  <w:rStyle w:val="Hyperlink"/>
                  <w:rFonts w:hint="cs"/>
                  <w:rtl/>
                </w:rPr>
                <w:t>الصفحة الرئيسية للفريق الاستشاري لتقييس الاتصالات</w:t>
              </w:r>
            </w:hyperlink>
            <w:r w:rsidR="00D640C8" w:rsidRPr="00E57371">
              <w:rPr>
                <w:rtl/>
              </w:rPr>
              <w:t>)</w:t>
            </w:r>
            <w:r w:rsidR="00D640C8" w:rsidRPr="00E57371">
              <w:rPr>
                <w:rtl/>
                <w:lang w:bidi="ar-SY"/>
              </w:rPr>
              <w:t xml:space="preserve"> </w:t>
            </w:r>
          </w:p>
          <w:p w14:paraId="2E3D8C78" w14:textId="03DFF67D" w:rsidR="00F63526" w:rsidRPr="00E57371" w:rsidRDefault="00F63526" w:rsidP="00D640C8">
            <w:pPr>
              <w:keepNext/>
              <w:keepLines/>
              <w:tabs>
                <w:tab w:val="clear" w:pos="794"/>
                <w:tab w:val="left" w:pos="425"/>
              </w:tabs>
              <w:spacing w:before="60" w:after="60" w:line="260" w:lineRule="exact"/>
              <w:ind w:left="425" w:hanging="425"/>
              <w:rPr>
                <w:rtl/>
                <w:lang w:bidi="ar-SY"/>
              </w:rPr>
            </w:pPr>
            <w:r w:rsidRPr="00E57371">
              <w:rPr>
                <w:rtl/>
                <w:lang w:bidi="ar-SY"/>
              </w:rPr>
              <w:t>-</w:t>
            </w:r>
            <w:r w:rsidRPr="00E57371">
              <w:rPr>
                <w:rtl/>
                <w:lang w:bidi="ar-SY"/>
              </w:rPr>
              <w:tab/>
              <w:t>تقديم طلبات الحصول على رسائل دعم طلب التأشيرة (</w:t>
            </w:r>
            <w:r w:rsidRPr="00E57371">
              <w:rPr>
                <w:rtl/>
              </w:rPr>
              <w:t>من خلال نموذج</w:t>
            </w:r>
            <w:r w:rsidRPr="00E57371">
              <w:rPr>
                <w:rtl/>
                <w:lang w:bidi="ar-SY"/>
              </w:rPr>
              <w:t xml:space="preserve"> التسجيل</w:t>
            </w:r>
            <w:r w:rsidRPr="00E57371">
              <w:rPr>
                <w:rtl/>
              </w:rPr>
              <w:t xml:space="preserve"> الإلكتروني</w:t>
            </w:r>
            <w:r>
              <w:rPr>
                <w:rFonts w:hint="cs"/>
                <w:rtl/>
              </w:rPr>
              <w:t xml:space="preserve"> المتاح في </w:t>
            </w:r>
            <w:hyperlink r:id="rId19" w:history="1">
              <w:r w:rsidR="00D640C8">
                <w:rPr>
                  <w:rStyle w:val="Hyperlink"/>
                  <w:rFonts w:hint="cs"/>
                  <w:rtl/>
                </w:rPr>
                <w:t>الصفحة الرئيسية للفريق الاستشاري لتقييس الاتصالات</w:t>
              </w:r>
            </w:hyperlink>
            <w:r w:rsidRPr="00E57371">
              <w:rPr>
                <w:rtl/>
              </w:rPr>
              <w:t xml:space="preserve">؛ للاطلاع على التفاصيل انظر الملحق </w:t>
            </w:r>
            <w:r w:rsidRPr="00E57371">
              <w:rPr>
                <w:lang w:bidi="ar-SY"/>
              </w:rPr>
              <w:t>A</w:t>
            </w:r>
            <w:r w:rsidRPr="00E57371">
              <w:rPr>
                <w:rtl/>
                <w:lang w:bidi="ar-SY"/>
              </w:rPr>
              <w:t>)</w:t>
            </w:r>
          </w:p>
        </w:tc>
      </w:tr>
      <w:tr w:rsidR="00F63526" w:rsidRPr="00E57371" w14:paraId="5D6FE02B" w14:textId="77777777" w:rsidTr="003115B4">
        <w:tc>
          <w:tcPr>
            <w:tcW w:w="1818" w:type="dxa"/>
          </w:tcPr>
          <w:p w14:paraId="385F065F" w14:textId="1054CBC8" w:rsidR="00F63526" w:rsidRPr="00E57371" w:rsidRDefault="007C5F29" w:rsidP="00F63526">
            <w:pPr>
              <w:spacing w:before="60" w:after="60" w:line="260" w:lineRule="exact"/>
              <w:rPr>
                <w:lang w:val="en-GB" w:bidi="ar-SY"/>
              </w:rPr>
            </w:pPr>
            <w:r>
              <w:rPr>
                <w:rFonts w:hint="cs"/>
                <w:rtl/>
              </w:rPr>
              <w:t>16 يوليو 2024</w:t>
            </w:r>
          </w:p>
        </w:tc>
        <w:tc>
          <w:tcPr>
            <w:tcW w:w="7811" w:type="dxa"/>
            <w:vAlign w:val="center"/>
          </w:tcPr>
          <w:p w14:paraId="308445A0" w14:textId="4DE29F58" w:rsidR="00F63526" w:rsidRPr="00E57371" w:rsidRDefault="00F63526" w:rsidP="00F63526">
            <w:pPr>
              <w:tabs>
                <w:tab w:val="clear" w:pos="794"/>
                <w:tab w:val="left" w:pos="425"/>
              </w:tabs>
              <w:spacing w:before="60" w:after="60" w:line="260" w:lineRule="exact"/>
              <w:ind w:left="425" w:hanging="425"/>
              <w:rPr>
                <w:lang w:val="en-GB" w:bidi="ar-SY"/>
              </w:rPr>
            </w:pPr>
            <w:r w:rsidRPr="00E57371">
              <w:rPr>
                <w:rtl/>
                <w:lang w:bidi="ar-SY"/>
              </w:rPr>
              <w:t>-</w:t>
            </w:r>
            <w:r w:rsidRPr="00E57371">
              <w:rPr>
                <w:rtl/>
                <w:lang w:bidi="ar-SY"/>
              </w:rPr>
              <w:tab/>
            </w:r>
            <w:r w:rsidRPr="0020416F">
              <w:rPr>
                <w:rtl/>
                <w:lang w:bidi="ar-SY"/>
              </w:rPr>
              <w:t xml:space="preserve">تقديم مساهمات أعضاء قطاع تقييس الاتصالات (من خلال </w:t>
            </w:r>
            <w:hyperlink r:id="rId20" w:history="1">
              <w:r w:rsidRPr="0020416F">
                <w:rPr>
                  <w:rStyle w:val="Hyperlink"/>
                  <w:rtl/>
                  <w:lang w:bidi="ar-SY"/>
                </w:rPr>
                <w:t>نظام النشر المباشر للوثائق</w:t>
              </w:r>
            </w:hyperlink>
            <w:r w:rsidRPr="0020416F">
              <w:rPr>
                <w:rtl/>
                <w:lang w:bidi="ar-SY"/>
              </w:rPr>
              <w:t>)</w:t>
            </w:r>
          </w:p>
        </w:tc>
      </w:tr>
      <w:tr w:rsidR="007C5F29" w:rsidRPr="00E57371" w14:paraId="4BD4C43A" w14:textId="77777777" w:rsidTr="003115B4">
        <w:tc>
          <w:tcPr>
            <w:tcW w:w="1818" w:type="dxa"/>
          </w:tcPr>
          <w:p w14:paraId="00D3D292" w14:textId="1F126793" w:rsidR="007C5F29" w:rsidRDefault="007C5F29" w:rsidP="00F63526">
            <w:pPr>
              <w:spacing w:before="60" w:after="60" w:line="260" w:lineRule="exact"/>
              <w:rPr>
                <w:rtl/>
              </w:rPr>
            </w:pPr>
            <w:r>
              <w:rPr>
                <w:rFonts w:hint="cs"/>
                <w:rtl/>
              </w:rPr>
              <w:t>17 يوليو 2024</w:t>
            </w:r>
          </w:p>
        </w:tc>
        <w:tc>
          <w:tcPr>
            <w:tcW w:w="7811" w:type="dxa"/>
            <w:vAlign w:val="center"/>
          </w:tcPr>
          <w:p w14:paraId="5941C94F" w14:textId="6BD54F95" w:rsidR="007C5F29" w:rsidRPr="00E57371" w:rsidRDefault="00E968C0" w:rsidP="00F63526">
            <w:pPr>
              <w:tabs>
                <w:tab w:val="clear" w:pos="794"/>
                <w:tab w:val="left" w:pos="425"/>
              </w:tabs>
              <w:spacing w:before="60" w:after="60" w:line="260" w:lineRule="exact"/>
              <w:ind w:left="425" w:hanging="425"/>
              <w:rPr>
                <w:rtl/>
                <w:lang w:bidi="ar"/>
              </w:rPr>
            </w:pPr>
            <w:r>
              <w:rPr>
                <w:rFonts w:hint="cs"/>
                <w:rtl/>
                <w:lang w:bidi="ar-SY"/>
              </w:rPr>
              <w:t>-</w:t>
            </w:r>
            <w:r>
              <w:rPr>
                <w:rtl/>
                <w:lang w:bidi="ar-SY"/>
              </w:rPr>
              <w:tab/>
            </w:r>
            <w:r>
              <w:rPr>
                <w:color w:val="000000"/>
                <w:rtl/>
              </w:rPr>
              <w:t xml:space="preserve">تقديم النموذج الوارد في </w:t>
            </w:r>
            <w:r w:rsidRPr="00E968C0">
              <w:rPr>
                <w:b/>
                <w:bCs/>
                <w:color w:val="000000"/>
                <w:rtl/>
              </w:rPr>
              <w:t>الملحق 2</w:t>
            </w:r>
            <w:r>
              <w:rPr>
                <w:color w:val="000000"/>
                <w:rtl/>
              </w:rPr>
              <w:t xml:space="preserve"> </w:t>
            </w:r>
            <w:hyperlink r:id="rId21" w:history="1">
              <w:r w:rsidRPr="00F67629">
                <w:rPr>
                  <w:rStyle w:val="Hyperlink"/>
                  <w:rFonts w:hint="cs"/>
                  <w:rtl/>
                </w:rPr>
                <w:t>ب</w:t>
              </w:r>
              <w:r w:rsidRPr="00F67629">
                <w:rPr>
                  <w:rStyle w:val="Hyperlink"/>
                  <w:rtl/>
                </w:rPr>
                <w:t xml:space="preserve">الرسالة المعمَّمة </w:t>
              </w:r>
              <w:r w:rsidRPr="00F67629">
                <w:rPr>
                  <w:rStyle w:val="Hyperlink"/>
                  <w:rFonts w:hint="cs"/>
                  <w:rtl/>
                </w:rPr>
                <w:t>203</w:t>
              </w:r>
              <w:r w:rsidRPr="00F67629">
                <w:rPr>
                  <w:rStyle w:val="Hyperlink"/>
                  <w:rtl/>
                </w:rPr>
                <w:t xml:space="preserve"> لمكتب تقييس الاتصالات</w:t>
              </w:r>
            </w:hyperlink>
            <w:r>
              <w:rPr>
                <w:color w:val="000000"/>
                <w:rtl/>
              </w:rPr>
              <w:t xml:space="preserve"> والمتعلقة بمشاورة الدول الأعضاء في إطار عملية الموافقة التقليدية بشأن</w:t>
            </w:r>
            <w:r>
              <w:rPr>
                <w:rFonts w:hint="cs"/>
                <w:rtl/>
                <w:lang w:bidi="ar-SY"/>
              </w:rPr>
              <w:t xml:space="preserve"> مشروعي</w:t>
            </w:r>
            <w:r w:rsidRPr="00005FCD">
              <w:rPr>
                <w:rtl/>
                <w:lang w:bidi="ar-EG"/>
              </w:rPr>
              <w:t xml:space="preserve"> التوصيتين الجديدتين</w:t>
            </w:r>
            <w:r w:rsidRPr="00005FCD">
              <w:rPr>
                <w:cs/>
                <w:lang w:bidi="ar-EG"/>
              </w:rPr>
              <w:t>‎</w:t>
            </w:r>
            <w:r w:rsidRPr="00005FCD">
              <w:rPr>
                <w:lang w:bidi="ar-EG"/>
              </w:rPr>
              <w:t xml:space="preserve">ITU-T </w:t>
            </w:r>
            <w:r>
              <w:rPr>
                <w:lang w:bidi="ar-EG"/>
              </w:rPr>
              <w:t>A</w:t>
            </w:r>
            <w:r w:rsidRPr="00005FCD">
              <w:rPr>
                <w:lang w:bidi="ar-EG"/>
              </w:rPr>
              <w:t>.18</w:t>
            </w:r>
            <w:r>
              <w:rPr>
                <w:lang w:val="en-GB" w:bidi="ar-EG"/>
              </w:rPr>
              <w:t> </w:t>
            </w:r>
            <w:r w:rsidRPr="00005FCD">
              <w:rPr>
                <w:lang w:val="en-GB" w:bidi="ar-EG"/>
              </w:rPr>
              <w:t xml:space="preserve">(ex </w:t>
            </w:r>
            <w:proofErr w:type="gramStart"/>
            <w:r w:rsidRPr="00005FCD">
              <w:rPr>
                <w:lang w:val="en-GB" w:bidi="ar-EG"/>
              </w:rPr>
              <w:t xml:space="preserve">A.JCA) </w:t>
            </w:r>
            <w:r w:rsidRPr="00005FCD">
              <w:rPr>
                <w:rtl/>
                <w:lang w:bidi="ar-EG"/>
              </w:rPr>
              <w:t xml:space="preserve"> ‏</w:t>
            </w:r>
            <w:proofErr w:type="gramEnd"/>
            <w:r w:rsidRPr="00005FCD">
              <w:rPr>
                <w:rtl/>
                <w:lang w:bidi="ar-EG"/>
              </w:rPr>
              <w:t>و</w:t>
            </w:r>
            <w:r w:rsidRPr="00005FCD">
              <w:rPr>
                <w:cs/>
                <w:lang w:bidi="ar-EG"/>
              </w:rPr>
              <w:t>‎</w:t>
            </w:r>
            <w:r>
              <w:rPr>
                <w:lang w:bidi="ar-EG"/>
              </w:rPr>
              <w:t>A</w:t>
            </w:r>
            <w:r w:rsidRPr="00005FCD">
              <w:rPr>
                <w:lang w:bidi="ar-EG"/>
              </w:rPr>
              <w:t>.24</w:t>
            </w:r>
            <w:r w:rsidRPr="00005FCD">
              <w:rPr>
                <w:rtl/>
                <w:lang w:bidi="ar-EG"/>
              </w:rPr>
              <w:t>.</w:t>
            </w:r>
          </w:p>
        </w:tc>
      </w:tr>
    </w:tbl>
    <w:p w14:paraId="1731BC5D" w14:textId="77777777" w:rsidR="00D517B2" w:rsidRPr="00D517B2" w:rsidRDefault="00D517B2" w:rsidP="00F9307C">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4054"/>
      </w:tblGrid>
      <w:tr w:rsidR="00D517B2" w:rsidRPr="00D517B2" w14:paraId="781CD2B9" w14:textId="77777777" w:rsidTr="00DD1EBB">
        <w:trPr>
          <w:trHeight w:val="2516"/>
        </w:trPr>
        <w:tc>
          <w:tcPr>
            <w:tcW w:w="3014" w:type="pct"/>
          </w:tcPr>
          <w:p w14:paraId="6A13F7A7"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1B10A088" w14:textId="77777777" w:rsidR="00D517B2" w:rsidRPr="00D517B2" w:rsidRDefault="00D517B2" w:rsidP="00DD1EBB">
            <w:pPr>
              <w:spacing w:before="720" w:after="720"/>
              <w:ind w:left="-57"/>
              <w:jc w:val="left"/>
              <w:rPr>
                <w:i/>
                <w:iCs/>
                <w:rtl/>
                <w:lang w:bidi="ar-SY"/>
              </w:rPr>
            </w:pPr>
            <w:r w:rsidRPr="00D517B2">
              <w:rPr>
                <w:rFonts w:hint="cs"/>
                <w:i/>
                <w:iCs/>
                <w:rtl/>
                <w:lang w:bidi="ar-SY"/>
              </w:rPr>
              <w:t>(توقيع)</w:t>
            </w:r>
          </w:p>
          <w:p w14:paraId="67EB333B" w14:textId="4E5C6C85" w:rsidR="00D517B2" w:rsidRPr="00D517B2" w:rsidRDefault="00F67629" w:rsidP="00DD1EBB">
            <w:pPr>
              <w:ind w:left="-57"/>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4519569E"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507C4A61" wp14:editId="2467996A">
                      <wp:simplePos x="0" y="0"/>
                      <wp:positionH relativeFrom="column">
                        <wp:posOffset>362788</wp:posOffset>
                      </wp:positionH>
                      <wp:positionV relativeFrom="paragraph">
                        <wp:posOffset>148082</wp:posOffset>
                      </wp:positionV>
                      <wp:extent cx="1997050" cy="1626235"/>
                      <wp:effectExtent l="0" t="0" r="3810" b="12065"/>
                      <wp:wrapThrough wrapText="bothSides">
                        <wp:wrapPolygon edited="0">
                          <wp:start x="0" y="0"/>
                          <wp:lineTo x="0" y="21507"/>
                          <wp:lineTo x="21435" y="21507"/>
                          <wp:lineTo x="21435"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997050" cy="1626235"/>
                                <a:chOff x="0" y="0"/>
                                <a:chExt cx="1865592"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AF440" w14:textId="761C3D4D" w:rsidR="00D517B2" w:rsidRDefault="003C29FD" w:rsidP="00D517B2">
                                    <w:pPr>
                                      <w:spacing w:before="0" w:line="240" w:lineRule="auto"/>
                                      <w:ind w:left="170"/>
                                      <w:jc w:val="center"/>
                                      <w:rPr>
                                        <w:rtl/>
                                      </w:rPr>
                                    </w:pPr>
                                    <w:r w:rsidRPr="00D63E51">
                                      <w:rPr>
                                        <w:rFonts w:ascii="Calibri" w:eastAsia="SimSun" w:hAnsi="Calibri" w:cs="Arial"/>
                                        <w:noProof/>
                                        <w:sz w:val="16"/>
                                        <w:szCs w:val="16"/>
                                      </w:rPr>
                                      <w:drawing>
                                        <wp:inline distT="0" distB="0" distL="0" distR="0" wp14:anchorId="34689A00" wp14:editId="2BE8C28D">
                                          <wp:extent cx="1050961" cy="1059872"/>
                                          <wp:effectExtent l="0" t="0" r="0" b="698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6B594138" w14:textId="77777777" w:rsidR="00D517B2" w:rsidRPr="005B07E6" w:rsidRDefault="00D517B2" w:rsidP="005B07E6">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57528"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2B89C" w14:textId="659304FE" w:rsidR="00D517B2" w:rsidRPr="00F67629" w:rsidRDefault="0064619D" w:rsidP="0064619D">
                                    <w:pPr>
                                      <w:spacing w:before="60" w:line="144" w:lineRule="auto"/>
                                      <w:jc w:val="center"/>
                                      <w:rPr>
                                        <w:spacing w:val="-6"/>
                                        <w:sz w:val="20"/>
                                        <w:szCs w:val="20"/>
                                      </w:rPr>
                                    </w:pPr>
                                    <w:r w:rsidRPr="00F67629">
                                      <w:rPr>
                                        <w:rFonts w:hint="cs"/>
                                        <w:spacing w:val="-6"/>
                                        <w:sz w:val="20"/>
                                        <w:szCs w:val="20"/>
                                        <w:rtl/>
                                      </w:rPr>
                                      <w:t xml:space="preserve">الفريق الاستشاري لتقييس </w:t>
                                    </w:r>
                                    <w:r w:rsidR="00F8326B" w:rsidRPr="00F67629">
                                      <w:rPr>
                                        <w:rFonts w:hint="cs"/>
                                        <w:spacing w:val="-6"/>
                                        <w:sz w:val="20"/>
                                        <w:szCs w:val="20"/>
                                        <w:rtl/>
                                      </w:rPr>
                                      <w:t>الاتصالات التابع لقطاع تقييس</w:t>
                                    </w:r>
                                    <w:r w:rsidR="00F8326B" w:rsidRPr="00F67629">
                                      <w:rPr>
                                        <w:rFonts w:hint="eastAsia"/>
                                        <w:spacing w:val="-6"/>
                                        <w:sz w:val="20"/>
                                        <w:szCs w:val="20"/>
                                        <w:rtl/>
                                      </w:rPr>
                                      <w:t> </w:t>
                                    </w:r>
                                    <w:r w:rsidR="00F8326B" w:rsidRPr="00F67629">
                                      <w:rPr>
                                        <w:rFonts w:hint="cs"/>
                                        <w:spacing w:val="-6"/>
                                        <w:sz w:val="20"/>
                                        <w:szCs w:val="20"/>
                                        <w:rtl/>
                                      </w:rPr>
                                      <w:t>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07C4A61" id="Group 9" o:spid="_x0000_s1026" style="position:absolute;left:0;text-align:left;margin-left:28.55pt;margin-top:11.65pt;width:157.25pt;height:128.05pt;z-index:-251657216;mso-width-relative:margin" coordsize="1865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B5AF440" w14:textId="761C3D4D" w:rsidR="00D517B2" w:rsidRDefault="003C29FD" w:rsidP="00D517B2">
                              <w:pPr>
                                <w:spacing w:before="0" w:line="240" w:lineRule="auto"/>
                                <w:ind w:left="170"/>
                                <w:jc w:val="center"/>
                                <w:rPr>
                                  <w:rtl/>
                                </w:rPr>
                              </w:pPr>
                              <w:r w:rsidRPr="00D63E51">
                                <w:rPr>
                                  <w:rFonts w:ascii="Calibri" w:eastAsia="SimSun" w:hAnsi="Calibri" w:cs="Arial"/>
                                  <w:noProof/>
                                  <w:sz w:val="16"/>
                                  <w:szCs w:val="16"/>
                                </w:rPr>
                                <w:drawing>
                                  <wp:inline distT="0" distB="0" distL="0" distR="0" wp14:anchorId="34689A00" wp14:editId="2BE8C28D">
                                    <wp:extent cx="1050961" cy="1059872"/>
                                    <wp:effectExtent l="0" t="0" r="0" b="698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9059" cy="1078123"/>
                                            </a:xfrm>
                                            <a:prstGeom prst="rect">
                                              <a:avLst/>
                                            </a:prstGeom>
                                          </pic:spPr>
                                        </pic:pic>
                                      </a:graphicData>
                                    </a:graphic>
                                  </wp:inline>
                                </w:drawing>
                              </w:r>
                            </w:p>
                            <w:p w14:paraId="6B594138" w14:textId="77777777" w:rsidR="00D517B2" w:rsidRPr="005B07E6" w:rsidRDefault="00D517B2" w:rsidP="005B07E6">
                              <w:pPr>
                                <w:spacing w:before="240" w:line="144" w:lineRule="auto"/>
                                <w:jc w:val="center"/>
                                <w:rPr>
                                  <w:spacing w:val="-6"/>
                                  <w:sz w:val="18"/>
                                  <w:szCs w:val="18"/>
                                </w:rPr>
                              </w:pPr>
                              <w:r w:rsidRPr="005B07E6">
                                <w:rPr>
                                  <w:rFonts w:hint="cs"/>
                                  <w:spacing w:val="-6"/>
                                  <w:sz w:val="18"/>
                                  <w:szCs w:val="18"/>
                                  <w:rtl/>
                                  <w:lang w:bidi="ar-EG"/>
                                </w:rPr>
                                <w:t>أحدث المعلومات عن الاجتماع</w:t>
                              </w:r>
                            </w:p>
                          </w:txbxContent>
                        </v:textbox>
                      </v:shape>
                      <v:shape id="Text Box 8" o:spid="_x0000_s1028" type="#_x0000_t202" style="position:absolute;left:14080;top:1138;width:457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A82B89C" w14:textId="659304FE" w:rsidR="00D517B2" w:rsidRPr="00F67629" w:rsidRDefault="0064619D" w:rsidP="0064619D">
                              <w:pPr>
                                <w:spacing w:before="60" w:line="144" w:lineRule="auto"/>
                                <w:jc w:val="center"/>
                                <w:rPr>
                                  <w:spacing w:val="-6"/>
                                  <w:sz w:val="20"/>
                                  <w:szCs w:val="20"/>
                                </w:rPr>
                              </w:pPr>
                              <w:r w:rsidRPr="00F67629">
                                <w:rPr>
                                  <w:rFonts w:hint="cs"/>
                                  <w:spacing w:val="-6"/>
                                  <w:sz w:val="20"/>
                                  <w:szCs w:val="20"/>
                                  <w:rtl/>
                                </w:rPr>
                                <w:t xml:space="preserve">الفريق الاستشاري لتقييس </w:t>
                              </w:r>
                              <w:r w:rsidR="00F8326B" w:rsidRPr="00F67629">
                                <w:rPr>
                                  <w:rFonts w:hint="cs"/>
                                  <w:spacing w:val="-6"/>
                                  <w:sz w:val="20"/>
                                  <w:szCs w:val="20"/>
                                  <w:rtl/>
                                </w:rPr>
                                <w:t>الاتصالات التابع لقطاع تقييس</w:t>
                              </w:r>
                              <w:r w:rsidR="00F8326B" w:rsidRPr="00F67629">
                                <w:rPr>
                                  <w:rFonts w:hint="eastAsia"/>
                                  <w:spacing w:val="-6"/>
                                  <w:sz w:val="20"/>
                                  <w:szCs w:val="20"/>
                                  <w:rtl/>
                                </w:rPr>
                                <w:t> </w:t>
                              </w:r>
                              <w:r w:rsidR="00F8326B" w:rsidRPr="00F67629">
                                <w:rPr>
                                  <w:rFonts w:hint="cs"/>
                                  <w:spacing w:val="-6"/>
                                  <w:sz w:val="20"/>
                                  <w:szCs w:val="20"/>
                                  <w:rtl/>
                                </w:rPr>
                                <w:t>الاتصالات</w:t>
                              </w:r>
                            </w:p>
                          </w:txbxContent>
                        </v:textbox>
                      </v:shape>
                      <w10:wrap type="through"/>
                    </v:group>
                  </w:pict>
                </mc:Fallback>
              </mc:AlternateContent>
            </w:r>
          </w:p>
        </w:tc>
      </w:tr>
    </w:tbl>
    <w:p w14:paraId="332021C0" w14:textId="4B256CFE" w:rsidR="003954E1" w:rsidRPr="00F3301A" w:rsidRDefault="003954E1" w:rsidP="00F9307C">
      <w:pPr>
        <w:tabs>
          <w:tab w:val="clear" w:pos="794"/>
          <w:tab w:val="left" w:pos="992"/>
        </w:tabs>
        <w:spacing w:before="1440"/>
        <w:rPr>
          <w:rtl/>
          <w:lang w:bidi="ar-EG"/>
        </w:rPr>
      </w:pPr>
      <w:r w:rsidRPr="00E57371">
        <w:rPr>
          <w:b/>
          <w:bCs/>
          <w:rtl/>
          <w:lang w:bidi="ar-EG"/>
        </w:rPr>
        <w:t>الملحقات:</w:t>
      </w:r>
      <w:r w:rsidRPr="00E57371">
        <w:rPr>
          <w:rtl/>
          <w:lang w:bidi="ar-EG"/>
        </w:rPr>
        <w:tab/>
      </w:r>
      <w:r>
        <w:t>3</w:t>
      </w:r>
    </w:p>
    <w:p w14:paraId="04CCEF8F" w14:textId="5B293A89" w:rsidR="00596808" w:rsidRDefault="00596808" w:rsidP="003954E1">
      <w:pPr>
        <w:rPr>
          <w:rtl/>
          <w:lang w:bidi="ar-EG"/>
        </w:rPr>
      </w:pPr>
      <w:r>
        <w:rPr>
          <w:rtl/>
          <w:lang w:bidi="ar-EG"/>
        </w:rPr>
        <w:br w:type="page"/>
      </w:r>
    </w:p>
    <w:p w14:paraId="530C3D67" w14:textId="77777777" w:rsidR="002541DB" w:rsidRPr="00E57371" w:rsidRDefault="002541DB" w:rsidP="002541DB">
      <w:pPr>
        <w:pStyle w:val="Annextitle"/>
        <w:spacing w:after="120"/>
        <w:rPr>
          <w:rStyle w:val="AnnexNotitleChar"/>
          <w:rtl/>
        </w:rPr>
      </w:pPr>
      <w:r w:rsidRPr="00E57371">
        <w:rPr>
          <w:rtl/>
        </w:rPr>
        <w:lastRenderedPageBreak/>
        <w:t xml:space="preserve">الملحـق </w:t>
      </w:r>
      <w:r w:rsidRPr="00E57371">
        <w:t>A</w:t>
      </w:r>
      <w:r w:rsidRPr="00E57371">
        <w:rPr>
          <w:rFonts w:eastAsia="Batang"/>
          <w:rtl/>
        </w:rPr>
        <w:br/>
      </w:r>
      <w:r w:rsidRPr="00E57371">
        <w:rPr>
          <w:rtl/>
        </w:rPr>
        <w:t>معلومات عملية عن الاجتماع</w:t>
      </w:r>
    </w:p>
    <w:p w14:paraId="712651D7" w14:textId="77777777" w:rsidR="002541DB" w:rsidRPr="00E31178" w:rsidRDefault="002541DB" w:rsidP="002541DB">
      <w:pPr>
        <w:spacing w:before="360" w:after="240"/>
        <w:jc w:val="center"/>
        <w:rPr>
          <w:b/>
          <w:bCs/>
          <w:sz w:val="26"/>
          <w:szCs w:val="26"/>
          <w:rtl/>
          <w:lang w:bidi="ar-EG"/>
        </w:rPr>
      </w:pPr>
      <w:r w:rsidRPr="00E31178">
        <w:rPr>
          <w:b/>
          <w:bCs/>
          <w:sz w:val="26"/>
          <w:szCs w:val="26"/>
          <w:rtl/>
        </w:rPr>
        <w:t>أساليب العمل والمرافق المتاحة</w:t>
      </w:r>
    </w:p>
    <w:p w14:paraId="02797740" w14:textId="7A3BFF2E" w:rsidR="009C72FE" w:rsidRPr="00E57371" w:rsidRDefault="009C72FE" w:rsidP="009C72FE">
      <w:pPr>
        <w:pStyle w:val="Normalaftertitle"/>
        <w:rPr>
          <w:rtl/>
        </w:rPr>
      </w:pPr>
      <w:r w:rsidRPr="00E57371">
        <w:rPr>
          <w:b/>
          <w:bCs/>
          <w:rtl/>
          <w:lang w:val="en-GB"/>
        </w:rPr>
        <w:t>تقديم الوثائق والنفاذ إليها:</w:t>
      </w:r>
      <w:r w:rsidRPr="00E57371">
        <w:rPr>
          <w:rtl/>
          <w:lang w:val="en-GB"/>
        </w:rPr>
        <w:t xml:space="preserve"> سيجري الاجتماع بدون استخدام الورق.</w:t>
      </w:r>
      <w:r w:rsidR="00F3301A">
        <w:rPr>
          <w:rFonts w:hint="cs"/>
          <w:rtl/>
          <w:lang w:val="en-GB"/>
        </w:rPr>
        <w:t xml:space="preserve"> </w:t>
      </w:r>
      <w:r w:rsidRPr="00E57371">
        <w:rPr>
          <w:rtl/>
          <w:lang w:val="en-GB"/>
        </w:rPr>
        <w:t xml:space="preserve">وينبغي تقديم مساهمات الأعضاء باستخدام </w:t>
      </w:r>
      <w:hyperlink r:id="rId24" w:history="1">
        <w:r w:rsidRPr="00E57371">
          <w:rPr>
            <w:rStyle w:val="Hyperlink"/>
            <w:spacing w:val="4"/>
            <w:rtl/>
            <w:lang w:val="en-GB"/>
          </w:rPr>
          <w:t>النشر المباشر للوثائق</w:t>
        </w:r>
      </w:hyperlink>
      <w:r w:rsidRPr="00E57371">
        <w:rPr>
          <w:rtl/>
          <w:lang w:val="en-GB"/>
        </w:rPr>
        <w:t xml:space="preserve">؛ كما ينبغي تقديم مشاريع الوثائق المؤقتة إلى </w:t>
      </w:r>
      <w:r w:rsidRPr="00E57371">
        <w:rPr>
          <w:color w:val="000000"/>
          <w:rtl/>
        </w:rPr>
        <w:t xml:space="preserve">أمانة </w:t>
      </w:r>
      <w:r w:rsidR="00D73713">
        <w:rPr>
          <w:rFonts w:hint="cs"/>
          <w:color w:val="000000"/>
          <w:rtl/>
        </w:rPr>
        <w:t>الفريق الاستشاري</w:t>
      </w:r>
      <w:r w:rsidRPr="00E57371">
        <w:rPr>
          <w:rtl/>
          <w:lang w:val="en-GB"/>
        </w:rPr>
        <w:t xml:space="preserve"> عن طريق البريد الإلكتروني وباستخدام </w:t>
      </w:r>
      <w:hyperlink r:id="rId25" w:history="1">
        <w:r w:rsidRPr="00E57371">
          <w:rPr>
            <w:rStyle w:val="Hyperlink"/>
            <w:spacing w:val="4"/>
            <w:rtl/>
            <w:lang w:val="en-GB"/>
          </w:rPr>
          <w:t>النموذج المناسب</w:t>
        </w:r>
      </w:hyperlink>
      <w:r w:rsidRPr="00E57371">
        <w:rPr>
          <w:rtl/>
          <w:lang w:val="en-GB"/>
        </w:rPr>
        <w:t xml:space="preserve">. </w:t>
      </w:r>
      <w:r w:rsidRPr="00E57371">
        <w:rPr>
          <w:color w:val="000000"/>
          <w:rtl/>
        </w:rPr>
        <w:t xml:space="preserve">ويتاح النفاذ إلى وثائق الاجتماع من الصفحة الرئيسية </w:t>
      </w:r>
      <w:r w:rsidR="0064619D">
        <w:rPr>
          <w:rFonts w:hint="cs"/>
          <w:color w:val="000000"/>
          <w:rtl/>
        </w:rPr>
        <w:t>للفريق الاستشاري لتقييس الاتصالات</w:t>
      </w:r>
      <w:r w:rsidRPr="00E57371">
        <w:rPr>
          <w:color w:val="000000"/>
          <w:rtl/>
        </w:rPr>
        <w:t xml:space="preserve"> ويقتصر على أعضاء قطاع تقييس الاتصالات الذين لديهم </w:t>
      </w:r>
      <w:hyperlink r:id="rId26" w:history="1">
        <w:r w:rsidRPr="00E57371">
          <w:rPr>
            <w:rStyle w:val="Hyperlink"/>
            <w:rtl/>
          </w:rPr>
          <w:t>حساب مستعمل لدى الاتحاد</w:t>
        </w:r>
      </w:hyperlink>
      <w:r w:rsidRPr="00E57371">
        <w:rPr>
          <w:color w:val="000000"/>
          <w:rtl/>
        </w:rPr>
        <w:t xml:space="preserve"> مع النفاذ إلى خدمة تبادل معلومات الاتصالات</w:t>
      </w:r>
      <w:r w:rsidRPr="00E57371">
        <w:rPr>
          <w:color w:val="000000"/>
          <w:rtl/>
          <w:lang w:bidi="ar-EG"/>
        </w:rPr>
        <w:t xml:space="preserve"> </w:t>
      </w:r>
      <w:r w:rsidRPr="00E57371">
        <w:rPr>
          <w:color w:val="000000"/>
          <w:lang w:bidi="ar-EG"/>
        </w:rPr>
        <w:t>(TIES)</w:t>
      </w:r>
      <w:r w:rsidRPr="00E57371">
        <w:rPr>
          <w:color w:val="000000"/>
          <w:rtl/>
        </w:rPr>
        <w:t>.</w:t>
      </w:r>
    </w:p>
    <w:p w14:paraId="1E3ACF93" w14:textId="392B68E5" w:rsidR="009C72FE" w:rsidRPr="00E57371" w:rsidRDefault="009C72FE" w:rsidP="009C72FE">
      <w:pPr>
        <w:rPr>
          <w:rtl/>
        </w:rPr>
      </w:pPr>
      <w:r w:rsidRPr="00E57371">
        <w:rPr>
          <w:b/>
          <w:bCs/>
          <w:rtl/>
          <w:lang w:val="en-GB" w:bidi="ar-SY"/>
        </w:rPr>
        <w:t>الترجمة الشفوية</w:t>
      </w:r>
      <w:r w:rsidRPr="00E57371">
        <w:rPr>
          <w:rtl/>
          <w:lang w:val="en-GB" w:bidi="ar-SY"/>
        </w:rPr>
        <w:t xml:space="preserve">: </w:t>
      </w:r>
      <w:r w:rsidR="00D73713">
        <w:rPr>
          <w:color w:val="000000"/>
          <w:rtl/>
        </w:rPr>
        <w:t>نظراً إلى قيود الميزانية، ستُتاح الترجمة الشفوية للجلسة العامة للفريق الاستشاري لتقييس الاتصالات ولجلسات فرق العمل بناءً على طلب الدول الأعضاء</w:t>
      </w:r>
      <w:r w:rsidRPr="00E57371">
        <w:rPr>
          <w:rtl/>
          <w:lang w:val="en-GB" w:bidi="ar-EG"/>
        </w:rPr>
        <w:t>. وينبغي تقديم الطلبات بوضع علامة في </w:t>
      </w:r>
      <w:r w:rsidRPr="00E57371">
        <w:rPr>
          <w:color w:val="000000"/>
          <w:rtl/>
        </w:rPr>
        <w:t xml:space="preserve">المربع المناسب في استمارة التسجيل </w:t>
      </w:r>
      <w:r w:rsidRPr="00E57371">
        <w:rPr>
          <w:b/>
          <w:bCs/>
          <w:color w:val="000000"/>
          <w:rtl/>
        </w:rPr>
        <w:t>قبل اليوم الأول للاجتماع بستة أسابيع على الأقل</w:t>
      </w:r>
      <w:r w:rsidRPr="00E57371">
        <w:rPr>
          <w:rtl/>
        </w:rPr>
        <w:t>.</w:t>
      </w:r>
    </w:p>
    <w:p w14:paraId="5139FE49" w14:textId="77777777" w:rsidR="009C72FE" w:rsidRPr="00E57371" w:rsidRDefault="009C72FE" w:rsidP="009C72FE">
      <w:pPr>
        <w:rPr>
          <w:spacing w:val="7"/>
        </w:rPr>
      </w:pPr>
      <w:r w:rsidRPr="00E57371">
        <w:rPr>
          <w:b/>
          <w:bCs/>
          <w:spacing w:val="7"/>
          <w:rtl/>
          <w:lang w:val="en-GB" w:bidi="ar-SY"/>
        </w:rPr>
        <w:t>الشبكة المحلية اللاسلكية:</w:t>
      </w:r>
      <w:r w:rsidRPr="00E57371">
        <w:rPr>
          <w:spacing w:val="7"/>
          <w:rtl/>
          <w:lang w:val="en-GB" w:bidi="ar-SY"/>
        </w:rPr>
        <w:t xml:space="preserve"> تُتاح مرافق الشبكة المحلية اللاسلكية للمندوبين في جميع قاعات الاجتماع بالاتحاد</w:t>
      </w:r>
      <w:r w:rsidRPr="00E57371">
        <w:rPr>
          <w:spacing w:val="7"/>
          <w:rtl/>
          <w:lang w:val="en-GB" w:bidi="ar-EG"/>
        </w:rPr>
        <w:t xml:space="preserve">. </w:t>
      </w:r>
      <w:r w:rsidRPr="00E57371">
        <w:rPr>
          <w:spacing w:val="7"/>
          <w:rtl/>
          <w:lang w:val="en-GB" w:bidi="ar-SY"/>
        </w:rPr>
        <w:t>وتوجد معلومات تفصيلية في</w:t>
      </w:r>
      <w:r w:rsidRPr="00E57371">
        <w:rPr>
          <w:spacing w:val="7"/>
          <w:rtl/>
          <w:lang w:val="en-GB"/>
        </w:rPr>
        <w:t xml:space="preserve"> </w:t>
      </w:r>
      <w:r w:rsidRPr="00E57371">
        <w:rPr>
          <w:color w:val="000000"/>
          <w:spacing w:val="7"/>
          <w:rtl/>
        </w:rPr>
        <w:t>مكان الاجتماع</w:t>
      </w:r>
      <w:r w:rsidRPr="00E57371">
        <w:rPr>
          <w:spacing w:val="7"/>
          <w:rtl/>
          <w:lang w:val="en-GB" w:bidi="ar-SY"/>
        </w:rPr>
        <w:t xml:space="preserve"> وفي الموقع الإلكتروني لقطاع تقييس الاتصالات </w:t>
      </w:r>
      <w:r w:rsidRPr="00E57371">
        <w:rPr>
          <w:spacing w:val="7"/>
          <w:lang w:bidi="ar-SY"/>
        </w:rPr>
        <w:t>(</w:t>
      </w:r>
      <w:hyperlink r:id="rId27" w:history="1">
        <w:r w:rsidRPr="00E57371">
          <w:rPr>
            <w:rStyle w:val="Hyperlink"/>
          </w:rPr>
          <w:t>https://www.itu.int/en/ITU-T/ewm/Pages/ITU-Internet-Printer-Services.aspx</w:t>
        </w:r>
      </w:hyperlink>
      <w:r w:rsidRPr="00E57371">
        <w:rPr>
          <w:spacing w:val="7"/>
        </w:rPr>
        <w:t>)</w:t>
      </w:r>
      <w:r w:rsidRPr="00E57371">
        <w:rPr>
          <w:spacing w:val="7"/>
          <w:rtl/>
        </w:rPr>
        <w:t>.</w:t>
      </w:r>
    </w:p>
    <w:p w14:paraId="38DD2617" w14:textId="194CB932" w:rsidR="009C72FE" w:rsidRPr="00E57371" w:rsidRDefault="009C72FE" w:rsidP="009C72FE">
      <w:pPr>
        <w:rPr>
          <w:rtl/>
          <w:lang w:val="en-GB" w:bidi="ar-EG"/>
        </w:rPr>
      </w:pPr>
      <w:r w:rsidRPr="00E57371">
        <w:rPr>
          <w:b/>
          <w:bCs/>
          <w:rtl/>
          <w:lang w:val="en-GB" w:bidi="ar-EG"/>
        </w:rPr>
        <w:t>الخزائن الإلكترونية:</w:t>
      </w:r>
      <w:r w:rsidRPr="00E57371">
        <w:rPr>
          <w:rtl/>
          <w:lang w:val="en-GB" w:bidi="ar-EG"/>
        </w:rPr>
        <w:t xml:space="preserve"> تُتاح </w:t>
      </w:r>
      <w:r w:rsidRPr="00E57371">
        <w:rPr>
          <w:rtl/>
          <w:lang w:val="en-GB" w:bidi="ar-SY"/>
        </w:rPr>
        <w:t xml:space="preserve">طوال فترة الاجتماع </w:t>
      </w:r>
      <w:r w:rsidRPr="00E57371">
        <w:rPr>
          <w:color w:val="000000"/>
          <w:rtl/>
        </w:rPr>
        <w:t xml:space="preserve">باستخدام شارات قطاع تقييس الاتصالات لتعرف الهوية </w:t>
      </w:r>
      <w:r w:rsidRPr="00E57371">
        <w:rPr>
          <w:rtl/>
          <w:lang w:val="en-GB" w:bidi="ar-EG"/>
        </w:rPr>
        <w:t>بواسطة التردد الراديوي </w:t>
      </w:r>
      <w:r w:rsidRPr="00E57371">
        <w:rPr>
          <w:lang w:bidi="ar-SY"/>
        </w:rPr>
        <w:t>(RFID)</w:t>
      </w:r>
      <w:r w:rsidRPr="00E57371">
        <w:rPr>
          <w:rtl/>
          <w:lang w:val="en-GB" w:bidi="ar-EG"/>
        </w:rPr>
        <w:t xml:space="preserve">. وتوجد الخزائن الإلكترونية مباشرةً بعد المنطقة الخاصة بالتسجيل في الطابق الأرضي من </w:t>
      </w:r>
      <w:r w:rsidRPr="00D73713">
        <w:rPr>
          <w:rtl/>
          <w:lang w:val="en-GB" w:bidi="ar-EG"/>
        </w:rPr>
        <w:t xml:space="preserve">مبنى </w:t>
      </w:r>
      <w:proofErr w:type="spellStart"/>
      <w:r w:rsidRPr="00D73713">
        <w:rPr>
          <w:rtl/>
          <w:lang w:val="en-GB" w:bidi="ar-EG"/>
        </w:rPr>
        <w:t>مونبريان</w:t>
      </w:r>
      <w:proofErr w:type="spellEnd"/>
      <w:r w:rsidRPr="00E57371">
        <w:rPr>
          <w:rtl/>
          <w:lang w:val="en-GB" w:bidi="ar-EG"/>
        </w:rPr>
        <w:t>.</w:t>
      </w:r>
    </w:p>
    <w:p w14:paraId="170B0598" w14:textId="45388607" w:rsidR="009C72FE" w:rsidRPr="00E57371" w:rsidRDefault="009C72FE" w:rsidP="009C72FE">
      <w:pPr>
        <w:rPr>
          <w:spacing w:val="4"/>
          <w:rtl/>
          <w:lang w:val="en-GB"/>
        </w:rPr>
      </w:pPr>
      <w:r w:rsidRPr="00E57371">
        <w:rPr>
          <w:b/>
          <w:bCs/>
          <w:spacing w:val="4"/>
          <w:rtl/>
          <w:lang w:val="en-GB" w:bidi="ar-EG"/>
        </w:rPr>
        <w:t>الطابعات</w:t>
      </w:r>
      <w:r w:rsidRPr="00E57371">
        <w:rPr>
          <w:spacing w:val="4"/>
          <w:rtl/>
          <w:lang w:val="en-GB" w:bidi="ar-EG"/>
        </w:rPr>
        <w:t>: تُتاح طابعات في القاعات المكرسة للمندوبين و</w:t>
      </w:r>
      <w:r w:rsidRPr="00E57371">
        <w:rPr>
          <w:color w:val="000000"/>
          <w:spacing w:val="4"/>
          <w:rtl/>
        </w:rPr>
        <w:t xml:space="preserve">بالقرب من جميع </w:t>
      </w:r>
      <w:hyperlink r:id="rId28" w:history="1">
        <w:r w:rsidRPr="00E57371">
          <w:rPr>
            <w:rStyle w:val="Hyperlink"/>
            <w:spacing w:val="4"/>
            <w:rtl/>
          </w:rPr>
          <w:t>قاعات الاجتماع الرئيسية</w:t>
        </w:r>
      </w:hyperlink>
      <w:r w:rsidRPr="00E57371">
        <w:rPr>
          <w:color w:val="000000"/>
          <w:spacing w:val="4"/>
          <w:rtl/>
        </w:rPr>
        <w:t xml:space="preserve">. </w:t>
      </w:r>
      <w:r w:rsidRPr="00E57371">
        <w:rPr>
          <w:spacing w:val="4"/>
          <w:rtl/>
          <w:lang w:val="en-GB" w:bidi="ar-EG"/>
        </w:rPr>
        <w:t>ولتفادي الحاجة إلى تركيب</w:t>
      </w:r>
      <w:r w:rsidRPr="00E57371">
        <w:rPr>
          <w:spacing w:val="4"/>
          <w:rtl/>
          <w:lang w:val="en-GB"/>
        </w:rPr>
        <w:t xml:space="preserve"> برامج تشغيل في حواسيب المندوبين، يمكن</w:t>
      </w:r>
      <w:r w:rsidRPr="00E57371">
        <w:rPr>
          <w:spacing w:val="4"/>
          <w:rtl/>
          <w:lang w:val="en-GB" w:bidi="ar-EG"/>
        </w:rPr>
        <w:t xml:space="preserve"> "طباعة الوثائق إلكترونياً"</w:t>
      </w:r>
      <w:r w:rsidRPr="00E57371">
        <w:rPr>
          <w:spacing w:val="4"/>
          <w:rtl/>
          <w:lang w:val="en-GB"/>
        </w:rPr>
        <w:t xml:space="preserve"> بإرسالها عن طريق البريد الإلكتروني إلى الطابعة المطلوبة. وتُتاح التفاصيل في العنوان: </w:t>
      </w:r>
      <w:hyperlink r:id="rId29" w:history="1">
        <w:r w:rsidRPr="00E57371">
          <w:rPr>
            <w:rStyle w:val="Hyperlink"/>
            <w:lang w:val="en-GB"/>
          </w:rPr>
          <w:t>http://itu.int/go/e-print</w:t>
        </w:r>
      </w:hyperlink>
      <w:r w:rsidRPr="00E57371">
        <w:rPr>
          <w:spacing w:val="4"/>
          <w:rtl/>
        </w:rPr>
        <w:t>.</w:t>
      </w:r>
    </w:p>
    <w:p w14:paraId="1CE24567" w14:textId="77777777" w:rsidR="009C72FE" w:rsidRPr="00E57371" w:rsidRDefault="009C72FE" w:rsidP="009C72FE">
      <w:pPr>
        <w:rPr>
          <w:lang w:val="en-GB" w:bidi="ar-EG"/>
        </w:rPr>
      </w:pPr>
      <w:r w:rsidRPr="00E57371">
        <w:rPr>
          <w:b/>
          <w:bCs/>
          <w:rtl/>
          <w:lang w:val="en-GB" w:bidi="ar-EG"/>
        </w:rPr>
        <w:t>استعارة الحواسيب المحمولة</w:t>
      </w:r>
      <w:r w:rsidRPr="00E57371">
        <w:rPr>
          <w:rtl/>
          <w:lang w:val="en-GB" w:bidi="ar-EG"/>
        </w:rPr>
        <w:t xml:space="preserve">: سيُوفر مكتب الخدمة في الاتحاد </w:t>
      </w:r>
      <w:r w:rsidRPr="00E57371">
        <w:rPr>
          <w:lang w:bidi="ar-SY"/>
        </w:rPr>
        <w:t>(</w:t>
      </w:r>
      <w:hyperlink r:id="rId30" w:history="1">
        <w:r w:rsidRPr="00E57371">
          <w:rPr>
            <w:rStyle w:val="Hyperlink"/>
            <w:lang w:val="en-GB"/>
          </w:rPr>
          <w:t>servicedesk@itu.int</w:t>
        </w:r>
      </w:hyperlink>
      <w:r w:rsidRPr="00E57371">
        <w:rPr>
          <w:lang w:bidi="ar-SY"/>
        </w:rPr>
        <w:t>)</w:t>
      </w:r>
      <w:r w:rsidRPr="00E57371">
        <w:rPr>
          <w:rtl/>
          <w:lang w:val="en-GB" w:bidi="ar-EG"/>
        </w:rPr>
        <w:t xml:space="preserve"> للمندوبين حواسيب محمولة، على أساس أسبقية الطلبات المقدمة.</w:t>
      </w:r>
    </w:p>
    <w:p w14:paraId="2F8D4833" w14:textId="3A21707D" w:rsidR="009C72FE" w:rsidRDefault="009C72FE" w:rsidP="009C72FE">
      <w:pPr>
        <w:rPr>
          <w:rtl/>
        </w:rPr>
      </w:pPr>
      <w:r w:rsidRPr="00E57371">
        <w:rPr>
          <w:b/>
          <w:bCs/>
          <w:rtl/>
          <w:lang w:val="en-GB"/>
        </w:rPr>
        <w:t>المشاركة عن بُعد:</w:t>
      </w:r>
      <w:r w:rsidRPr="00E57371">
        <w:rPr>
          <w:rtl/>
          <w:lang w:val="en-GB"/>
        </w:rPr>
        <w:t xml:space="preserve"> تتاح المشاركة عن بُعد على أساس بذل أفضل الجهود</w:t>
      </w:r>
      <w:proofErr w:type="gramStart"/>
      <w:r w:rsidRPr="00E57371">
        <w:rPr>
          <w:rtl/>
          <w:lang w:val="en-GB" w:bidi="ar-EG"/>
        </w:rPr>
        <w:t>..</w:t>
      </w:r>
      <w:r w:rsidR="00007AE7">
        <w:rPr>
          <w:color w:val="000000"/>
          <w:rtl/>
        </w:rPr>
        <w:t>وستتاح</w:t>
      </w:r>
      <w:proofErr w:type="gramEnd"/>
      <w:r w:rsidR="00007AE7">
        <w:rPr>
          <w:color w:val="000000"/>
          <w:rtl/>
        </w:rPr>
        <w:t xml:space="preserve"> المشاركة التفاعلية عن بُعد في الجلستين العامتين الافتتاحية والختامية للفريق الاستشاري لتقييس الاتصالات</w:t>
      </w:r>
      <w:r w:rsidR="00007AE7">
        <w:rPr>
          <w:color w:val="000000"/>
        </w:rPr>
        <w:t>.</w:t>
      </w:r>
      <w:r w:rsidR="00007AE7" w:rsidRPr="00007AE7">
        <w:rPr>
          <w:color w:val="000000"/>
          <w:rtl/>
        </w:rPr>
        <w:t xml:space="preserve"> </w:t>
      </w:r>
      <w:r w:rsidR="00007AE7">
        <w:rPr>
          <w:color w:val="000000"/>
          <w:rtl/>
        </w:rPr>
        <w:t>ووفقاً للأحكام السارية حالياً، يتخذ القرارات المشاركون الحاضرون فعلياً في قاعة الاجتماع</w:t>
      </w:r>
      <w:r w:rsidR="00007AE7">
        <w:rPr>
          <w:color w:val="000000"/>
        </w:rPr>
        <w:t>.</w:t>
      </w:r>
    </w:p>
    <w:p w14:paraId="0377158D" w14:textId="77777777" w:rsidR="0070570C" w:rsidRPr="0070570C" w:rsidRDefault="0070570C" w:rsidP="0070570C">
      <w:pPr>
        <w:rPr>
          <w:rtl/>
          <w:lang w:bidi="ar-EG"/>
        </w:rPr>
      </w:pPr>
      <w:r w:rsidRPr="0070570C">
        <w:rPr>
          <w:rtl/>
        </w:rPr>
        <w:t>ستتاح المشاركة التفاعلية عن بُعد في جميع الجلسات الأخرى التي ورد بشأنها طلب قبل الجلسة بما لا يقل عن 24 ساعة</w:t>
      </w:r>
      <w:r w:rsidRPr="0070570C">
        <w:t>.</w:t>
      </w:r>
      <w:r w:rsidRPr="0070570C">
        <w:rPr>
          <w:rFonts w:hint="cs"/>
          <w:rtl/>
          <w:lang w:bidi="ar-EG"/>
        </w:rPr>
        <w:t xml:space="preserve"> وللنفاذ إلى الجلسات عن بُعد يتعين على المندوبين التسجيل في الاجتماع. وينبغي أن يدرك المشاركون أن الاجتماع</w:t>
      </w:r>
      <w:r w:rsidRPr="0070570C">
        <w:rPr>
          <w:rtl/>
          <w:lang w:bidi="ar-EG"/>
        </w:rPr>
        <w:t>، وفقاً للممارسات المتبعة،</w:t>
      </w:r>
      <w:r w:rsidRPr="0070570C">
        <w:rPr>
          <w:rFonts w:hint="cs"/>
          <w:rtl/>
          <w:lang w:bidi="ar-EG"/>
        </w:rPr>
        <w:t xml:space="preserve"> لن</w:t>
      </w:r>
      <w:r w:rsidRPr="0070570C">
        <w:rPr>
          <w:rFonts w:hint="eastAsia"/>
          <w:rtl/>
          <w:lang w:bidi="ar-EG"/>
        </w:rPr>
        <w:t> </w:t>
      </w:r>
      <w:r w:rsidRPr="0070570C">
        <w:rPr>
          <w:rFonts w:hint="cs"/>
          <w:rtl/>
          <w:lang w:bidi="ar-EG"/>
        </w:rPr>
        <w:t>يتأخر أو يتوقف بسبب عدم قدرة المشاركين عن بُعد على التوصيل أو الاستماع أو</w:t>
      </w:r>
      <w:r w:rsidRPr="0070570C">
        <w:rPr>
          <w:rFonts w:hint="cs"/>
          <w:rtl/>
        </w:rPr>
        <w:t xml:space="preserve"> بسبب عدم سماعهم</w:t>
      </w:r>
      <w:r w:rsidRPr="0070570C">
        <w:rPr>
          <w:rFonts w:hint="cs"/>
          <w:rtl/>
          <w:lang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70570C">
        <w:rPr>
          <w:rtl/>
          <w:lang w:bidi="ar-EG"/>
        </w:rPr>
        <w:t>ومن المحبذ استعمال</w:t>
      </w:r>
      <w:r w:rsidRPr="0070570C">
        <w:rPr>
          <w:rFonts w:hint="cs"/>
          <w:rtl/>
          <w:lang w:bidi="ar-EG"/>
        </w:rPr>
        <w:t xml:space="preserve"> أداة التخاطب في الاجتماع لتيسير كفاءة إدارة الوقت خلال الجلسات، حسب ما يراه الرئيس.</w:t>
      </w:r>
    </w:p>
    <w:p w14:paraId="5A17A6D1" w14:textId="77777777" w:rsidR="009C72FE" w:rsidRPr="002F7E09" w:rsidRDefault="009C72FE" w:rsidP="009C72FE">
      <w:pPr>
        <w:rPr>
          <w:spacing w:val="-2"/>
          <w:rtl/>
          <w:lang w:val="en-GB" w:bidi="ar-EG"/>
        </w:rPr>
      </w:pPr>
      <w:r w:rsidRPr="002F7E09">
        <w:rPr>
          <w:b/>
          <w:bCs/>
          <w:spacing w:val="-2"/>
          <w:rtl/>
          <w:lang w:val="en-GB" w:bidi="ar-EG"/>
        </w:rPr>
        <w:t>إمكانية النفاذ</w:t>
      </w:r>
      <w:r w:rsidRPr="002F7E09">
        <w:rPr>
          <w:spacing w:val="-2"/>
          <w:rtl/>
          <w:lang w:val="en-GB" w:bidi="ar-EG"/>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رهناً بتوفر المترجمين والتمويل اللازم. ويجب طلب خدمات إمكانية النفاذ هذه </w:t>
      </w:r>
      <w:r w:rsidRPr="002F7E09">
        <w:rPr>
          <w:b/>
          <w:bCs/>
          <w:spacing w:val="-2"/>
          <w:rtl/>
          <w:lang w:val="en-GB" w:bidi="ar-EG"/>
        </w:rPr>
        <w:t>قبل تاريخ بدء الاجتماع بشهر</w:t>
      </w:r>
      <w:r w:rsidRPr="002F7E09">
        <w:rPr>
          <w:b/>
          <w:bCs/>
          <w:spacing w:val="-2"/>
          <w:rtl/>
          <w:lang w:val="en-GB"/>
        </w:rPr>
        <w:t>ين</w:t>
      </w:r>
      <w:r w:rsidRPr="002F7E09">
        <w:rPr>
          <w:b/>
          <w:bCs/>
          <w:spacing w:val="-2"/>
          <w:rtl/>
          <w:lang w:val="en-GB" w:bidi="ar-EG"/>
        </w:rPr>
        <w:t xml:space="preserve"> على الأقل </w:t>
      </w:r>
      <w:r w:rsidRPr="002F7E09">
        <w:rPr>
          <w:spacing w:val="-2"/>
          <w:rtl/>
          <w:lang w:val="en-GB" w:bidi="ar-EG"/>
        </w:rPr>
        <w:t>من خلال وضع علامة في المربع المناسب في نموذج التسجيل.</w:t>
      </w:r>
    </w:p>
    <w:p w14:paraId="5867750B" w14:textId="77777777" w:rsidR="009C72FE" w:rsidRPr="00574FC2" w:rsidRDefault="009C72FE" w:rsidP="009C72FE">
      <w:pPr>
        <w:pStyle w:val="Heading1"/>
        <w:spacing w:after="240"/>
        <w:jc w:val="center"/>
        <w:rPr>
          <w:rtl/>
        </w:rPr>
      </w:pPr>
      <w:r w:rsidRPr="00574FC2">
        <w:rPr>
          <w:rtl/>
        </w:rPr>
        <w:t>التسجيل المسبق والمندوبون الجدد والمِنح ودعم الحصول على التأشيرة</w:t>
      </w:r>
    </w:p>
    <w:p w14:paraId="14020E07" w14:textId="382D5885" w:rsidR="009C72FE" w:rsidRPr="00E57371" w:rsidRDefault="009C72FE" w:rsidP="009C72FE">
      <w:pPr>
        <w:rPr>
          <w:spacing w:val="-2"/>
          <w:rtl/>
          <w:lang w:bidi="ar-EG"/>
        </w:rPr>
      </w:pPr>
      <w:r w:rsidRPr="00E57371">
        <w:rPr>
          <w:b/>
          <w:bCs/>
          <w:spacing w:val="-2"/>
          <w:rtl/>
          <w:lang w:bidi="ar-EG"/>
        </w:rPr>
        <w:t>التسجيل المسبق</w:t>
      </w:r>
      <w:r w:rsidRPr="00E57371">
        <w:rPr>
          <w:spacing w:val="-2"/>
          <w:rtl/>
          <w:lang w:bidi="ar-EG"/>
        </w:rPr>
        <w:t xml:space="preserve">: </w:t>
      </w:r>
      <w:r w:rsidRPr="00E57371">
        <w:rPr>
          <w:color w:val="000000"/>
          <w:spacing w:val="-2"/>
          <w:rtl/>
        </w:rPr>
        <w:t xml:space="preserve">التسجيل المسبق إلزامي </w:t>
      </w:r>
      <w:r w:rsidRPr="00E57371">
        <w:rPr>
          <w:spacing w:val="-2"/>
          <w:rtl/>
          <w:lang w:bidi="ar-EG"/>
        </w:rPr>
        <w:t>و</w:t>
      </w:r>
      <w:r w:rsidRPr="00E57371">
        <w:rPr>
          <w:color w:val="000000"/>
          <w:spacing w:val="-2"/>
          <w:rtl/>
        </w:rPr>
        <w:t xml:space="preserve">يجب أن يتم </w:t>
      </w:r>
      <w:hyperlink r:id="rId31" w:history="1">
        <w:r w:rsidRPr="00E57371">
          <w:rPr>
            <w:color w:val="000000"/>
            <w:spacing w:val="-2"/>
            <w:rtl/>
          </w:rPr>
          <w:t>إلكترونياً</w:t>
        </w:r>
      </w:hyperlink>
      <w:r w:rsidRPr="00E57371">
        <w:rPr>
          <w:color w:val="000000"/>
          <w:spacing w:val="-2"/>
          <w:rtl/>
        </w:rPr>
        <w:t xml:space="preserve"> من خلال </w:t>
      </w:r>
      <w:r w:rsidRPr="00AF0B4E">
        <w:rPr>
          <w:color w:val="000000"/>
          <w:spacing w:val="-2"/>
          <w:u w:val="single"/>
          <w:rtl/>
        </w:rPr>
        <w:t xml:space="preserve">الصفحة الرئيسية </w:t>
      </w:r>
      <w:r w:rsidR="00AF0B4E" w:rsidRPr="00AF0B4E">
        <w:rPr>
          <w:rFonts w:hint="cs"/>
          <w:color w:val="000000"/>
          <w:spacing w:val="-2"/>
          <w:u w:val="single"/>
          <w:rtl/>
        </w:rPr>
        <w:t>للفريق الاستشاري لتقييس الاتصالات</w:t>
      </w:r>
      <w:r w:rsidRPr="00E57371">
        <w:rPr>
          <w:b/>
          <w:bCs/>
          <w:color w:val="000000"/>
          <w:spacing w:val="-2"/>
          <w:rtl/>
        </w:rPr>
        <w:t xml:space="preserve"> </w:t>
      </w:r>
      <w:r w:rsidRPr="00AF0B4E">
        <w:rPr>
          <w:color w:val="000000"/>
          <w:spacing w:val="-2"/>
          <w:rtl/>
        </w:rPr>
        <w:t>قبل بدء الاجتماع بشهر واحد على الأقل</w:t>
      </w:r>
      <w:r w:rsidRPr="00E57371">
        <w:rPr>
          <w:spacing w:val="-2"/>
          <w:rtl/>
        </w:rPr>
        <w:t xml:space="preserve">. </w:t>
      </w:r>
      <w:r w:rsidRPr="00E57371">
        <w:rPr>
          <w:spacing w:val="-2"/>
          <w:rtl/>
          <w:lang w:bidi="ar-EG"/>
        </w:rPr>
        <w:t xml:space="preserve">وكما هو مبين في </w:t>
      </w:r>
      <w:hyperlink r:id="rId32" w:history="1">
        <w:r w:rsidRPr="00E57371">
          <w:rPr>
            <w:rStyle w:val="Hyperlink"/>
            <w:spacing w:val="-2"/>
            <w:rtl/>
            <w:lang w:bidi="ar-EG"/>
          </w:rPr>
          <w:t xml:space="preserve">الرسالة المعممة </w:t>
        </w:r>
        <w:r w:rsidRPr="00E57371">
          <w:rPr>
            <w:rStyle w:val="Hyperlink"/>
            <w:spacing w:val="-2"/>
            <w:lang w:bidi="ar-EG"/>
          </w:rPr>
          <w:t>68</w:t>
        </w:r>
        <w:r w:rsidRPr="00E57371">
          <w:rPr>
            <w:rStyle w:val="Hyperlink"/>
            <w:spacing w:val="-2"/>
            <w:rtl/>
            <w:lang w:bidi="ar-EG"/>
          </w:rPr>
          <w:t xml:space="preserve"> لمكتب تقييس الاتصالات</w:t>
        </w:r>
      </w:hyperlink>
      <w:r w:rsidRPr="00E57371">
        <w:rPr>
          <w:spacing w:val="-2"/>
          <w:rtl/>
          <w:lang w:bidi="ar-EG"/>
        </w:rPr>
        <w:t>،</w:t>
      </w:r>
      <w:r w:rsidRPr="00E57371">
        <w:rPr>
          <w:spacing w:val="-2"/>
          <w:rtl/>
        </w:rPr>
        <w:t xml:space="preserve"> </w:t>
      </w:r>
      <w:r w:rsidRPr="00E57371">
        <w:rPr>
          <w:spacing w:val="-2"/>
          <w:rtl/>
          <w:lang w:bidi="ar-EG"/>
        </w:rPr>
        <w:t xml:space="preserve">يتطلب نظام التسجيل في قطاع تقييس الاتصالات موافقة جهات الاتصال على طلبات التسجيل. وتوضح </w:t>
      </w:r>
      <w:hyperlink r:id="rId33" w:history="1">
        <w:r w:rsidRPr="00E57371">
          <w:rPr>
            <w:rStyle w:val="Hyperlink"/>
            <w:spacing w:val="-2"/>
            <w:rtl/>
            <w:lang w:bidi="ar-EG"/>
          </w:rPr>
          <w:t xml:space="preserve">الرسالة المعممة </w:t>
        </w:r>
        <w:r w:rsidRPr="00E57371">
          <w:rPr>
            <w:rStyle w:val="Hyperlink"/>
            <w:spacing w:val="-2"/>
            <w:lang w:bidi="ar-EG"/>
          </w:rPr>
          <w:t>118</w:t>
        </w:r>
        <w:r w:rsidRPr="00E57371">
          <w:rPr>
            <w:rStyle w:val="Hyperlink"/>
            <w:spacing w:val="-2"/>
            <w:rtl/>
            <w:lang w:bidi="ar-EG"/>
          </w:rPr>
          <w:t xml:space="preserve"> لمكتب تقييس الاتصالات</w:t>
        </w:r>
      </w:hyperlink>
      <w:r w:rsidRPr="00E57371">
        <w:rPr>
          <w:spacing w:val="-2"/>
          <w:rtl/>
          <w:lang w:bidi="ar-EG"/>
        </w:rPr>
        <w:t xml:space="preserve"> </w:t>
      </w:r>
      <w:r w:rsidRPr="00E57371">
        <w:rPr>
          <w:spacing w:val="-2"/>
          <w:rtl/>
        </w:rPr>
        <w:t xml:space="preserve">كيفية إعداد الموافقة </w:t>
      </w:r>
      <w:proofErr w:type="spellStart"/>
      <w:r w:rsidRPr="00E57371">
        <w:rPr>
          <w:spacing w:val="-2"/>
          <w:rtl/>
        </w:rPr>
        <w:t>الأوتوماتية</w:t>
      </w:r>
      <w:proofErr w:type="spellEnd"/>
      <w:r w:rsidRPr="00E57371">
        <w:rPr>
          <w:spacing w:val="-2"/>
          <w:rtl/>
        </w:rPr>
        <w:t xml:space="preserve"> على هذه الطلبات. وتنطبق بعض الخيارات المتاحة في نموذج التسجيل على الدول الأعضاء فقط ومنها: الوظيفة وطلبات توفير الترجمة الشفوية وطلبات الحصول على منحة</w:t>
      </w:r>
      <w:r w:rsidR="00AF0B4E">
        <w:rPr>
          <w:rFonts w:hint="cs"/>
          <w:spacing w:val="-2"/>
          <w:rtl/>
        </w:rPr>
        <w:t>.</w:t>
      </w:r>
      <w:r w:rsidRPr="00E57371">
        <w:rPr>
          <w:spacing w:val="-2"/>
          <w:rtl/>
          <w:lang w:bidi="ar-EG"/>
        </w:rPr>
        <w:t xml:space="preserve"> </w:t>
      </w:r>
      <w:r w:rsidRPr="00E57371">
        <w:rPr>
          <w:color w:val="000000"/>
          <w:spacing w:val="-2"/>
          <w:rtl/>
        </w:rPr>
        <w:t>ويدعى الأعضاء إلى إشراك النساء في وفودهم كلما أمكن</w:t>
      </w:r>
      <w:r w:rsidRPr="00E57371">
        <w:rPr>
          <w:spacing w:val="-2"/>
          <w:rtl/>
          <w:lang w:bidi="ar-EG"/>
        </w:rPr>
        <w:t>.</w:t>
      </w:r>
    </w:p>
    <w:p w14:paraId="2DE0CCA7" w14:textId="771E41E1" w:rsidR="009C72FE" w:rsidRPr="00E57371" w:rsidRDefault="009C72FE" w:rsidP="009C72FE">
      <w:pPr>
        <w:rPr>
          <w:spacing w:val="4"/>
          <w:rtl/>
          <w:lang w:bidi="ar-EG"/>
        </w:rPr>
      </w:pPr>
      <w:r w:rsidRPr="00E57371">
        <w:rPr>
          <w:spacing w:val="4"/>
          <w:rtl/>
          <w:lang w:bidi="ar-EG"/>
        </w:rPr>
        <w:lastRenderedPageBreak/>
        <w:t xml:space="preserve">يدعى </w:t>
      </w:r>
      <w:r w:rsidRPr="00E57371">
        <w:rPr>
          <w:b/>
          <w:bCs/>
          <w:spacing w:val="4"/>
          <w:rtl/>
          <w:lang w:bidi="ar-EG"/>
        </w:rPr>
        <w:t>المندوبون الجدد</w:t>
      </w:r>
      <w:r w:rsidRPr="00E57371">
        <w:rPr>
          <w:spacing w:val="4"/>
          <w:rtl/>
          <w:lang w:bidi="ar-EG"/>
        </w:rPr>
        <w:t xml:space="preserve"> إلى حضور برنامج إرشادي يشمل</w:t>
      </w:r>
      <w:r w:rsidRPr="00E57371">
        <w:rPr>
          <w:color w:val="000000"/>
          <w:spacing w:val="4"/>
          <w:rtl/>
        </w:rPr>
        <w:t xml:space="preserve"> لقاء ترحيب عند الوصول وزيارة مصحوبة لمقر الاتحاد، وجلسة توجيهية بشأن أعمال قطاع تقييس الاتصالات</w:t>
      </w:r>
      <w:r w:rsidRPr="00E57371">
        <w:rPr>
          <w:spacing w:val="4"/>
          <w:rtl/>
          <w:lang w:bidi="ar-EG"/>
        </w:rPr>
        <w:t>. وإذا كنتم ترغبون في المشاركة، يرجى الاتصال من خلال عنوان البريد الإلكتروني </w:t>
      </w:r>
      <w:hyperlink r:id="rId34" w:history="1">
        <w:r w:rsidRPr="00E57371">
          <w:rPr>
            <w:rStyle w:val="Hyperlink"/>
            <w:lang w:val="en-GB"/>
          </w:rPr>
          <w:t>ITU-Tmembership@itu.int</w:t>
        </w:r>
      </w:hyperlink>
      <w:r w:rsidRPr="00E57371">
        <w:rPr>
          <w:spacing w:val="4"/>
          <w:rtl/>
          <w:lang w:bidi="ar-EG"/>
        </w:rPr>
        <w:t xml:space="preserve">. ويمكن الحصول على دليل موجز للمندوبين الجدد </w:t>
      </w:r>
      <w:hyperlink r:id="rId35" w:history="1">
        <w:r w:rsidRPr="00E57371">
          <w:rPr>
            <w:rStyle w:val="Hyperlink"/>
            <w:spacing w:val="4"/>
            <w:rtl/>
            <w:lang w:bidi="ar-EG"/>
          </w:rPr>
          <w:t>هنا</w:t>
        </w:r>
      </w:hyperlink>
      <w:r w:rsidRPr="00E57371">
        <w:rPr>
          <w:spacing w:val="4"/>
          <w:rtl/>
          <w:lang w:bidi="ar-EG"/>
        </w:rPr>
        <w:t>.</w:t>
      </w:r>
    </w:p>
    <w:p w14:paraId="2417FFA8" w14:textId="00FCB4D1" w:rsidR="009C72FE" w:rsidRDefault="009C72FE" w:rsidP="00F44223">
      <w:pPr>
        <w:rPr>
          <w:rtl/>
        </w:rPr>
      </w:pPr>
      <w:r w:rsidRPr="00E57371">
        <w:rPr>
          <w:b/>
          <w:bCs/>
          <w:rtl/>
          <w:lang w:bidi="ar-EG"/>
        </w:rPr>
        <w:t>المِنح</w:t>
      </w:r>
      <w:r w:rsidRPr="00E57371">
        <w:rPr>
          <w:rtl/>
          <w:lang w:bidi="ar-EG"/>
        </w:rPr>
        <w:t xml:space="preserve">: </w:t>
      </w:r>
      <w:r w:rsidR="00F44223" w:rsidRPr="00E57371">
        <w:rPr>
          <w:rtl/>
        </w:rPr>
        <w:t xml:space="preserve">لتيسير مشاركة </w:t>
      </w:r>
      <w:r w:rsidR="00F44223" w:rsidRPr="00F44223">
        <w:rPr>
          <w:u w:val="single"/>
          <w:rtl/>
        </w:rPr>
        <w:t>البلدان المستحقة</w:t>
      </w:r>
      <w:r w:rsidR="00F44223">
        <w:rPr>
          <w:rFonts w:hint="cs"/>
          <w:rtl/>
        </w:rPr>
        <w:t xml:space="preserve">، </w:t>
      </w:r>
      <w:r w:rsidRPr="00E57371">
        <w:rPr>
          <w:rtl/>
        </w:rPr>
        <w:t xml:space="preserve">سيقدَّم نوعان من المِنح لهذا الاجتماع: </w:t>
      </w:r>
      <w:r w:rsidRPr="00F44223">
        <w:rPr>
          <w:b/>
          <w:bCs/>
          <w:rtl/>
        </w:rPr>
        <w:t>المِنح الشخصية</w:t>
      </w:r>
      <w:r w:rsidRPr="00E57371">
        <w:rPr>
          <w:rtl/>
        </w:rPr>
        <w:t xml:space="preserve"> التقليدية </w:t>
      </w:r>
      <w:r w:rsidRPr="00F44223">
        <w:rPr>
          <w:b/>
          <w:bCs/>
          <w:rtl/>
        </w:rPr>
        <w:t>والمِنح الإلكترونية</w:t>
      </w:r>
      <w:r w:rsidRPr="00E57371">
        <w:rPr>
          <w:rtl/>
        </w:rPr>
        <w:t xml:space="preserve"> الجديدة. </w:t>
      </w:r>
    </w:p>
    <w:p w14:paraId="79B167C0" w14:textId="287AA154" w:rsidR="00F44223" w:rsidRPr="00D55968" w:rsidRDefault="00F44223" w:rsidP="00F44223">
      <w:pPr>
        <w:rPr>
          <w:rtl/>
        </w:rPr>
      </w:pPr>
      <w:r>
        <w:rPr>
          <w:color w:val="000000"/>
          <w:rtl/>
        </w:rPr>
        <w:t>فيما يتعلق بالمِنح الإلكترونية، يتم سداد تكاليف التوصيل طوال مدة الحدث</w:t>
      </w:r>
      <w:r>
        <w:rPr>
          <w:color w:val="000000"/>
        </w:rPr>
        <w:t>.</w:t>
      </w:r>
      <w:r w:rsidR="00FC59FB" w:rsidRPr="00FC59FB">
        <w:rPr>
          <w:color w:val="000000"/>
          <w:rtl/>
        </w:rPr>
        <w:t xml:space="preserve"> </w:t>
      </w:r>
      <w:r w:rsidR="00FC59FB">
        <w:rPr>
          <w:color w:val="000000"/>
          <w:rtl/>
        </w:rPr>
        <w:t>وفيما يتعلق بالمِنح الشخصية، يمكن تقديم منحتين جزئيتين كحدّ أقصى لكل بلد تبعاً للتمويل المتاح</w:t>
      </w:r>
      <w:r w:rsidR="00610099">
        <w:rPr>
          <w:rFonts w:hint="cs"/>
          <w:rtl/>
        </w:rPr>
        <w:t xml:space="preserve">. </w:t>
      </w:r>
      <w:r w:rsidR="00610099">
        <w:rPr>
          <w:color w:val="000000"/>
          <w:rtl/>
        </w:rPr>
        <w:t xml:space="preserve">وستشمل المِنحة الشخصية الجزئية إما أ) </w:t>
      </w:r>
      <w:r w:rsidR="00610099" w:rsidRPr="00610099">
        <w:rPr>
          <w:b/>
          <w:bCs/>
          <w:color w:val="000000"/>
          <w:rtl/>
        </w:rPr>
        <w:t>تذكرة الطيران</w:t>
      </w:r>
      <w:r w:rsidR="00610099">
        <w:rPr>
          <w:color w:val="000000"/>
          <w:rtl/>
        </w:rPr>
        <w:t xml:space="preserve"> (ذهاباً وإياباً من الفئة الاقتصادية عبر أقصر/أوفر مسار مباشر من البلد الأصلي إلى موقع الاجتماع) أو ب) </w:t>
      </w:r>
      <w:r w:rsidR="00610099" w:rsidRPr="00610099">
        <w:rPr>
          <w:b/>
          <w:bCs/>
          <w:color w:val="000000"/>
          <w:rtl/>
        </w:rPr>
        <w:t>بدل المعيشة اليومي</w:t>
      </w:r>
      <w:r w:rsidR="00610099">
        <w:rPr>
          <w:color w:val="000000"/>
          <w:rtl/>
        </w:rPr>
        <w:t xml:space="preserve"> المناسب (لتغطية تكاليف الإقامة والوجبات والنفقات النثري</w:t>
      </w:r>
      <w:r w:rsidR="00610099">
        <w:rPr>
          <w:rFonts w:hint="cs"/>
          <w:color w:val="000000"/>
          <w:rtl/>
        </w:rPr>
        <w:t>ة</w:t>
      </w:r>
      <w:r w:rsidR="00610099">
        <w:rPr>
          <w:rFonts w:hint="cs"/>
          <w:rtl/>
        </w:rPr>
        <w:t xml:space="preserve">). </w:t>
      </w:r>
      <w:r w:rsidR="00610099">
        <w:rPr>
          <w:color w:val="000000"/>
          <w:rtl/>
        </w:rPr>
        <w:t>وفي حالة طلب مِنحتين شخصيتين جزئيتين، ينبغي أن تكون مِنحة منهما على الأقل من أجل تذكرة الطيران</w:t>
      </w:r>
      <w:r w:rsidR="00610099">
        <w:rPr>
          <w:color w:val="000000"/>
        </w:rPr>
        <w:t>.</w:t>
      </w:r>
      <w:r w:rsidR="00D55968" w:rsidRPr="00D55968">
        <w:rPr>
          <w:color w:val="000000"/>
          <w:rtl/>
        </w:rPr>
        <w:t xml:space="preserve"> </w:t>
      </w:r>
      <w:r w:rsidR="00D55968">
        <w:rPr>
          <w:color w:val="000000"/>
          <w:rtl/>
        </w:rPr>
        <w:t>ويجب أن تتحمل المنظمة التابع لها مقدم الطلب بقية تكاليف المشاركة</w:t>
      </w:r>
      <w:r w:rsidR="00D55968">
        <w:rPr>
          <w:color w:val="000000"/>
        </w:rPr>
        <w:t>.</w:t>
      </w:r>
    </w:p>
    <w:p w14:paraId="18C2F86F" w14:textId="5663C952" w:rsidR="00FC59FB" w:rsidRDefault="00024B4D" w:rsidP="00F46340">
      <w:pPr>
        <w:rPr>
          <w:rtl/>
          <w:lang w:val="en-GB"/>
        </w:rPr>
      </w:pPr>
      <w:r w:rsidRPr="00024B4D">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w:t>
      </w:r>
      <w:r>
        <w:rPr>
          <w:rFonts w:hint="cs"/>
          <w:rtl/>
        </w:rPr>
        <w:t>.</w:t>
      </w:r>
      <w:r w:rsidR="00F46340">
        <w:rPr>
          <w:rFonts w:hint="cs"/>
          <w:rtl/>
        </w:rPr>
        <w:t xml:space="preserve"> </w:t>
      </w:r>
      <w:r w:rsidR="00F46340" w:rsidRPr="00F46340">
        <w:rPr>
          <w:rFonts w:hint="cs"/>
          <w:rtl/>
        </w:rPr>
        <w:t>والمعايير المطبقة لتقديم</w:t>
      </w:r>
      <w:r w:rsidR="00F46340" w:rsidRPr="00F46340">
        <w:rPr>
          <w:rtl/>
        </w:rPr>
        <w:t xml:space="preserve"> </w:t>
      </w:r>
      <w:r w:rsidR="00F46340" w:rsidRPr="00F46340">
        <w:rPr>
          <w:rFonts w:hint="cs"/>
          <w:rtl/>
        </w:rPr>
        <w:t>المنح تشمل</w:t>
      </w:r>
      <w:r w:rsidR="00F46340" w:rsidRPr="00F46340">
        <w:rPr>
          <w:rtl/>
        </w:rPr>
        <w:t xml:space="preserve">: الميزانية المتاحة لدى </w:t>
      </w:r>
      <w:r w:rsidR="00F46340" w:rsidRPr="00F46340">
        <w:rPr>
          <w:rFonts w:hint="cs"/>
          <w:rtl/>
        </w:rPr>
        <w:t xml:space="preserve">الاتحاد؛ والمشاركة الفعّالة، بما في ذلك تقديم مساهمات مكتوبة ذات </w:t>
      </w:r>
      <w:r w:rsidR="00F46340" w:rsidRPr="00F46340">
        <w:rPr>
          <w:rtl/>
        </w:rPr>
        <w:t>صلة</w:t>
      </w:r>
      <w:r w:rsidR="00F46340" w:rsidRPr="00F46340">
        <w:rPr>
          <w:rFonts w:hint="cs"/>
          <w:rtl/>
        </w:rPr>
        <w:t>؛</w:t>
      </w:r>
      <w:r w:rsidR="00F46340" w:rsidRPr="00F46340">
        <w:rPr>
          <w:rtl/>
        </w:rPr>
        <w:t xml:space="preserve"> والتوزيع المنصف بين البلدان والمناطق</w:t>
      </w:r>
      <w:r w:rsidR="00F46340" w:rsidRPr="00F46340">
        <w:rPr>
          <w:rFonts w:hint="cs"/>
          <w:rtl/>
        </w:rPr>
        <w:t xml:space="preserve">؛ والطلبات المقدمة من الأشخاص ذوي الإعاقة والأشخاص ذوي الاحتياجات المحددة؛ </w:t>
      </w:r>
      <w:r w:rsidR="00F46340" w:rsidRPr="00F46340">
        <w:rPr>
          <w:rtl/>
        </w:rPr>
        <w:t>والتوازن بين الجنسين</w:t>
      </w:r>
      <w:r w:rsidR="00865CD1">
        <w:rPr>
          <w:rFonts w:hint="cs"/>
          <w:rtl/>
          <w:lang w:val="en-GB"/>
        </w:rPr>
        <w:t xml:space="preserve">. </w:t>
      </w:r>
      <w:r w:rsidR="00865CD1">
        <w:rPr>
          <w:color w:val="000000"/>
          <w:rtl/>
        </w:rPr>
        <w:t>ويرجى أيضاً ملاحظة أنه لضمان الإدارة الرشيدة في استخدام المنح، لا يجوز منح أي فرد أكثر من منحة كاملة واحدة أو منحتين جزئيتين في أي سنة مالية</w:t>
      </w:r>
      <w:r w:rsidR="00865CD1">
        <w:rPr>
          <w:color w:val="000000"/>
        </w:rPr>
        <w:t>.</w:t>
      </w:r>
    </w:p>
    <w:p w14:paraId="7C502354" w14:textId="2919B05C" w:rsidR="00247CEE" w:rsidRPr="00247CEE" w:rsidRDefault="00247CEE" w:rsidP="00247CEE">
      <w:pPr>
        <w:rPr>
          <w:rtl/>
          <w:lang w:val="en-GB" w:bidi="ar-SY"/>
        </w:rPr>
      </w:pPr>
      <w:r w:rsidRPr="00247CEE">
        <w:rPr>
          <w:rFonts w:hint="cs"/>
          <w:rtl/>
          <w:lang w:val="en-GB"/>
        </w:rPr>
        <w:t>وترد نماذج طلبات الحصول على مِنح من كلا النوعي</w:t>
      </w:r>
      <w:r w:rsidRPr="00247CEE">
        <w:rPr>
          <w:rFonts w:hint="cs"/>
          <w:rtl/>
          <w:lang w:val="en-GB" w:bidi="ar-EG"/>
        </w:rPr>
        <w:t>ن</w:t>
      </w:r>
      <w:r w:rsidRPr="00247CEE">
        <w:rPr>
          <w:rFonts w:hint="cs"/>
          <w:rtl/>
          <w:lang w:val="en-GB"/>
        </w:rPr>
        <w:t xml:space="preserve"> في</w:t>
      </w:r>
      <w:hyperlink r:id="rId36" w:history="1">
        <w:r w:rsidRPr="00247CEE">
          <w:rPr>
            <w:rStyle w:val="Hyperlink"/>
            <w:rFonts w:hint="cs"/>
            <w:rtl/>
            <w:lang w:val="en-GB"/>
          </w:rPr>
          <w:t xml:space="preserve"> الصفحة الرئيسية للفريق الاستشاري لتقييس الاتصالات</w:t>
        </w:r>
      </w:hyperlink>
      <w:r w:rsidRPr="00247CEE">
        <w:rPr>
          <w:rFonts w:hint="cs"/>
          <w:rtl/>
          <w:lang w:val="en-GB" w:bidi="ar-EG"/>
        </w:rPr>
        <w:t xml:space="preserve">. </w:t>
      </w:r>
      <w:r w:rsidRPr="00247CEE">
        <w:rPr>
          <w:rFonts w:hint="cs"/>
          <w:b/>
          <w:bCs/>
          <w:rtl/>
          <w:lang w:val="en-GB" w:bidi="ar-EG"/>
        </w:rPr>
        <w:t xml:space="preserve">ويجب أن ترد طلبات الحصول على المِنح في موعد أقصاه </w:t>
      </w:r>
      <w:r w:rsidR="007F6FBC">
        <w:rPr>
          <w:rFonts w:hint="cs"/>
          <w:b/>
          <w:bCs/>
          <w:rtl/>
          <w:lang w:val="en-GB" w:bidi="ar-EG"/>
        </w:rPr>
        <w:t>17</w:t>
      </w:r>
      <w:r w:rsidRPr="00247CEE">
        <w:rPr>
          <w:rFonts w:hint="cs"/>
          <w:b/>
          <w:bCs/>
          <w:rtl/>
          <w:lang w:val="en-GB" w:bidi="ar-EG"/>
        </w:rPr>
        <w:t xml:space="preserve"> </w:t>
      </w:r>
      <w:r w:rsidR="007F6FBC">
        <w:rPr>
          <w:rFonts w:hint="cs"/>
          <w:b/>
          <w:bCs/>
          <w:rtl/>
          <w:lang w:val="en-GB" w:bidi="ar-EG"/>
        </w:rPr>
        <w:t>يونيو</w:t>
      </w:r>
      <w:r w:rsidRPr="00247CEE">
        <w:rPr>
          <w:rFonts w:hint="cs"/>
          <w:b/>
          <w:bCs/>
          <w:rtl/>
          <w:lang w:val="en-GB" w:bidi="ar-SY"/>
        </w:rPr>
        <w:t xml:space="preserve"> </w:t>
      </w:r>
      <w:r w:rsidR="007F6FBC">
        <w:rPr>
          <w:b/>
          <w:bCs/>
        </w:rPr>
        <w:t>2024</w:t>
      </w:r>
      <w:r w:rsidRPr="00247CEE">
        <w:rPr>
          <w:rFonts w:hint="cs"/>
          <w:b/>
          <w:bCs/>
          <w:rtl/>
          <w:lang w:val="en-GB" w:bidi="ar-SY"/>
        </w:rPr>
        <w:t xml:space="preserve">. </w:t>
      </w:r>
      <w:r w:rsidRPr="00247CEE">
        <w:rPr>
          <w:rFonts w:hint="cs"/>
          <w:rtl/>
          <w:lang w:val="en-GB" w:bidi="ar-EG"/>
        </w:rPr>
        <w:t xml:space="preserve">ويجب أن تُرسَل الطلبات إلى العنوان </w:t>
      </w:r>
      <w:hyperlink r:id="rId37" w:history="1">
        <w:r w:rsidRPr="00247CEE">
          <w:rPr>
            <w:rStyle w:val="Hyperlink"/>
          </w:rPr>
          <w:t>fellowships@itu.int</w:t>
        </w:r>
      </w:hyperlink>
      <w:r w:rsidRPr="00247CEE">
        <w:rPr>
          <w:rFonts w:hint="cs"/>
          <w:rtl/>
          <w:lang w:val="en-GB" w:bidi="ar-EG"/>
        </w:rPr>
        <w:t xml:space="preserve"> أو بالفاكس: </w:t>
      </w:r>
      <w:r w:rsidRPr="00247CEE">
        <w:t>+41 22 730 57 78</w:t>
      </w:r>
      <w:r w:rsidRPr="00247CEE">
        <w:rPr>
          <w:rFonts w:hint="cs"/>
          <w:rtl/>
          <w:lang w:val="en-GB"/>
        </w:rPr>
        <w:t xml:space="preserve">. </w:t>
      </w:r>
      <w:r w:rsidRPr="00247CEE">
        <w:rPr>
          <w:rFonts w:hint="cs"/>
          <w:b/>
          <w:bCs/>
          <w:rtl/>
          <w:lang w:val="en-GB"/>
        </w:rPr>
        <w:t>ويلزم</w:t>
      </w:r>
      <w:r w:rsidRPr="00247CEE">
        <w:rPr>
          <w:rFonts w:hint="cs"/>
          <w:b/>
          <w:bCs/>
          <w:rtl/>
          <w:lang w:val="en-GB" w:bidi="ar-EG"/>
        </w:rPr>
        <w:t> التسجيل (بموافقة مسؤول الاتصال) قبل تقديم طلب الحصول على مِنحة</w:t>
      </w:r>
      <w:r w:rsidRPr="00247CEE">
        <w:rPr>
          <w:rFonts w:hint="cs"/>
          <w:rtl/>
          <w:lang w:val="en-GB" w:bidi="ar-EG"/>
        </w:rPr>
        <w:t xml:space="preserve">، </w:t>
      </w:r>
      <w:r w:rsidRPr="00247CEE">
        <w:rPr>
          <w:rFonts w:hint="cs"/>
          <w:rtl/>
          <w:lang w:val="en-GB"/>
        </w:rPr>
        <w:t xml:space="preserve">ويوصى بشدة بالتسجيل لحضور الحدث والشروع في عملية تقديم الطلب قبل الاجتماع </w:t>
      </w:r>
      <w:r w:rsidR="007F6FBC">
        <w:rPr>
          <w:rFonts w:hint="cs"/>
          <w:rtl/>
          <w:lang w:val="en-GB"/>
        </w:rPr>
        <w:t>بسبعة</w:t>
      </w:r>
      <w:r w:rsidRPr="00247CEE">
        <w:rPr>
          <w:rFonts w:hint="cs"/>
          <w:rtl/>
          <w:lang w:val="en-GB"/>
        </w:rPr>
        <w:t xml:space="preserve"> أسابيع على الأقل.</w:t>
      </w:r>
    </w:p>
    <w:p w14:paraId="29684866" w14:textId="77777777" w:rsidR="00247CEE" w:rsidRPr="00247CEE" w:rsidRDefault="00247CEE" w:rsidP="00247CEE">
      <w:pPr>
        <w:rPr>
          <w:rtl/>
          <w:lang w:val="en-GB" w:bidi="ar-EG"/>
        </w:rPr>
      </w:pPr>
      <w:r w:rsidRPr="00247CEE">
        <w:rPr>
          <w:b/>
          <w:bCs/>
          <w:rtl/>
          <w:lang w:val="en-GB" w:bidi="ar-EG"/>
        </w:rPr>
        <w:t>رسالة دعم الحصول على التأشيرة</w:t>
      </w:r>
      <w:r w:rsidRPr="00247CEE">
        <w:rPr>
          <w:rtl/>
          <w:lang w:val="en-GB" w:bidi="ar-EG"/>
        </w:rPr>
        <w:t xml:space="preserve">: </w:t>
      </w:r>
      <w:r w:rsidRPr="00247CEE">
        <w:rPr>
          <w:rtl/>
          <w:lang w:val="en-GB"/>
        </w:rPr>
        <w:t xml:space="preserve">يجب طلب التأشيرة، إذا كانت لازمة، </w:t>
      </w:r>
      <w:r w:rsidRPr="00247CEE">
        <w:rPr>
          <w:rtl/>
          <w:lang w:val="en-GB" w:bidi="ar-EG"/>
        </w:rPr>
        <w:t>قبل القدوم إلى سويسرا،</w:t>
      </w:r>
      <w:r w:rsidRPr="00247CEE">
        <w:rPr>
          <w:rtl/>
          <w:lang w:val="en-GB"/>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247CEE">
        <w:t>.</w:t>
      </w:r>
      <w:r w:rsidRPr="00247CEE">
        <w:rPr>
          <w:rtl/>
          <w:lang w:val="en-GB" w:bidi="ar-EG"/>
        </w:rPr>
        <w:t xml:space="preserve"> ونظراً</w:t>
      </w:r>
      <w:r w:rsidRPr="00247CEE">
        <w:rPr>
          <w:rFonts w:hint="cs"/>
          <w:rtl/>
          <w:lang w:val="en-GB" w:bidi="ar-EG"/>
        </w:rPr>
        <w:t xml:space="preserve"> </w:t>
      </w:r>
      <w:r w:rsidRPr="00247CEE">
        <w:rPr>
          <w:rtl/>
          <w:lang w:val="en-GB" w:bidi="ar-EG"/>
        </w:rPr>
        <w:t>لاختلاف المواعيد النهائية، يُقترح التأكد من الممثلية المناسبة مباشرةً وتقديم الطلب في وقت مبكر.</w:t>
      </w:r>
    </w:p>
    <w:p w14:paraId="20AE46B3" w14:textId="77777777" w:rsidR="00247CEE" w:rsidRPr="00247CEE" w:rsidRDefault="00247CEE" w:rsidP="00247CEE">
      <w:pPr>
        <w:rPr>
          <w:rtl/>
          <w:lang w:val="en-GB" w:bidi="ar-EG"/>
        </w:rPr>
      </w:pPr>
      <w:r w:rsidRPr="00247CEE">
        <w:rPr>
          <w:rtl/>
          <w:lang w:val="en-GB" w:bidi="ar-EG"/>
        </w:rPr>
        <w:t>وإذا واجهتم صعوبة بهذا الشأن يمكن للاتحاد، بناءً على طلب رسمي من الإدارة</w:t>
      </w:r>
      <w:r w:rsidRPr="00247CEE">
        <w:rPr>
          <w:rtl/>
          <w:lang w:val="en-GB" w:bidi="ar-SY"/>
        </w:rPr>
        <w:t xml:space="preserve"> </w:t>
      </w:r>
      <w:r w:rsidRPr="00247CEE">
        <w:rPr>
          <w:rtl/>
          <w:lang w:val="en-GB" w:bidi="ar-EG"/>
        </w:rPr>
        <w:t>التي تمثلونها أو الكيان الذي تمثلونه، الاتصال بالسلطات السويسرية المختصة لتيسير إصدار التأشيرة.</w:t>
      </w:r>
      <w:r w:rsidRPr="00247CEE">
        <w:rPr>
          <w:rtl/>
          <w:lang w:val="en-GB"/>
        </w:rPr>
        <w:t xml:space="preserve"> </w:t>
      </w:r>
      <w:r w:rsidRPr="00247CEE">
        <w:rPr>
          <w:rtl/>
          <w:lang w:val="en-GB" w:bidi="ar-EG"/>
        </w:rPr>
        <w:t xml:space="preserve">وبمجرد موافقة مسؤول الاتصال المعني بتسجيل منظمتكم على تسجيلكم، تصدر رسالة دعم طلب التأشيرة عادةً في غضون </w:t>
      </w:r>
      <w:r w:rsidRPr="00247CEE">
        <w:t>15</w:t>
      </w:r>
      <w:r w:rsidRPr="00247CEE">
        <w:rPr>
          <w:rtl/>
          <w:lang w:val="en-GB" w:bidi="ar-EG"/>
        </w:rPr>
        <w:t xml:space="preserve"> يوماً. </w:t>
      </w:r>
      <w:r w:rsidRPr="00247CEE">
        <w:rPr>
          <w:rtl/>
          <w:lang w:val="en-GB"/>
        </w:rPr>
        <w:t>وعليه، ينبغي تقديم</w:t>
      </w:r>
      <w:r w:rsidRPr="00247CEE">
        <w:rPr>
          <w:rtl/>
          <w:lang w:val="en-GB" w:bidi="ar-EG"/>
        </w:rPr>
        <w:t xml:space="preserve"> الطلبات بوضع علامة في المربع المناسب في نموذج التسجيل </w:t>
      </w:r>
      <w:r w:rsidRPr="00247CEE">
        <w:rPr>
          <w:b/>
          <w:bCs/>
          <w:rtl/>
          <w:lang w:val="en-GB"/>
        </w:rPr>
        <w:t>قبل الاجتماع بشهر على الأقل</w:t>
      </w:r>
      <w:r w:rsidRPr="00247CEE">
        <w:rPr>
          <w:rtl/>
          <w:lang w:val="en-GB" w:bidi="ar-EG"/>
        </w:rPr>
        <w:t xml:space="preserve">. وترسَل الاستفسارات إلى قسم السفر بالاتحاد </w:t>
      </w:r>
      <w:r w:rsidRPr="00247CEE">
        <w:rPr>
          <w:lang w:val="en-GB"/>
        </w:rPr>
        <w:t>(</w:t>
      </w:r>
      <w:hyperlink r:id="rId38">
        <w:r w:rsidRPr="00247CEE">
          <w:rPr>
            <w:rStyle w:val="Hyperlink"/>
          </w:rPr>
          <w:t>travel@itu.int</w:t>
        </w:r>
      </w:hyperlink>
      <w:r w:rsidRPr="00247CEE">
        <w:rPr>
          <w:lang w:val="en-GB"/>
        </w:rPr>
        <w:t>)</w:t>
      </w:r>
      <w:r w:rsidRPr="00247CEE">
        <w:rPr>
          <w:rtl/>
          <w:lang w:val="en-GB" w:bidi="ar-EG"/>
        </w:rPr>
        <w:t xml:space="preserve"> حاملة عبارة "</w:t>
      </w:r>
      <w:r w:rsidRPr="00247CEE">
        <w:rPr>
          <w:b/>
          <w:bCs/>
          <w:rtl/>
          <w:lang w:val="en-GB" w:bidi="ar-EG"/>
        </w:rPr>
        <w:t>دعم الحصول على التأشيرة</w:t>
      </w:r>
      <w:r w:rsidRPr="00247CEE">
        <w:rPr>
          <w:rtl/>
          <w:lang w:val="en-GB" w:bidi="ar-EG"/>
        </w:rPr>
        <w:t>".</w:t>
      </w:r>
    </w:p>
    <w:p w14:paraId="3CB49F95" w14:textId="77777777" w:rsidR="00FC59FB" w:rsidRPr="00E57371" w:rsidRDefault="00FC59FB" w:rsidP="00F44223">
      <w:pPr>
        <w:rPr>
          <w:rtl/>
        </w:rPr>
      </w:pPr>
    </w:p>
    <w:p w14:paraId="649DF5B0" w14:textId="77777777" w:rsidR="009C72FE" w:rsidRPr="00E57371" w:rsidRDefault="009C72FE" w:rsidP="009C72FE">
      <w:pPr>
        <w:keepNext/>
        <w:keepLines/>
        <w:spacing w:before="360" w:after="240"/>
        <w:ind w:left="1134" w:hanging="1134"/>
        <w:jc w:val="center"/>
        <w:outlineLvl w:val="0"/>
        <w:rPr>
          <w:b/>
          <w:bCs/>
          <w:kern w:val="32"/>
          <w:sz w:val="26"/>
          <w:szCs w:val="26"/>
          <w:rtl/>
          <w:lang w:bidi="ar-EG"/>
        </w:rPr>
      </w:pPr>
      <w:r w:rsidRPr="00E57371">
        <w:rPr>
          <w:b/>
          <w:bCs/>
          <w:kern w:val="32"/>
          <w:sz w:val="26"/>
          <w:szCs w:val="26"/>
          <w:rtl/>
          <w:lang w:bidi="ar-EG"/>
        </w:rPr>
        <w:t>زيارة جنيف: الفنادق والنقل العام</w:t>
      </w:r>
    </w:p>
    <w:p w14:paraId="1AE75C1F" w14:textId="77777777" w:rsidR="009C72FE" w:rsidRPr="00E57371" w:rsidRDefault="009C72FE" w:rsidP="009C72FE">
      <w:pPr>
        <w:keepNext/>
        <w:spacing w:before="240"/>
        <w:rPr>
          <w:b/>
          <w:bCs/>
          <w:rtl/>
        </w:rPr>
      </w:pPr>
      <w:r w:rsidRPr="00E57371">
        <w:rPr>
          <w:b/>
          <w:bCs/>
          <w:rtl/>
        </w:rPr>
        <w:t>الزائرون القاصدون جنيف:</w:t>
      </w:r>
      <w:r w:rsidRPr="00E57371">
        <w:rPr>
          <w:rtl/>
        </w:rPr>
        <w:t xml:space="preserve"> </w:t>
      </w:r>
      <w:r w:rsidRPr="00E57371">
        <w:rPr>
          <w:color w:val="000000"/>
          <w:rtl/>
        </w:rPr>
        <w:t xml:space="preserve">يمكن الحصول على معلومات عملية للمندوبين الذين يحضرون اجتماعات الاتحاد التي تُعقد في جنيف من الموقع التالي: </w:t>
      </w:r>
      <w:hyperlink r:id="rId39" w:history="1">
        <w:r w:rsidRPr="00E57371">
          <w:rPr>
            <w:rStyle w:val="Hyperlink"/>
          </w:rPr>
          <w:t>http://itu.int/en/delegates-corner</w:t>
        </w:r>
      </w:hyperlink>
      <w:r w:rsidRPr="00E57371">
        <w:rPr>
          <w:color w:val="000000"/>
          <w:rtl/>
        </w:rPr>
        <w:t>.</w:t>
      </w:r>
    </w:p>
    <w:p w14:paraId="38C5DC6A" w14:textId="29530FA7" w:rsidR="009C72FE" w:rsidRPr="00E57371" w:rsidRDefault="009C72FE" w:rsidP="009C72FE">
      <w:pPr>
        <w:rPr>
          <w:rtl/>
          <w:lang w:bidi="ar-EG"/>
        </w:rPr>
      </w:pPr>
      <w:r w:rsidRPr="00E57371">
        <w:rPr>
          <w:b/>
          <w:bCs/>
          <w:rtl/>
        </w:rPr>
        <w:t>التخفيضات التي تمنحها الفنادق:</w:t>
      </w:r>
      <w:r w:rsidRPr="00E57371">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E57371">
        <w:rPr>
          <w:rtl/>
          <w:lang w:bidi="ar-EG"/>
        </w:rPr>
        <w:t xml:space="preserve">التخفيضات في الموقع التالي: </w:t>
      </w:r>
      <w:hyperlink r:id="rId40" w:history="1">
        <w:r w:rsidR="00F63374" w:rsidRPr="00476798">
          <w:rPr>
            <w:rStyle w:val="Hyperlink"/>
          </w:rPr>
          <w:t>http://itu.int/travel/</w:t>
        </w:r>
      </w:hyperlink>
      <w:r w:rsidRPr="00E57371">
        <w:rPr>
          <w:rtl/>
          <w:lang w:bidi="ar-EG"/>
        </w:rPr>
        <w:t>.</w:t>
      </w:r>
    </w:p>
    <w:p w14:paraId="0541A5FB" w14:textId="77777777" w:rsidR="00B37FEF" w:rsidRPr="00B37FEF" w:rsidRDefault="009C72FE" w:rsidP="00B37FEF">
      <w:pPr>
        <w:pStyle w:val="Annextitle0"/>
      </w:pPr>
      <w:r>
        <w:rPr>
          <w:rtl/>
          <w:lang w:bidi="ar-EG"/>
        </w:rPr>
        <w:br w:type="page"/>
      </w:r>
      <w:r w:rsidR="00B37FEF" w:rsidRPr="00B37FEF">
        <w:lastRenderedPageBreak/>
        <w:t>ANNEX B</w:t>
      </w:r>
      <w:r w:rsidR="00B37FEF" w:rsidRPr="00B37FEF">
        <w:br/>
        <w:t xml:space="preserve">Draft </w:t>
      </w:r>
      <w:proofErr w:type="gramStart"/>
      <w:r w:rsidR="00B37FEF" w:rsidRPr="00B37FEF">
        <w:t>agenda</w:t>
      </w:r>
      <w:proofErr w:type="gramEnd"/>
    </w:p>
    <w:p w14:paraId="42893B25"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Opening of the meeting</w:t>
      </w:r>
    </w:p>
    <w:p w14:paraId="25AEC450"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Opening remarks by the ITU Secretary-General</w:t>
      </w:r>
    </w:p>
    <w:p w14:paraId="3CADFF5D"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Opening remarks by the Director, TSB</w:t>
      </w:r>
    </w:p>
    <w:p w14:paraId="7A2A6581"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Chairman’s comments and observations</w:t>
      </w:r>
    </w:p>
    <w:p w14:paraId="4784F415"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Approval of the agenda, time management plan and document allocation</w:t>
      </w:r>
    </w:p>
    <w:p w14:paraId="5294AAF6"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Report by the Director, TSB; including a status report on the activities of the AHG-IPR</w:t>
      </w:r>
    </w:p>
    <w:p w14:paraId="2C6F7756"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Strategic and Operational Plan of ITU-T</w:t>
      </w:r>
    </w:p>
    <w:p w14:paraId="4B41DB29"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Report from ITU Regional Offices</w:t>
      </w:r>
    </w:p>
    <w:p w14:paraId="38818139"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 xml:space="preserve">Focus </w:t>
      </w:r>
      <w:proofErr w:type="gramStart"/>
      <w:r w:rsidRPr="00B37FEF">
        <w:rPr>
          <w:rFonts w:ascii="Calibri" w:eastAsia="Times New Roman" w:hAnsi="Calibri" w:cs="Times New Roman"/>
          <w:szCs w:val="20"/>
          <w:lang w:val="en-GB" w:eastAsia="en-US"/>
        </w:rPr>
        <w:t>groups</w:t>
      </w:r>
      <w:proofErr w:type="gramEnd"/>
    </w:p>
    <w:p w14:paraId="5B472C91"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Joint Coordination Activities</w:t>
      </w:r>
    </w:p>
    <w:p w14:paraId="54858DBE"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Report from SCV</w:t>
      </w:r>
    </w:p>
    <w:p w14:paraId="229B8E6A"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Meeting of TSAG Working Parties and TSAG Rapporteur Groups</w:t>
      </w:r>
    </w:p>
    <w:p w14:paraId="44B32A8F" w14:textId="77777777" w:rsidR="00B37FEF" w:rsidRPr="00B37FEF" w:rsidRDefault="00B37FEF" w:rsidP="00B37FEF">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 xml:space="preserve">Study group matters, lead study group </w:t>
      </w:r>
      <w:proofErr w:type="gramStart"/>
      <w:r w:rsidRPr="00B37FEF">
        <w:rPr>
          <w:rFonts w:ascii="Calibri" w:eastAsia="Times New Roman" w:hAnsi="Calibri" w:cs="Times New Roman"/>
          <w:szCs w:val="20"/>
          <w:lang w:val="en-GB" w:eastAsia="en-US"/>
        </w:rPr>
        <w:t>reports</w:t>
      </w:r>
      <w:proofErr w:type="gramEnd"/>
    </w:p>
    <w:p w14:paraId="287496AD" w14:textId="77777777" w:rsidR="00B37FEF" w:rsidRPr="00B37FEF" w:rsidRDefault="00B37FEF" w:rsidP="00B37FEF">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Reports from TSAG interim Rapporteur Group meetings, CTO group meeting(s), CITS</w:t>
      </w:r>
    </w:p>
    <w:p w14:paraId="1BC545D0" w14:textId="77777777" w:rsidR="00B37FEF" w:rsidRPr="00B37FEF" w:rsidRDefault="00B37FEF" w:rsidP="00B37FEF">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WTSA Action Plan</w:t>
      </w:r>
    </w:p>
    <w:p w14:paraId="7A1403AB" w14:textId="77777777" w:rsidR="00B37FEF" w:rsidRPr="00B37FEF" w:rsidRDefault="00B37FEF" w:rsidP="00B37FEF">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External relations; reports from ISO-IEC-ITU-T SPGC, ISO-IEC-ITU-T J-SCTF, ISO/IEC JTC 1, and WSC</w:t>
      </w:r>
    </w:p>
    <w:p w14:paraId="6CDD9F6B" w14:textId="77777777" w:rsidR="00B37FEF" w:rsidRPr="00B37FEF" w:rsidRDefault="00B37FEF" w:rsidP="00B37FEF">
      <w:pPr>
        <w:numPr>
          <w:ilvl w:val="1"/>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Reports from Inter-Sector Coordination Group and Inter-Sector Coordination Task Force.</w:t>
      </w:r>
    </w:p>
    <w:p w14:paraId="0D39C615"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Bridging the Standardization Gap, Languages on equal footing, Gender</w:t>
      </w:r>
    </w:p>
    <w:p w14:paraId="7C70D0FE"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Preparations for WTSA-24; report from the ITU-T interregional meeting</w:t>
      </w:r>
    </w:p>
    <w:p w14:paraId="0F0E976A"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 xml:space="preserve">Recommendations and other texts for </w:t>
      </w:r>
      <w:r w:rsidRPr="00B37FEF">
        <w:rPr>
          <w:rFonts w:ascii="Calibri" w:eastAsia="Times New Roman" w:hAnsi="Calibri" w:cs="Times New Roman"/>
          <w:i/>
          <w:szCs w:val="20"/>
          <w:lang w:val="en-GB" w:eastAsia="en-US"/>
        </w:rPr>
        <w:t>determination/approval/agreement</w:t>
      </w:r>
      <w:r w:rsidRPr="00B37FEF">
        <w:rPr>
          <w:rFonts w:ascii="Calibri" w:eastAsia="Times New Roman" w:hAnsi="Calibri" w:cs="Times New Roman"/>
          <w:szCs w:val="20"/>
          <w:lang w:val="en-GB" w:eastAsia="en-US"/>
        </w:rPr>
        <w:t xml:space="preserve"> at this TSAG meeting</w:t>
      </w:r>
    </w:p>
    <w:p w14:paraId="3DD369CA"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Other agreements</w:t>
      </w:r>
    </w:p>
    <w:p w14:paraId="728E51A2"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 xml:space="preserve">ITU-T meeting schedule including date of next TSAG </w:t>
      </w:r>
      <w:proofErr w:type="gramStart"/>
      <w:r w:rsidRPr="00B37FEF">
        <w:rPr>
          <w:rFonts w:ascii="Calibri" w:eastAsia="Times New Roman" w:hAnsi="Calibri" w:cs="Times New Roman"/>
          <w:szCs w:val="20"/>
          <w:lang w:val="en-GB" w:eastAsia="en-US"/>
        </w:rPr>
        <w:t>meeting</w:t>
      </w:r>
      <w:proofErr w:type="gramEnd"/>
    </w:p>
    <w:p w14:paraId="58DE993A"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Any other business</w:t>
      </w:r>
    </w:p>
    <w:p w14:paraId="6EA93D21"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Closing remarks by the Director, TSB</w:t>
      </w:r>
    </w:p>
    <w:p w14:paraId="6D9B0CE0" w14:textId="77777777" w:rsidR="00B37FEF" w:rsidRPr="00B37FEF" w:rsidRDefault="00B37FEF" w:rsidP="00B37FEF">
      <w:pPr>
        <w:numPr>
          <w:ilvl w:val="0"/>
          <w:numId w:val="12"/>
        </w:numPr>
        <w:tabs>
          <w:tab w:val="clear"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Closure of meeting.</w:t>
      </w:r>
    </w:p>
    <w:p w14:paraId="7049F12C" w14:textId="77777777" w:rsidR="00B37FEF" w:rsidRPr="00B37FEF" w:rsidRDefault="00B37FEF" w:rsidP="00B37FEF">
      <w:pPr>
        <w:tabs>
          <w:tab w:val="clear" w:pos="794"/>
        </w:tabs>
        <w:overflowPunct w:val="0"/>
        <w:autoSpaceDE w:val="0"/>
        <w:autoSpaceDN w:val="0"/>
        <w:bidi w:val="0"/>
        <w:spacing w:before="60" w:line="240" w:lineRule="auto"/>
        <w:ind w:left="720"/>
        <w:jc w:val="left"/>
        <w:rPr>
          <w:rFonts w:ascii="Calibri" w:eastAsia="Times New Roman" w:hAnsi="Calibri" w:cs="Times New Roman"/>
          <w:szCs w:val="20"/>
          <w:lang w:val="en-GB" w:eastAsia="en-US"/>
        </w:rPr>
      </w:pPr>
    </w:p>
    <w:p w14:paraId="5FB6124E"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 xml:space="preserve">NOTE ‒ Updates to the agenda can be found in </w:t>
      </w:r>
      <w:hyperlink r:id="rId41" w:history="1">
        <w:r w:rsidRPr="00B37FEF">
          <w:rPr>
            <w:rFonts w:ascii="Calibri" w:eastAsia="Times New Roman" w:hAnsi="Calibri" w:cs="Times New Roman"/>
            <w:color w:val="0000FF"/>
            <w:szCs w:val="20"/>
            <w:u w:val="single"/>
            <w:lang w:val="en-GB" w:eastAsia="en-US"/>
          </w:rPr>
          <w:t>TD487</w:t>
        </w:r>
      </w:hyperlink>
      <w:r w:rsidRPr="00B37FEF">
        <w:rPr>
          <w:rFonts w:ascii="Calibri" w:eastAsia="Times New Roman" w:hAnsi="Calibri" w:cs="Times New Roman"/>
          <w:szCs w:val="20"/>
          <w:lang w:val="en-GB" w:eastAsia="en-US"/>
        </w:rPr>
        <w:t>.</w:t>
      </w:r>
    </w:p>
    <w:p w14:paraId="66E914C6" w14:textId="77777777" w:rsidR="00B37FEF" w:rsidRPr="00B37FEF" w:rsidRDefault="00B37FEF" w:rsidP="00B37FEF">
      <w:pPr>
        <w:tabs>
          <w:tab w:val="clear" w:pos="794"/>
        </w:tabs>
        <w:bidi w:val="0"/>
        <w:spacing w:before="0" w:line="240" w:lineRule="auto"/>
        <w:jc w:val="left"/>
        <w:rPr>
          <w:rFonts w:ascii="Calibri" w:eastAsia="Times New Roman" w:hAnsi="Calibri" w:cs="Times New Roman"/>
          <w:szCs w:val="20"/>
          <w:lang w:val="en-GB" w:eastAsia="en-US"/>
        </w:rPr>
      </w:pPr>
    </w:p>
    <w:p w14:paraId="16CED2FD"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szCs w:val="20"/>
          <w:lang w:val="en-GB" w:eastAsia="en-US"/>
        </w:rPr>
        <w:sectPr w:rsidR="00B37FEF" w:rsidRPr="00B37FEF" w:rsidSect="0022704F">
          <w:headerReference w:type="even" r:id="rId42"/>
          <w:headerReference w:type="default" r:id="rId43"/>
          <w:footerReference w:type="even" r:id="rId44"/>
          <w:footerReference w:type="default" r:id="rId45"/>
          <w:headerReference w:type="first" r:id="rId46"/>
          <w:footerReference w:type="first" r:id="rId47"/>
          <w:type w:val="oddPage"/>
          <w:pgSz w:w="11907" w:h="16834" w:code="9"/>
          <w:pgMar w:top="1135" w:right="850" w:bottom="567" w:left="851" w:header="567" w:footer="567" w:gutter="0"/>
          <w:paperSrc w:first="7" w:other="7"/>
          <w:cols w:space="720"/>
          <w:titlePg/>
          <w:docGrid w:linePitch="299"/>
        </w:sectPr>
      </w:pPr>
    </w:p>
    <w:p w14:paraId="1780EC55" w14:textId="77777777" w:rsidR="00B37FEF" w:rsidRPr="00B37FEF" w:rsidRDefault="00B37FEF" w:rsidP="00B37FEF">
      <w:pPr>
        <w:tabs>
          <w:tab w:val="clear" w:pos="794"/>
        </w:tabs>
        <w:overflowPunct w:val="0"/>
        <w:autoSpaceDE w:val="0"/>
        <w:autoSpaceDN w:val="0"/>
        <w:bidi w:val="0"/>
        <w:adjustRightInd w:val="0"/>
        <w:spacing w:before="360" w:line="240" w:lineRule="auto"/>
        <w:jc w:val="center"/>
        <w:textAlignment w:val="baseline"/>
        <w:outlineLvl w:val="0"/>
        <w:rPr>
          <w:rFonts w:ascii="Calibri" w:eastAsia="Times New Roman" w:hAnsi="Calibri" w:cs="Times New Roman"/>
          <w:b/>
          <w:bCs/>
          <w:sz w:val="28"/>
          <w:szCs w:val="28"/>
          <w:lang w:val="en-GB" w:eastAsia="en-US"/>
        </w:rPr>
      </w:pPr>
      <w:r w:rsidRPr="00B37FEF">
        <w:rPr>
          <w:rFonts w:ascii="Calibri" w:eastAsia="Times New Roman" w:hAnsi="Calibri" w:cs="Times New Roman"/>
          <w:b/>
          <w:bCs/>
          <w:sz w:val="28"/>
          <w:szCs w:val="28"/>
          <w:lang w:val="en-GB" w:eastAsia="en-US"/>
        </w:rPr>
        <w:lastRenderedPageBreak/>
        <w:t>ANNEX C</w:t>
      </w:r>
    </w:p>
    <w:p w14:paraId="47F74A1A" w14:textId="77777777" w:rsidR="00B37FEF" w:rsidRPr="00B37FEF" w:rsidRDefault="00B37FEF" w:rsidP="00B37FEF">
      <w:pPr>
        <w:tabs>
          <w:tab w:val="clear" w:pos="794"/>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szCs w:val="20"/>
          <w:lang w:val="en-GB" w:eastAsia="en-US"/>
        </w:rPr>
      </w:pPr>
      <w:r w:rsidRPr="00B37FEF">
        <w:rPr>
          <w:rFonts w:ascii="Calibri" w:eastAsia="Times New Roman" w:hAnsi="Calibri" w:cs="Times New Roman"/>
          <w:b/>
          <w:bCs/>
          <w:sz w:val="28"/>
          <w:szCs w:val="20"/>
          <w:lang w:val="en-GB" w:eastAsia="en-US"/>
        </w:rPr>
        <w:t>Draft time plan for TSAG and related working party, and Rapporteur group meetings</w:t>
      </w:r>
      <w:r w:rsidRPr="00B37FEF">
        <w:rPr>
          <w:rFonts w:ascii="Calibri" w:eastAsia="Times New Roman" w:hAnsi="Calibri" w:cs="Times New Roman"/>
          <w:b/>
          <w:bCs/>
          <w:szCs w:val="20"/>
          <w:lang w:val="en-GB" w:eastAsia="en-US"/>
        </w:rPr>
        <w:br/>
      </w:r>
      <w:r w:rsidRPr="00B37FEF">
        <w:rPr>
          <w:rFonts w:ascii="Calibri" w:eastAsia="Times New Roman" w:hAnsi="Calibri" w:cs="Times New Roman"/>
          <w:szCs w:val="20"/>
          <w:lang w:val="en-GB" w:eastAsia="en-US"/>
        </w:rPr>
        <w:t>(additional ad hoc groups may be scheduled; the allocation of time slots to TSAG Rapporteur Groups is preliminary and subject to modification)</w:t>
      </w:r>
    </w:p>
    <w:tbl>
      <w:tblPr>
        <w:tblStyle w:val="TableGrid2"/>
        <w:tblW w:w="14290" w:type="dxa"/>
        <w:jc w:val="center"/>
        <w:tblLayout w:type="fixed"/>
        <w:tblLook w:val="04A0" w:firstRow="1" w:lastRow="0" w:firstColumn="1" w:lastColumn="0" w:noHBand="0" w:noVBand="1"/>
      </w:tblPr>
      <w:tblGrid>
        <w:gridCol w:w="850"/>
        <w:gridCol w:w="2240"/>
        <w:gridCol w:w="2240"/>
        <w:gridCol w:w="2240"/>
        <w:gridCol w:w="2240"/>
        <w:gridCol w:w="2240"/>
        <w:gridCol w:w="2240"/>
      </w:tblGrid>
      <w:tr w:rsidR="00B37FEF" w:rsidRPr="00B37FEF" w14:paraId="7F4C0AC7" w14:textId="77777777" w:rsidTr="004264F2">
        <w:trPr>
          <w:jc w:val="center"/>
        </w:trPr>
        <w:tc>
          <w:tcPr>
            <w:tcW w:w="850" w:type="dxa"/>
            <w:shd w:val="clear" w:color="auto" w:fill="EDEDED"/>
          </w:tcPr>
          <w:p w14:paraId="74E29D63"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Session #</w:t>
            </w:r>
          </w:p>
        </w:tc>
        <w:tc>
          <w:tcPr>
            <w:tcW w:w="2240" w:type="dxa"/>
            <w:shd w:val="clear" w:color="auto" w:fill="EDEDED"/>
          </w:tcPr>
          <w:p w14:paraId="34BCC5EB"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Sunday</w:t>
            </w:r>
          </w:p>
          <w:p w14:paraId="49019206"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28 July 2024</w:t>
            </w:r>
          </w:p>
        </w:tc>
        <w:tc>
          <w:tcPr>
            <w:tcW w:w="2240" w:type="dxa"/>
            <w:shd w:val="clear" w:color="auto" w:fill="EDEDED"/>
          </w:tcPr>
          <w:p w14:paraId="5C4BDF39"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Monday</w:t>
            </w:r>
          </w:p>
          <w:p w14:paraId="65BF6EE3"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29 July 2024</w:t>
            </w:r>
          </w:p>
        </w:tc>
        <w:tc>
          <w:tcPr>
            <w:tcW w:w="2240" w:type="dxa"/>
            <w:shd w:val="clear" w:color="auto" w:fill="EDEDED"/>
          </w:tcPr>
          <w:p w14:paraId="7C0DEADB"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Tuesday</w:t>
            </w:r>
          </w:p>
          <w:p w14:paraId="3CF7BF15"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30 July 2024</w:t>
            </w:r>
          </w:p>
        </w:tc>
        <w:tc>
          <w:tcPr>
            <w:tcW w:w="2240" w:type="dxa"/>
            <w:shd w:val="clear" w:color="auto" w:fill="EDEDED"/>
          </w:tcPr>
          <w:p w14:paraId="076A5549"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Wednesday</w:t>
            </w:r>
          </w:p>
          <w:p w14:paraId="15567E08"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31 July 2024</w:t>
            </w:r>
          </w:p>
        </w:tc>
        <w:tc>
          <w:tcPr>
            <w:tcW w:w="2240" w:type="dxa"/>
            <w:shd w:val="clear" w:color="auto" w:fill="EDEDED"/>
          </w:tcPr>
          <w:p w14:paraId="322DA856"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Thursday</w:t>
            </w:r>
          </w:p>
          <w:p w14:paraId="1C9FC442"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1 August 2024</w:t>
            </w:r>
          </w:p>
        </w:tc>
        <w:tc>
          <w:tcPr>
            <w:tcW w:w="2240" w:type="dxa"/>
            <w:shd w:val="clear" w:color="auto" w:fill="EDEDED"/>
          </w:tcPr>
          <w:p w14:paraId="3838E9B9"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Friday</w:t>
            </w:r>
          </w:p>
          <w:p w14:paraId="7A6B3E90" w14:textId="77777777" w:rsidR="00B37FEF" w:rsidRPr="00B37FEF" w:rsidRDefault="00B37FEF" w:rsidP="00B37FEF">
            <w:pPr>
              <w:tabs>
                <w:tab w:val="clear" w:pos="794"/>
              </w:tabs>
              <w:bidi w:val="0"/>
              <w:spacing w:before="0" w:line="240" w:lineRule="auto"/>
              <w:jc w:val="center"/>
              <w:rPr>
                <w:rFonts w:ascii="Calibri" w:hAnsi="Calibri" w:cs="Times New Roman"/>
                <w:b/>
                <w:bCs/>
                <w:sz w:val="18"/>
                <w:szCs w:val="18"/>
                <w:lang w:val="en-GB"/>
              </w:rPr>
            </w:pPr>
            <w:r w:rsidRPr="00B37FEF">
              <w:rPr>
                <w:rFonts w:ascii="Calibri" w:hAnsi="Calibri" w:cs="Times New Roman"/>
                <w:b/>
                <w:bCs/>
                <w:sz w:val="18"/>
                <w:szCs w:val="18"/>
                <w:lang w:val="en-GB"/>
              </w:rPr>
              <w:t>2 August 2024</w:t>
            </w:r>
          </w:p>
        </w:tc>
      </w:tr>
      <w:tr w:rsidR="00B37FEF" w:rsidRPr="00B37FEF" w14:paraId="1D541DD4" w14:textId="77777777" w:rsidTr="004264F2">
        <w:trPr>
          <w:trHeight w:val="435"/>
          <w:jc w:val="center"/>
        </w:trPr>
        <w:tc>
          <w:tcPr>
            <w:tcW w:w="850" w:type="dxa"/>
          </w:tcPr>
          <w:p w14:paraId="234666DC" w14:textId="77777777" w:rsidR="00B37FEF" w:rsidRPr="00B37FEF" w:rsidRDefault="00B37FEF" w:rsidP="00B37FEF">
            <w:pPr>
              <w:tabs>
                <w:tab w:val="clear" w:pos="794"/>
              </w:tabs>
              <w:bidi w:val="0"/>
              <w:spacing w:before="0" w:line="240" w:lineRule="auto"/>
              <w:jc w:val="center"/>
              <w:rPr>
                <w:rFonts w:ascii="Calibri" w:hAnsi="Calibri" w:cs="Calibri"/>
                <w:sz w:val="16"/>
                <w:szCs w:val="16"/>
                <w:lang w:val="en-GB"/>
              </w:rPr>
            </w:pPr>
            <w:r w:rsidRPr="00B37FEF">
              <w:rPr>
                <w:rFonts w:ascii="Calibri" w:hAnsi="Calibri" w:cs="Calibri"/>
                <w:sz w:val="16"/>
                <w:szCs w:val="16"/>
                <w:lang w:val="en-GB"/>
              </w:rPr>
              <w:t>#1; am</w:t>
            </w:r>
          </w:p>
        </w:tc>
        <w:tc>
          <w:tcPr>
            <w:tcW w:w="2240" w:type="dxa"/>
          </w:tcPr>
          <w:p w14:paraId="5EE4D56B"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tcPr>
          <w:p w14:paraId="0BDC5F5D"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0930 – 1045 hours</w:t>
            </w:r>
          </w:p>
          <w:p w14:paraId="20431F12"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TSAG Plenary (***)</w:t>
            </w:r>
          </w:p>
        </w:tc>
        <w:tc>
          <w:tcPr>
            <w:tcW w:w="2240" w:type="dxa"/>
          </w:tcPr>
          <w:p w14:paraId="4A0BB66D"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0930 – 1045 hours</w:t>
            </w:r>
          </w:p>
          <w:p w14:paraId="3E6258FA" w14:textId="77777777" w:rsidR="00B37FEF" w:rsidRPr="00B37FEF" w:rsidRDefault="00B37FEF" w:rsidP="00B37FEF">
            <w:pPr>
              <w:tabs>
                <w:tab w:val="clear" w:pos="794"/>
              </w:tabs>
              <w:bidi w:val="0"/>
              <w:spacing w:before="0" w:after="12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5DFC3F71"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0930 – 1045 hours</w:t>
            </w:r>
          </w:p>
          <w:p w14:paraId="311ABCFA"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69D07E03"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0930 – 1045 hours</w:t>
            </w:r>
          </w:p>
          <w:p w14:paraId="7E7F25F5"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6EE02548"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0900 – 1015 hours</w:t>
            </w:r>
          </w:p>
          <w:p w14:paraId="28032FF9"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sz w:val="16"/>
                <w:szCs w:val="16"/>
                <w:lang w:val="en-GB"/>
              </w:rPr>
              <w:t>TSAG/WP Plenary (***)</w:t>
            </w:r>
          </w:p>
        </w:tc>
      </w:tr>
      <w:tr w:rsidR="00B37FEF" w:rsidRPr="00B37FEF" w14:paraId="7EC06E21" w14:textId="77777777" w:rsidTr="00B37FEF">
        <w:trPr>
          <w:jc w:val="center"/>
        </w:trPr>
        <w:tc>
          <w:tcPr>
            <w:tcW w:w="850" w:type="dxa"/>
            <w:shd w:val="clear" w:color="auto" w:fill="F2F2F2"/>
          </w:tcPr>
          <w:p w14:paraId="3F091499" w14:textId="77777777" w:rsidR="00B37FEF" w:rsidRPr="00B37FEF" w:rsidRDefault="00B37FEF" w:rsidP="00B37FEF">
            <w:pPr>
              <w:tabs>
                <w:tab w:val="clear" w:pos="794"/>
              </w:tabs>
              <w:bidi w:val="0"/>
              <w:spacing w:before="0" w:line="240" w:lineRule="auto"/>
              <w:jc w:val="center"/>
              <w:rPr>
                <w:rFonts w:ascii="Calibri" w:hAnsi="Calibri" w:cs="Calibri"/>
                <w:i/>
                <w:iCs/>
                <w:sz w:val="16"/>
                <w:szCs w:val="16"/>
                <w:lang w:val="en-GB"/>
              </w:rPr>
            </w:pPr>
            <w:r w:rsidRPr="00B37FEF">
              <w:rPr>
                <w:rFonts w:ascii="Calibri" w:hAnsi="Calibri" w:cs="Calibri"/>
                <w:i/>
                <w:iCs/>
                <w:sz w:val="16"/>
                <w:szCs w:val="16"/>
                <w:lang w:val="en-GB"/>
              </w:rPr>
              <w:t>Coffee break</w:t>
            </w:r>
          </w:p>
        </w:tc>
        <w:tc>
          <w:tcPr>
            <w:tcW w:w="2240" w:type="dxa"/>
            <w:shd w:val="clear" w:color="auto" w:fill="F2F2F2"/>
          </w:tcPr>
          <w:p w14:paraId="5A680F77"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652638EC"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066296C5"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0F3EBFAA"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754B83CB"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6D0BF4EF"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r>
      <w:tr w:rsidR="00B37FEF" w:rsidRPr="00B37FEF" w14:paraId="5D36E97F" w14:textId="77777777" w:rsidTr="004264F2">
        <w:trPr>
          <w:jc w:val="center"/>
        </w:trPr>
        <w:tc>
          <w:tcPr>
            <w:tcW w:w="850" w:type="dxa"/>
          </w:tcPr>
          <w:p w14:paraId="374DEB30" w14:textId="77777777" w:rsidR="00B37FEF" w:rsidRPr="00B37FEF" w:rsidRDefault="00B37FEF" w:rsidP="00B37FEF">
            <w:pPr>
              <w:tabs>
                <w:tab w:val="clear" w:pos="794"/>
              </w:tabs>
              <w:bidi w:val="0"/>
              <w:spacing w:before="0" w:line="240" w:lineRule="auto"/>
              <w:jc w:val="center"/>
              <w:rPr>
                <w:rFonts w:ascii="Calibri" w:hAnsi="Calibri" w:cs="Calibri"/>
                <w:sz w:val="16"/>
                <w:szCs w:val="16"/>
                <w:lang w:val="en-GB"/>
              </w:rPr>
            </w:pPr>
            <w:r w:rsidRPr="00B37FEF">
              <w:rPr>
                <w:rFonts w:ascii="Calibri" w:hAnsi="Calibri" w:cs="Calibri"/>
                <w:sz w:val="16"/>
                <w:szCs w:val="16"/>
                <w:lang w:val="en-GB"/>
              </w:rPr>
              <w:t>#2; am</w:t>
            </w:r>
          </w:p>
        </w:tc>
        <w:tc>
          <w:tcPr>
            <w:tcW w:w="2240" w:type="dxa"/>
          </w:tcPr>
          <w:p w14:paraId="43446C60"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tcPr>
          <w:p w14:paraId="32FE73D8"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1115 – 1230 hours</w:t>
            </w:r>
          </w:p>
          <w:p w14:paraId="66AEFE8E"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TSAG Plenary (***)</w:t>
            </w:r>
          </w:p>
        </w:tc>
        <w:tc>
          <w:tcPr>
            <w:tcW w:w="2240" w:type="dxa"/>
          </w:tcPr>
          <w:p w14:paraId="62688CAA"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1115 – 1230 hours</w:t>
            </w:r>
          </w:p>
          <w:p w14:paraId="5FE931FE" w14:textId="77777777" w:rsidR="00B37FEF" w:rsidRPr="00B37FEF" w:rsidRDefault="00B37FEF" w:rsidP="00B37FEF">
            <w:pPr>
              <w:tabs>
                <w:tab w:val="clear" w:pos="794"/>
              </w:tabs>
              <w:bidi w:val="0"/>
              <w:spacing w:before="0" w:after="12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102FCE1E"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1115 – 1230 hours</w:t>
            </w:r>
          </w:p>
          <w:p w14:paraId="15031D82"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sz w:val="16"/>
                <w:szCs w:val="16"/>
                <w:lang w:val="en-GB"/>
              </w:rPr>
              <w:t>WP/RG session</w:t>
            </w:r>
          </w:p>
        </w:tc>
        <w:tc>
          <w:tcPr>
            <w:tcW w:w="2240" w:type="dxa"/>
          </w:tcPr>
          <w:p w14:paraId="338FB814"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1115 – 1230 hours</w:t>
            </w:r>
          </w:p>
          <w:p w14:paraId="2B95A56B"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26F7BEA8"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1045 – 1200 hours</w:t>
            </w:r>
          </w:p>
          <w:p w14:paraId="095A0322"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sz w:val="16"/>
                <w:szCs w:val="16"/>
                <w:lang w:val="en-GB"/>
              </w:rPr>
              <w:t>TSAG/WP Plenary (***)</w:t>
            </w:r>
          </w:p>
        </w:tc>
      </w:tr>
      <w:tr w:rsidR="00B37FEF" w:rsidRPr="00B37FEF" w14:paraId="7A75EB39" w14:textId="77777777" w:rsidTr="00B37FEF">
        <w:trPr>
          <w:jc w:val="center"/>
        </w:trPr>
        <w:tc>
          <w:tcPr>
            <w:tcW w:w="850" w:type="dxa"/>
            <w:shd w:val="clear" w:color="auto" w:fill="F2F2F2"/>
            <w:vAlign w:val="center"/>
          </w:tcPr>
          <w:p w14:paraId="1EA8852E" w14:textId="77777777" w:rsidR="00B37FEF" w:rsidRPr="00B37FEF" w:rsidRDefault="00B37FEF" w:rsidP="00B37FEF">
            <w:pPr>
              <w:tabs>
                <w:tab w:val="clear" w:pos="794"/>
              </w:tabs>
              <w:bidi w:val="0"/>
              <w:spacing w:before="0" w:line="240" w:lineRule="auto"/>
              <w:jc w:val="center"/>
              <w:rPr>
                <w:rFonts w:ascii="Calibri" w:hAnsi="Calibri" w:cs="Calibri"/>
                <w:i/>
                <w:iCs/>
                <w:sz w:val="16"/>
                <w:szCs w:val="16"/>
                <w:lang w:val="en-GB"/>
              </w:rPr>
            </w:pPr>
            <w:r w:rsidRPr="00B37FEF">
              <w:rPr>
                <w:rFonts w:ascii="Calibri" w:hAnsi="Calibri" w:cs="Calibri"/>
                <w:i/>
                <w:iCs/>
                <w:sz w:val="16"/>
                <w:szCs w:val="16"/>
                <w:lang w:val="en-GB"/>
              </w:rPr>
              <w:t>Lunch</w:t>
            </w:r>
          </w:p>
        </w:tc>
        <w:tc>
          <w:tcPr>
            <w:tcW w:w="2240" w:type="dxa"/>
            <w:shd w:val="clear" w:color="auto" w:fill="F2F2F2"/>
          </w:tcPr>
          <w:p w14:paraId="4209F999"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13B92BCA" w14:textId="77777777" w:rsidR="00B37FEF" w:rsidRPr="00B37FEF" w:rsidRDefault="00B37FEF" w:rsidP="00B37FEF">
            <w:pPr>
              <w:tabs>
                <w:tab w:val="clear" w:pos="794"/>
                <w:tab w:val="left" w:pos="999"/>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1315 – 1430 hours</w:t>
            </w:r>
          </w:p>
          <w:p w14:paraId="41D1A99E"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Study Group/TSAG Chairmen’s meeting (**)</w:t>
            </w:r>
          </w:p>
        </w:tc>
        <w:tc>
          <w:tcPr>
            <w:tcW w:w="2240" w:type="dxa"/>
            <w:shd w:val="clear" w:color="auto" w:fill="F2F2F2"/>
          </w:tcPr>
          <w:p w14:paraId="2364E5F2"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1245 – 1345 hours</w:t>
            </w:r>
          </w:p>
          <w:p w14:paraId="70D63CB1"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roofErr w:type="gramStart"/>
            <w:r w:rsidRPr="00B37FEF">
              <w:rPr>
                <w:rFonts w:ascii="Calibri" w:hAnsi="Calibri" w:cs="Calibri"/>
                <w:sz w:val="16"/>
                <w:szCs w:val="16"/>
                <w:lang w:val="en-GB"/>
              </w:rPr>
              <w:t>Newcomers</w:t>
            </w:r>
            <w:proofErr w:type="gramEnd"/>
            <w:r w:rsidRPr="00B37FEF">
              <w:rPr>
                <w:rFonts w:ascii="Calibri" w:hAnsi="Calibri" w:cs="Calibri"/>
                <w:sz w:val="16"/>
                <w:szCs w:val="16"/>
                <w:lang w:val="en-GB"/>
              </w:rPr>
              <w:t xml:space="preserve"> session</w:t>
            </w:r>
          </w:p>
        </w:tc>
        <w:tc>
          <w:tcPr>
            <w:tcW w:w="2240" w:type="dxa"/>
            <w:shd w:val="clear" w:color="auto" w:fill="F2F2F2"/>
          </w:tcPr>
          <w:p w14:paraId="65E352F3"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5CF22FD5"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5221EC5F"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r>
      <w:tr w:rsidR="00B37FEF" w:rsidRPr="00B37FEF" w14:paraId="1C984677" w14:textId="77777777" w:rsidTr="004264F2">
        <w:trPr>
          <w:jc w:val="center"/>
        </w:trPr>
        <w:tc>
          <w:tcPr>
            <w:tcW w:w="850" w:type="dxa"/>
          </w:tcPr>
          <w:p w14:paraId="18CDED6F" w14:textId="77777777" w:rsidR="00B37FEF" w:rsidRPr="00B37FEF" w:rsidRDefault="00B37FEF" w:rsidP="00B37FEF">
            <w:pPr>
              <w:tabs>
                <w:tab w:val="clear" w:pos="794"/>
              </w:tabs>
              <w:bidi w:val="0"/>
              <w:spacing w:before="0" w:line="240" w:lineRule="auto"/>
              <w:jc w:val="center"/>
              <w:rPr>
                <w:rFonts w:ascii="Calibri" w:hAnsi="Calibri" w:cs="Calibri"/>
                <w:sz w:val="16"/>
                <w:szCs w:val="16"/>
                <w:lang w:val="en-GB"/>
              </w:rPr>
            </w:pPr>
            <w:r w:rsidRPr="00B37FEF">
              <w:rPr>
                <w:rFonts w:ascii="Calibri" w:hAnsi="Calibri" w:cs="Calibri"/>
                <w:sz w:val="16"/>
                <w:szCs w:val="16"/>
                <w:lang w:val="en-GB"/>
              </w:rPr>
              <w:t>#3; pm</w:t>
            </w:r>
          </w:p>
        </w:tc>
        <w:tc>
          <w:tcPr>
            <w:tcW w:w="2240" w:type="dxa"/>
          </w:tcPr>
          <w:p w14:paraId="2F1A7B64"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1600 – 1800</w:t>
            </w:r>
          </w:p>
          <w:p w14:paraId="25FC6A6B"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TSAG Management Meeting (*)</w:t>
            </w:r>
          </w:p>
        </w:tc>
        <w:tc>
          <w:tcPr>
            <w:tcW w:w="2240" w:type="dxa"/>
          </w:tcPr>
          <w:p w14:paraId="5F8B6276"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1430 – 1545 hours</w:t>
            </w:r>
          </w:p>
          <w:p w14:paraId="014D2FAC" w14:textId="77777777" w:rsidR="00B37FEF" w:rsidRPr="00B37FEF" w:rsidRDefault="00B37FEF" w:rsidP="00B37FEF">
            <w:pPr>
              <w:tabs>
                <w:tab w:val="clear" w:pos="794"/>
                <w:tab w:val="left" w:pos="999"/>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TSAG Plenary/WP/RG session (***)</w:t>
            </w:r>
          </w:p>
        </w:tc>
        <w:tc>
          <w:tcPr>
            <w:tcW w:w="2240" w:type="dxa"/>
          </w:tcPr>
          <w:p w14:paraId="092A950E"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1430 – 1545 hours</w:t>
            </w:r>
          </w:p>
          <w:p w14:paraId="41A4FD13"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718D8FB6"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1430 – 1545 hours</w:t>
            </w:r>
          </w:p>
          <w:p w14:paraId="5ECF3E7D" w14:textId="77777777" w:rsidR="00B37FEF" w:rsidRPr="00B37FEF" w:rsidRDefault="00B37FEF" w:rsidP="00B37FEF">
            <w:pPr>
              <w:tabs>
                <w:tab w:val="clear" w:pos="794"/>
              </w:tabs>
              <w:bidi w:val="0"/>
              <w:spacing w:before="0" w:after="12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4F9D2789"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1430 – 1545 hours</w:t>
            </w:r>
          </w:p>
          <w:p w14:paraId="5B02A2B6"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sz w:val="16"/>
                <w:szCs w:val="16"/>
                <w:lang w:val="en-GB"/>
              </w:rPr>
              <w:t>WP/RG session</w:t>
            </w:r>
          </w:p>
        </w:tc>
        <w:tc>
          <w:tcPr>
            <w:tcW w:w="2240" w:type="dxa"/>
          </w:tcPr>
          <w:p w14:paraId="0F290832"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1430 – 1545 hours</w:t>
            </w:r>
          </w:p>
          <w:p w14:paraId="342C251B"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sz w:val="16"/>
                <w:szCs w:val="16"/>
                <w:lang w:val="en-GB"/>
              </w:rPr>
              <w:t>TSAG Plenary (***)</w:t>
            </w:r>
          </w:p>
        </w:tc>
      </w:tr>
      <w:tr w:rsidR="00B37FEF" w:rsidRPr="00B37FEF" w14:paraId="1E496E7E" w14:textId="77777777" w:rsidTr="00B37FEF">
        <w:trPr>
          <w:jc w:val="center"/>
        </w:trPr>
        <w:tc>
          <w:tcPr>
            <w:tcW w:w="850" w:type="dxa"/>
            <w:shd w:val="clear" w:color="auto" w:fill="F2F2F2"/>
          </w:tcPr>
          <w:p w14:paraId="18D40BEA" w14:textId="77777777" w:rsidR="00B37FEF" w:rsidRPr="00B37FEF" w:rsidRDefault="00B37FEF" w:rsidP="00B37FEF">
            <w:pPr>
              <w:tabs>
                <w:tab w:val="clear" w:pos="794"/>
              </w:tabs>
              <w:bidi w:val="0"/>
              <w:spacing w:before="0" w:line="240" w:lineRule="auto"/>
              <w:jc w:val="center"/>
              <w:rPr>
                <w:rFonts w:ascii="Calibri" w:hAnsi="Calibri" w:cs="Calibri"/>
                <w:i/>
                <w:iCs/>
                <w:sz w:val="16"/>
                <w:szCs w:val="16"/>
                <w:lang w:val="en-GB"/>
              </w:rPr>
            </w:pPr>
            <w:r w:rsidRPr="00B37FEF">
              <w:rPr>
                <w:rFonts w:ascii="Calibri" w:hAnsi="Calibri" w:cs="Calibri"/>
                <w:i/>
                <w:iCs/>
                <w:sz w:val="16"/>
                <w:szCs w:val="16"/>
                <w:lang w:val="en-GB"/>
              </w:rPr>
              <w:t>Coffee break</w:t>
            </w:r>
          </w:p>
        </w:tc>
        <w:tc>
          <w:tcPr>
            <w:tcW w:w="2240" w:type="dxa"/>
            <w:shd w:val="clear" w:color="auto" w:fill="F2F2F2"/>
          </w:tcPr>
          <w:p w14:paraId="19D9CAD4"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shd w:val="clear" w:color="auto" w:fill="F2F2F2"/>
          </w:tcPr>
          <w:p w14:paraId="5346F10B" w14:textId="77777777" w:rsidR="00B37FEF" w:rsidRPr="00B37FEF" w:rsidRDefault="00B37FEF" w:rsidP="00B37FEF">
            <w:pPr>
              <w:tabs>
                <w:tab w:val="clear" w:pos="794"/>
                <w:tab w:val="left" w:pos="999"/>
              </w:tabs>
              <w:bidi w:val="0"/>
              <w:spacing w:before="0" w:line="240" w:lineRule="auto"/>
              <w:jc w:val="left"/>
              <w:rPr>
                <w:rFonts w:ascii="Calibri" w:hAnsi="Calibri" w:cs="Calibri"/>
                <w:bCs/>
                <w:sz w:val="16"/>
                <w:szCs w:val="16"/>
                <w:lang w:val="en-GB"/>
              </w:rPr>
            </w:pPr>
          </w:p>
        </w:tc>
        <w:tc>
          <w:tcPr>
            <w:tcW w:w="2240" w:type="dxa"/>
            <w:shd w:val="clear" w:color="auto" w:fill="F2F2F2"/>
          </w:tcPr>
          <w:p w14:paraId="639A1E84"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2A91A0E5"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2FD63D18"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shd w:val="clear" w:color="auto" w:fill="F2F2F2"/>
          </w:tcPr>
          <w:p w14:paraId="48F29BA2"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r>
      <w:tr w:rsidR="00B37FEF" w:rsidRPr="00B37FEF" w14:paraId="62AE0AE2" w14:textId="77777777" w:rsidTr="004264F2">
        <w:trPr>
          <w:trHeight w:val="379"/>
          <w:jc w:val="center"/>
        </w:trPr>
        <w:tc>
          <w:tcPr>
            <w:tcW w:w="850" w:type="dxa"/>
          </w:tcPr>
          <w:p w14:paraId="0220AD0C" w14:textId="77777777" w:rsidR="00B37FEF" w:rsidRPr="00B37FEF" w:rsidRDefault="00B37FEF" w:rsidP="00B37FEF">
            <w:pPr>
              <w:tabs>
                <w:tab w:val="clear" w:pos="794"/>
              </w:tabs>
              <w:bidi w:val="0"/>
              <w:spacing w:before="0" w:line="240" w:lineRule="auto"/>
              <w:jc w:val="center"/>
              <w:rPr>
                <w:rFonts w:ascii="Calibri" w:hAnsi="Calibri" w:cs="Calibri"/>
                <w:sz w:val="16"/>
                <w:szCs w:val="16"/>
                <w:lang w:val="en-GB"/>
              </w:rPr>
            </w:pPr>
            <w:r w:rsidRPr="00B37FEF">
              <w:rPr>
                <w:rFonts w:ascii="Calibri" w:hAnsi="Calibri" w:cs="Calibri"/>
                <w:sz w:val="16"/>
                <w:szCs w:val="16"/>
                <w:lang w:val="en-GB"/>
              </w:rPr>
              <w:t>#4; pm</w:t>
            </w:r>
          </w:p>
        </w:tc>
        <w:tc>
          <w:tcPr>
            <w:tcW w:w="2240" w:type="dxa"/>
          </w:tcPr>
          <w:p w14:paraId="3A9B4D99"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tcPr>
          <w:p w14:paraId="72FCAED0" w14:textId="77777777" w:rsidR="00B37FEF" w:rsidRPr="00B37FEF" w:rsidRDefault="00B37FEF" w:rsidP="00B37FEF">
            <w:pPr>
              <w:tabs>
                <w:tab w:val="clear" w:pos="794"/>
                <w:tab w:val="left" w:pos="999"/>
              </w:tabs>
              <w:bidi w:val="0"/>
              <w:spacing w:before="0" w:line="240" w:lineRule="auto"/>
              <w:jc w:val="left"/>
              <w:rPr>
                <w:rFonts w:ascii="Calibri" w:hAnsi="Calibri" w:cs="Calibri"/>
                <w:sz w:val="16"/>
                <w:szCs w:val="16"/>
                <w:lang w:val="en-GB"/>
              </w:rPr>
            </w:pPr>
            <w:r w:rsidRPr="00B37FEF">
              <w:rPr>
                <w:rFonts w:ascii="Calibri" w:hAnsi="Calibri" w:cs="Calibri"/>
                <w:b/>
                <w:bCs/>
                <w:sz w:val="16"/>
                <w:szCs w:val="16"/>
                <w:lang w:val="en-GB"/>
              </w:rPr>
              <w:t>1615 – 1730 hours</w:t>
            </w:r>
          </w:p>
          <w:p w14:paraId="62CB564D" w14:textId="77777777" w:rsidR="00B37FEF" w:rsidRPr="00B37FEF" w:rsidRDefault="00B37FEF" w:rsidP="00B37FEF">
            <w:pPr>
              <w:tabs>
                <w:tab w:val="clear" w:pos="794"/>
                <w:tab w:val="left" w:pos="999"/>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TSAG Plenary/WP/RG session (***)</w:t>
            </w:r>
          </w:p>
        </w:tc>
        <w:tc>
          <w:tcPr>
            <w:tcW w:w="2240" w:type="dxa"/>
          </w:tcPr>
          <w:p w14:paraId="2DBAA1D0"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1615 – 1730 hours</w:t>
            </w:r>
          </w:p>
          <w:p w14:paraId="6BDE7A3B"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51042930"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1615 – 1730 hours</w:t>
            </w:r>
          </w:p>
          <w:p w14:paraId="27ACE4BD"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r w:rsidRPr="00B37FEF">
              <w:rPr>
                <w:rFonts w:ascii="Calibri" w:hAnsi="Calibri" w:cs="Calibri"/>
                <w:sz w:val="16"/>
                <w:szCs w:val="16"/>
                <w:lang w:val="en-GB"/>
              </w:rPr>
              <w:t>WP/RG session</w:t>
            </w:r>
          </w:p>
        </w:tc>
        <w:tc>
          <w:tcPr>
            <w:tcW w:w="2240" w:type="dxa"/>
          </w:tcPr>
          <w:p w14:paraId="2ECFF962"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1615 – 1730 hours</w:t>
            </w:r>
          </w:p>
          <w:p w14:paraId="7B9EEC74"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sz w:val="16"/>
                <w:szCs w:val="16"/>
                <w:lang w:val="en-GB"/>
              </w:rPr>
              <w:t>WP/RG session</w:t>
            </w:r>
          </w:p>
        </w:tc>
        <w:tc>
          <w:tcPr>
            <w:tcW w:w="2240" w:type="dxa"/>
          </w:tcPr>
          <w:p w14:paraId="1AE225C3"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b/>
                <w:bCs/>
                <w:sz w:val="16"/>
                <w:szCs w:val="16"/>
                <w:lang w:val="en-GB"/>
              </w:rPr>
              <w:t>1615 – 1730 hours</w:t>
            </w:r>
          </w:p>
          <w:p w14:paraId="70CF7AFC" w14:textId="77777777" w:rsidR="00B37FEF" w:rsidRPr="00B37FEF" w:rsidRDefault="00B37FEF" w:rsidP="00B37FEF">
            <w:pPr>
              <w:tabs>
                <w:tab w:val="clear" w:pos="794"/>
              </w:tabs>
              <w:bidi w:val="0"/>
              <w:spacing w:before="0" w:line="240" w:lineRule="auto"/>
              <w:jc w:val="left"/>
              <w:rPr>
                <w:rFonts w:ascii="Calibri" w:hAnsi="Calibri" w:cs="Calibri"/>
                <w:b/>
                <w:bCs/>
                <w:sz w:val="16"/>
                <w:szCs w:val="16"/>
                <w:lang w:val="en-GB"/>
              </w:rPr>
            </w:pPr>
            <w:r w:rsidRPr="00B37FEF">
              <w:rPr>
                <w:rFonts w:ascii="Calibri" w:hAnsi="Calibri" w:cs="Calibri"/>
                <w:sz w:val="16"/>
                <w:szCs w:val="16"/>
                <w:lang w:val="en-GB"/>
              </w:rPr>
              <w:t>TSAG Plenary (***)</w:t>
            </w:r>
          </w:p>
        </w:tc>
      </w:tr>
      <w:tr w:rsidR="00B37FEF" w:rsidRPr="00B37FEF" w14:paraId="7921A355" w14:textId="77777777" w:rsidTr="004264F2">
        <w:trPr>
          <w:trHeight w:val="387"/>
          <w:jc w:val="center"/>
        </w:trPr>
        <w:tc>
          <w:tcPr>
            <w:tcW w:w="850" w:type="dxa"/>
          </w:tcPr>
          <w:p w14:paraId="49E46B53" w14:textId="77777777" w:rsidR="00B37FEF" w:rsidRPr="00B37FEF" w:rsidRDefault="00B37FEF" w:rsidP="00B37FEF">
            <w:pPr>
              <w:tabs>
                <w:tab w:val="clear" w:pos="794"/>
              </w:tabs>
              <w:bidi w:val="0"/>
              <w:spacing w:before="0" w:line="240" w:lineRule="auto"/>
              <w:jc w:val="center"/>
              <w:rPr>
                <w:rFonts w:ascii="Calibri" w:hAnsi="Calibri" w:cs="Calibri"/>
                <w:sz w:val="16"/>
                <w:szCs w:val="16"/>
                <w:lang w:val="en-GB"/>
              </w:rPr>
            </w:pPr>
            <w:r w:rsidRPr="00B37FEF">
              <w:rPr>
                <w:rFonts w:ascii="Calibri" w:hAnsi="Calibri" w:cs="Calibri"/>
                <w:sz w:val="16"/>
                <w:szCs w:val="16"/>
                <w:lang w:val="en-GB"/>
              </w:rPr>
              <w:t>#5; pm</w:t>
            </w:r>
          </w:p>
        </w:tc>
        <w:tc>
          <w:tcPr>
            <w:tcW w:w="2240" w:type="dxa"/>
          </w:tcPr>
          <w:p w14:paraId="5AF62638" w14:textId="77777777" w:rsidR="00B37FEF" w:rsidRPr="00B37FEF" w:rsidRDefault="00B37FEF" w:rsidP="00B37FEF">
            <w:pPr>
              <w:tabs>
                <w:tab w:val="clear" w:pos="794"/>
              </w:tabs>
              <w:bidi w:val="0"/>
              <w:spacing w:before="0" w:line="240" w:lineRule="auto"/>
              <w:jc w:val="left"/>
              <w:rPr>
                <w:rFonts w:ascii="Calibri" w:hAnsi="Calibri" w:cs="Calibri"/>
                <w:sz w:val="16"/>
                <w:szCs w:val="16"/>
                <w:lang w:val="en-GB"/>
              </w:rPr>
            </w:pPr>
          </w:p>
        </w:tc>
        <w:tc>
          <w:tcPr>
            <w:tcW w:w="2240" w:type="dxa"/>
          </w:tcPr>
          <w:p w14:paraId="30250EBB" w14:textId="77777777" w:rsidR="00B37FEF" w:rsidRPr="00B37FEF" w:rsidRDefault="00B37FEF" w:rsidP="00B37FEF">
            <w:pPr>
              <w:tabs>
                <w:tab w:val="clear" w:pos="794"/>
                <w:tab w:val="left" w:pos="999"/>
              </w:tabs>
              <w:bidi w:val="0"/>
              <w:spacing w:before="0" w:after="120" w:line="240" w:lineRule="auto"/>
              <w:jc w:val="left"/>
              <w:rPr>
                <w:rFonts w:ascii="Calibri" w:hAnsi="Calibri" w:cs="Calibri"/>
                <w:b/>
                <w:bCs/>
                <w:sz w:val="16"/>
                <w:szCs w:val="16"/>
                <w:lang w:val="en-GB"/>
              </w:rPr>
            </w:pPr>
          </w:p>
        </w:tc>
        <w:tc>
          <w:tcPr>
            <w:tcW w:w="2240" w:type="dxa"/>
          </w:tcPr>
          <w:p w14:paraId="18B2F45A"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tcPr>
          <w:p w14:paraId="2454E110"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tcPr>
          <w:p w14:paraId="674AD769"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c>
          <w:tcPr>
            <w:tcW w:w="2240" w:type="dxa"/>
          </w:tcPr>
          <w:p w14:paraId="3D36C49E" w14:textId="77777777" w:rsidR="00B37FEF" w:rsidRPr="00B37FEF" w:rsidRDefault="00B37FEF" w:rsidP="00B37FEF">
            <w:pPr>
              <w:tabs>
                <w:tab w:val="clear" w:pos="794"/>
              </w:tabs>
              <w:bidi w:val="0"/>
              <w:spacing w:before="0" w:line="240" w:lineRule="auto"/>
              <w:jc w:val="left"/>
              <w:rPr>
                <w:rFonts w:ascii="Calibri" w:hAnsi="Calibri" w:cs="Calibri"/>
                <w:bCs/>
                <w:sz w:val="16"/>
                <w:szCs w:val="16"/>
                <w:lang w:val="en-GB"/>
              </w:rPr>
            </w:pPr>
          </w:p>
        </w:tc>
      </w:tr>
    </w:tbl>
    <w:p w14:paraId="1A83EE17" w14:textId="77777777" w:rsidR="00B37FEF" w:rsidRPr="00B37FEF" w:rsidRDefault="00B37FEF" w:rsidP="00B37FEF">
      <w:pPr>
        <w:tabs>
          <w:tab w:val="clear" w:pos="794"/>
        </w:tabs>
        <w:overflowPunct w:val="0"/>
        <w:autoSpaceDE w:val="0"/>
        <w:autoSpaceDN w:val="0"/>
        <w:bidi w:val="0"/>
        <w:adjustRightInd w:val="0"/>
        <w:spacing w:before="0" w:after="120" w:line="240" w:lineRule="auto"/>
        <w:jc w:val="center"/>
        <w:textAlignment w:val="baseline"/>
        <w:rPr>
          <w:rFonts w:ascii="Calibri" w:eastAsia="Times New Roman" w:hAnsi="Calibri" w:cs="Times New Roman"/>
          <w:szCs w:val="20"/>
          <w:lang w:val="en-GB" w:eastAsia="en-US"/>
        </w:rPr>
      </w:pPr>
    </w:p>
    <w:p w14:paraId="5251A5B9"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b/>
          <w:bCs/>
          <w:lang w:val="en-GB" w:eastAsia="en-US"/>
        </w:rPr>
      </w:pPr>
      <w:r w:rsidRPr="00B37FEF">
        <w:rPr>
          <w:rFonts w:ascii="Calibri" w:eastAsia="Times New Roman" w:hAnsi="Calibri" w:cs="Times New Roman"/>
          <w:b/>
          <w:bCs/>
          <w:lang w:val="en-GB" w:eastAsia="en-US"/>
        </w:rPr>
        <w:t>Notes</w:t>
      </w:r>
    </w:p>
    <w:p w14:paraId="214F7AFB"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B37FEF">
        <w:rPr>
          <w:rFonts w:ascii="Calibri" w:eastAsia="Times New Roman" w:hAnsi="Calibri" w:cs="Times New Roman"/>
          <w:lang w:val="en-GB" w:eastAsia="en-US"/>
        </w:rPr>
        <w:t>(*) only for TSAG Management Team, Working Party Chairmen, and TSAG Rapporteurs</w:t>
      </w:r>
    </w:p>
    <w:p w14:paraId="012DC1AF"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B37FEF">
        <w:rPr>
          <w:rFonts w:ascii="Calibri" w:eastAsia="Times New Roman" w:hAnsi="Calibri" w:cs="Times New Roman"/>
          <w:lang w:val="en-GB" w:eastAsia="en-US"/>
        </w:rPr>
        <w:t>(**) only for ITU-T Study Group Chairmen and TSAG Chairman</w:t>
      </w:r>
    </w:p>
    <w:p w14:paraId="536C0986"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0" w:line="240" w:lineRule="auto"/>
        <w:ind w:left="720"/>
        <w:jc w:val="left"/>
        <w:textAlignment w:val="baseline"/>
        <w:rPr>
          <w:rFonts w:ascii="Calibri" w:eastAsia="Times New Roman" w:hAnsi="Calibri" w:cs="Times New Roman"/>
          <w:lang w:val="en-GB" w:eastAsia="en-US"/>
        </w:rPr>
      </w:pPr>
      <w:r w:rsidRPr="00B37FEF">
        <w:rPr>
          <w:rFonts w:ascii="Calibri" w:eastAsia="Times New Roman" w:hAnsi="Calibri" w:cs="Times New Roman"/>
          <w:lang w:val="en-GB" w:eastAsia="en-US"/>
        </w:rPr>
        <w:t>(***) session with interpretation</w:t>
      </w:r>
    </w:p>
    <w:p w14:paraId="72B6474C"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100" w:line="240" w:lineRule="auto"/>
        <w:ind w:left="720"/>
        <w:jc w:val="left"/>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 xml:space="preserve">Updates to the time plan can be found in </w:t>
      </w:r>
      <w:hyperlink r:id="rId48" w:history="1">
        <w:r w:rsidRPr="00B37FEF">
          <w:rPr>
            <w:rFonts w:ascii="Calibri" w:eastAsia="Times New Roman" w:hAnsi="Calibri" w:cs="Times New Roman"/>
            <w:color w:val="0000FF"/>
            <w:szCs w:val="20"/>
            <w:u w:val="single"/>
            <w:lang w:val="en-GB" w:eastAsia="en-US"/>
          </w:rPr>
          <w:t>TD486</w:t>
        </w:r>
      </w:hyperlink>
      <w:r w:rsidRPr="00B37FEF">
        <w:rPr>
          <w:rFonts w:ascii="Calibri" w:eastAsia="Times New Roman" w:hAnsi="Calibri" w:cs="Times New Roman"/>
          <w:szCs w:val="20"/>
          <w:lang w:val="en-GB" w:eastAsia="en-US"/>
        </w:rPr>
        <w:t>.</w:t>
      </w:r>
    </w:p>
    <w:p w14:paraId="55DA304F"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Cs w:val="20"/>
          <w:lang w:val="en-GB" w:eastAsia="en-US"/>
        </w:rPr>
      </w:pPr>
      <w:r w:rsidRPr="00B37FEF">
        <w:rPr>
          <w:rFonts w:ascii="Calibri" w:eastAsia="Times New Roman" w:hAnsi="Calibri" w:cs="Times New Roman"/>
          <w:szCs w:val="20"/>
          <w:lang w:val="en-GB" w:eastAsia="en-US"/>
        </w:rPr>
        <w:t>_____________________</w:t>
      </w:r>
    </w:p>
    <w:p w14:paraId="450EE73D" w14:textId="2E7C30B9" w:rsidR="009C72FE" w:rsidRDefault="009C72FE" w:rsidP="00D517B2">
      <w:pPr>
        <w:rPr>
          <w:rtl/>
          <w:lang w:bidi="ar-EG"/>
        </w:rPr>
      </w:pPr>
    </w:p>
    <w:sectPr w:rsidR="009C72FE" w:rsidSect="00B37FEF">
      <w:headerReference w:type="default" r:id="rId49"/>
      <w:footerReference w:type="default" r:id="rId50"/>
      <w:headerReference w:type="first" r:id="rId51"/>
      <w:footerReference w:type="first" r:id="rId52"/>
      <w:type w:val="oddPage"/>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52F0" w14:textId="77777777" w:rsidR="0053478E" w:rsidRDefault="0053478E" w:rsidP="006C3242">
      <w:pPr>
        <w:spacing w:before="0" w:line="240" w:lineRule="auto"/>
      </w:pPr>
      <w:r>
        <w:separator/>
      </w:r>
    </w:p>
  </w:endnote>
  <w:endnote w:type="continuationSeparator" w:id="0">
    <w:p w14:paraId="2F676C62" w14:textId="77777777" w:rsidR="0053478E" w:rsidRDefault="0053478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20E2" w14:textId="77777777" w:rsidR="00B37FEF" w:rsidRDefault="00B37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FF2E" w14:textId="7587D40F" w:rsidR="00B37FEF" w:rsidRPr="009E56D6" w:rsidRDefault="00B37FEF" w:rsidP="009E5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A9D2" w14:textId="77777777" w:rsidR="00B37FEF" w:rsidRPr="00C345C7" w:rsidRDefault="00B37FEF" w:rsidP="00713CDB">
    <w:pPr>
      <w:pStyle w:val="Footer"/>
      <w:spacing w:before="120"/>
      <w:jc w:val="cente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w:t>
    </w:r>
    <w:proofErr w:type="spellStart"/>
    <w:r w:rsidRPr="002B4680">
      <w:rPr>
        <w:rFonts w:ascii="Calibri" w:hAnsi="Calibri" w:cs="Calibri"/>
        <w:color w:val="0070C0"/>
        <w:sz w:val="18"/>
        <w:szCs w:val="18"/>
        <w:lang w:val="fr-CH"/>
      </w:rPr>
      <w:t>Switzerland</w:t>
    </w:r>
    <w:proofErr w:type="spellEnd"/>
    <w:r w:rsidRPr="002B4680">
      <w:rPr>
        <w:rFonts w:ascii="Calibri" w:hAnsi="Calibri" w:cs="Calibri"/>
        <w:color w:val="0070C0"/>
        <w:sz w:val="18"/>
        <w:szCs w:val="18"/>
        <w:lang w:val="fr-CH"/>
      </w:rPr>
      <w:t xml:space="preserve"> </w:t>
    </w:r>
    <w:r w:rsidRPr="002B4680">
      <w:rPr>
        <w:rFonts w:ascii="Calibri" w:hAnsi="Calibri" w:cs="Calibri"/>
        <w:color w:val="0070C0"/>
        <w:sz w:val="18"/>
        <w:szCs w:val="18"/>
        <w:lang w:val="fr-CH"/>
      </w:rPr>
      <w:br/>
    </w:r>
    <w:proofErr w:type="gramStart"/>
    <w:r w:rsidRPr="002B4680">
      <w:rPr>
        <w:rFonts w:ascii="Calibri" w:hAnsi="Calibri" w:cs="Calibri"/>
        <w:color w:val="0070C0"/>
        <w:sz w:val="18"/>
        <w:szCs w:val="18"/>
        <w:lang w:val="fr-CH"/>
      </w:rPr>
      <w:t>Tel:</w:t>
    </w:r>
    <w:proofErr w:type="gramEnd"/>
    <w:r w:rsidRPr="002B4680">
      <w:rPr>
        <w:rFonts w:ascii="Calibri" w:hAnsi="Calibri" w:cs="Calibri"/>
        <w:color w:val="0070C0"/>
        <w:sz w:val="18"/>
        <w:szCs w:val="18"/>
        <w:lang w:val="fr-CH"/>
      </w:rPr>
      <w:t xml:space="preserve">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F020" w14:textId="015DB761" w:rsidR="00F67629" w:rsidRPr="00F67629" w:rsidRDefault="00F67629" w:rsidP="00F67629">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F67629">
      <w:rPr>
        <w:sz w:val="16"/>
        <w:szCs w:val="16"/>
        <w:lang w:val="en-GB"/>
      </w:rPr>
      <w:instrText xml:space="preserve"> FILENAME \p \* MERGEFORMAT </w:instrText>
    </w:r>
    <w:r w:rsidRPr="0026373E">
      <w:rPr>
        <w:sz w:val="16"/>
        <w:szCs w:val="16"/>
        <w:lang w:val="fr-FR"/>
      </w:rPr>
      <w:fldChar w:fldCharType="separate"/>
    </w:r>
    <w:r w:rsidR="00B37FEF">
      <w:rPr>
        <w:noProof/>
        <w:sz w:val="16"/>
        <w:szCs w:val="16"/>
        <w:lang w:val="en-GB"/>
      </w:rPr>
      <w:t>P:\ARA\ITU-T\TSAG\COLL\004A.docx</w:t>
    </w:r>
    <w:r w:rsidRPr="0026373E">
      <w:rPr>
        <w:sz w:val="16"/>
        <w:szCs w:val="16"/>
      </w:rPr>
      <w:fldChar w:fldCharType="end"/>
    </w:r>
    <w:proofErr w:type="gramStart"/>
    <w:r w:rsidRPr="0026373E">
      <w:rPr>
        <w:sz w:val="16"/>
        <w:szCs w:val="16"/>
      </w:rPr>
      <w:t xml:space="preserve">  </w:t>
    </w:r>
    <w:r w:rsidRPr="00F67629">
      <w:rPr>
        <w:sz w:val="16"/>
        <w:szCs w:val="16"/>
        <w:lang w:val="en-GB"/>
      </w:rPr>
      <w:t xml:space="preserve"> (</w:t>
    </w:r>
    <w:proofErr w:type="gramEnd"/>
    <w:r w:rsidRPr="00F67629">
      <w:rPr>
        <w:sz w:val="16"/>
        <w:szCs w:val="16"/>
        <w:lang w:val="en-GB"/>
      </w:rPr>
      <w:t>536269)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71B0" w14:textId="76DF2980" w:rsidR="00B37FEF" w:rsidRPr="009E56D6" w:rsidRDefault="00B37FEF" w:rsidP="009E5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BFCB" w14:textId="77777777" w:rsidR="0053478E" w:rsidRDefault="0053478E" w:rsidP="006C3242">
      <w:pPr>
        <w:spacing w:before="0" w:line="240" w:lineRule="auto"/>
      </w:pPr>
      <w:r>
        <w:separator/>
      </w:r>
    </w:p>
  </w:footnote>
  <w:footnote w:type="continuationSeparator" w:id="0">
    <w:p w14:paraId="2C57D7D8" w14:textId="77777777" w:rsidR="0053478E" w:rsidRDefault="0053478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8E75" w14:textId="77777777" w:rsidR="00B37FEF" w:rsidRDefault="00B37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5400" w14:textId="77777777" w:rsidR="00B37FEF" w:rsidRPr="00B37FEF" w:rsidRDefault="009E56D6" w:rsidP="00B37FEF">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noProof/>
        <w:sz w:val="20"/>
        <w:lang w:val="en-GB" w:eastAsia="en-US"/>
      </w:rPr>
    </w:pPr>
    <w:sdt>
      <w:sdtPr>
        <w:rPr>
          <w:rFonts w:ascii="Calibri" w:eastAsia="Times New Roman" w:hAnsi="Calibri" w:cs="Times New Roman"/>
          <w:sz w:val="20"/>
          <w:lang w:val="en-GB" w:eastAsia="en-US"/>
        </w:rPr>
        <w:id w:val="-220216280"/>
        <w:docPartObj>
          <w:docPartGallery w:val="Page Numbers (Top of Page)"/>
          <w:docPartUnique/>
        </w:docPartObj>
      </w:sdtPr>
      <w:sdtEndPr>
        <w:rPr>
          <w:noProof/>
        </w:rPr>
      </w:sdtEndPr>
      <w:sdtContent>
        <w:r w:rsidR="00B37FEF" w:rsidRPr="00B37FEF">
          <w:rPr>
            <w:rFonts w:ascii="Calibri" w:eastAsia="Times New Roman" w:hAnsi="Calibri" w:cs="Times New Roman"/>
            <w:noProof/>
            <w:sz w:val="20"/>
            <w:lang w:val="en-GB" w:eastAsia="en-US"/>
          </w:rPr>
          <w:t>-</w:t>
        </w:r>
        <w:r w:rsidR="00B37FEF" w:rsidRPr="00B37FEF">
          <w:rPr>
            <w:rFonts w:ascii="Calibri" w:eastAsia="Times New Roman" w:hAnsi="Calibri" w:cs="Times New Roman"/>
            <w:sz w:val="20"/>
            <w:lang w:val="en-GB" w:eastAsia="en-US"/>
          </w:rPr>
          <w:t xml:space="preserve"> </w:t>
        </w:r>
        <w:r w:rsidR="00B37FEF" w:rsidRPr="00B37FEF">
          <w:rPr>
            <w:rFonts w:ascii="Calibri" w:eastAsia="Times New Roman" w:hAnsi="Calibri" w:cs="Times New Roman"/>
            <w:sz w:val="20"/>
            <w:lang w:val="en-GB" w:eastAsia="en-US"/>
          </w:rPr>
          <w:fldChar w:fldCharType="begin"/>
        </w:r>
        <w:r w:rsidR="00B37FEF" w:rsidRPr="00B37FEF">
          <w:rPr>
            <w:rFonts w:ascii="Calibri" w:eastAsia="Times New Roman" w:hAnsi="Calibri" w:cs="Times New Roman"/>
            <w:sz w:val="20"/>
            <w:lang w:val="en-GB" w:eastAsia="en-US"/>
          </w:rPr>
          <w:instrText xml:space="preserve"> PAGE   \* MERGEFORMAT </w:instrText>
        </w:r>
        <w:r w:rsidR="00B37FEF" w:rsidRPr="00B37FEF">
          <w:rPr>
            <w:rFonts w:ascii="Calibri" w:eastAsia="Times New Roman" w:hAnsi="Calibri" w:cs="Times New Roman"/>
            <w:sz w:val="20"/>
            <w:lang w:val="en-GB" w:eastAsia="en-US"/>
          </w:rPr>
          <w:fldChar w:fldCharType="separate"/>
        </w:r>
        <w:r w:rsidR="00B37FEF" w:rsidRPr="00B37FEF">
          <w:rPr>
            <w:rFonts w:ascii="Calibri" w:eastAsia="Times New Roman" w:hAnsi="Calibri" w:cs="Times New Roman"/>
            <w:sz w:val="20"/>
            <w:lang w:val="en-GB" w:eastAsia="en-US"/>
          </w:rPr>
          <w:t>6</w:t>
        </w:r>
        <w:r w:rsidR="00B37FEF" w:rsidRPr="00B37FEF">
          <w:rPr>
            <w:rFonts w:ascii="Calibri" w:eastAsia="Times New Roman" w:hAnsi="Calibri" w:cs="Times New Roman"/>
            <w:noProof/>
            <w:sz w:val="20"/>
            <w:lang w:val="en-GB" w:eastAsia="en-US"/>
          </w:rPr>
          <w:fldChar w:fldCharType="end"/>
        </w:r>
      </w:sdtContent>
    </w:sdt>
    <w:r w:rsidR="00B37FEF" w:rsidRPr="00B37FEF">
      <w:rPr>
        <w:rFonts w:ascii="Calibri" w:eastAsia="Times New Roman" w:hAnsi="Calibri" w:cs="Times New Roman"/>
        <w:noProof/>
        <w:sz w:val="20"/>
        <w:lang w:val="en-GB" w:eastAsia="en-US"/>
      </w:rPr>
      <w:t xml:space="preserve"> -</w:t>
    </w:r>
  </w:p>
  <w:p w14:paraId="3772658F"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0" w:after="240" w:line="240" w:lineRule="auto"/>
      <w:jc w:val="center"/>
      <w:textAlignment w:val="baseline"/>
      <w:rPr>
        <w:rFonts w:ascii="Calibri" w:eastAsia="Times New Roman" w:hAnsi="Calibri" w:cs="Times New Roman"/>
        <w:sz w:val="20"/>
        <w:lang w:eastAsia="en-US"/>
      </w:rPr>
    </w:pPr>
    <w:r w:rsidRPr="00B37FEF">
      <w:rPr>
        <w:rFonts w:ascii="Calibri" w:eastAsia="Times New Roman" w:hAnsi="Calibri" w:cs="Times New Roman"/>
        <w:noProof/>
        <w:sz w:val="20"/>
        <w:lang w:val="en-GB" w:eastAsia="en-US"/>
      </w:rPr>
      <w:t>Collective letter 4/TSAG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49F7" w14:textId="77777777" w:rsidR="00B37FEF" w:rsidRDefault="00B37F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F74B" w14:textId="77777777" w:rsidR="00F67629" w:rsidRPr="00F67629" w:rsidRDefault="009E56D6" w:rsidP="00F67629">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noProof/>
        <w:sz w:val="18"/>
        <w:szCs w:val="20"/>
        <w:lang w:val="en-GB" w:eastAsia="en-US"/>
      </w:rPr>
    </w:pPr>
    <w:sdt>
      <w:sdtPr>
        <w:rPr>
          <w:rFonts w:ascii="Calibri" w:eastAsia="Times New Roman" w:hAnsi="Calibri" w:cs="Times New Roman"/>
          <w:sz w:val="18"/>
          <w:szCs w:val="20"/>
          <w:lang w:val="en-GB" w:eastAsia="en-US"/>
        </w:rPr>
        <w:id w:val="586744840"/>
        <w:docPartObj>
          <w:docPartGallery w:val="Page Numbers (Top of Page)"/>
          <w:docPartUnique/>
        </w:docPartObj>
      </w:sdtPr>
      <w:sdtEndPr>
        <w:rPr>
          <w:noProof/>
        </w:rPr>
      </w:sdtEndPr>
      <w:sdtContent>
        <w:r w:rsidR="00F67629" w:rsidRPr="00F67629">
          <w:rPr>
            <w:rFonts w:ascii="Calibri" w:eastAsia="Times New Roman" w:hAnsi="Calibri" w:cs="Times New Roman"/>
            <w:noProof/>
            <w:sz w:val="18"/>
            <w:szCs w:val="20"/>
            <w:lang w:val="en-GB" w:eastAsia="en-US"/>
          </w:rPr>
          <w:t>-</w:t>
        </w:r>
        <w:r w:rsidR="00F67629" w:rsidRPr="00F67629">
          <w:rPr>
            <w:rFonts w:ascii="Calibri" w:eastAsia="Times New Roman" w:hAnsi="Calibri" w:cs="Times New Roman"/>
            <w:sz w:val="18"/>
            <w:szCs w:val="20"/>
            <w:lang w:val="en-GB" w:eastAsia="en-US"/>
          </w:rPr>
          <w:t xml:space="preserve"> </w:t>
        </w:r>
        <w:r w:rsidR="00F67629" w:rsidRPr="00F67629">
          <w:rPr>
            <w:rFonts w:ascii="Calibri" w:eastAsia="Times New Roman" w:hAnsi="Calibri" w:cs="Times New Roman"/>
            <w:sz w:val="18"/>
            <w:szCs w:val="20"/>
            <w:lang w:val="en-GB" w:eastAsia="en-US"/>
          </w:rPr>
          <w:fldChar w:fldCharType="begin"/>
        </w:r>
        <w:r w:rsidR="00F67629" w:rsidRPr="00F67629">
          <w:rPr>
            <w:rFonts w:ascii="Calibri" w:eastAsia="Times New Roman" w:hAnsi="Calibri" w:cs="Times New Roman"/>
            <w:sz w:val="18"/>
            <w:szCs w:val="20"/>
            <w:lang w:val="en-GB" w:eastAsia="en-US"/>
          </w:rPr>
          <w:instrText xml:space="preserve"> PAGE   \* MERGEFORMAT </w:instrText>
        </w:r>
        <w:r w:rsidR="00F67629" w:rsidRPr="00F67629">
          <w:rPr>
            <w:rFonts w:ascii="Calibri" w:eastAsia="Times New Roman" w:hAnsi="Calibri" w:cs="Times New Roman"/>
            <w:sz w:val="18"/>
            <w:szCs w:val="20"/>
            <w:lang w:val="en-GB" w:eastAsia="en-US"/>
          </w:rPr>
          <w:fldChar w:fldCharType="separate"/>
        </w:r>
        <w:r w:rsidR="00F67629" w:rsidRPr="00F67629">
          <w:rPr>
            <w:rFonts w:ascii="Calibri" w:eastAsia="Times New Roman" w:hAnsi="Calibri" w:cs="Times New Roman"/>
            <w:sz w:val="18"/>
            <w:szCs w:val="20"/>
            <w:lang w:val="en-GB" w:eastAsia="en-US"/>
          </w:rPr>
          <w:t>3</w:t>
        </w:r>
        <w:r w:rsidR="00F67629" w:rsidRPr="00F67629">
          <w:rPr>
            <w:rFonts w:ascii="Calibri" w:eastAsia="Times New Roman" w:hAnsi="Calibri" w:cs="Times New Roman"/>
            <w:noProof/>
            <w:sz w:val="18"/>
            <w:szCs w:val="20"/>
            <w:lang w:val="en-GB" w:eastAsia="en-US"/>
          </w:rPr>
          <w:fldChar w:fldCharType="end"/>
        </w:r>
      </w:sdtContent>
    </w:sdt>
    <w:r w:rsidR="00F67629" w:rsidRPr="00F67629">
      <w:rPr>
        <w:rFonts w:ascii="Calibri" w:eastAsia="Times New Roman" w:hAnsi="Calibri" w:cs="Times New Roman"/>
        <w:noProof/>
        <w:sz w:val="18"/>
        <w:szCs w:val="20"/>
        <w:lang w:val="en-GB" w:eastAsia="en-US"/>
      </w:rPr>
      <w:t xml:space="preserve"> -</w:t>
    </w:r>
  </w:p>
  <w:p w14:paraId="355DC74C" w14:textId="77777777" w:rsidR="00F67629" w:rsidRPr="00F67629" w:rsidRDefault="00F67629" w:rsidP="00F67629">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sz w:val="18"/>
        <w:szCs w:val="20"/>
        <w:lang w:eastAsia="en-US"/>
      </w:rPr>
    </w:pPr>
    <w:r w:rsidRPr="00F67629">
      <w:rPr>
        <w:rFonts w:ascii="Calibri" w:eastAsia="Times New Roman" w:hAnsi="Calibri" w:cs="Times New Roman"/>
        <w:noProof/>
        <w:sz w:val="18"/>
        <w:szCs w:val="20"/>
        <w:lang w:val="en-GB" w:eastAsia="en-US"/>
      </w:rPr>
      <w:t>Collective letter 4/TSAG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DAE5" w14:textId="77777777" w:rsidR="00B37FEF" w:rsidRPr="00B37FEF" w:rsidRDefault="009E56D6" w:rsidP="00B37FEF">
    <w:pPr>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noProof/>
        <w:sz w:val="20"/>
        <w:lang w:val="en-GB" w:eastAsia="en-US"/>
      </w:rPr>
    </w:pPr>
    <w:sdt>
      <w:sdtPr>
        <w:rPr>
          <w:rFonts w:ascii="Calibri" w:eastAsia="Times New Roman" w:hAnsi="Calibri" w:cs="Times New Roman"/>
          <w:sz w:val="20"/>
          <w:lang w:val="en-GB" w:eastAsia="en-US"/>
        </w:rPr>
        <w:id w:val="728038811"/>
        <w:docPartObj>
          <w:docPartGallery w:val="Page Numbers (Top of Page)"/>
          <w:docPartUnique/>
        </w:docPartObj>
      </w:sdtPr>
      <w:sdtEndPr>
        <w:rPr>
          <w:noProof/>
        </w:rPr>
      </w:sdtEndPr>
      <w:sdtContent>
        <w:r w:rsidR="00B37FEF" w:rsidRPr="00B37FEF">
          <w:rPr>
            <w:rFonts w:ascii="Calibri" w:eastAsia="Times New Roman" w:hAnsi="Calibri" w:cs="Times New Roman"/>
            <w:noProof/>
            <w:sz w:val="20"/>
            <w:lang w:val="en-GB" w:eastAsia="en-US"/>
          </w:rPr>
          <w:t>-</w:t>
        </w:r>
        <w:r w:rsidR="00B37FEF" w:rsidRPr="00B37FEF">
          <w:rPr>
            <w:rFonts w:ascii="Calibri" w:eastAsia="Times New Roman" w:hAnsi="Calibri" w:cs="Times New Roman"/>
            <w:sz w:val="20"/>
            <w:lang w:val="en-GB" w:eastAsia="en-US"/>
          </w:rPr>
          <w:t xml:space="preserve"> </w:t>
        </w:r>
        <w:r w:rsidR="00B37FEF" w:rsidRPr="00B37FEF">
          <w:rPr>
            <w:rFonts w:ascii="Calibri" w:eastAsia="Times New Roman" w:hAnsi="Calibri" w:cs="Times New Roman"/>
            <w:sz w:val="20"/>
            <w:lang w:val="en-GB" w:eastAsia="en-US"/>
          </w:rPr>
          <w:fldChar w:fldCharType="begin"/>
        </w:r>
        <w:r w:rsidR="00B37FEF" w:rsidRPr="00B37FEF">
          <w:rPr>
            <w:rFonts w:ascii="Calibri" w:eastAsia="Times New Roman" w:hAnsi="Calibri" w:cs="Times New Roman"/>
            <w:sz w:val="20"/>
            <w:lang w:val="en-GB" w:eastAsia="en-US"/>
          </w:rPr>
          <w:instrText xml:space="preserve"> PAGE   \* MERGEFORMAT </w:instrText>
        </w:r>
        <w:r w:rsidR="00B37FEF" w:rsidRPr="00B37FEF">
          <w:rPr>
            <w:rFonts w:ascii="Calibri" w:eastAsia="Times New Roman" w:hAnsi="Calibri" w:cs="Times New Roman"/>
            <w:sz w:val="20"/>
            <w:lang w:val="en-GB" w:eastAsia="en-US"/>
          </w:rPr>
          <w:fldChar w:fldCharType="separate"/>
        </w:r>
        <w:r w:rsidR="00B37FEF">
          <w:rPr>
            <w:rFonts w:ascii="Calibri" w:hAnsi="Calibri"/>
            <w:sz w:val="20"/>
          </w:rPr>
          <w:t>2</w:t>
        </w:r>
        <w:r w:rsidR="00B37FEF" w:rsidRPr="00B37FEF">
          <w:rPr>
            <w:rFonts w:ascii="Calibri" w:eastAsia="Times New Roman" w:hAnsi="Calibri" w:cs="Times New Roman"/>
            <w:noProof/>
            <w:sz w:val="20"/>
            <w:lang w:val="en-GB" w:eastAsia="en-US"/>
          </w:rPr>
          <w:fldChar w:fldCharType="end"/>
        </w:r>
      </w:sdtContent>
    </w:sdt>
    <w:r w:rsidR="00B37FEF" w:rsidRPr="00B37FEF">
      <w:rPr>
        <w:rFonts w:ascii="Calibri" w:eastAsia="Times New Roman" w:hAnsi="Calibri" w:cs="Times New Roman"/>
        <w:noProof/>
        <w:sz w:val="20"/>
        <w:lang w:val="en-GB" w:eastAsia="en-US"/>
      </w:rPr>
      <w:t xml:space="preserve"> -</w:t>
    </w:r>
  </w:p>
  <w:p w14:paraId="2DF354CA" w14:textId="77777777" w:rsidR="00B37FEF" w:rsidRPr="00B37FEF" w:rsidRDefault="00B37FEF" w:rsidP="00B37FEF">
    <w:pPr>
      <w:tabs>
        <w:tab w:val="left" w:pos="1191"/>
        <w:tab w:val="left" w:pos="1588"/>
        <w:tab w:val="left" w:pos="1985"/>
      </w:tabs>
      <w:overflowPunct w:val="0"/>
      <w:autoSpaceDE w:val="0"/>
      <w:autoSpaceDN w:val="0"/>
      <w:bidi w:val="0"/>
      <w:adjustRightInd w:val="0"/>
      <w:spacing w:before="0" w:after="240" w:line="240" w:lineRule="auto"/>
      <w:jc w:val="center"/>
      <w:textAlignment w:val="baseline"/>
      <w:rPr>
        <w:rFonts w:ascii="Calibri" w:eastAsia="Times New Roman" w:hAnsi="Calibri" w:cs="Times New Roman"/>
        <w:sz w:val="20"/>
        <w:lang w:eastAsia="en-US"/>
      </w:rPr>
    </w:pPr>
    <w:r w:rsidRPr="00B37FEF">
      <w:rPr>
        <w:rFonts w:ascii="Calibri" w:eastAsia="Times New Roman" w:hAnsi="Calibri" w:cs="Times New Roman"/>
        <w:noProof/>
        <w:sz w:val="20"/>
        <w:lang w:val="en-GB" w:eastAsia="en-US"/>
      </w:rPr>
      <w:t>Collective letter 4/TSAG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3F5013"/>
    <w:multiLevelType w:val="hybridMultilevel"/>
    <w:tmpl w:val="4C886816"/>
    <w:lvl w:ilvl="0" w:tplc="E5627BEE">
      <w:start w:val="1"/>
      <w:numFmt w:val="decimal"/>
      <w:lvlText w:val="%1."/>
      <w:lvlJc w:val="left"/>
      <w:pPr>
        <w:ind w:left="720" w:hanging="360"/>
      </w:pPr>
    </w:lvl>
    <w:lvl w:ilvl="1" w:tplc="EFA04E78">
      <w:start w:val="1"/>
      <w:numFmt w:val="lowerLetter"/>
      <w:lvlText w:val="%2."/>
      <w:lvlJc w:val="left"/>
      <w:pPr>
        <w:ind w:left="1440" w:hanging="360"/>
      </w:pPr>
    </w:lvl>
    <w:lvl w:ilvl="2" w:tplc="C7802208">
      <w:start w:val="1"/>
      <w:numFmt w:val="lowerRoman"/>
      <w:lvlText w:val="%3."/>
      <w:lvlJc w:val="right"/>
      <w:pPr>
        <w:ind w:left="2160" w:hanging="180"/>
      </w:pPr>
    </w:lvl>
    <w:lvl w:ilvl="3" w:tplc="DCB24256">
      <w:start w:val="1"/>
      <w:numFmt w:val="decimal"/>
      <w:lvlText w:val="%4."/>
      <w:lvlJc w:val="left"/>
      <w:pPr>
        <w:ind w:left="2880" w:hanging="360"/>
      </w:pPr>
    </w:lvl>
    <w:lvl w:ilvl="4" w:tplc="6EAAE210">
      <w:start w:val="1"/>
      <w:numFmt w:val="lowerLetter"/>
      <w:lvlText w:val="%5."/>
      <w:lvlJc w:val="left"/>
      <w:pPr>
        <w:ind w:left="3600" w:hanging="360"/>
      </w:pPr>
    </w:lvl>
    <w:lvl w:ilvl="5" w:tplc="0A3E619A">
      <w:start w:val="1"/>
      <w:numFmt w:val="lowerRoman"/>
      <w:lvlText w:val="%6."/>
      <w:lvlJc w:val="right"/>
      <w:pPr>
        <w:ind w:left="4320" w:hanging="180"/>
      </w:pPr>
    </w:lvl>
    <w:lvl w:ilvl="6" w:tplc="B176B158">
      <w:start w:val="1"/>
      <w:numFmt w:val="decimal"/>
      <w:lvlText w:val="%7."/>
      <w:lvlJc w:val="left"/>
      <w:pPr>
        <w:ind w:left="5040" w:hanging="360"/>
      </w:pPr>
    </w:lvl>
    <w:lvl w:ilvl="7" w:tplc="0EA8C016">
      <w:start w:val="1"/>
      <w:numFmt w:val="lowerLetter"/>
      <w:lvlText w:val="%8."/>
      <w:lvlJc w:val="left"/>
      <w:pPr>
        <w:ind w:left="5760" w:hanging="360"/>
      </w:pPr>
    </w:lvl>
    <w:lvl w:ilvl="8" w:tplc="7F5A4882">
      <w:start w:val="1"/>
      <w:numFmt w:val="lowerRoman"/>
      <w:lvlText w:val="%9."/>
      <w:lvlJc w:val="right"/>
      <w:pPr>
        <w:ind w:left="6480" w:hanging="180"/>
      </w:pPr>
    </w:lvl>
  </w:abstractNum>
  <w:abstractNum w:abstractNumId="12" w15:restartNumberingAfterBreak="0">
    <w:nsid w:val="3C277596"/>
    <w:multiLevelType w:val="hybridMultilevel"/>
    <w:tmpl w:val="A9661B54"/>
    <w:lvl w:ilvl="0" w:tplc="75DCF6B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361160">
    <w:abstractNumId w:val="9"/>
  </w:num>
  <w:num w:numId="2" w16cid:durableId="99032716">
    <w:abstractNumId w:val="7"/>
  </w:num>
  <w:num w:numId="3" w16cid:durableId="49235008">
    <w:abstractNumId w:val="6"/>
  </w:num>
  <w:num w:numId="4" w16cid:durableId="1985697553">
    <w:abstractNumId w:val="5"/>
  </w:num>
  <w:num w:numId="5" w16cid:durableId="222449375">
    <w:abstractNumId w:val="4"/>
  </w:num>
  <w:num w:numId="6" w16cid:durableId="901713775">
    <w:abstractNumId w:val="8"/>
  </w:num>
  <w:num w:numId="7" w16cid:durableId="1653482070">
    <w:abstractNumId w:val="3"/>
  </w:num>
  <w:num w:numId="8" w16cid:durableId="2137135639">
    <w:abstractNumId w:val="2"/>
  </w:num>
  <w:num w:numId="9" w16cid:durableId="171192615">
    <w:abstractNumId w:val="1"/>
  </w:num>
  <w:num w:numId="10" w16cid:durableId="763381440">
    <w:abstractNumId w:val="0"/>
  </w:num>
  <w:num w:numId="11" w16cid:durableId="1213350967">
    <w:abstractNumId w:val="10"/>
  </w:num>
  <w:num w:numId="12" w16cid:durableId="1636371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446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F1"/>
    <w:rsid w:val="00005FCD"/>
    <w:rsid w:val="00007AE7"/>
    <w:rsid w:val="0001604E"/>
    <w:rsid w:val="00024B4D"/>
    <w:rsid w:val="0006468A"/>
    <w:rsid w:val="00090574"/>
    <w:rsid w:val="000920BB"/>
    <w:rsid w:val="0009228D"/>
    <w:rsid w:val="000A5CDB"/>
    <w:rsid w:val="000C1C0E"/>
    <w:rsid w:val="000C548A"/>
    <w:rsid w:val="000E498D"/>
    <w:rsid w:val="00117521"/>
    <w:rsid w:val="001352AB"/>
    <w:rsid w:val="001719ED"/>
    <w:rsid w:val="00175927"/>
    <w:rsid w:val="001B2AB7"/>
    <w:rsid w:val="001C0169"/>
    <w:rsid w:val="001C6AC4"/>
    <w:rsid w:val="001D1D50"/>
    <w:rsid w:val="001D297D"/>
    <w:rsid w:val="001D6745"/>
    <w:rsid w:val="001D7B6A"/>
    <w:rsid w:val="001E446E"/>
    <w:rsid w:val="00203AF9"/>
    <w:rsid w:val="0021401A"/>
    <w:rsid w:val="002154EE"/>
    <w:rsid w:val="002238F8"/>
    <w:rsid w:val="002276D2"/>
    <w:rsid w:val="0023283D"/>
    <w:rsid w:val="00243ECE"/>
    <w:rsid w:val="00247CEE"/>
    <w:rsid w:val="002541DB"/>
    <w:rsid w:val="0026373E"/>
    <w:rsid w:val="00271C43"/>
    <w:rsid w:val="00274EE8"/>
    <w:rsid w:val="002830F7"/>
    <w:rsid w:val="00290728"/>
    <w:rsid w:val="002978F4"/>
    <w:rsid w:val="002A3664"/>
    <w:rsid w:val="002A663E"/>
    <w:rsid w:val="002B028D"/>
    <w:rsid w:val="002E196B"/>
    <w:rsid w:val="002E5E69"/>
    <w:rsid w:val="002E6541"/>
    <w:rsid w:val="002F7E09"/>
    <w:rsid w:val="00307E9C"/>
    <w:rsid w:val="00311728"/>
    <w:rsid w:val="00314DFD"/>
    <w:rsid w:val="00334924"/>
    <w:rsid w:val="003409BC"/>
    <w:rsid w:val="00346600"/>
    <w:rsid w:val="00354C3A"/>
    <w:rsid w:val="00357185"/>
    <w:rsid w:val="00364CE7"/>
    <w:rsid w:val="00375411"/>
    <w:rsid w:val="00381B56"/>
    <w:rsid w:val="00383829"/>
    <w:rsid w:val="00386FC1"/>
    <w:rsid w:val="003954E1"/>
    <w:rsid w:val="003A3046"/>
    <w:rsid w:val="003C29FD"/>
    <w:rsid w:val="003E4D2E"/>
    <w:rsid w:val="003F4B29"/>
    <w:rsid w:val="00400EC6"/>
    <w:rsid w:val="00416CA0"/>
    <w:rsid w:val="00417F50"/>
    <w:rsid w:val="0042686F"/>
    <w:rsid w:val="004317D8"/>
    <w:rsid w:val="00433DC2"/>
    <w:rsid w:val="00434183"/>
    <w:rsid w:val="00443869"/>
    <w:rsid w:val="00447F32"/>
    <w:rsid w:val="00452F83"/>
    <w:rsid w:val="004638F3"/>
    <w:rsid w:val="00474C7A"/>
    <w:rsid w:val="004A3C8D"/>
    <w:rsid w:val="004C1DCF"/>
    <w:rsid w:val="004C773C"/>
    <w:rsid w:val="004E11DC"/>
    <w:rsid w:val="004F72D1"/>
    <w:rsid w:val="005114F1"/>
    <w:rsid w:val="00522724"/>
    <w:rsid w:val="00525DDD"/>
    <w:rsid w:val="0053478E"/>
    <w:rsid w:val="005409AC"/>
    <w:rsid w:val="0055516A"/>
    <w:rsid w:val="005625EC"/>
    <w:rsid w:val="0058491B"/>
    <w:rsid w:val="00592EA5"/>
    <w:rsid w:val="00595B52"/>
    <w:rsid w:val="00596808"/>
    <w:rsid w:val="005A3170"/>
    <w:rsid w:val="005B07E6"/>
    <w:rsid w:val="005D3F0E"/>
    <w:rsid w:val="005D47EE"/>
    <w:rsid w:val="005E1228"/>
    <w:rsid w:val="00610099"/>
    <w:rsid w:val="006116BD"/>
    <w:rsid w:val="0064619D"/>
    <w:rsid w:val="00652923"/>
    <w:rsid w:val="00661AEB"/>
    <w:rsid w:val="0067635D"/>
    <w:rsid w:val="00677396"/>
    <w:rsid w:val="0069200F"/>
    <w:rsid w:val="006A3B95"/>
    <w:rsid w:val="006A65CB"/>
    <w:rsid w:val="006C1530"/>
    <w:rsid w:val="006C3242"/>
    <w:rsid w:val="006C7CC0"/>
    <w:rsid w:val="006D3267"/>
    <w:rsid w:val="006E4AED"/>
    <w:rsid w:val="006F63F7"/>
    <w:rsid w:val="0070135F"/>
    <w:rsid w:val="007025C7"/>
    <w:rsid w:val="0070570C"/>
    <w:rsid w:val="00706D7A"/>
    <w:rsid w:val="00722F0D"/>
    <w:rsid w:val="007316C4"/>
    <w:rsid w:val="0074420E"/>
    <w:rsid w:val="00745C48"/>
    <w:rsid w:val="00756D98"/>
    <w:rsid w:val="00757DF1"/>
    <w:rsid w:val="00783E26"/>
    <w:rsid w:val="00796FA7"/>
    <w:rsid w:val="00797D41"/>
    <w:rsid w:val="007C3BC7"/>
    <w:rsid w:val="007C3BCD"/>
    <w:rsid w:val="007C5F29"/>
    <w:rsid w:val="007D4ACF"/>
    <w:rsid w:val="007F0787"/>
    <w:rsid w:val="007F2698"/>
    <w:rsid w:val="007F6CB7"/>
    <w:rsid w:val="007F6FBC"/>
    <w:rsid w:val="007F7C3C"/>
    <w:rsid w:val="00802EE6"/>
    <w:rsid w:val="00810B7B"/>
    <w:rsid w:val="0082358A"/>
    <w:rsid w:val="008235CD"/>
    <w:rsid w:val="008247DE"/>
    <w:rsid w:val="00840B10"/>
    <w:rsid w:val="00842463"/>
    <w:rsid w:val="00850176"/>
    <w:rsid w:val="008513CB"/>
    <w:rsid w:val="00853F71"/>
    <w:rsid w:val="00865CD1"/>
    <w:rsid w:val="008A7F84"/>
    <w:rsid w:val="008B737F"/>
    <w:rsid w:val="0091702E"/>
    <w:rsid w:val="00923B0C"/>
    <w:rsid w:val="0094021C"/>
    <w:rsid w:val="009466FF"/>
    <w:rsid w:val="00952F86"/>
    <w:rsid w:val="00966F78"/>
    <w:rsid w:val="00972423"/>
    <w:rsid w:val="0098248B"/>
    <w:rsid w:val="00982B28"/>
    <w:rsid w:val="009A6B27"/>
    <w:rsid w:val="009C72FE"/>
    <w:rsid w:val="009D313F"/>
    <w:rsid w:val="009E56D6"/>
    <w:rsid w:val="00A1325A"/>
    <w:rsid w:val="00A27400"/>
    <w:rsid w:val="00A30B59"/>
    <w:rsid w:val="00A3530B"/>
    <w:rsid w:val="00A47A5A"/>
    <w:rsid w:val="00A6683B"/>
    <w:rsid w:val="00A946C0"/>
    <w:rsid w:val="00A97F94"/>
    <w:rsid w:val="00AA7EA2"/>
    <w:rsid w:val="00AF0B4E"/>
    <w:rsid w:val="00AF6B5C"/>
    <w:rsid w:val="00B01B5B"/>
    <w:rsid w:val="00B03099"/>
    <w:rsid w:val="00B05BC8"/>
    <w:rsid w:val="00B37FEF"/>
    <w:rsid w:val="00B43DF1"/>
    <w:rsid w:val="00B54F20"/>
    <w:rsid w:val="00B55A5F"/>
    <w:rsid w:val="00B64B47"/>
    <w:rsid w:val="00B914F5"/>
    <w:rsid w:val="00BC4D90"/>
    <w:rsid w:val="00BE6C7F"/>
    <w:rsid w:val="00BE73B8"/>
    <w:rsid w:val="00C002DE"/>
    <w:rsid w:val="00C33CB1"/>
    <w:rsid w:val="00C476B1"/>
    <w:rsid w:val="00C524B7"/>
    <w:rsid w:val="00C525E3"/>
    <w:rsid w:val="00C53BF8"/>
    <w:rsid w:val="00C613FA"/>
    <w:rsid w:val="00C66157"/>
    <w:rsid w:val="00C674FE"/>
    <w:rsid w:val="00C67501"/>
    <w:rsid w:val="00C75633"/>
    <w:rsid w:val="00CB75F9"/>
    <w:rsid w:val="00CE2EE1"/>
    <w:rsid w:val="00CE3349"/>
    <w:rsid w:val="00CE36E5"/>
    <w:rsid w:val="00CF27F5"/>
    <w:rsid w:val="00CF3FFD"/>
    <w:rsid w:val="00CF581B"/>
    <w:rsid w:val="00D10CCF"/>
    <w:rsid w:val="00D1758F"/>
    <w:rsid w:val="00D22846"/>
    <w:rsid w:val="00D517B2"/>
    <w:rsid w:val="00D55968"/>
    <w:rsid w:val="00D56CE8"/>
    <w:rsid w:val="00D640C8"/>
    <w:rsid w:val="00D70035"/>
    <w:rsid w:val="00D73713"/>
    <w:rsid w:val="00D73CEC"/>
    <w:rsid w:val="00D77D0F"/>
    <w:rsid w:val="00D8134A"/>
    <w:rsid w:val="00DA1CF0"/>
    <w:rsid w:val="00DC1E02"/>
    <w:rsid w:val="00DC24B4"/>
    <w:rsid w:val="00DC297C"/>
    <w:rsid w:val="00DC3FA1"/>
    <w:rsid w:val="00DC5FB0"/>
    <w:rsid w:val="00DC7BC6"/>
    <w:rsid w:val="00DD1EBB"/>
    <w:rsid w:val="00DD4A00"/>
    <w:rsid w:val="00DD70EF"/>
    <w:rsid w:val="00DF16DC"/>
    <w:rsid w:val="00E03A73"/>
    <w:rsid w:val="00E04C85"/>
    <w:rsid w:val="00E15E75"/>
    <w:rsid w:val="00E42D1C"/>
    <w:rsid w:val="00E45211"/>
    <w:rsid w:val="00E461E9"/>
    <w:rsid w:val="00E473C5"/>
    <w:rsid w:val="00E52802"/>
    <w:rsid w:val="00E67BFA"/>
    <w:rsid w:val="00E805B9"/>
    <w:rsid w:val="00E92863"/>
    <w:rsid w:val="00E968C0"/>
    <w:rsid w:val="00EB796D"/>
    <w:rsid w:val="00EC265E"/>
    <w:rsid w:val="00EC5EFC"/>
    <w:rsid w:val="00ED0469"/>
    <w:rsid w:val="00EF0175"/>
    <w:rsid w:val="00F058DC"/>
    <w:rsid w:val="00F24FC4"/>
    <w:rsid w:val="00F2676C"/>
    <w:rsid w:val="00F3301A"/>
    <w:rsid w:val="00F40AE5"/>
    <w:rsid w:val="00F44223"/>
    <w:rsid w:val="00F46340"/>
    <w:rsid w:val="00F50FB3"/>
    <w:rsid w:val="00F52941"/>
    <w:rsid w:val="00F53B29"/>
    <w:rsid w:val="00F54EB2"/>
    <w:rsid w:val="00F63374"/>
    <w:rsid w:val="00F63526"/>
    <w:rsid w:val="00F67629"/>
    <w:rsid w:val="00F773F6"/>
    <w:rsid w:val="00F80B64"/>
    <w:rsid w:val="00F8326B"/>
    <w:rsid w:val="00F83769"/>
    <w:rsid w:val="00F84366"/>
    <w:rsid w:val="00F85089"/>
    <w:rsid w:val="00F90A03"/>
    <w:rsid w:val="00F9307C"/>
    <w:rsid w:val="00F974C5"/>
    <w:rsid w:val="00FA26A3"/>
    <w:rsid w:val="00FA6F46"/>
    <w:rsid w:val="00FB1F89"/>
    <w:rsid w:val="00FB6077"/>
    <w:rsid w:val="00FC17BF"/>
    <w:rsid w:val="00FC59FB"/>
    <w:rsid w:val="00FE5872"/>
    <w:rsid w:val="00FE7FCA"/>
    <w:rsid w:val="00FF096D"/>
    <w:rsid w:val="00FF4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FC6D6"/>
  <w15:chartTrackingRefBased/>
  <w15:docId w15:val="{6F8B864F-A0FB-410C-97BD-6DB00912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customStyle="1" w:styleId="AnnexNotitleChar">
    <w:name w:val="Annex_No &amp; title Char"/>
    <w:basedOn w:val="DefaultParagraphFont"/>
    <w:locked/>
    <w:rsid w:val="002541DB"/>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C72FE"/>
    <w:rPr>
      <w:rFonts w:ascii="Dubai" w:hAnsi="Dubai" w:cs="Dubai"/>
      <w:lang w:bidi="ar-SY"/>
    </w:rPr>
  </w:style>
  <w:style w:type="table" w:customStyle="1" w:styleId="TableGrid1">
    <w:name w:val="Table Grid1"/>
    <w:basedOn w:val="TableNormal"/>
    <w:next w:val="TableGrid"/>
    <w:rsid w:val="007316C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134A"/>
    <w:rPr>
      <w:color w:val="954F72" w:themeColor="followedHyperlink"/>
      <w:u w:val="single"/>
    </w:rPr>
  </w:style>
  <w:style w:type="paragraph" w:styleId="Revision">
    <w:name w:val="Revision"/>
    <w:hidden/>
    <w:uiPriority w:val="99"/>
    <w:semiHidden/>
    <w:rsid w:val="004A3C8D"/>
    <w:pPr>
      <w:spacing w:after="0" w:line="240" w:lineRule="auto"/>
    </w:pPr>
    <w:rPr>
      <w:rFonts w:ascii="Dubai" w:hAnsi="Dubai" w:cs="Dubai"/>
    </w:rPr>
  </w:style>
  <w:style w:type="paragraph" w:customStyle="1" w:styleId="Annextitle0">
    <w:name w:val="Annex_title"/>
    <w:basedOn w:val="Normal"/>
    <w:next w:val="Normal"/>
    <w:rsid w:val="00B37FE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table" w:customStyle="1" w:styleId="TableGrid2">
    <w:name w:val="Table Grid2"/>
    <w:basedOn w:val="TableNormal"/>
    <w:next w:val="TableGrid"/>
    <w:uiPriority w:val="39"/>
    <w:rsid w:val="00B37FE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s://www.itu.int/en/ITU-T/tsag/2022-2024/Pages/default.aspx" TargetMode="External"/><Relationship Id="rId26" Type="http://schemas.openxmlformats.org/officeDocument/2006/relationships/hyperlink" Target="http://www.itu.int/TIES/" TargetMode="External"/><Relationship Id="rId39" Type="http://schemas.openxmlformats.org/officeDocument/2006/relationships/hyperlink" Target="http://itu.int/en/delegates-corner" TargetMode="External"/><Relationship Id="rId21" Type="http://schemas.openxmlformats.org/officeDocument/2006/relationships/hyperlink" Target="https://www.itu.int/md/T22-TSB-CIR-0203/en" TargetMode="External"/><Relationship Id="rId34" Type="http://schemas.openxmlformats.org/officeDocument/2006/relationships/hyperlink" Target="mailto:ITU-Tmembership@itu.int"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tsag" TargetMode="External"/><Relationship Id="rId29" Type="http://schemas.openxmlformats.org/officeDocument/2006/relationships/hyperlink" Target="http://itu.int/go/e-print" TargetMode="External"/><Relationship Id="rId11" Type="http://schemas.openxmlformats.org/officeDocument/2006/relationships/hyperlink" Target="https://www.itu.int/md/T22-TSB-CIR-0203/en" TargetMode="External"/><Relationship Id="rId24" Type="http://schemas.openxmlformats.org/officeDocument/2006/relationships/hyperlink" Target="http://itu.int/net/ITU-T/ddp/" TargetMode="External"/><Relationship Id="rId32" Type="http://schemas.openxmlformats.org/officeDocument/2006/relationships/hyperlink" Target="https://www.itu.int/md/T17-TSB-CIR-0068" TargetMode="External"/><Relationship Id="rId37" Type="http://schemas.openxmlformats.org/officeDocument/2006/relationships/hyperlink" Target="mailto:fellowships@itu.int" TargetMode="External"/><Relationship Id="rId40" Type="http://schemas.openxmlformats.org/officeDocument/2006/relationships/hyperlink" Target="http://itu.int/travel/" TargetMode="External"/><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u.int/go/tsag" TargetMode="External"/><Relationship Id="rId19" Type="http://schemas.openxmlformats.org/officeDocument/2006/relationships/hyperlink" Target="http://itu.int/go/tsag" TargetMode="External"/><Relationship Id="rId31" Type="http://schemas.openxmlformats.org/officeDocument/2006/relationships/hyperlink" Target="http://www.itu.int/en/ITU-T/studygroups/2017-2020/13/Pages/default.aspx" TargetMode="External"/><Relationship Id="rId44" Type="http://schemas.openxmlformats.org/officeDocument/2006/relationships/footer" Target="footer1.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md/T22-TSB-CIR-0204/en" TargetMode="External"/><Relationship Id="rId22" Type="http://schemas.openxmlformats.org/officeDocument/2006/relationships/image" Target="media/image2.png"/><Relationship Id="rId27" Type="http://schemas.openxmlformats.org/officeDocument/2006/relationships/hyperlink" Target="https://www.itu.int/en/ITU-T/ewm/Pages/ITU-Internet-Printer-Services.aspx" TargetMode="External"/><Relationship Id="rId30" Type="http://schemas.openxmlformats.org/officeDocument/2006/relationships/hyperlink" Target="mailto:servicedesk@itu.int" TargetMode="External"/><Relationship Id="rId35" Type="http://schemas.openxmlformats.org/officeDocument/2006/relationships/hyperlink" Target="https://www.itu.int/en/ITU-T/info/Documents/ITU-T-Newcomer-Guide.pdf" TargetMode="External"/><Relationship Id="rId43" Type="http://schemas.openxmlformats.org/officeDocument/2006/relationships/header" Target="header2.xml"/><Relationship Id="rId48" Type="http://schemas.openxmlformats.org/officeDocument/2006/relationships/hyperlink" Target="https://www.itu.int/md/T22-TSAG-240729-TD-GEN-0486/en" TargetMode="Externa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itu.int/go/tsag"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md/T17-TSB-CIR-0118" TargetMode="External"/><Relationship Id="rId38" Type="http://schemas.openxmlformats.org/officeDocument/2006/relationships/hyperlink" Target="mailto:travel@itu.int" TargetMode="External"/><Relationship Id="rId46" Type="http://schemas.openxmlformats.org/officeDocument/2006/relationships/header" Target="header3.xml"/><Relationship Id="rId20" Type="http://schemas.openxmlformats.org/officeDocument/2006/relationships/hyperlink" Target="https://www.itu.int/net/ITU-T/ddp/Default.aspx?groupid=T22-TSAG" TargetMode="External"/><Relationship Id="rId41" Type="http://schemas.openxmlformats.org/officeDocument/2006/relationships/hyperlink" Target="https://www.itu.int/md/T22-TSAG-240729-TD-GEN-0487/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image" Target="media/image20.png"/><Relationship Id="rId28" Type="http://schemas.openxmlformats.org/officeDocument/2006/relationships/hyperlink" Target="https://www.itu.int/en/about/Documents/itu-plan.pdf" TargetMode="External"/><Relationship Id="rId36" Type="http://schemas.openxmlformats.org/officeDocument/2006/relationships/hyperlink" Target="https://www.itu.int/go/tsag" TargetMode="External"/><Relationship Id="rId49"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Al-Mnini, Lara</cp:lastModifiedBy>
  <cp:revision>4</cp:revision>
  <dcterms:created xsi:type="dcterms:W3CDTF">2024-04-30T10:14:00Z</dcterms:created>
  <dcterms:modified xsi:type="dcterms:W3CDTF">2024-04-30T10:26:00Z</dcterms:modified>
</cp:coreProperties>
</file>