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706"/>
        <w:gridCol w:w="134"/>
        <w:gridCol w:w="1080"/>
        <w:gridCol w:w="3026"/>
      </w:tblGrid>
      <w:tr w:rsidR="00373064" w:rsidRPr="00983703" w14:paraId="022C339F" w14:textId="77777777" w:rsidTr="00025B41">
        <w:trPr>
          <w:cantSplit/>
        </w:trPr>
        <w:tc>
          <w:tcPr>
            <w:tcW w:w="1417" w:type="dxa"/>
            <w:vMerge w:val="restart"/>
          </w:tcPr>
          <w:p w14:paraId="05FDE08F" w14:textId="5D2F11E4" w:rsidR="00373064" w:rsidRPr="00983703" w:rsidRDefault="0001280A" w:rsidP="00BD36CA">
            <w:pPr>
              <w:rPr>
                <w:lang w:val="es-ES_tradnl"/>
              </w:rPr>
            </w:pPr>
            <w:bookmarkStart w:id="0" w:name="dnum" w:colFirst="2" w:colLast="2"/>
            <w:bookmarkStart w:id="1" w:name="dtableau"/>
            <w:r w:rsidRPr="00983703">
              <w:rPr>
                <w:noProof/>
                <w:lang w:val="es-ES_tradnl"/>
              </w:rPr>
              <w:drawing>
                <wp:inline distT="0" distB="0" distL="0" distR="0" wp14:anchorId="71CE3E7A" wp14:editId="103FC8AE">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779C8E62" w14:textId="77777777" w:rsidR="00373064" w:rsidRPr="00983703" w:rsidRDefault="00373064" w:rsidP="00BD36CA">
            <w:pPr>
              <w:rPr>
                <w:sz w:val="20"/>
                <w:lang w:val="es-ES_tradnl"/>
              </w:rPr>
            </w:pPr>
            <w:r w:rsidRPr="00983703">
              <w:rPr>
                <w:sz w:val="20"/>
                <w:lang w:val="es-ES_tradnl"/>
              </w:rPr>
              <w:t>UNIÓN INTERNACIONAL DE TELECOMUNICACIONES</w:t>
            </w:r>
          </w:p>
        </w:tc>
        <w:tc>
          <w:tcPr>
            <w:tcW w:w="3026" w:type="dxa"/>
          </w:tcPr>
          <w:p w14:paraId="4C0F4DE5" w14:textId="3FE2A255" w:rsidR="00373064" w:rsidRPr="00983703" w:rsidRDefault="007F5C17" w:rsidP="00C57C78">
            <w:pPr>
              <w:pStyle w:val="Docnumber"/>
              <w:rPr>
                <w:lang w:val="es-ES_tradnl"/>
              </w:rPr>
            </w:pPr>
            <w:r w:rsidRPr="00367F9A">
              <w:rPr>
                <w:lang w:val="es-ES"/>
              </w:rPr>
              <w:t>TSAG-R2</w:t>
            </w:r>
            <w:r w:rsidR="005B66C3">
              <w:rPr>
                <w:lang w:val="es-ES"/>
              </w:rPr>
              <w:t>-S</w:t>
            </w:r>
          </w:p>
        </w:tc>
      </w:tr>
      <w:tr w:rsidR="00E77750" w:rsidRPr="00983703" w14:paraId="61A68962" w14:textId="77777777" w:rsidTr="00025B41">
        <w:trPr>
          <w:cantSplit/>
          <w:trHeight w:val="355"/>
        </w:trPr>
        <w:tc>
          <w:tcPr>
            <w:tcW w:w="1417" w:type="dxa"/>
            <w:vMerge/>
          </w:tcPr>
          <w:p w14:paraId="74C4FDAD" w14:textId="77777777" w:rsidR="00E77750" w:rsidRPr="00983703" w:rsidRDefault="00E77750" w:rsidP="00BD36CA">
            <w:pPr>
              <w:rPr>
                <w:lang w:val="es-ES_tradnl"/>
              </w:rPr>
            </w:pPr>
            <w:bookmarkStart w:id="2" w:name="ddate" w:colFirst="2" w:colLast="2"/>
            <w:bookmarkEnd w:id="0"/>
          </w:p>
        </w:tc>
        <w:tc>
          <w:tcPr>
            <w:tcW w:w="4400" w:type="dxa"/>
            <w:gridSpan w:val="4"/>
            <w:vMerge w:val="restart"/>
          </w:tcPr>
          <w:p w14:paraId="4444C86A" w14:textId="77777777" w:rsidR="00E77750" w:rsidRPr="00983703" w:rsidRDefault="00B370ED" w:rsidP="00B370ED">
            <w:pPr>
              <w:rPr>
                <w:b/>
                <w:bCs/>
                <w:sz w:val="26"/>
                <w:lang w:val="es-ES_tradnl"/>
              </w:rPr>
            </w:pPr>
            <w:r w:rsidRPr="00983703">
              <w:rPr>
                <w:b/>
                <w:bCs/>
                <w:sz w:val="26"/>
                <w:lang w:val="es-ES_tradnl"/>
              </w:rPr>
              <w:t xml:space="preserve">SECTOR </w:t>
            </w:r>
            <w:r w:rsidR="00E77750" w:rsidRPr="00983703">
              <w:rPr>
                <w:b/>
                <w:bCs/>
                <w:sz w:val="26"/>
                <w:lang w:val="es-ES_tradnl"/>
              </w:rPr>
              <w:t>DE NORMALIZACIÓN DE LAS TELECOMUNICACIONES</w:t>
            </w:r>
          </w:p>
          <w:p w14:paraId="1DC970F0" w14:textId="5B1D47A7" w:rsidR="00E77750" w:rsidRPr="00983703" w:rsidRDefault="00E77750" w:rsidP="00BD36CA">
            <w:pPr>
              <w:rPr>
                <w:smallCaps/>
                <w:sz w:val="20"/>
                <w:lang w:val="es-ES_tradnl"/>
              </w:rPr>
            </w:pPr>
            <w:r w:rsidRPr="00983703">
              <w:rPr>
                <w:sz w:val="20"/>
                <w:lang w:val="es-ES_tradnl"/>
              </w:rPr>
              <w:t xml:space="preserve">PERIODO DE ESTUDIOS </w:t>
            </w:r>
            <w:r w:rsidR="0001280A" w:rsidRPr="00983703">
              <w:rPr>
                <w:sz w:val="20"/>
                <w:lang w:val="es-ES_tradnl"/>
              </w:rPr>
              <w:t>2022-2024</w:t>
            </w:r>
          </w:p>
        </w:tc>
        <w:tc>
          <w:tcPr>
            <w:tcW w:w="4106" w:type="dxa"/>
            <w:gridSpan w:val="2"/>
          </w:tcPr>
          <w:p w14:paraId="53FE6647" w14:textId="61B0C215" w:rsidR="00E77750" w:rsidRPr="00983703" w:rsidRDefault="007F5C17" w:rsidP="00C57C78">
            <w:pPr>
              <w:jc w:val="right"/>
              <w:rPr>
                <w:b/>
                <w:bCs/>
                <w:sz w:val="28"/>
                <w:szCs w:val="28"/>
                <w:lang w:val="es-ES_tradnl"/>
              </w:rPr>
            </w:pPr>
            <w:r w:rsidRPr="00367F9A">
              <w:rPr>
                <w:b/>
                <w:bCs/>
                <w:smallCaps/>
                <w:sz w:val="28"/>
                <w:szCs w:val="28"/>
                <w:lang w:val="es-ES"/>
              </w:rPr>
              <w:t>GANT</w:t>
            </w:r>
          </w:p>
        </w:tc>
      </w:tr>
      <w:tr w:rsidR="00373064" w:rsidRPr="00983703" w14:paraId="09E13EE4" w14:textId="77777777" w:rsidTr="00025B41">
        <w:trPr>
          <w:cantSplit/>
          <w:trHeight w:val="780"/>
        </w:trPr>
        <w:tc>
          <w:tcPr>
            <w:tcW w:w="1417" w:type="dxa"/>
            <w:vMerge/>
            <w:tcBorders>
              <w:bottom w:val="single" w:sz="12" w:space="0" w:color="auto"/>
            </w:tcBorders>
          </w:tcPr>
          <w:p w14:paraId="4CF15B67" w14:textId="77777777" w:rsidR="00373064" w:rsidRPr="00983703" w:rsidRDefault="00373064" w:rsidP="00BD36CA">
            <w:pPr>
              <w:rPr>
                <w:lang w:val="es-ES_tradnl"/>
              </w:rPr>
            </w:pPr>
            <w:bookmarkStart w:id="3" w:name="dorlang" w:colFirst="2" w:colLast="2"/>
            <w:bookmarkEnd w:id="2"/>
          </w:p>
        </w:tc>
        <w:tc>
          <w:tcPr>
            <w:tcW w:w="4400" w:type="dxa"/>
            <w:gridSpan w:val="4"/>
            <w:vMerge/>
            <w:tcBorders>
              <w:bottom w:val="single" w:sz="12" w:space="0" w:color="auto"/>
            </w:tcBorders>
          </w:tcPr>
          <w:p w14:paraId="624C6059" w14:textId="77777777" w:rsidR="00373064" w:rsidRPr="00983703" w:rsidRDefault="00373064" w:rsidP="00BD36CA">
            <w:pPr>
              <w:rPr>
                <w:b/>
                <w:bCs/>
                <w:sz w:val="26"/>
                <w:lang w:val="es-ES_tradnl"/>
              </w:rPr>
            </w:pPr>
          </w:p>
        </w:tc>
        <w:tc>
          <w:tcPr>
            <w:tcW w:w="4106" w:type="dxa"/>
            <w:gridSpan w:val="2"/>
            <w:tcBorders>
              <w:bottom w:val="single" w:sz="12" w:space="0" w:color="auto"/>
            </w:tcBorders>
            <w:vAlign w:val="center"/>
          </w:tcPr>
          <w:p w14:paraId="27191FAF" w14:textId="77777777" w:rsidR="00373064" w:rsidRPr="00983703" w:rsidRDefault="00373064" w:rsidP="00BD36CA">
            <w:pPr>
              <w:jc w:val="right"/>
              <w:rPr>
                <w:b/>
                <w:bCs/>
                <w:sz w:val="28"/>
                <w:lang w:val="es-ES_tradnl"/>
              </w:rPr>
            </w:pPr>
            <w:r w:rsidRPr="00983703">
              <w:rPr>
                <w:b/>
                <w:bCs/>
                <w:sz w:val="28"/>
                <w:lang w:val="es-ES_tradnl"/>
              </w:rPr>
              <w:t>Original: inglés</w:t>
            </w:r>
          </w:p>
        </w:tc>
      </w:tr>
      <w:tr w:rsidR="00373064" w:rsidRPr="005B66C3" w14:paraId="2C085760" w14:textId="77777777" w:rsidTr="00025B41">
        <w:trPr>
          <w:cantSplit/>
          <w:trHeight w:val="357"/>
        </w:trPr>
        <w:tc>
          <w:tcPr>
            <w:tcW w:w="1977" w:type="dxa"/>
            <w:gridSpan w:val="2"/>
          </w:tcPr>
          <w:p w14:paraId="21365ACA" w14:textId="77777777" w:rsidR="00373064" w:rsidRPr="00983703" w:rsidRDefault="00373064" w:rsidP="00BD36CA">
            <w:pPr>
              <w:rPr>
                <w:b/>
                <w:bCs/>
                <w:lang w:val="es-ES_tradnl"/>
              </w:rPr>
            </w:pPr>
            <w:bookmarkStart w:id="4" w:name="dbluepink" w:colFirst="1" w:colLast="1"/>
            <w:bookmarkStart w:id="5" w:name="dmeeting" w:colFirst="2" w:colLast="2"/>
            <w:bookmarkEnd w:id="3"/>
            <w:r w:rsidRPr="00983703">
              <w:rPr>
                <w:b/>
                <w:bCs/>
                <w:lang w:val="es-ES_tradnl"/>
              </w:rPr>
              <w:t>Cuestión(es):</w:t>
            </w:r>
          </w:p>
        </w:tc>
        <w:tc>
          <w:tcPr>
            <w:tcW w:w="3000" w:type="dxa"/>
          </w:tcPr>
          <w:p w14:paraId="3D45C66F" w14:textId="15A9BFF8" w:rsidR="00373064" w:rsidRPr="00983703" w:rsidRDefault="007F5C17" w:rsidP="00BD36CA">
            <w:pPr>
              <w:rPr>
                <w:lang w:val="es-ES_tradnl"/>
              </w:rPr>
            </w:pPr>
            <w:r w:rsidRPr="00367F9A">
              <w:rPr>
                <w:lang w:val="es-ES"/>
              </w:rPr>
              <w:t>N/A</w:t>
            </w:r>
          </w:p>
        </w:tc>
        <w:tc>
          <w:tcPr>
            <w:tcW w:w="4946" w:type="dxa"/>
            <w:gridSpan w:val="4"/>
          </w:tcPr>
          <w:p w14:paraId="38DA5C01" w14:textId="4EE04116" w:rsidR="00373064" w:rsidRPr="00983703" w:rsidRDefault="007F5C17" w:rsidP="00DF66EC">
            <w:pPr>
              <w:jc w:val="right"/>
              <w:rPr>
                <w:lang w:val="es-ES_tradnl"/>
              </w:rPr>
            </w:pPr>
            <w:r w:rsidRPr="00367F9A">
              <w:rPr>
                <w:lang w:val="es-ES"/>
              </w:rPr>
              <w:t>Ginebra, 30 de mayo-2 de junio de 2023</w:t>
            </w:r>
          </w:p>
        </w:tc>
      </w:tr>
      <w:tr w:rsidR="00373064" w:rsidRPr="00983703" w14:paraId="1EA8E81A" w14:textId="77777777" w:rsidTr="00025B41">
        <w:trPr>
          <w:cantSplit/>
          <w:trHeight w:val="357"/>
        </w:trPr>
        <w:tc>
          <w:tcPr>
            <w:tcW w:w="9923" w:type="dxa"/>
            <w:gridSpan w:val="7"/>
          </w:tcPr>
          <w:p w14:paraId="12A3220E" w14:textId="77777777" w:rsidR="004D3FEE" w:rsidRPr="002669AE" w:rsidRDefault="004D3FEE" w:rsidP="004D3FEE">
            <w:pPr>
              <w:tabs>
                <w:tab w:val="clear" w:pos="794"/>
                <w:tab w:val="clear" w:pos="1191"/>
                <w:tab w:val="clear" w:pos="1588"/>
                <w:tab w:val="clear" w:pos="1985"/>
              </w:tabs>
              <w:overflowPunct/>
              <w:autoSpaceDE/>
              <w:autoSpaceDN/>
              <w:adjustRightInd/>
              <w:jc w:val="center"/>
              <w:textAlignment w:val="auto"/>
              <w:rPr>
                <w:rFonts w:eastAsiaTheme="minorHAnsi"/>
                <w:b/>
                <w:bCs/>
                <w:szCs w:val="24"/>
                <w:lang w:val="es-ES_tradnl" w:eastAsia="ja-JP"/>
              </w:rPr>
            </w:pPr>
            <w:bookmarkStart w:id="6" w:name="dtitle" w:colFirst="0" w:colLast="0"/>
            <w:bookmarkEnd w:id="4"/>
            <w:bookmarkEnd w:id="5"/>
            <w:r w:rsidRPr="002669AE">
              <w:rPr>
                <w:rFonts w:eastAsiaTheme="minorHAnsi"/>
                <w:b/>
                <w:bCs/>
                <w:szCs w:val="24"/>
                <w:lang w:val="es-ES_tradnl" w:eastAsia="ja-JP"/>
              </w:rPr>
              <w:t>GRUPO ASESOR DE NORMALIZACIÓN DE LAS TELECOMUNICACIONES</w:t>
            </w:r>
          </w:p>
          <w:p w14:paraId="570CBC84" w14:textId="175E32DA" w:rsidR="00373064" w:rsidRPr="002669AE" w:rsidRDefault="004D3FEE" w:rsidP="004D3FEE">
            <w:pPr>
              <w:jc w:val="center"/>
              <w:rPr>
                <w:b/>
                <w:bCs/>
                <w:lang w:val="es-ES_tradnl"/>
              </w:rPr>
            </w:pPr>
            <w:r w:rsidRPr="002669AE">
              <w:rPr>
                <w:rFonts w:eastAsiaTheme="minorHAnsi"/>
                <w:b/>
                <w:bCs/>
                <w:szCs w:val="24"/>
                <w:lang w:val="es-ES_tradnl" w:eastAsia="ja-JP"/>
              </w:rPr>
              <w:t>INFORME 2</w:t>
            </w:r>
          </w:p>
        </w:tc>
      </w:tr>
      <w:tr w:rsidR="00BE59AA" w:rsidRPr="005B66C3" w14:paraId="70E9A927" w14:textId="77777777" w:rsidTr="00025B41">
        <w:trPr>
          <w:cantSplit/>
          <w:trHeight w:val="357"/>
        </w:trPr>
        <w:tc>
          <w:tcPr>
            <w:tcW w:w="1977" w:type="dxa"/>
            <w:gridSpan w:val="2"/>
          </w:tcPr>
          <w:p w14:paraId="50DCE03F" w14:textId="77777777" w:rsidR="00BE59AA" w:rsidRPr="00983703" w:rsidRDefault="00BE59AA" w:rsidP="00BE59AA">
            <w:pPr>
              <w:spacing w:after="120"/>
              <w:rPr>
                <w:b/>
                <w:bCs/>
                <w:lang w:val="es-ES_tradnl"/>
              </w:rPr>
            </w:pPr>
            <w:bookmarkStart w:id="7" w:name="dsource" w:colFirst="1" w:colLast="1"/>
            <w:bookmarkEnd w:id="6"/>
            <w:r w:rsidRPr="00983703">
              <w:rPr>
                <w:b/>
                <w:bCs/>
                <w:lang w:val="es-ES_tradnl"/>
              </w:rPr>
              <w:t>Origen:</w:t>
            </w:r>
          </w:p>
        </w:tc>
        <w:tc>
          <w:tcPr>
            <w:tcW w:w="7946" w:type="dxa"/>
            <w:gridSpan w:val="5"/>
          </w:tcPr>
          <w:p w14:paraId="4493B092" w14:textId="6BDD251D" w:rsidR="00BE59AA" w:rsidRPr="00983703" w:rsidRDefault="00BE59AA" w:rsidP="00BE59AA">
            <w:pPr>
              <w:rPr>
                <w:lang w:val="es-ES_tradnl"/>
              </w:rPr>
            </w:pPr>
            <w:r w:rsidRPr="00983703">
              <w:rPr>
                <w:lang w:val="es-ES_tradnl"/>
              </w:rPr>
              <w:t>Grupo Asesor de Normalización de las Telecomunicaciones</w:t>
            </w:r>
          </w:p>
        </w:tc>
      </w:tr>
      <w:tr w:rsidR="00BE59AA" w:rsidRPr="005B66C3" w14:paraId="2FD80534" w14:textId="77777777" w:rsidTr="0096172D">
        <w:trPr>
          <w:cantSplit/>
          <w:trHeight w:val="428"/>
        </w:trPr>
        <w:tc>
          <w:tcPr>
            <w:tcW w:w="1977" w:type="dxa"/>
            <w:gridSpan w:val="2"/>
          </w:tcPr>
          <w:p w14:paraId="4F0B2E62" w14:textId="77777777" w:rsidR="00BE59AA" w:rsidRPr="00983703" w:rsidRDefault="00BE59AA" w:rsidP="00BE59AA">
            <w:pPr>
              <w:spacing w:after="120"/>
              <w:rPr>
                <w:b/>
                <w:bCs/>
                <w:lang w:val="es-ES_tradnl"/>
              </w:rPr>
            </w:pPr>
            <w:r w:rsidRPr="00983703">
              <w:rPr>
                <w:b/>
                <w:bCs/>
                <w:lang w:val="es-ES_tradnl"/>
              </w:rPr>
              <w:t>Título:</w:t>
            </w:r>
          </w:p>
        </w:tc>
        <w:tc>
          <w:tcPr>
            <w:tcW w:w="7946" w:type="dxa"/>
            <w:gridSpan w:val="5"/>
          </w:tcPr>
          <w:p w14:paraId="7AFF511F" w14:textId="5CD390E4" w:rsidR="00BE59AA" w:rsidRPr="00983703" w:rsidRDefault="00BE59AA" w:rsidP="00BE59AA">
            <w:pPr>
              <w:rPr>
                <w:lang w:val="es-ES_tradnl"/>
              </w:rPr>
            </w:pPr>
            <w:r w:rsidRPr="00983703">
              <w:rPr>
                <w:rFonts w:eastAsia="MS Mincho"/>
                <w:lang w:val="es-ES_tradnl"/>
              </w:rPr>
              <w:t xml:space="preserve">Informe de la segunda reunión del Grupo Asesor de Normalización de las Telecomunicaciones (Ginebra, 30 de mayo </w:t>
            </w:r>
            <w:r w:rsidR="00334FB5" w:rsidRPr="00334FB5">
              <w:rPr>
                <w:rFonts w:eastAsia="MS Mincho"/>
                <w:lang w:val="es-ES_tradnl"/>
              </w:rPr>
              <w:t>–</w:t>
            </w:r>
            <w:r w:rsidRPr="00983703">
              <w:rPr>
                <w:rFonts w:eastAsia="MS Mincho"/>
                <w:lang w:val="es-ES_tradnl"/>
              </w:rPr>
              <w:t xml:space="preserve"> 2 de junio de 2023)</w:t>
            </w:r>
          </w:p>
        </w:tc>
      </w:tr>
      <w:tr w:rsidR="00E77750" w:rsidRPr="00594B68" w14:paraId="5EB46C3A" w14:textId="77777777" w:rsidTr="00BE59AA">
        <w:trPr>
          <w:cantSplit/>
          <w:trHeight w:val="357"/>
        </w:trPr>
        <w:tc>
          <w:tcPr>
            <w:tcW w:w="1977" w:type="dxa"/>
            <w:gridSpan w:val="2"/>
            <w:tcBorders>
              <w:top w:val="single" w:sz="4" w:space="0" w:color="auto"/>
              <w:bottom w:val="single" w:sz="4" w:space="0" w:color="auto"/>
            </w:tcBorders>
          </w:tcPr>
          <w:p w14:paraId="42ECFAF2" w14:textId="77777777" w:rsidR="00E77750" w:rsidRPr="00983703" w:rsidRDefault="00E77750" w:rsidP="00BD36CA">
            <w:pPr>
              <w:spacing w:after="120"/>
              <w:rPr>
                <w:b/>
                <w:bCs/>
                <w:lang w:val="es-ES_tradnl"/>
              </w:rPr>
            </w:pPr>
            <w:bookmarkStart w:id="8" w:name="dtitle1" w:colFirst="1" w:colLast="1"/>
            <w:bookmarkEnd w:id="7"/>
            <w:r w:rsidRPr="00983703">
              <w:rPr>
                <w:b/>
                <w:bCs/>
                <w:lang w:val="es-ES_tradnl"/>
              </w:rPr>
              <w:t>Contacto:</w:t>
            </w:r>
          </w:p>
        </w:tc>
        <w:tc>
          <w:tcPr>
            <w:tcW w:w="3706" w:type="dxa"/>
            <w:gridSpan w:val="2"/>
            <w:tcBorders>
              <w:top w:val="single" w:sz="4" w:space="0" w:color="auto"/>
              <w:bottom w:val="single" w:sz="4" w:space="0" w:color="auto"/>
            </w:tcBorders>
          </w:tcPr>
          <w:p w14:paraId="1863DD79" w14:textId="27DF6A60" w:rsidR="00E77750" w:rsidRPr="00983703" w:rsidRDefault="00BE59AA" w:rsidP="00DF66EC">
            <w:pPr>
              <w:spacing w:before="0"/>
              <w:rPr>
                <w:lang w:val="es-ES_tradnl"/>
              </w:rPr>
            </w:pPr>
            <w:r w:rsidRPr="00983703">
              <w:rPr>
                <w:lang w:val="es-ES_tradnl"/>
              </w:rPr>
              <w:t xml:space="preserve">Sr. Abdurahman M. AL HASSAN </w:t>
            </w:r>
            <w:r w:rsidRPr="00983703">
              <w:rPr>
                <w:lang w:val="es-ES_tradnl"/>
              </w:rPr>
              <w:br/>
              <w:t xml:space="preserve">Arabia Saudita (Reino de) </w:t>
            </w:r>
            <w:r w:rsidRPr="00983703">
              <w:rPr>
                <w:lang w:val="es-ES_tradnl"/>
              </w:rPr>
              <w:br/>
            </w:r>
            <w:proofErr w:type="gramStart"/>
            <w:r w:rsidRPr="00983703">
              <w:rPr>
                <w:lang w:val="es-ES_tradnl"/>
              </w:rPr>
              <w:t>Presidente</w:t>
            </w:r>
            <w:proofErr w:type="gramEnd"/>
            <w:r w:rsidRPr="00983703">
              <w:rPr>
                <w:lang w:val="es-ES_tradnl"/>
              </w:rPr>
              <w:t xml:space="preserve"> del GANT</w:t>
            </w:r>
          </w:p>
        </w:tc>
        <w:tc>
          <w:tcPr>
            <w:tcW w:w="4240" w:type="dxa"/>
            <w:gridSpan w:val="3"/>
            <w:tcBorders>
              <w:top w:val="single" w:sz="4" w:space="0" w:color="auto"/>
              <w:bottom w:val="single" w:sz="4" w:space="0" w:color="auto"/>
            </w:tcBorders>
          </w:tcPr>
          <w:p w14:paraId="4A343057" w14:textId="3E2ACF1E" w:rsidR="00DF66EC" w:rsidRPr="00983703" w:rsidRDefault="00DF66EC" w:rsidP="00962C99">
            <w:pPr>
              <w:rPr>
                <w:lang w:val="es-ES_tradnl"/>
              </w:rPr>
            </w:pPr>
            <w:r w:rsidRPr="00983703">
              <w:rPr>
                <w:lang w:val="es-ES_tradnl"/>
              </w:rPr>
              <w:t>Tel.: +</w:t>
            </w:r>
            <w:r w:rsidR="00BE59AA" w:rsidRPr="00983703">
              <w:rPr>
                <w:lang w:val="es-ES_tradnl"/>
              </w:rPr>
              <w:t>996 11 461 8015</w:t>
            </w:r>
          </w:p>
          <w:p w14:paraId="66C640E5" w14:textId="41E4B05F" w:rsidR="00E77750" w:rsidRPr="00983703" w:rsidRDefault="00BE59AA" w:rsidP="00962C99">
            <w:pPr>
              <w:spacing w:before="0"/>
              <w:rPr>
                <w:lang w:val="es-ES_tradnl"/>
              </w:rPr>
            </w:pPr>
            <w:r w:rsidRPr="00983703">
              <w:rPr>
                <w:lang w:val="es-ES_tradnl"/>
              </w:rPr>
              <w:t xml:space="preserve">Correo electrónico: </w:t>
            </w:r>
            <w:hyperlink r:id="rId9" w:history="1">
              <w:r w:rsidRPr="00983703">
                <w:rPr>
                  <w:rStyle w:val="Hyperlink"/>
                  <w:lang w:val="es-ES_tradnl"/>
                </w:rPr>
                <w:t>tsagchair@nca.gov.sa</w:t>
              </w:r>
            </w:hyperlink>
          </w:p>
        </w:tc>
      </w:tr>
      <w:bookmarkEnd w:id="1"/>
      <w:bookmarkEnd w:id="8"/>
    </w:tbl>
    <w:p w14:paraId="3705A5B9" w14:textId="77777777" w:rsidR="00E77750" w:rsidRPr="00983703" w:rsidRDefault="00E77750" w:rsidP="00BD36CA">
      <w:pPr>
        <w:spacing w:after="120"/>
        <w:rPr>
          <w:rFonts w:eastAsia="SimSun"/>
          <w:lang w:val="es-ES_tradnl"/>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BE59AA" w:rsidRPr="005B66C3" w14:paraId="6A3FDF63" w14:textId="77777777" w:rsidTr="00996BD7">
        <w:trPr>
          <w:cantSplit/>
        </w:trPr>
        <w:tc>
          <w:tcPr>
            <w:tcW w:w="1607" w:type="dxa"/>
          </w:tcPr>
          <w:p w14:paraId="38871A02"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b/>
                <w:bCs/>
                <w:szCs w:val="24"/>
                <w:lang w:val="es-ES_tradnl" w:eastAsia="ja-JP"/>
              </w:rPr>
            </w:pPr>
            <w:r w:rsidRPr="00983703">
              <w:rPr>
                <w:rFonts w:eastAsiaTheme="minorHAnsi"/>
                <w:b/>
                <w:bCs/>
                <w:szCs w:val="24"/>
                <w:lang w:val="es-ES_tradnl" w:eastAsia="ja-JP"/>
              </w:rPr>
              <w:t>Resumen:</w:t>
            </w:r>
          </w:p>
        </w:tc>
        <w:tc>
          <w:tcPr>
            <w:tcW w:w="8032" w:type="dxa"/>
          </w:tcPr>
          <w:p w14:paraId="31FDA215"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EastAsia"/>
                <w:szCs w:val="24"/>
                <w:lang w:val="es-ES_tradnl" w:eastAsia="ja-JP"/>
              </w:rPr>
            </w:pPr>
            <w:r w:rsidRPr="00983703">
              <w:rPr>
                <w:rFonts w:eastAsiaTheme="minorEastAsia"/>
                <w:szCs w:val="24"/>
                <w:lang w:val="es-ES_tradnl" w:eastAsia="ja-JP"/>
              </w:rPr>
              <w:t>El presente DT contiene el informe de la segunda reunión del Grupo Asesor de Normalización de las Telecomunicaciones del UIT-T (Ginebra, 30 de mayo-2 de junio de 2023) para el periodo de estudios 2022-2024.</w:t>
            </w:r>
          </w:p>
        </w:tc>
      </w:tr>
    </w:tbl>
    <w:p w14:paraId="2F69B80D" w14:textId="77777777" w:rsidR="00BE59AA" w:rsidRPr="00983703" w:rsidRDefault="00BE59AA" w:rsidP="00996BD7">
      <w:pPr>
        <w:pStyle w:val="Note"/>
        <w:spacing w:before="240"/>
        <w:rPr>
          <w:rFonts w:eastAsiaTheme="minorHAnsi"/>
          <w:lang w:val="es-ES_tradnl" w:eastAsia="ja-JP"/>
        </w:rPr>
      </w:pPr>
      <w:r w:rsidRPr="00983703">
        <w:rPr>
          <w:rFonts w:eastAsiaTheme="minorHAnsi"/>
          <w:lang w:val="es-ES_tradnl" w:eastAsia="ja-JP"/>
        </w:rPr>
        <w:t>NOTA 1 – En el presente informe figuran las conclusiones y las medidas adoptadas en esta reunión del GANT.</w:t>
      </w:r>
    </w:p>
    <w:p w14:paraId="05C69175" w14:textId="77777777" w:rsidR="00BE59AA" w:rsidRPr="00983703" w:rsidRDefault="00BE59AA" w:rsidP="00996BD7">
      <w:pPr>
        <w:pStyle w:val="Note"/>
        <w:spacing w:before="120"/>
        <w:rPr>
          <w:rFonts w:eastAsiaTheme="minorHAnsi"/>
          <w:szCs w:val="24"/>
          <w:lang w:val="es-ES_tradnl" w:eastAsia="ja-JP"/>
        </w:rPr>
      </w:pPr>
      <w:r w:rsidRPr="00983703">
        <w:rPr>
          <w:rFonts w:eastAsiaTheme="minorHAnsi"/>
          <w:szCs w:val="24"/>
          <w:lang w:val="es-ES_tradnl" w:eastAsia="ja-JP"/>
        </w:rPr>
        <w:t>NOTA 2 – A menos que se señale lo contrario, todas las Contribuciones y DT a los que se alude en este informe corresponden a la serie de documentos del GANT y se refieren a la versión revisada publicada más reciente.</w:t>
      </w:r>
    </w:p>
    <w:p w14:paraId="2DC6FAF7" w14:textId="77777777" w:rsidR="00BE59AA" w:rsidRPr="00983703" w:rsidRDefault="00BE59AA" w:rsidP="00BE59AA">
      <w:pPr>
        <w:tabs>
          <w:tab w:val="clear" w:pos="794"/>
          <w:tab w:val="clear" w:pos="1191"/>
          <w:tab w:val="clear" w:pos="1588"/>
          <w:tab w:val="clear" w:pos="1985"/>
        </w:tabs>
        <w:overflowPunct/>
        <w:autoSpaceDE/>
        <w:autoSpaceDN/>
        <w:adjustRightInd/>
        <w:spacing w:before="240"/>
        <w:textAlignment w:val="auto"/>
        <w:rPr>
          <w:rFonts w:eastAsia="MS Mincho"/>
          <w:szCs w:val="24"/>
          <w:lang w:val="es-ES_tradnl"/>
        </w:rPr>
      </w:pPr>
      <w:r w:rsidRPr="00983703">
        <w:rPr>
          <w:rFonts w:eastAsia="MS Mincho"/>
          <w:szCs w:val="24"/>
          <w:u w:val="single"/>
          <w:lang w:val="es-ES_tradnl"/>
        </w:rPr>
        <w:t>Nota de la TSB:</w:t>
      </w:r>
    </w:p>
    <w:p w14:paraId="459697D1"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MS Mincho"/>
          <w:szCs w:val="24"/>
          <w:lang w:val="es-ES_tradnl"/>
        </w:rPr>
      </w:pPr>
      <w:r w:rsidRPr="00983703">
        <w:rPr>
          <w:rFonts w:eastAsia="MS Mincho"/>
          <w:szCs w:val="24"/>
          <w:lang w:val="es-ES_tradnl"/>
        </w:rPr>
        <w:t>Los informes de la segunda reunión del GANT se han publicado en los siguientes documentos:</w:t>
      </w:r>
    </w:p>
    <w:p w14:paraId="3D4B0EB5" w14:textId="5DEA78A1" w:rsidR="00BE59AA" w:rsidRPr="00983703" w:rsidRDefault="00BE59AA" w:rsidP="00BE59AA">
      <w:pPr>
        <w:widowControl w:val="0"/>
        <w:tabs>
          <w:tab w:val="clear" w:pos="794"/>
          <w:tab w:val="clear" w:pos="1191"/>
          <w:tab w:val="clear" w:pos="1588"/>
          <w:tab w:val="clear" w:pos="1985"/>
          <w:tab w:val="left" w:pos="3119"/>
        </w:tabs>
        <w:overflowPunct/>
        <w:autoSpaceDE/>
        <w:autoSpaceDN/>
        <w:adjustRightInd/>
        <w:ind w:left="3119" w:hanging="3119"/>
        <w:textAlignment w:val="auto"/>
        <w:rPr>
          <w:rFonts w:eastAsia="MS Mincho"/>
          <w:szCs w:val="24"/>
          <w:lang w:val="es-ES_tradnl"/>
        </w:rPr>
      </w:pPr>
      <w:r w:rsidRPr="00983703">
        <w:rPr>
          <w:rFonts w:eastAsia="MS Mincho"/>
          <w:szCs w:val="24"/>
          <w:lang w:val="es-ES_tradnl"/>
        </w:rPr>
        <w:t>TSAG -R2</w:t>
      </w:r>
      <w:r w:rsidRPr="00983703">
        <w:rPr>
          <w:rFonts w:eastAsia="MS Mincho"/>
          <w:szCs w:val="24"/>
          <w:lang w:val="es-ES_tradnl"/>
        </w:rPr>
        <w:tab/>
        <w:t xml:space="preserve">Informe de la segunda reunión del Grupo Asesor de Normalización de las Telecomunicaciones (Ginebra, 30 de mayo </w:t>
      </w:r>
      <w:r w:rsidR="005C168C" w:rsidRPr="005C168C">
        <w:rPr>
          <w:rFonts w:eastAsia="MS Mincho"/>
          <w:szCs w:val="24"/>
          <w:lang w:val="es-ES_tradnl"/>
        </w:rPr>
        <w:t>–</w:t>
      </w:r>
      <w:r w:rsidRPr="00983703">
        <w:rPr>
          <w:rFonts w:eastAsia="MS Mincho"/>
          <w:szCs w:val="24"/>
          <w:lang w:val="es-ES_tradnl"/>
        </w:rPr>
        <w:t xml:space="preserve"> 2 de junio de</w:t>
      </w:r>
      <w:r w:rsidR="005C168C">
        <w:rPr>
          <w:rFonts w:eastAsia="MS Mincho"/>
          <w:szCs w:val="24"/>
          <w:lang w:val="es-ES_tradnl"/>
        </w:rPr>
        <w:t> </w:t>
      </w:r>
      <w:r w:rsidRPr="00983703">
        <w:rPr>
          <w:rFonts w:eastAsia="MS Mincho"/>
          <w:szCs w:val="24"/>
          <w:lang w:val="es-ES_tradnl"/>
        </w:rPr>
        <w:t>2023)</w:t>
      </w:r>
    </w:p>
    <w:p w14:paraId="266A5596" w14:textId="7D93C658" w:rsidR="004D3FEE" w:rsidRPr="00594B68" w:rsidRDefault="00BE59AA" w:rsidP="00594B68">
      <w:pPr>
        <w:widowControl w:val="0"/>
        <w:tabs>
          <w:tab w:val="clear" w:pos="794"/>
          <w:tab w:val="clear" w:pos="1191"/>
          <w:tab w:val="clear" w:pos="1588"/>
          <w:tab w:val="clear" w:pos="1985"/>
          <w:tab w:val="left" w:pos="3119"/>
        </w:tabs>
        <w:overflowPunct/>
        <w:autoSpaceDE/>
        <w:autoSpaceDN/>
        <w:adjustRightInd/>
        <w:ind w:left="3119" w:hanging="3119"/>
        <w:textAlignment w:val="auto"/>
        <w:rPr>
          <w:rFonts w:eastAsia="MS Mincho"/>
          <w:szCs w:val="24"/>
          <w:lang w:val="es-ES_tradnl"/>
        </w:rPr>
      </w:pPr>
      <w:r w:rsidRPr="00983703">
        <w:rPr>
          <w:rFonts w:eastAsia="MS Mincho"/>
          <w:szCs w:val="24"/>
          <w:lang w:val="es-ES_tradnl"/>
        </w:rPr>
        <w:t>TSAG -R3</w:t>
      </w:r>
      <w:r w:rsidRPr="00983703">
        <w:rPr>
          <w:rFonts w:eastAsia="MS Mincho"/>
          <w:szCs w:val="24"/>
          <w:lang w:val="es-ES_tradnl"/>
        </w:rPr>
        <w:tab/>
        <w:t xml:space="preserve">Informe de la segunda reunión del Grupo Asesor de Normalización de las Telecomunicaciones (Ginebra, 30 de mayo </w:t>
      </w:r>
      <w:r w:rsidR="005C168C" w:rsidRPr="005C168C">
        <w:rPr>
          <w:rFonts w:eastAsia="MS Mincho"/>
          <w:szCs w:val="24"/>
          <w:lang w:val="es-ES_tradnl"/>
        </w:rPr>
        <w:t>–</w:t>
      </w:r>
      <w:r w:rsidRPr="00983703">
        <w:rPr>
          <w:rFonts w:eastAsia="MS Mincho"/>
          <w:szCs w:val="24"/>
          <w:lang w:val="es-ES_tradnl"/>
        </w:rPr>
        <w:t xml:space="preserve"> 2 de junio de</w:t>
      </w:r>
      <w:r w:rsidR="005C168C">
        <w:rPr>
          <w:rFonts w:eastAsia="MS Mincho"/>
          <w:szCs w:val="24"/>
          <w:lang w:val="es-ES_tradnl"/>
        </w:rPr>
        <w:t> </w:t>
      </w:r>
      <w:r w:rsidRPr="00983703">
        <w:rPr>
          <w:rFonts w:eastAsia="MS Mincho"/>
          <w:szCs w:val="24"/>
          <w:lang w:val="es-ES_tradnl"/>
        </w:rPr>
        <w:t>2023) – Revisión de la Recomendación UIT-T A.8 determinada "</w:t>
      </w:r>
      <w:r w:rsidRPr="00983703">
        <w:rPr>
          <w:rFonts w:eastAsia="MS Mincho"/>
          <w:i/>
          <w:iCs/>
          <w:szCs w:val="24"/>
          <w:lang w:val="es-ES_tradnl"/>
        </w:rPr>
        <w:t>Proceso de aprobación alternativo para las Recomendaciones UIT-T nuevas y revisadas</w:t>
      </w:r>
      <w:r w:rsidRPr="00983703">
        <w:rPr>
          <w:rFonts w:eastAsia="MS Mincho"/>
          <w:szCs w:val="24"/>
          <w:lang w:val="es-ES_tradnl"/>
        </w:rPr>
        <w:t>"</w:t>
      </w:r>
    </w:p>
    <w:p w14:paraId="479412DB" w14:textId="16A44177" w:rsidR="004D3FEE" w:rsidRPr="00983703" w:rsidRDefault="004D3FEE">
      <w:pPr>
        <w:tabs>
          <w:tab w:val="clear" w:pos="794"/>
          <w:tab w:val="clear" w:pos="1191"/>
          <w:tab w:val="clear" w:pos="1588"/>
          <w:tab w:val="clear" w:pos="1985"/>
        </w:tabs>
        <w:overflowPunct/>
        <w:autoSpaceDE/>
        <w:autoSpaceDN/>
        <w:adjustRightInd/>
        <w:spacing w:before="0"/>
        <w:textAlignment w:val="auto"/>
        <w:rPr>
          <w:lang w:val="es-ES_tradnl"/>
        </w:rPr>
      </w:pPr>
      <w:r w:rsidRPr="00983703">
        <w:rPr>
          <w:lang w:val="es-ES_tradnl"/>
        </w:rPr>
        <w:br w:type="page"/>
      </w:r>
    </w:p>
    <w:p w14:paraId="367026E8" w14:textId="3B9680F7" w:rsidR="004D3FEE" w:rsidRDefault="00BE59AA" w:rsidP="0024536D">
      <w:pPr>
        <w:pStyle w:val="Title4"/>
        <w:spacing w:after="240"/>
        <w:rPr>
          <w:lang w:val="es-ES_tradnl"/>
        </w:rPr>
      </w:pPr>
      <w:r w:rsidRPr="007F5C17">
        <w:rPr>
          <w:lang w:val="es-ES_tradnl"/>
        </w:rPr>
        <w:lastRenderedPageBreak/>
        <w:t>Índice</w:t>
      </w:r>
    </w:p>
    <w:bookmarkStart w:id="9" w:name="_Toc87210125" w:displacedByCustomXml="next"/>
    <w:sdt>
      <w:sdtPr>
        <w:rPr>
          <w:rFonts w:eastAsiaTheme="minorHAnsi"/>
          <w:lang w:val="es-ES_tradnl" w:eastAsia="ja-JP"/>
        </w:rPr>
        <w:id w:val="-849877769"/>
        <w:docPartObj>
          <w:docPartGallery w:val="Table of Contents"/>
          <w:docPartUnique/>
        </w:docPartObj>
      </w:sdtPr>
      <w:sdtEndPr>
        <w:rPr>
          <w:b/>
          <w:bCs/>
          <w:szCs w:val="24"/>
          <w:highlight w:val="yellow"/>
        </w:rPr>
      </w:sdtEndPr>
      <w:sdtContent>
        <w:p w14:paraId="0FAF2CD7" w14:textId="2AA66677" w:rsidR="00334FB5" w:rsidRDefault="00334FB5" w:rsidP="0024536D">
          <w:pPr>
            <w:rPr>
              <w:rFonts w:asciiTheme="minorHAnsi" w:eastAsiaTheme="minorEastAsia" w:hAnsiTheme="minorHAnsi" w:cstheme="minorBidi"/>
              <w:noProof/>
              <w:kern w:val="2"/>
              <w:sz w:val="22"/>
              <w:szCs w:val="22"/>
              <w:lang w:eastAsia="en-GB"/>
              <w14:ligatures w14:val="standardContextual"/>
            </w:rPr>
          </w:pPr>
          <w:r>
            <w:rPr>
              <w:rFonts w:eastAsia="????"/>
              <w:b/>
              <w:bCs/>
              <w:caps/>
              <w:sz w:val="20"/>
              <w:szCs w:val="24"/>
              <w:highlight w:val="yellow"/>
              <w:lang w:val="es-ES_tradnl"/>
            </w:rPr>
            <w:fldChar w:fldCharType="begin"/>
          </w:r>
          <w:r>
            <w:rPr>
              <w:rFonts w:eastAsia="????"/>
              <w:b/>
              <w:bCs/>
              <w:caps/>
              <w:sz w:val="20"/>
              <w:szCs w:val="24"/>
              <w:highlight w:val="yellow"/>
              <w:lang w:val="es-ES_tradnl"/>
            </w:rPr>
            <w:instrText xml:space="preserve"> TOC \h \z \t "Heading 1;1;Heading 2;2;Annex_No &amp; title;1;Annex_Title;1" </w:instrText>
          </w:r>
          <w:r>
            <w:rPr>
              <w:rFonts w:eastAsia="????"/>
              <w:b/>
              <w:bCs/>
              <w:caps/>
              <w:sz w:val="20"/>
              <w:szCs w:val="24"/>
              <w:highlight w:val="yellow"/>
              <w:lang w:val="es-ES_tradnl"/>
            </w:rPr>
            <w:fldChar w:fldCharType="separate"/>
          </w:r>
          <w:hyperlink w:anchor="_Toc140261632" w:history="1">
            <w:r w:rsidRPr="00402D7D">
              <w:rPr>
                <w:rStyle w:val="Hyperlink"/>
                <w:noProof/>
                <w:lang w:val="es-ES_tradnl"/>
              </w:rPr>
              <w:t>1</w:t>
            </w:r>
            <w:r>
              <w:rPr>
                <w:rFonts w:asciiTheme="minorHAnsi" w:eastAsiaTheme="minorEastAsia" w:hAnsiTheme="minorHAnsi" w:cstheme="minorBidi"/>
                <w:noProof/>
                <w:kern w:val="2"/>
                <w:sz w:val="22"/>
                <w:szCs w:val="22"/>
                <w:lang w:eastAsia="en-GB"/>
                <w14:ligatures w14:val="standardContextual"/>
              </w:rPr>
              <w:tab/>
            </w:r>
            <w:r w:rsidRPr="00402D7D">
              <w:rPr>
                <w:rStyle w:val="Hyperlink"/>
                <w:noProof/>
                <w:lang w:val="es-ES_tradnl"/>
              </w:rPr>
              <w:t>Apertura de la reunión, Presidente del GANT</w:t>
            </w:r>
            <w:r>
              <w:rPr>
                <w:noProof/>
                <w:webHidden/>
              </w:rPr>
              <w:tab/>
            </w:r>
          </w:hyperlink>
          <w:r w:rsidR="00475F02">
            <w:rPr>
              <w:noProof/>
            </w:rPr>
            <w:t>.............................</w:t>
          </w:r>
          <w:r w:rsidR="00475F02">
            <w:rPr>
              <w:noProof/>
              <w:webHidden/>
            </w:rPr>
            <w:t>.............................</w:t>
          </w:r>
          <w:r w:rsidR="00475F02">
            <w:rPr>
              <w:noProof/>
              <w:webHidden/>
            </w:rPr>
            <w:fldChar w:fldCharType="begin"/>
          </w:r>
          <w:r w:rsidR="00475F02">
            <w:rPr>
              <w:noProof/>
              <w:webHidden/>
            </w:rPr>
            <w:instrText xml:space="preserve"> PAGEREF _Toc140261632 \h </w:instrText>
          </w:r>
          <w:r w:rsidR="00475F02">
            <w:rPr>
              <w:noProof/>
              <w:webHidden/>
            </w:rPr>
          </w:r>
          <w:r w:rsidR="00475F02">
            <w:rPr>
              <w:noProof/>
              <w:webHidden/>
            </w:rPr>
            <w:fldChar w:fldCharType="separate"/>
          </w:r>
          <w:r w:rsidR="0009682A">
            <w:rPr>
              <w:noProof/>
              <w:webHidden/>
            </w:rPr>
            <w:t>4</w:t>
          </w:r>
          <w:r w:rsidR="00475F02">
            <w:rPr>
              <w:noProof/>
              <w:webHidden/>
            </w:rPr>
            <w:fldChar w:fldCharType="end"/>
          </w:r>
        </w:p>
        <w:p w14:paraId="4E57DF1D" w14:textId="6F2F5ABB"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33" w:history="1">
            <w:r w:rsidR="00334FB5" w:rsidRPr="00402D7D">
              <w:rPr>
                <w:rStyle w:val="Hyperlink"/>
                <w:noProof/>
                <w:lang w:val="es-ES_tradnl"/>
              </w:rPr>
              <w:t>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Aprobación del orden del día, asignación de documentos y plan de gestión del tiempo</w:t>
            </w:r>
            <w:r w:rsidR="00334FB5">
              <w:rPr>
                <w:noProof/>
                <w:webHidden/>
              </w:rPr>
              <w:tab/>
            </w:r>
            <w:r w:rsidR="00475F02">
              <w:rPr>
                <w:noProof/>
                <w:webHidden/>
              </w:rPr>
              <w:t>........</w:t>
            </w:r>
            <w:r w:rsidR="00334FB5">
              <w:rPr>
                <w:noProof/>
                <w:webHidden/>
              </w:rPr>
              <w:fldChar w:fldCharType="begin"/>
            </w:r>
            <w:r w:rsidR="00334FB5">
              <w:rPr>
                <w:noProof/>
                <w:webHidden/>
              </w:rPr>
              <w:instrText xml:space="preserve"> PAGEREF _Toc140261633 \h </w:instrText>
            </w:r>
            <w:r w:rsidR="00334FB5">
              <w:rPr>
                <w:noProof/>
                <w:webHidden/>
              </w:rPr>
            </w:r>
            <w:r w:rsidR="00334FB5">
              <w:rPr>
                <w:noProof/>
                <w:webHidden/>
              </w:rPr>
              <w:fldChar w:fldCharType="separate"/>
            </w:r>
            <w:r w:rsidR="0009682A">
              <w:rPr>
                <w:noProof/>
                <w:webHidden/>
              </w:rPr>
              <w:t>6</w:t>
            </w:r>
            <w:r w:rsidR="00334FB5">
              <w:rPr>
                <w:noProof/>
                <w:webHidden/>
              </w:rPr>
              <w:fldChar w:fldCharType="end"/>
            </w:r>
          </w:hyperlink>
        </w:p>
        <w:p w14:paraId="1C173F6B" w14:textId="7657B5A6"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34" w:history="1">
            <w:r w:rsidR="00334FB5" w:rsidRPr="00402D7D">
              <w:rPr>
                <w:rStyle w:val="Hyperlink"/>
                <w:noProof/>
                <w:lang w:val="es-ES_tradnl"/>
              </w:rPr>
              <w:t>3</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Informes del Director de la TSB</w:t>
            </w:r>
            <w:r w:rsidR="00334FB5">
              <w:rPr>
                <w:noProof/>
                <w:webHidden/>
              </w:rPr>
              <w:tab/>
            </w:r>
            <w:r w:rsidR="00475F02">
              <w:rPr>
                <w:noProof/>
                <w:webHidden/>
              </w:rPr>
              <w:t>........</w:t>
            </w:r>
            <w:r w:rsidR="00334FB5">
              <w:rPr>
                <w:noProof/>
                <w:webHidden/>
              </w:rPr>
              <w:fldChar w:fldCharType="begin"/>
            </w:r>
            <w:r w:rsidR="00334FB5">
              <w:rPr>
                <w:noProof/>
                <w:webHidden/>
              </w:rPr>
              <w:instrText xml:space="preserve"> PAGEREF _Toc140261634 \h </w:instrText>
            </w:r>
            <w:r w:rsidR="00334FB5">
              <w:rPr>
                <w:noProof/>
                <w:webHidden/>
              </w:rPr>
            </w:r>
            <w:r w:rsidR="00334FB5">
              <w:rPr>
                <w:noProof/>
                <w:webHidden/>
              </w:rPr>
              <w:fldChar w:fldCharType="separate"/>
            </w:r>
            <w:r w:rsidR="0009682A">
              <w:rPr>
                <w:noProof/>
                <w:webHidden/>
              </w:rPr>
              <w:t>6</w:t>
            </w:r>
            <w:r w:rsidR="00334FB5">
              <w:rPr>
                <w:noProof/>
                <w:webHidden/>
              </w:rPr>
              <w:fldChar w:fldCharType="end"/>
            </w:r>
          </w:hyperlink>
        </w:p>
        <w:p w14:paraId="42E8A438" w14:textId="4E5BA17E"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35" w:history="1">
            <w:r w:rsidR="00334FB5" w:rsidRPr="00402D7D">
              <w:rPr>
                <w:rStyle w:val="Hyperlink"/>
                <w:noProof/>
                <w:lang w:val="es-ES_tradnl"/>
              </w:rPr>
              <w:t>4</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Transformación digital</w:t>
            </w:r>
            <w:r w:rsidR="00334FB5">
              <w:rPr>
                <w:noProof/>
                <w:webHidden/>
              </w:rPr>
              <w:tab/>
            </w:r>
            <w:r w:rsidR="00475F02">
              <w:rPr>
                <w:noProof/>
                <w:webHidden/>
              </w:rPr>
              <w:t>........</w:t>
            </w:r>
            <w:r w:rsidR="00334FB5">
              <w:rPr>
                <w:noProof/>
                <w:webHidden/>
              </w:rPr>
              <w:fldChar w:fldCharType="begin"/>
            </w:r>
            <w:r w:rsidR="00334FB5">
              <w:rPr>
                <w:noProof/>
                <w:webHidden/>
              </w:rPr>
              <w:instrText xml:space="preserve"> PAGEREF _Toc140261635 \h </w:instrText>
            </w:r>
            <w:r w:rsidR="00334FB5">
              <w:rPr>
                <w:noProof/>
                <w:webHidden/>
              </w:rPr>
            </w:r>
            <w:r w:rsidR="00334FB5">
              <w:rPr>
                <w:noProof/>
                <w:webHidden/>
              </w:rPr>
              <w:fldChar w:fldCharType="separate"/>
            </w:r>
            <w:r w:rsidR="0009682A">
              <w:rPr>
                <w:noProof/>
                <w:webHidden/>
              </w:rPr>
              <w:t>7</w:t>
            </w:r>
            <w:r w:rsidR="00334FB5">
              <w:rPr>
                <w:noProof/>
                <w:webHidden/>
              </w:rPr>
              <w:fldChar w:fldCharType="end"/>
            </w:r>
          </w:hyperlink>
        </w:p>
        <w:p w14:paraId="71F0C298" w14:textId="76445051"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36" w:history="1">
            <w:r w:rsidR="00334FB5" w:rsidRPr="00402D7D">
              <w:rPr>
                <w:rStyle w:val="Hyperlink"/>
                <w:noProof/>
                <w:lang w:val="es-ES_tradnl"/>
              </w:rPr>
              <w:t>4.1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Propuesta de nuevo Grupo Temático sobre Transformación Digital (GT</w:t>
            </w:r>
            <w:r w:rsidR="00475F02">
              <w:rPr>
                <w:rStyle w:val="Hyperlink"/>
                <w:noProof/>
                <w:lang w:val="es-ES_tradnl"/>
              </w:rPr>
              <w:noBreakHyphen/>
            </w:r>
            <w:r w:rsidR="00334FB5" w:rsidRPr="00402D7D">
              <w:rPr>
                <w:rStyle w:val="Hyperlink"/>
                <w:noProof/>
                <w:lang w:val="es-ES_tradnl"/>
              </w:rPr>
              <w:t>DT)</w:t>
            </w:r>
            <w:r w:rsidR="00334FB5">
              <w:rPr>
                <w:noProof/>
                <w:webHidden/>
              </w:rPr>
              <w:tab/>
            </w:r>
            <w:r w:rsidR="00475F02">
              <w:rPr>
                <w:noProof/>
                <w:webHidden/>
              </w:rPr>
              <w:t>........</w:t>
            </w:r>
            <w:r w:rsidR="00334FB5">
              <w:rPr>
                <w:noProof/>
                <w:webHidden/>
              </w:rPr>
              <w:fldChar w:fldCharType="begin"/>
            </w:r>
            <w:r w:rsidR="00334FB5">
              <w:rPr>
                <w:noProof/>
                <w:webHidden/>
              </w:rPr>
              <w:instrText xml:space="preserve"> PAGEREF _Toc140261636 \h </w:instrText>
            </w:r>
            <w:r w:rsidR="00334FB5">
              <w:rPr>
                <w:noProof/>
                <w:webHidden/>
              </w:rPr>
            </w:r>
            <w:r w:rsidR="00334FB5">
              <w:rPr>
                <w:noProof/>
                <w:webHidden/>
              </w:rPr>
              <w:fldChar w:fldCharType="separate"/>
            </w:r>
            <w:r w:rsidR="0009682A">
              <w:rPr>
                <w:noProof/>
                <w:webHidden/>
              </w:rPr>
              <w:t>7</w:t>
            </w:r>
            <w:r w:rsidR="00334FB5">
              <w:rPr>
                <w:noProof/>
                <w:webHidden/>
              </w:rPr>
              <w:fldChar w:fldCharType="end"/>
            </w:r>
          </w:hyperlink>
        </w:p>
        <w:p w14:paraId="3C6641A5" w14:textId="273FEF47"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37" w:history="1">
            <w:r w:rsidR="00334FB5" w:rsidRPr="00402D7D">
              <w:rPr>
                <w:rStyle w:val="Hyperlink"/>
                <w:noProof/>
                <w:lang w:val="es-ES_tradnl"/>
              </w:rPr>
              <w:t>4.2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Nuevo Grupo de Relator del GANT sobre transformación digital sostenible (GR-TD)</w:t>
            </w:r>
            <w:r w:rsidR="00334FB5">
              <w:rPr>
                <w:noProof/>
                <w:webHidden/>
              </w:rPr>
              <w:tab/>
            </w:r>
            <w:bookmarkStart w:id="10" w:name="_Hlk140479894"/>
            <w:r w:rsidR="00475F02">
              <w:rPr>
                <w:noProof/>
                <w:webHidden/>
              </w:rPr>
              <w:t>........</w:t>
            </w:r>
            <w:bookmarkEnd w:id="10"/>
            <w:r w:rsidR="00334FB5">
              <w:rPr>
                <w:noProof/>
                <w:webHidden/>
              </w:rPr>
              <w:fldChar w:fldCharType="begin"/>
            </w:r>
            <w:r w:rsidR="00334FB5">
              <w:rPr>
                <w:noProof/>
                <w:webHidden/>
              </w:rPr>
              <w:instrText xml:space="preserve"> PAGEREF _Toc140261637 \h </w:instrText>
            </w:r>
            <w:r w:rsidR="00334FB5">
              <w:rPr>
                <w:noProof/>
                <w:webHidden/>
              </w:rPr>
            </w:r>
            <w:r w:rsidR="00334FB5">
              <w:rPr>
                <w:noProof/>
                <w:webHidden/>
              </w:rPr>
              <w:fldChar w:fldCharType="separate"/>
            </w:r>
            <w:r w:rsidR="0009682A">
              <w:rPr>
                <w:noProof/>
                <w:webHidden/>
              </w:rPr>
              <w:t>7</w:t>
            </w:r>
            <w:r w:rsidR="00334FB5">
              <w:rPr>
                <w:noProof/>
                <w:webHidden/>
              </w:rPr>
              <w:fldChar w:fldCharType="end"/>
            </w:r>
          </w:hyperlink>
        </w:p>
        <w:p w14:paraId="39F13DAB" w14:textId="412F7312"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38" w:history="1">
            <w:r w:rsidR="00334FB5" w:rsidRPr="00402D7D">
              <w:rPr>
                <w:rStyle w:val="Hyperlink"/>
                <w:noProof/>
                <w:lang w:val="es-ES_tradnl"/>
              </w:rPr>
              <w:t>4.3</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 xml:space="preserve">Coalición Digital </w:t>
            </w:r>
            <w:r w:rsidR="00334FB5" w:rsidRPr="00402D7D">
              <w:rPr>
                <w:rStyle w:val="Hyperlink"/>
                <w:i/>
                <w:iCs/>
                <w:noProof/>
                <w:lang w:val="es-ES_tradnl"/>
              </w:rPr>
              <w:t>Partner2Connect</w:t>
            </w:r>
            <w:r w:rsidR="00334FB5" w:rsidRPr="00402D7D">
              <w:rPr>
                <w:rStyle w:val="Hyperlink"/>
                <w:noProof/>
                <w:lang w:val="es-ES_tradnl"/>
              </w:rPr>
              <w:t xml:space="preserve"> de la UIT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_Toc140261638 \h </w:instrText>
            </w:r>
            <w:r w:rsidR="00334FB5">
              <w:rPr>
                <w:noProof/>
                <w:webHidden/>
              </w:rPr>
            </w:r>
            <w:r w:rsidR="00334FB5">
              <w:rPr>
                <w:noProof/>
                <w:webHidden/>
              </w:rPr>
              <w:fldChar w:fldCharType="separate"/>
            </w:r>
            <w:r w:rsidR="0009682A">
              <w:rPr>
                <w:noProof/>
                <w:webHidden/>
              </w:rPr>
              <w:t>8</w:t>
            </w:r>
            <w:r w:rsidR="00334FB5">
              <w:rPr>
                <w:noProof/>
                <w:webHidden/>
              </w:rPr>
              <w:fldChar w:fldCharType="end"/>
            </w:r>
          </w:hyperlink>
        </w:p>
        <w:p w14:paraId="76D7A415" w14:textId="43974C0E"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39" w:history="1">
            <w:r w:rsidR="00334FB5" w:rsidRPr="00402D7D">
              <w:rPr>
                <w:rStyle w:val="Hyperlink"/>
                <w:noProof/>
                <w:lang w:val="es-ES_tradnl"/>
              </w:rPr>
              <w:t>5</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Grupos Temáticos del UIT-T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_Toc140261639 \h </w:instrText>
            </w:r>
            <w:r w:rsidR="00334FB5">
              <w:rPr>
                <w:noProof/>
                <w:webHidden/>
              </w:rPr>
            </w:r>
            <w:r w:rsidR="00334FB5">
              <w:rPr>
                <w:noProof/>
                <w:webHidden/>
              </w:rPr>
              <w:fldChar w:fldCharType="separate"/>
            </w:r>
            <w:r w:rsidR="0009682A">
              <w:rPr>
                <w:noProof/>
                <w:webHidden/>
              </w:rPr>
              <w:t>8</w:t>
            </w:r>
            <w:r w:rsidR="00334FB5">
              <w:rPr>
                <w:noProof/>
                <w:webHidden/>
              </w:rPr>
              <w:fldChar w:fldCharType="end"/>
            </w:r>
          </w:hyperlink>
        </w:p>
        <w:p w14:paraId="49BEA719" w14:textId="1F7C96C4"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0" w:history="1">
            <w:r w:rsidR="00334FB5" w:rsidRPr="00402D7D">
              <w:rPr>
                <w:rStyle w:val="Hyperlink"/>
                <w:noProof/>
                <w:lang w:val="es-ES_tradnl"/>
              </w:rPr>
              <w:t>5.1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 Temático del UIT-T sobre el Metaverso (GT-MV)</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_Toc140261640 \h </w:instrText>
            </w:r>
            <w:r w:rsidR="00334FB5">
              <w:rPr>
                <w:noProof/>
                <w:webHidden/>
              </w:rPr>
            </w:r>
            <w:r w:rsidR="00334FB5">
              <w:rPr>
                <w:noProof/>
                <w:webHidden/>
              </w:rPr>
              <w:fldChar w:fldCharType="separate"/>
            </w:r>
            <w:r w:rsidR="0009682A">
              <w:rPr>
                <w:noProof/>
                <w:webHidden/>
              </w:rPr>
              <w:t>8</w:t>
            </w:r>
            <w:r w:rsidR="00334FB5">
              <w:rPr>
                <w:noProof/>
                <w:webHidden/>
              </w:rPr>
              <w:fldChar w:fldCharType="end"/>
            </w:r>
          </w:hyperlink>
        </w:p>
        <w:p w14:paraId="321D5275" w14:textId="565A8CFE"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1" w:history="1">
            <w:r w:rsidR="00334FB5" w:rsidRPr="00402D7D">
              <w:rPr>
                <w:rStyle w:val="Hyperlink"/>
                <w:noProof/>
                <w:lang w:val="es-ES_tradnl"/>
              </w:rPr>
              <w:t>5.2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 Temático del UIT-T sobre modelos de costes de servicios de datos asequibles (GT-CD)</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_Toc140261641 \h </w:instrText>
            </w:r>
            <w:r w:rsidR="00334FB5">
              <w:rPr>
                <w:noProof/>
                <w:webHidden/>
              </w:rPr>
            </w:r>
            <w:r w:rsidR="00334FB5">
              <w:rPr>
                <w:noProof/>
                <w:webHidden/>
              </w:rPr>
              <w:fldChar w:fldCharType="separate"/>
            </w:r>
            <w:r w:rsidR="0009682A">
              <w:rPr>
                <w:noProof/>
                <w:webHidden/>
              </w:rPr>
              <w:t>8</w:t>
            </w:r>
            <w:r w:rsidR="00334FB5">
              <w:rPr>
                <w:noProof/>
                <w:webHidden/>
              </w:rPr>
              <w:fldChar w:fldCharType="end"/>
            </w:r>
          </w:hyperlink>
        </w:p>
        <w:p w14:paraId="29F12D52" w14:textId="28411B5E"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2" w:history="1">
            <w:r w:rsidR="00334FB5" w:rsidRPr="00402D7D">
              <w:rPr>
                <w:rStyle w:val="Hyperlink"/>
                <w:noProof/>
                <w:lang w:val="es-ES_tradnl"/>
              </w:rPr>
              <w:t>5.3</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 Temático del UIT-T sobre Redes Autónomas (GT-RA)</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_Toc140261642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24645BF6" w14:textId="44B67F41"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3" w:history="1">
            <w:r w:rsidR="00334FB5" w:rsidRPr="00402D7D">
              <w:rPr>
                <w:rStyle w:val="Hyperlink"/>
                <w:noProof/>
                <w:lang w:val="es-ES_tradnl"/>
              </w:rPr>
              <w:t>5.4</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 Temático del UIT-T sobre federaciones de bancos de pruebas para las IMT</w:t>
            </w:r>
            <w:r w:rsidR="00334FB5" w:rsidRPr="00402D7D">
              <w:rPr>
                <w:rStyle w:val="Hyperlink"/>
                <w:noProof/>
                <w:lang w:val="es-ES_tradnl"/>
              </w:rPr>
              <w:noBreakHyphen/>
              <w:t>2020 y sistemas posteriores (GT-TBFxG))</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_Toc140261643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3928B68C" w14:textId="3D1A4231"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44" w:history="1">
            <w:r w:rsidR="00334FB5" w:rsidRPr="00402D7D">
              <w:rPr>
                <w:rStyle w:val="Hyperlink"/>
                <w:noProof/>
                <w:lang w:val="es-ES_tradnl"/>
              </w:rPr>
              <w:t>6</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Actividades de coordinación conjuntas del UIT-T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_Toc140261644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69EFEBF4" w14:textId="0AFC458C"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5" w:history="1">
            <w:r w:rsidR="00334FB5" w:rsidRPr="00402D7D">
              <w:rPr>
                <w:rStyle w:val="Hyperlink"/>
                <w:noProof/>
                <w:lang w:val="es-ES_tradnl"/>
              </w:rPr>
              <w:t>6.1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Actividad de coordinación conjunta del UIT-T sobre certificados digitales COVID-19 (JCA-DCC del UIT-T)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_Toc140261645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343BDA57" w14:textId="508913C6"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6" w:history="1">
            <w:r w:rsidR="00334FB5" w:rsidRPr="00402D7D">
              <w:rPr>
                <w:rStyle w:val="Hyperlink"/>
                <w:noProof/>
                <w:lang w:val="es-ES_tradnl"/>
              </w:rPr>
              <w:t>6.2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Actividad de Coordinación Conjunta del UIT-T sobre redes de distribución de claves cuánticas (JCA-QKDN del UIT-T)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_Toc140261646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77340841" w14:textId="682C2EC4"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47" w:history="1">
            <w:r w:rsidR="00334FB5" w:rsidRPr="00402D7D">
              <w:rPr>
                <w:rStyle w:val="Hyperlink"/>
                <w:noProof/>
                <w:lang w:val="es-ES_tradnl"/>
              </w:rPr>
              <w:t>6.3</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Actividad de Coordinación Conjunta del UIT-T sobre las IMT-2020 y tecnologías posteriores (JCA-IMT2020)</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_Toc140261647 \h </w:instrText>
            </w:r>
            <w:r w:rsidR="00334FB5">
              <w:rPr>
                <w:noProof/>
                <w:webHidden/>
              </w:rPr>
            </w:r>
            <w:r w:rsidR="00334FB5">
              <w:rPr>
                <w:noProof/>
                <w:webHidden/>
              </w:rPr>
              <w:fldChar w:fldCharType="separate"/>
            </w:r>
            <w:r w:rsidR="0009682A">
              <w:rPr>
                <w:noProof/>
                <w:webHidden/>
              </w:rPr>
              <w:t>9</w:t>
            </w:r>
            <w:r w:rsidR="00334FB5">
              <w:rPr>
                <w:noProof/>
                <w:webHidden/>
              </w:rPr>
              <w:fldChar w:fldCharType="end"/>
            </w:r>
          </w:hyperlink>
        </w:p>
        <w:p w14:paraId="222D9ED9" w14:textId="7C809CA0"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48" w:history="1">
            <w:r w:rsidR="00334FB5" w:rsidRPr="00402D7D">
              <w:rPr>
                <w:rStyle w:val="Hyperlink"/>
                <w:noProof/>
                <w:lang w:val="es-ES_tradnl"/>
              </w:rPr>
              <w:t>7</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Coordinación con la CEI, la ISO y el Grupo de Coordinación del Programa de Normalización (GCPN) CEI-ISO-UIT-T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_Toc140261648 \h </w:instrText>
            </w:r>
            <w:r w:rsidR="00334FB5">
              <w:rPr>
                <w:noProof/>
                <w:webHidden/>
              </w:rPr>
            </w:r>
            <w:r w:rsidR="00334FB5">
              <w:rPr>
                <w:noProof/>
                <w:webHidden/>
              </w:rPr>
              <w:fldChar w:fldCharType="separate"/>
            </w:r>
            <w:r w:rsidR="0009682A">
              <w:rPr>
                <w:noProof/>
                <w:webHidden/>
              </w:rPr>
              <w:t>10</w:t>
            </w:r>
            <w:r w:rsidR="00334FB5">
              <w:rPr>
                <w:noProof/>
                <w:webHidden/>
              </w:rPr>
              <w:fldChar w:fldCharType="end"/>
            </w:r>
          </w:hyperlink>
        </w:p>
        <w:p w14:paraId="4B33C0C6" w14:textId="0B551E02"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49" w:history="1">
            <w:r w:rsidR="00334FB5" w:rsidRPr="00402D7D">
              <w:rPr>
                <w:rStyle w:val="Hyperlink"/>
                <w:noProof/>
                <w:lang w:val="es-ES_tradnl"/>
              </w:rPr>
              <w:t>8</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Colaboración Mundial para la Normalización (GSC)</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_Toc140261649 \h </w:instrText>
            </w:r>
            <w:r w:rsidR="00334FB5">
              <w:rPr>
                <w:noProof/>
                <w:webHidden/>
              </w:rPr>
            </w:r>
            <w:r w:rsidR="00334FB5">
              <w:rPr>
                <w:noProof/>
                <w:webHidden/>
              </w:rPr>
              <w:fldChar w:fldCharType="separate"/>
            </w:r>
            <w:r w:rsidR="0009682A">
              <w:rPr>
                <w:noProof/>
                <w:webHidden/>
              </w:rPr>
              <w:t>10</w:t>
            </w:r>
            <w:r w:rsidR="00334FB5">
              <w:rPr>
                <w:noProof/>
                <w:webHidden/>
              </w:rPr>
              <w:fldChar w:fldCharType="end"/>
            </w:r>
          </w:hyperlink>
        </w:p>
        <w:p w14:paraId="1B7752E2" w14:textId="7A2A3D2F"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0" w:history="1">
            <w:r w:rsidR="00334FB5" w:rsidRPr="00402D7D">
              <w:rPr>
                <w:rStyle w:val="Hyperlink"/>
                <w:noProof/>
                <w:lang w:val="es-ES_tradnl"/>
              </w:rPr>
              <w:t>9</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Coordinación intersectorial con el UIT-D y el UIT-R</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_Toc140261650 \h </w:instrText>
            </w:r>
            <w:r w:rsidR="00334FB5">
              <w:rPr>
                <w:noProof/>
                <w:webHidden/>
              </w:rPr>
            </w:r>
            <w:r w:rsidR="00334FB5">
              <w:rPr>
                <w:noProof/>
                <w:webHidden/>
              </w:rPr>
              <w:fldChar w:fldCharType="separate"/>
            </w:r>
            <w:r w:rsidR="0009682A">
              <w:rPr>
                <w:noProof/>
                <w:webHidden/>
              </w:rPr>
              <w:t>10</w:t>
            </w:r>
            <w:r w:rsidR="00334FB5">
              <w:rPr>
                <w:noProof/>
                <w:webHidden/>
              </w:rPr>
              <w:fldChar w:fldCharType="end"/>
            </w:r>
          </w:hyperlink>
        </w:p>
        <w:p w14:paraId="4BB3719B" w14:textId="05153D7F"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1" w:history="1">
            <w:r w:rsidR="00334FB5" w:rsidRPr="00402D7D">
              <w:rPr>
                <w:rStyle w:val="Hyperlink"/>
                <w:noProof/>
                <w:lang w:val="es-ES_tradnl"/>
              </w:rPr>
              <w:t>10</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Colaboración sobre normas de comunicación en los STI (CITS)</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_Toc140261651 \h </w:instrText>
            </w:r>
            <w:r w:rsidR="00334FB5">
              <w:rPr>
                <w:noProof/>
                <w:webHidden/>
              </w:rPr>
            </w:r>
            <w:r w:rsidR="00334FB5">
              <w:rPr>
                <w:noProof/>
                <w:webHidden/>
              </w:rPr>
              <w:fldChar w:fldCharType="separate"/>
            </w:r>
            <w:r w:rsidR="0009682A">
              <w:rPr>
                <w:noProof/>
                <w:webHidden/>
              </w:rPr>
              <w:t>10</w:t>
            </w:r>
            <w:r w:rsidR="00334FB5">
              <w:rPr>
                <w:noProof/>
                <w:webHidden/>
              </w:rPr>
              <w:fldChar w:fldCharType="end"/>
            </w:r>
          </w:hyperlink>
        </w:p>
        <w:p w14:paraId="3E1A286B" w14:textId="5A540A82"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2" w:history="1">
            <w:r w:rsidR="00334FB5" w:rsidRPr="00402D7D">
              <w:rPr>
                <w:rStyle w:val="Hyperlink"/>
                <w:noProof/>
                <w:lang w:val="es-ES_tradnl"/>
              </w:rPr>
              <w:t>11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Igualdad de condiciones en materia de idiomas</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_Toc140261652 \h </w:instrText>
            </w:r>
            <w:r w:rsidR="00334FB5">
              <w:rPr>
                <w:noProof/>
                <w:webHidden/>
              </w:rPr>
            </w:r>
            <w:r w:rsidR="00334FB5">
              <w:rPr>
                <w:noProof/>
                <w:webHidden/>
              </w:rPr>
              <w:fldChar w:fldCharType="separate"/>
            </w:r>
            <w:r w:rsidR="0009682A">
              <w:rPr>
                <w:noProof/>
                <w:webHidden/>
              </w:rPr>
              <w:t>11</w:t>
            </w:r>
            <w:r w:rsidR="00334FB5">
              <w:rPr>
                <w:noProof/>
                <w:webHidden/>
              </w:rPr>
              <w:fldChar w:fldCharType="end"/>
            </w:r>
          </w:hyperlink>
        </w:p>
        <w:p w14:paraId="0C8D53EF" w14:textId="30B8AE1D"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3" w:history="1">
            <w:r w:rsidR="00334FB5" w:rsidRPr="00402D7D">
              <w:rPr>
                <w:rStyle w:val="Hyperlink"/>
                <w:noProof/>
                <w:lang w:val="es-ES_tradnl"/>
              </w:rPr>
              <w:t>12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Aspectos de DPI y normas abiertas</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_Toc140261653 \h </w:instrText>
            </w:r>
            <w:r w:rsidR="00334FB5">
              <w:rPr>
                <w:noProof/>
                <w:webHidden/>
              </w:rPr>
            </w:r>
            <w:r w:rsidR="00334FB5">
              <w:rPr>
                <w:noProof/>
                <w:webHidden/>
              </w:rPr>
              <w:fldChar w:fldCharType="separate"/>
            </w:r>
            <w:r w:rsidR="0009682A">
              <w:rPr>
                <w:noProof/>
                <w:webHidden/>
              </w:rPr>
              <w:t>12</w:t>
            </w:r>
            <w:r w:rsidR="00334FB5">
              <w:rPr>
                <w:noProof/>
                <w:webHidden/>
              </w:rPr>
              <w:fldChar w:fldCharType="end"/>
            </w:r>
          </w:hyperlink>
        </w:p>
        <w:p w14:paraId="24D9C11B" w14:textId="69A757C2"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4" w:history="1">
            <w:r w:rsidR="00334FB5" w:rsidRPr="00402D7D">
              <w:rPr>
                <w:rStyle w:val="Hyperlink"/>
                <w:noProof/>
                <w:lang w:val="es-ES_tradnl"/>
              </w:rPr>
              <w:t>13</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Actividades relacionadas con el género en el UIT-T y la TSB</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_Toc140261654 \h </w:instrText>
            </w:r>
            <w:r w:rsidR="00334FB5">
              <w:rPr>
                <w:noProof/>
                <w:webHidden/>
              </w:rPr>
            </w:r>
            <w:r w:rsidR="00334FB5">
              <w:rPr>
                <w:noProof/>
                <w:webHidden/>
              </w:rPr>
              <w:fldChar w:fldCharType="separate"/>
            </w:r>
            <w:r w:rsidR="0009682A">
              <w:rPr>
                <w:noProof/>
                <w:webHidden/>
              </w:rPr>
              <w:t>12</w:t>
            </w:r>
            <w:r w:rsidR="00334FB5">
              <w:rPr>
                <w:noProof/>
                <w:webHidden/>
              </w:rPr>
              <w:fldChar w:fldCharType="end"/>
            </w:r>
          </w:hyperlink>
        </w:p>
        <w:p w14:paraId="50D1F503" w14:textId="20CDDCFB"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5" w:history="1">
            <w:r w:rsidR="00334FB5" w:rsidRPr="00402D7D">
              <w:rPr>
                <w:rStyle w:val="Hyperlink"/>
                <w:noProof/>
                <w:lang w:val="es-ES_tradnl"/>
              </w:rPr>
              <w:t>14</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Gaceta de la UIT sobre Tecnologías Futuras y en Evolución</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_Toc140261655 \h </w:instrText>
            </w:r>
            <w:r w:rsidR="00334FB5">
              <w:rPr>
                <w:noProof/>
                <w:webHidden/>
              </w:rPr>
            </w:r>
            <w:r w:rsidR="00334FB5">
              <w:rPr>
                <w:noProof/>
                <w:webHidden/>
              </w:rPr>
              <w:fldChar w:fldCharType="separate"/>
            </w:r>
            <w:r w:rsidR="0009682A">
              <w:rPr>
                <w:noProof/>
                <w:webHidden/>
              </w:rPr>
              <w:t>12</w:t>
            </w:r>
            <w:r w:rsidR="00334FB5">
              <w:rPr>
                <w:noProof/>
                <w:webHidden/>
              </w:rPr>
              <w:fldChar w:fldCharType="end"/>
            </w:r>
          </w:hyperlink>
        </w:p>
        <w:p w14:paraId="21B14384" w14:textId="56B6C16B"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6" w:history="1">
            <w:r w:rsidR="00334FB5" w:rsidRPr="00402D7D">
              <w:rPr>
                <w:rStyle w:val="Hyperlink"/>
                <w:noProof/>
                <w:lang w:val="es-ES_tradnl"/>
              </w:rPr>
              <w:t>15</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Preparativos para la AMNT-24</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_Toc140261656 \h </w:instrText>
            </w:r>
            <w:r w:rsidR="00334FB5">
              <w:rPr>
                <w:noProof/>
                <w:webHidden/>
              </w:rPr>
            </w:r>
            <w:r w:rsidR="00334FB5">
              <w:rPr>
                <w:noProof/>
                <w:webHidden/>
              </w:rPr>
              <w:fldChar w:fldCharType="separate"/>
            </w:r>
            <w:r w:rsidR="0009682A">
              <w:rPr>
                <w:noProof/>
                <w:webHidden/>
              </w:rPr>
              <w:t>12</w:t>
            </w:r>
            <w:r w:rsidR="00334FB5">
              <w:rPr>
                <w:noProof/>
                <w:webHidden/>
              </w:rPr>
              <w:fldChar w:fldCharType="end"/>
            </w:r>
          </w:hyperlink>
        </w:p>
        <w:p w14:paraId="2877E71C" w14:textId="3F1E5B70"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57" w:history="1">
            <w:r w:rsidR="00334FB5" w:rsidRPr="00402D7D">
              <w:rPr>
                <w:rStyle w:val="Hyperlink"/>
                <w:noProof/>
                <w:lang w:val="es-ES_tradnl"/>
              </w:rPr>
              <w:t>16</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Participación de miembros de países en desarrollo, en particular, de África</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_Toc140261657 \h </w:instrText>
            </w:r>
            <w:r w:rsidR="00334FB5">
              <w:rPr>
                <w:noProof/>
                <w:webHidden/>
              </w:rPr>
            </w:r>
            <w:r w:rsidR="00334FB5">
              <w:rPr>
                <w:noProof/>
                <w:webHidden/>
              </w:rPr>
              <w:fldChar w:fldCharType="separate"/>
            </w:r>
            <w:r w:rsidR="0009682A">
              <w:rPr>
                <w:noProof/>
                <w:webHidden/>
              </w:rPr>
              <w:t>13</w:t>
            </w:r>
            <w:r w:rsidR="00334FB5">
              <w:rPr>
                <w:noProof/>
                <w:webHidden/>
              </w:rPr>
              <w:fldChar w:fldCharType="end"/>
            </w:r>
          </w:hyperlink>
        </w:p>
        <w:p w14:paraId="1AE9F3F1" w14:textId="353AD924" w:rsidR="00334FB5" w:rsidRDefault="005B66C3" w:rsidP="005A2BAD">
          <w:pPr>
            <w:pStyle w:val="TOC1"/>
            <w:keepNext/>
            <w:rPr>
              <w:rFonts w:asciiTheme="minorHAnsi" w:eastAsiaTheme="minorEastAsia" w:hAnsiTheme="minorHAnsi" w:cstheme="minorBidi"/>
              <w:noProof/>
              <w:kern w:val="2"/>
              <w:sz w:val="22"/>
              <w:szCs w:val="22"/>
              <w:lang w:eastAsia="en-GB"/>
              <w14:ligatures w14:val="standardContextual"/>
            </w:rPr>
          </w:pPr>
          <w:hyperlink w:anchor="_Toc140261658" w:history="1">
            <w:r w:rsidR="00334FB5" w:rsidRPr="00402D7D">
              <w:rPr>
                <w:rStyle w:val="Hyperlink"/>
                <w:noProof/>
                <w:lang w:val="es-ES_tradnl"/>
              </w:rPr>
              <w:t>17</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Resultados de los Grupos de Trabajo del GANT</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_Toc140261658 \h </w:instrText>
            </w:r>
            <w:r w:rsidR="00334FB5">
              <w:rPr>
                <w:noProof/>
                <w:webHidden/>
              </w:rPr>
            </w:r>
            <w:r w:rsidR="00334FB5">
              <w:rPr>
                <w:noProof/>
                <w:webHidden/>
              </w:rPr>
              <w:fldChar w:fldCharType="separate"/>
            </w:r>
            <w:r w:rsidR="0009682A">
              <w:rPr>
                <w:noProof/>
                <w:webHidden/>
              </w:rPr>
              <w:t>13</w:t>
            </w:r>
            <w:r w:rsidR="00334FB5">
              <w:rPr>
                <w:noProof/>
                <w:webHidden/>
              </w:rPr>
              <w:fldChar w:fldCharType="end"/>
            </w:r>
          </w:hyperlink>
        </w:p>
        <w:p w14:paraId="1C402511" w14:textId="4AF509F7" w:rsidR="00334FB5" w:rsidRDefault="005B66C3" w:rsidP="005A2BAD">
          <w:pPr>
            <w:pStyle w:val="TOC2"/>
            <w:keepNext/>
            <w:rPr>
              <w:rFonts w:asciiTheme="minorHAnsi" w:eastAsiaTheme="minorEastAsia" w:hAnsiTheme="minorHAnsi" w:cstheme="minorBidi"/>
              <w:noProof/>
              <w:kern w:val="2"/>
              <w:sz w:val="22"/>
              <w:szCs w:val="22"/>
              <w:lang w:eastAsia="en-GB"/>
              <w14:ligatures w14:val="standardContextual"/>
            </w:rPr>
          </w:pPr>
          <w:hyperlink w:anchor="_Toc140261659" w:history="1">
            <w:r w:rsidR="00334FB5" w:rsidRPr="00402D7D">
              <w:rPr>
                <w:rStyle w:val="Hyperlink"/>
                <w:noProof/>
                <w:lang w:val="es-ES_tradnl" w:eastAsia="zh-CN"/>
              </w:rPr>
              <w:t>17.1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eastAsia="zh-CN"/>
              </w:rPr>
              <w:t>Grupo de Trabajo 1 del GANT "Métodos de trabajo y preparativos relacionados con la AMNT" (WP</w:t>
            </w:r>
            <w:r w:rsidR="00334FB5" w:rsidRPr="00402D7D">
              <w:rPr>
                <w:rStyle w:val="Hyperlink"/>
                <w:noProof/>
                <w:lang w:val="es-ES_tradnl" w:eastAsia="zh-CN"/>
              </w:rPr>
              <w:noBreakHyphen/>
              <w:t xml:space="preserve"> WMW)</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_Toc140261659 \h </w:instrText>
            </w:r>
            <w:r w:rsidR="00334FB5">
              <w:rPr>
                <w:noProof/>
                <w:webHidden/>
              </w:rPr>
            </w:r>
            <w:r w:rsidR="00334FB5">
              <w:rPr>
                <w:noProof/>
                <w:webHidden/>
              </w:rPr>
              <w:fldChar w:fldCharType="separate"/>
            </w:r>
            <w:r w:rsidR="0009682A">
              <w:rPr>
                <w:noProof/>
                <w:webHidden/>
              </w:rPr>
              <w:t>13</w:t>
            </w:r>
            <w:r w:rsidR="00334FB5">
              <w:rPr>
                <w:noProof/>
                <w:webHidden/>
              </w:rPr>
              <w:fldChar w:fldCharType="end"/>
            </w:r>
          </w:hyperlink>
        </w:p>
        <w:p w14:paraId="63DABFB6" w14:textId="5BBDF0B8" w:rsidR="00334FB5" w:rsidRDefault="005B66C3">
          <w:pPr>
            <w:pStyle w:val="TOC2"/>
            <w:rPr>
              <w:rFonts w:asciiTheme="minorHAnsi" w:eastAsiaTheme="minorEastAsia" w:hAnsiTheme="minorHAnsi" w:cstheme="minorBidi"/>
              <w:noProof/>
              <w:kern w:val="2"/>
              <w:sz w:val="22"/>
              <w:szCs w:val="22"/>
              <w:lang w:eastAsia="en-GB"/>
              <w14:ligatures w14:val="standardContextual"/>
            </w:rPr>
          </w:pPr>
          <w:hyperlink w:anchor="_Toc140261660" w:history="1">
            <w:r w:rsidR="00334FB5" w:rsidRPr="00402D7D">
              <w:rPr>
                <w:rStyle w:val="Hyperlink"/>
                <w:noProof/>
                <w:lang w:val="es-ES_tradnl" w:eastAsia="zh-CN"/>
              </w:rPr>
              <w:t>17.2</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Grupo</w:t>
            </w:r>
            <w:r w:rsidR="00334FB5" w:rsidRPr="00402D7D">
              <w:rPr>
                <w:rStyle w:val="Hyperlink"/>
                <w:noProof/>
                <w:lang w:val="es-ES_tradnl" w:eastAsia="zh-CN"/>
              </w:rPr>
              <w:t xml:space="preserve"> de Trabajo 2 del GANT sobre participación de la industria, programa de trabajo y reestructuración " (GT-PIPTR)</w:t>
            </w:r>
            <w:r w:rsidR="00334FB5">
              <w:rPr>
                <w:noProof/>
                <w:webHidden/>
              </w:rPr>
              <w:tab/>
            </w:r>
            <w:r w:rsidR="00475F02" w:rsidRPr="00475F02">
              <w:rPr>
                <w:noProof/>
                <w:webHidden/>
              </w:rPr>
              <w:t>........</w:t>
            </w:r>
            <w:r w:rsidR="00334FB5">
              <w:rPr>
                <w:noProof/>
                <w:webHidden/>
              </w:rPr>
              <w:fldChar w:fldCharType="begin"/>
            </w:r>
            <w:r w:rsidR="00334FB5">
              <w:rPr>
                <w:noProof/>
                <w:webHidden/>
              </w:rPr>
              <w:instrText xml:space="preserve"> PAGEREF _Toc140261660 \h </w:instrText>
            </w:r>
            <w:r w:rsidR="00334FB5">
              <w:rPr>
                <w:noProof/>
                <w:webHidden/>
              </w:rPr>
            </w:r>
            <w:r w:rsidR="00334FB5">
              <w:rPr>
                <w:noProof/>
                <w:webHidden/>
              </w:rPr>
              <w:fldChar w:fldCharType="separate"/>
            </w:r>
            <w:r w:rsidR="0009682A">
              <w:rPr>
                <w:noProof/>
                <w:webHidden/>
              </w:rPr>
              <w:t>14</w:t>
            </w:r>
            <w:r w:rsidR="00334FB5">
              <w:rPr>
                <w:noProof/>
                <w:webHidden/>
              </w:rPr>
              <w:fldChar w:fldCharType="end"/>
            </w:r>
          </w:hyperlink>
        </w:p>
        <w:p w14:paraId="59F98E58" w14:textId="4D04422A"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1" w:history="1">
            <w:r w:rsidR="00334FB5" w:rsidRPr="00402D7D">
              <w:rPr>
                <w:rStyle w:val="Hyperlink"/>
                <w:noProof/>
                <w:lang w:val="es-ES_tradnl"/>
              </w:rPr>
              <w:t>18</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Cables submarinos SMART</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_Toc140261661 \h </w:instrText>
            </w:r>
            <w:r w:rsidR="00334FB5">
              <w:rPr>
                <w:noProof/>
                <w:webHidden/>
              </w:rPr>
            </w:r>
            <w:r w:rsidR="00334FB5">
              <w:rPr>
                <w:noProof/>
                <w:webHidden/>
              </w:rPr>
              <w:fldChar w:fldCharType="separate"/>
            </w:r>
            <w:r w:rsidR="0009682A">
              <w:rPr>
                <w:noProof/>
                <w:webHidden/>
              </w:rPr>
              <w:t>15</w:t>
            </w:r>
            <w:r w:rsidR="00334FB5">
              <w:rPr>
                <w:noProof/>
                <w:webHidden/>
              </w:rPr>
              <w:fldChar w:fldCharType="end"/>
            </w:r>
          </w:hyperlink>
        </w:p>
        <w:p w14:paraId="55D6AF04" w14:textId="26551412"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2" w:history="1">
            <w:r w:rsidR="00334FB5" w:rsidRPr="00402D7D">
              <w:rPr>
                <w:rStyle w:val="Hyperlink"/>
                <w:noProof/>
                <w:lang w:val="es-ES_tradnl"/>
              </w:rPr>
              <w:t>19</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Calendario de reuniones del UIT-T, incluida la fecha de la próxima reunión del GANT</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_Toc140261662 \h </w:instrText>
            </w:r>
            <w:r w:rsidR="00334FB5">
              <w:rPr>
                <w:noProof/>
                <w:webHidden/>
              </w:rPr>
            </w:r>
            <w:r w:rsidR="00334FB5">
              <w:rPr>
                <w:noProof/>
                <w:webHidden/>
              </w:rPr>
              <w:fldChar w:fldCharType="separate"/>
            </w:r>
            <w:r w:rsidR="0009682A">
              <w:rPr>
                <w:noProof/>
                <w:webHidden/>
              </w:rPr>
              <w:t>15</w:t>
            </w:r>
            <w:r w:rsidR="00334FB5">
              <w:rPr>
                <w:noProof/>
                <w:webHidden/>
              </w:rPr>
              <w:fldChar w:fldCharType="end"/>
            </w:r>
          </w:hyperlink>
        </w:p>
        <w:p w14:paraId="28051F9F" w14:textId="113420C5"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3" w:history="1">
            <w:r w:rsidR="00334FB5" w:rsidRPr="00402D7D">
              <w:rPr>
                <w:rStyle w:val="Hyperlink"/>
                <w:noProof/>
                <w:lang w:val="es-ES_tradnl"/>
              </w:rPr>
              <w:t>20</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Examen del proyecto de informe de la reunión</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_Toc140261663 \h </w:instrText>
            </w:r>
            <w:r w:rsidR="00334FB5">
              <w:rPr>
                <w:noProof/>
                <w:webHidden/>
              </w:rPr>
            </w:r>
            <w:r w:rsidR="00334FB5">
              <w:rPr>
                <w:noProof/>
                <w:webHidden/>
              </w:rPr>
              <w:fldChar w:fldCharType="separate"/>
            </w:r>
            <w:r w:rsidR="0009682A">
              <w:rPr>
                <w:noProof/>
                <w:webHidden/>
              </w:rPr>
              <w:t>20</w:t>
            </w:r>
            <w:r w:rsidR="00334FB5">
              <w:rPr>
                <w:noProof/>
                <w:webHidden/>
              </w:rPr>
              <w:fldChar w:fldCharType="end"/>
            </w:r>
          </w:hyperlink>
        </w:p>
        <w:p w14:paraId="679AD134" w14:textId="1C3A233B"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4" w:history="1">
            <w:r w:rsidR="00334FB5" w:rsidRPr="00402D7D">
              <w:rPr>
                <w:rStyle w:val="Hyperlink"/>
                <w:noProof/>
                <w:lang w:val="es-ES_tradnl"/>
              </w:rPr>
              <w:t>21</w:t>
            </w:r>
            <w:r w:rsidR="00334FB5">
              <w:rPr>
                <w:rFonts w:asciiTheme="minorHAnsi" w:eastAsiaTheme="minorEastAsia" w:hAnsiTheme="minorHAnsi" w:cstheme="minorBidi"/>
                <w:noProof/>
                <w:kern w:val="2"/>
                <w:sz w:val="22"/>
                <w:szCs w:val="22"/>
                <w:lang w:eastAsia="en-GB"/>
                <w14:ligatures w14:val="standardContextual"/>
              </w:rPr>
              <w:tab/>
            </w:r>
            <w:r w:rsidR="00334FB5" w:rsidRPr="00402D7D">
              <w:rPr>
                <w:rStyle w:val="Hyperlink"/>
                <w:noProof/>
                <w:lang w:val="es-ES_tradnl"/>
              </w:rPr>
              <w:t>Clausura de la reunión</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_Toc140261664 \h </w:instrText>
            </w:r>
            <w:r w:rsidR="00334FB5">
              <w:rPr>
                <w:noProof/>
                <w:webHidden/>
              </w:rPr>
            </w:r>
            <w:r w:rsidR="00334FB5">
              <w:rPr>
                <w:noProof/>
                <w:webHidden/>
              </w:rPr>
              <w:fldChar w:fldCharType="separate"/>
            </w:r>
            <w:r w:rsidR="0009682A">
              <w:rPr>
                <w:noProof/>
                <w:webHidden/>
              </w:rPr>
              <w:t>20</w:t>
            </w:r>
            <w:r w:rsidR="00334FB5">
              <w:rPr>
                <w:noProof/>
                <w:webHidden/>
              </w:rPr>
              <w:fldChar w:fldCharType="end"/>
            </w:r>
          </w:hyperlink>
        </w:p>
        <w:p w14:paraId="3958ABCE" w14:textId="57D2EF9E"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5" w:history="1">
            <w:r w:rsidR="00334FB5" w:rsidRPr="00402D7D">
              <w:rPr>
                <w:rStyle w:val="Hyperlink"/>
                <w:noProof/>
                <w:lang w:val="es-ES_tradnl"/>
              </w:rPr>
              <w:t xml:space="preserve">Anexo A </w:t>
            </w:r>
            <w:r w:rsidR="005A2BAD" w:rsidRPr="005A2BAD">
              <w:rPr>
                <w:rStyle w:val="Hyperlink"/>
                <w:noProof/>
                <w:lang w:val="es-ES_tradnl"/>
              </w:rPr>
              <w:t>–</w:t>
            </w:r>
            <w:r w:rsidR="00334FB5" w:rsidRPr="00402D7D">
              <w:rPr>
                <w:rStyle w:val="Hyperlink"/>
                <w:noProof/>
                <w:lang w:val="es-ES_tradnl"/>
              </w:rPr>
              <w:t xml:space="preserve"> Resumen de los resultados de la Plenaria del GANT, de los Grupos de Trabajo del GANT  y de los Grupos de Relator del GANT</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_Toc140261665 \h </w:instrText>
            </w:r>
            <w:r w:rsidR="00334FB5">
              <w:rPr>
                <w:noProof/>
                <w:webHidden/>
              </w:rPr>
            </w:r>
            <w:r w:rsidR="00334FB5">
              <w:rPr>
                <w:noProof/>
                <w:webHidden/>
              </w:rPr>
              <w:fldChar w:fldCharType="separate"/>
            </w:r>
            <w:r w:rsidR="0009682A">
              <w:rPr>
                <w:noProof/>
                <w:webHidden/>
              </w:rPr>
              <w:t>22</w:t>
            </w:r>
            <w:r w:rsidR="00334FB5">
              <w:rPr>
                <w:noProof/>
                <w:webHidden/>
              </w:rPr>
              <w:fldChar w:fldCharType="end"/>
            </w:r>
          </w:hyperlink>
        </w:p>
        <w:p w14:paraId="19C3D79A" w14:textId="6313EC3A"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6" w:history="1">
            <w:r w:rsidR="00334FB5" w:rsidRPr="00402D7D">
              <w:rPr>
                <w:rStyle w:val="Hyperlink"/>
                <w:noProof/>
                <w:lang w:val="es-ES"/>
              </w:rPr>
              <w:t xml:space="preserve">Anexo B </w:t>
            </w:r>
            <w:r w:rsidR="005A2BAD" w:rsidRPr="005A2BAD">
              <w:rPr>
                <w:rStyle w:val="Hyperlink"/>
                <w:noProof/>
                <w:lang w:val="es-ES"/>
              </w:rPr>
              <w:t>–</w:t>
            </w:r>
            <w:r w:rsidR="00334FB5" w:rsidRPr="00402D7D">
              <w:rPr>
                <w:rStyle w:val="Hyperlink"/>
                <w:noProof/>
                <w:lang w:val="es-ES"/>
              </w:rPr>
              <w:t xml:space="preserve"> </w:t>
            </w:r>
            <w:r w:rsidR="00334FB5" w:rsidRPr="00402D7D">
              <w:rPr>
                <w:rStyle w:val="Hyperlink"/>
                <w:noProof/>
                <w:lang w:val="es-ES_tradnl"/>
              </w:rPr>
              <w:t>Temas de trabajo del GANT</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_Toc140261666 \h </w:instrText>
            </w:r>
            <w:r w:rsidR="00334FB5">
              <w:rPr>
                <w:noProof/>
                <w:webHidden/>
              </w:rPr>
            </w:r>
            <w:r w:rsidR="00334FB5">
              <w:rPr>
                <w:noProof/>
                <w:webHidden/>
              </w:rPr>
              <w:fldChar w:fldCharType="separate"/>
            </w:r>
            <w:r w:rsidR="0009682A">
              <w:rPr>
                <w:noProof/>
                <w:webHidden/>
              </w:rPr>
              <w:t>25</w:t>
            </w:r>
            <w:r w:rsidR="00334FB5">
              <w:rPr>
                <w:noProof/>
                <w:webHidden/>
              </w:rPr>
              <w:fldChar w:fldCharType="end"/>
            </w:r>
          </w:hyperlink>
        </w:p>
        <w:p w14:paraId="0932F9A7" w14:textId="3C0DFFE6" w:rsidR="00334FB5" w:rsidRDefault="005B66C3">
          <w:pPr>
            <w:pStyle w:val="TOC1"/>
            <w:rPr>
              <w:rFonts w:asciiTheme="minorHAnsi" w:eastAsiaTheme="minorEastAsia" w:hAnsiTheme="minorHAnsi" w:cstheme="minorBidi"/>
              <w:noProof/>
              <w:kern w:val="2"/>
              <w:sz w:val="22"/>
              <w:szCs w:val="22"/>
              <w:lang w:eastAsia="en-GB"/>
              <w14:ligatures w14:val="standardContextual"/>
            </w:rPr>
          </w:pPr>
          <w:hyperlink w:anchor="_Toc140261667" w:history="1">
            <w:r w:rsidR="00334FB5" w:rsidRPr="00402D7D">
              <w:rPr>
                <w:rStyle w:val="Hyperlink"/>
                <w:noProof/>
                <w:lang w:val="es-ES"/>
              </w:rPr>
              <w:t xml:space="preserve">Anexo C </w:t>
            </w:r>
            <w:r w:rsidR="005A2BAD" w:rsidRPr="005A2BAD">
              <w:rPr>
                <w:rStyle w:val="Hyperlink"/>
                <w:noProof/>
                <w:lang w:val="es-ES"/>
              </w:rPr>
              <w:t>–</w:t>
            </w:r>
            <w:r w:rsidR="00334FB5" w:rsidRPr="00402D7D">
              <w:rPr>
                <w:rStyle w:val="Hyperlink"/>
                <w:noProof/>
                <w:lang w:val="es-ES"/>
              </w:rPr>
              <w:t xml:space="preserve"> </w:t>
            </w:r>
            <w:r w:rsidR="00334FB5" w:rsidRPr="00402D7D">
              <w:rPr>
                <w:rStyle w:val="Hyperlink"/>
                <w:noProof/>
                <w:lang w:val="es-ES_tradnl"/>
              </w:rPr>
              <w:t>Mandato del Grupo de Relator del GANT sobre transformación digital sostenible (GR-TD)</w:t>
            </w:r>
            <w:r w:rsidR="00334FB5">
              <w:rPr>
                <w:noProof/>
                <w:webHidden/>
              </w:rPr>
              <w:tab/>
            </w:r>
            <w:r w:rsidR="00860E75" w:rsidRPr="00860E75">
              <w:rPr>
                <w:noProof/>
                <w:webHidden/>
              </w:rPr>
              <w:t>........</w:t>
            </w:r>
            <w:r w:rsidR="00334FB5">
              <w:rPr>
                <w:noProof/>
                <w:webHidden/>
              </w:rPr>
              <w:fldChar w:fldCharType="begin"/>
            </w:r>
            <w:r w:rsidR="00334FB5">
              <w:rPr>
                <w:noProof/>
                <w:webHidden/>
              </w:rPr>
              <w:instrText xml:space="preserve"> PAGEREF _Toc140261667 \h </w:instrText>
            </w:r>
            <w:r w:rsidR="00334FB5">
              <w:rPr>
                <w:noProof/>
                <w:webHidden/>
              </w:rPr>
            </w:r>
            <w:r w:rsidR="00334FB5">
              <w:rPr>
                <w:noProof/>
                <w:webHidden/>
              </w:rPr>
              <w:fldChar w:fldCharType="separate"/>
            </w:r>
            <w:r w:rsidR="0009682A">
              <w:rPr>
                <w:noProof/>
                <w:webHidden/>
              </w:rPr>
              <w:t>31</w:t>
            </w:r>
            <w:r w:rsidR="00334FB5">
              <w:rPr>
                <w:noProof/>
                <w:webHidden/>
              </w:rPr>
              <w:fldChar w:fldCharType="end"/>
            </w:r>
          </w:hyperlink>
        </w:p>
        <w:p w14:paraId="3ADEC89D" w14:textId="03A032D2" w:rsidR="00BE59AA" w:rsidRPr="00983703" w:rsidRDefault="00334FB5" w:rsidP="00394C58">
          <w:pPr>
            <w:tabs>
              <w:tab w:val="clear" w:pos="794"/>
              <w:tab w:val="clear" w:pos="1191"/>
              <w:tab w:val="clear" w:pos="1588"/>
              <w:tab w:val="clear" w:pos="1985"/>
            </w:tabs>
            <w:overflowPunct/>
            <w:autoSpaceDE/>
            <w:autoSpaceDN/>
            <w:adjustRightInd/>
            <w:spacing w:before="40" w:after="40"/>
            <w:textAlignment w:val="auto"/>
            <w:rPr>
              <w:rFonts w:eastAsiaTheme="minorHAnsi"/>
              <w:szCs w:val="24"/>
              <w:highlight w:val="yellow"/>
              <w:lang w:val="es-ES_tradnl" w:eastAsia="ja-JP"/>
            </w:rPr>
          </w:pPr>
          <w:r>
            <w:rPr>
              <w:rFonts w:eastAsia="????"/>
              <w:b/>
              <w:bCs/>
              <w:caps/>
              <w:sz w:val="20"/>
              <w:szCs w:val="24"/>
              <w:highlight w:val="yellow"/>
              <w:lang w:val="es-ES_tradnl"/>
            </w:rPr>
            <w:fldChar w:fldCharType="end"/>
          </w:r>
        </w:p>
      </w:sdtContent>
    </w:sdt>
    <w:p w14:paraId="5CEAD06B" w14:textId="77777777" w:rsidR="00394C58" w:rsidRPr="00983703" w:rsidRDefault="00394C58">
      <w:pPr>
        <w:tabs>
          <w:tab w:val="clear" w:pos="794"/>
          <w:tab w:val="clear" w:pos="1191"/>
          <w:tab w:val="clear" w:pos="1588"/>
          <w:tab w:val="clear" w:pos="1985"/>
        </w:tabs>
        <w:overflowPunct/>
        <w:autoSpaceDE/>
        <w:autoSpaceDN/>
        <w:adjustRightInd/>
        <w:spacing w:before="0"/>
        <w:textAlignment w:val="auto"/>
        <w:rPr>
          <w:b/>
          <w:lang w:val="es-ES_tradnl"/>
        </w:rPr>
      </w:pPr>
      <w:r w:rsidRPr="00983703">
        <w:rPr>
          <w:lang w:val="es-ES_tradnl"/>
        </w:rPr>
        <w:br w:type="page"/>
      </w:r>
    </w:p>
    <w:p w14:paraId="0FC2F35F" w14:textId="7CD044C2" w:rsidR="00BE59AA" w:rsidRPr="00983703" w:rsidRDefault="00B97A12" w:rsidP="00B97A12">
      <w:pPr>
        <w:pStyle w:val="Heading1"/>
        <w:rPr>
          <w:lang w:val="es-ES_tradnl"/>
        </w:rPr>
      </w:pPr>
      <w:bookmarkStart w:id="11" w:name="_Toc140261632"/>
      <w:r w:rsidRPr="00983703">
        <w:rPr>
          <w:lang w:val="es-ES_tradnl"/>
        </w:rPr>
        <w:lastRenderedPageBreak/>
        <w:t>1</w:t>
      </w:r>
      <w:r w:rsidRPr="00983703">
        <w:rPr>
          <w:lang w:val="es-ES_tradnl"/>
        </w:rPr>
        <w:tab/>
      </w:r>
      <w:proofErr w:type="gramStart"/>
      <w:r w:rsidR="00BE59AA" w:rsidRPr="00B463E4">
        <w:rPr>
          <w:lang w:val="es-ES_tradnl"/>
        </w:rPr>
        <w:t>Apertura</w:t>
      </w:r>
      <w:proofErr w:type="gramEnd"/>
      <w:r w:rsidR="00BE59AA" w:rsidRPr="00B463E4">
        <w:rPr>
          <w:lang w:val="es-ES_tradnl"/>
        </w:rPr>
        <w:t xml:space="preserve"> de la reunión, Presidente</w:t>
      </w:r>
      <w:r w:rsidR="00BE59AA" w:rsidRPr="00983703">
        <w:rPr>
          <w:lang w:val="es-ES_tradnl"/>
        </w:rPr>
        <w:t xml:space="preserve"> del GANT</w:t>
      </w:r>
      <w:bookmarkEnd w:id="11"/>
    </w:p>
    <w:p w14:paraId="44FF502A" w14:textId="422F1906" w:rsidR="00BE59AA" w:rsidRPr="00983703" w:rsidRDefault="00431AF6" w:rsidP="000C4DE4">
      <w:pPr>
        <w:rPr>
          <w:lang w:val="es-ES_tradnl"/>
        </w:rPr>
      </w:pPr>
      <w:r w:rsidRPr="00983703">
        <w:rPr>
          <w:rFonts w:eastAsiaTheme="minorHAnsi"/>
          <w:szCs w:val="24"/>
          <w:lang w:val="es-ES_tradnl" w:eastAsia="ja-JP"/>
        </w:rPr>
        <w:t>El presidente del GANT, Sr. Abdurahman M. AL HASSAN, Arabia Saudita (Reino de), dio la bienvenida a los participantes en la segunda reunión del Grupo Asesor de Normalización de las Telecomunicaciones (GANT) correspondiente al periodo de estudios 2022-2024, que se celebró en Ginebra del 30 de mayo al 2 de junio de 2023. El Sr. AL HASSAN contó con la asistencia del</w:t>
      </w:r>
      <w:r w:rsidR="0072124B">
        <w:rPr>
          <w:rFonts w:eastAsiaTheme="minorHAnsi"/>
          <w:szCs w:val="24"/>
          <w:lang w:val="es-ES_tradnl" w:eastAsia="ja-JP"/>
        </w:rPr>
        <w:t> </w:t>
      </w:r>
      <w:r w:rsidRPr="00983703">
        <w:rPr>
          <w:rFonts w:eastAsiaTheme="minorHAnsi"/>
          <w:szCs w:val="24"/>
          <w:lang w:val="es-ES_tradnl" w:eastAsia="ja-JP"/>
        </w:rPr>
        <w:t>Sr.</w:t>
      </w:r>
      <w:r w:rsidR="00915A3F" w:rsidRPr="00983703">
        <w:rPr>
          <w:rFonts w:eastAsiaTheme="minorHAnsi"/>
          <w:szCs w:val="24"/>
          <w:lang w:val="es-ES_tradnl" w:eastAsia="ja-JP"/>
        </w:rPr>
        <w:t> </w:t>
      </w:r>
      <w:r w:rsidRPr="00983703">
        <w:rPr>
          <w:rFonts w:eastAsiaTheme="minorHAnsi"/>
          <w:szCs w:val="24"/>
          <w:lang w:val="es-ES_tradnl" w:eastAsia="ja-JP"/>
        </w:rPr>
        <w:t xml:space="preserve">Bilel JAMOUSSI, </w:t>
      </w:r>
      <w:proofErr w:type="gramStart"/>
      <w:r w:rsidRPr="00983703">
        <w:rPr>
          <w:rFonts w:eastAsiaTheme="minorHAnsi"/>
          <w:szCs w:val="24"/>
          <w:lang w:val="es-ES_tradnl" w:eastAsia="ja-JP"/>
        </w:rPr>
        <w:t>Director</w:t>
      </w:r>
      <w:proofErr w:type="gramEnd"/>
      <w:r w:rsidRPr="00983703">
        <w:rPr>
          <w:rFonts w:eastAsiaTheme="minorHAnsi"/>
          <w:szCs w:val="24"/>
          <w:lang w:val="es-ES_tradnl" w:eastAsia="ja-JP"/>
        </w:rPr>
        <w:t xml:space="preserve"> del Departamento de Comisiones de Estudio del UIT-T, y la del</w:t>
      </w:r>
      <w:r w:rsidR="0072124B">
        <w:rPr>
          <w:rFonts w:eastAsiaTheme="minorHAnsi"/>
          <w:szCs w:val="24"/>
          <w:lang w:val="es-ES_tradnl" w:eastAsia="ja-JP"/>
        </w:rPr>
        <w:t> </w:t>
      </w:r>
      <w:r w:rsidRPr="00983703">
        <w:rPr>
          <w:rFonts w:eastAsiaTheme="minorHAnsi"/>
          <w:szCs w:val="24"/>
          <w:lang w:val="es-ES_tradnl" w:eastAsia="ja-JP"/>
        </w:rPr>
        <w:t>Sr.</w:t>
      </w:r>
      <w:r w:rsidR="00911DBE" w:rsidRPr="00983703">
        <w:rPr>
          <w:rFonts w:eastAsiaTheme="minorHAnsi"/>
          <w:szCs w:val="24"/>
          <w:lang w:val="es-ES_tradnl" w:eastAsia="ja-JP"/>
        </w:rPr>
        <w:t> </w:t>
      </w:r>
      <w:r w:rsidRPr="00983703">
        <w:rPr>
          <w:rFonts w:eastAsiaTheme="minorHAnsi"/>
          <w:szCs w:val="24"/>
          <w:lang w:val="es-ES_tradnl" w:eastAsia="ja-JP"/>
        </w:rPr>
        <w:t>Martin EUCHNER, asesor.</w:t>
      </w:r>
      <w:bookmarkEnd w:id="9"/>
    </w:p>
    <w:p w14:paraId="69F2B860" w14:textId="234A1ACA" w:rsidR="00911DBE" w:rsidRPr="00983703" w:rsidRDefault="00911DBE" w:rsidP="000C4DE4">
      <w:pPr>
        <w:rPr>
          <w:rFonts w:eastAsiaTheme="minorHAnsi"/>
          <w:highlight w:val="yellow"/>
          <w:lang w:val="es-ES_tradnl" w:eastAsia="ja-JP"/>
        </w:rPr>
      </w:pPr>
      <w:r w:rsidRPr="00983703">
        <w:rPr>
          <w:rFonts w:eastAsiaTheme="minorHAnsi"/>
          <w:lang w:val="es-ES_tradnl"/>
        </w:rPr>
        <w:t>1</w:t>
      </w:r>
      <w:r w:rsidRPr="0024536D">
        <w:rPr>
          <w:rFonts w:eastAsiaTheme="minorHAnsi"/>
          <w:lang w:val="es-ES_tradnl"/>
        </w:rPr>
        <w:t>.1</w:t>
      </w:r>
      <w:r w:rsidRPr="0024536D">
        <w:rPr>
          <w:rFonts w:eastAsiaTheme="minorHAnsi"/>
          <w:lang w:val="es-ES_tradnl"/>
        </w:rPr>
        <w:tab/>
      </w:r>
      <w:r w:rsidRPr="0024536D">
        <w:rPr>
          <w:rFonts w:eastAsiaTheme="minorHAnsi"/>
          <w:lang w:val="es-ES_tradnl" w:eastAsia="ja-JP"/>
        </w:rPr>
        <w:t>Se prestó servicio de interpretación en directo en los seis idiomas oficiales de la UIT en las reuniones plenarias celebradas del 30</w:t>
      </w:r>
      <w:r w:rsidRPr="00983703">
        <w:rPr>
          <w:rFonts w:eastAsiaTheme="minorHAnsi"/>
          <w:lang w:val="es-ES_tradnl" w:eastAsia="ja-JP"/>
        </w:rPr>
        <w:t xml:space="preserve"> de mayo y el 2 de junio de 2023, con subtitulado en tiempo real</w:t>
      </w:r>
      <w:r w:rsidRPr="00983703">
        <w:rPr>
          <w:rFonts w:asciiTheme="majorBidi" w:eastAsiaTheme="minorHAnsi" w:hAnsiTheme="majorBidi"/>
          <w:position w:val="6"/>
          <w:sz w:val="16"/>
          <w:szCs w:val="16"/>
          <w:lang w:val="es-ES_tradnl" w:eastAsia="ja-JP"/>
        </w:rPr>
        <w:footnoteReference w:id="1"/>
      </w:r>
      <w:r w:rsidRPr="00983703">
        <w:rPr>
          <w:rFonts w:eastAsiaTheme="minorHAnsi"/>
          <w:lang w:val="es-ES_tradnl" w:eastAsia="ja-JP"/>
        </w:rPr>
        <w:t>, participación a distancia por medio de Zoom y retransmisión por Internet</w:t>
      </w:r>
      <w:r w:rsidRPr="00983703">
        <w:rPr>
          <w:rFonts w:asciiTheme="majorBidi" w:eastAsiaTheme="minorHAnsi" w:hAnsiTheme="majorBidi"/>
          <w:position w:val="6"/>
          <w:sz w:val="16"/>
          <w:szCs w:val="16"/>
          <w:lang w:val="es-ES_tradnl" w:eastAsia="ja-JP"/>
        </w:rPr>
        <w:footnoteReference w:id="2"/>
      </w:r>
      <w:r w:rsidRPr="00983703">
        <w:rPr>
          <w:rFonts w:eastAsiaTheme="minorHAnsi"/>
          <w:lang w:val="es-ES_tradnl" w:eastAsia="ja-JP"/>
        </w:rPr>
        <w:t xml:space="preserve"> de todas las reuniones plenarias del GANT y las reuniones del Grupo de Relator</w:t>
      </w:r>
      <w:r w:rsidRPr="00983703">
        <w:rPr>
          <w:rFonts w:eastAsiaTheme="minorHAnsi"/>
          <w:lang w:val="es-ES_tradnl"/>
        </w:rPr>
        <w:t>.</w:t>
      </w:r>
      <w:r w:rsidRPr="00983703">
        <w:rPr>
          <w:rFonts w:eastAsiaTheme="minorHAnsi"/>
          <w:lang w:val="es-ES_tradnl"/>
        </w:rPr>
        <w:br/>
        <w:t xml:space="preserve">Al principio de la reunión, un avatar leyó la nota que figura en el </w:t>
      </w:r>
      <w:r w:rsidR="00394C58" w:rsidRPr="00983703">
        <w:rPr>
          <w:rFonts w:eastAsiaTheme="minorHAnsi"/>
          <w:lang w:val="es-ES_tradnl"/>
        </w:rPr>
        <w:t>D</w:t>
      </w:r>
      <w:r w:rsidRPr="00983703">
        <w:rPr>
          <w:rFonts w:eastAsiaTheme="minorHAnsi"/>
          <w:lang w:val="es-ES_tradnl"/>
        </w:rPr>
        <w:t xml:space="preserve">ocumento </w:t>
      </w:r>
      <w:hyperlink r:id="rId10" w:history="1">
        <w:r w:rsidRPr="00983703">
          <w:rPr>
            <w:rFonts w:asciiTheme="majorBidi" w:eastAsiaTheme="minorHAnsi" w:hAnsiTheme="majorBidi" w:cstheme="majorBidi"/>
            <w:color w:val="0000FF"/>
            <w:u w:val="single"/>
            <w:lang w:val="es-ES_tradnl" w:eastAsia="ja-JP"/>
          </w:rPr>
          <w:t>TD231</w:t>
        </w:r>
      </w:hyperlink>
      <w:r w:rsidRPr="00983703">
        <w:rPr>
          <w:rFonts w:eastAsiaTheme="minorHAnsi"/>
          <w:lang w:val="es-ES_tradnl"/>
        </w:rPr>
        <w:t xml:space="preserve">, en el que se proporcionó orientación sobre la utilización de Zoom, del chat público y de la herramienta de temporización. </w:t>
      </w:r>
      <w:r w:rsidRPr="00983703">
        <w:rPr>
          <w:rFonts w:eastAsiaTheme="minorHAnsi"/>
          <w:lang w:val="es-ES_tradnl" w:eastAsia="ja-JP"/>
        </w:rPr>
        <w:t xml:space="preserve">En el </w:t>
      </w:r>
      <w:r w:rsidR="00394C58" w:rsidRPr="00983703">
        <w:rPr>
          <w:rFonts w:eastAsiaTheme="minorHAnsi"/>
          <w:lang w:val="es-ES_tradnl" w:eastAsia="ja-JP"/>
        </w:rPr>
        <w:t>D</w:t>
      </w:r>
      <w:r w:rsidRPr="00983703">
        <w:rPr>
          <w:rFonts w:eastAsiaTheme="minorHAnsi"/>
          <w:lang w:val="es-ES_tradnl" w:eastAsia="ja-JP"/>
        </w:rPr>
        <w:t xml:space="preserve">ocumento </w:t>
      </w:r>
      <w:hyperlink r:id="rId11" w:history="1">
        <w:r w:rsidRPr="00983703">
          <w:rPr>
            <w:rFonts w:asciiTheme="majorBidi" w:eastAsiaTheme="minorHAnsi" w:hAnsiTheme="majorBidi" w:cstheme="majorBidi"/>
            <w:color w:val="0000FF"/>
            <w:u w:val="single"/>
            <w:lang w:val="es-ES_tradnl" w:eastAsia="ja-JP"/>
          </w:rPr>
          <w:t>TD223</w:t>
        </w:r>
      </w:hyperlink>
      <w:r w:rsidRPr="00983703">
        <w:rPr>
          <w:rFonts w:asciiTheme="majorBidi" w:eastAsiaTheme="minorHAnsi" w:hAnsiTheme="majorBidi" w:cstheme="majorBidi"/>
          <w:color w:val="0000FF"/>
          <w:u w:val="single"/>
          <w:lang w:val="es-ES_tradnl" w:eastAsia="ja-JP"/>
        </w:rPr>
        <w:t xml:space="preserve"> </w:t>
      </w:r>
      <w:r w:rsidRPr="00983703">
        <w:rPr>
          <w:rFonts w:eastAsiaTheme="minorHAnsi"/>
          <w:lang w:val="es-ES_tradnl" w:eastAsia="ja-JP"/>
        </w:rPr>
        <w:t>se proporcionó información adicional sobre el uso de</w:t>
      </w:r>
      <w:r w:rsidR="00394C58" w:rsidRPr="00983703">
        <w:rPr>
          <w:rFonts w:eastAsiaTheme="minorHAnsi"/>
          <w:lang w:val="es-ES_tradnl" w:eastAsia="ja-JP"/>
        </w:rPr>
        <w:t> </w:t>
      </w:r>
      <w:proofErr w:type="gramStart"/>
      <w:r w:rsidRPr="00983703">
        <w:rPr>
          <w:rFonts w:eastAsiaTheme="minorHAnsi"/>
          <w:lang w:val="es-ES_tradnl" w:eastAsia="ja-JP"/>
        </w:rPr>
        <w:t>Zoom</w:t>
      </w:r>
      <w:proofErr w:type="gramEnd"/>
      <w:r w:rsidRPr="00983703">
        <w:rPr>
          <w:rFonts w:eastAsiaTheme="minorHAnsi"/>
          <w:lang w:val="es-ES_tradnl" w:eastAsia="ja-JP"/>
        </w:rPr>
        <w:t>.</w:t>
      </w:r>
    </w:p>
    <w:p w14:paraId="1F9827E6" w14:textId="16BDAF82" w:rsidR="00911DBE" w:rsidRPr="00983703" w:rsidRDefault="00911DBE" w:rsidP="000C4DE4">
      <w:pPr>
        <w:rPr>
          <w:rFonts w:eastAsiaTheme="minorHAnsi"/>
          <w:lang w:val="es-ES_tradnl" w:eastAsia="ja-JP"/>
        </w:rPr>
      </w:pPr>
      <w:r w:rsidRPr="00983703">
        <w:rPr>
          <w:rFonts w:eastAsiaTheme="minorHAnsi"/>
          <w:lang w:val="es-ES_tradnl"/>
        </w:rPr>
        <w:t>1.2</w:t>
      </w:r>
      <w:r w:rsidRPr="00983703">
        <w:rPr>
          <w:rFonts w:eastAsiaTheme="minorHAnsi"/>
          <w:lang w:val="es-ES_tradnl"/>
        </w:rPr>
        <w:tab/>
      </w:r>
      <w:r w:rsidRPr="00983703">
        <w:rPr>
          <w:rFonts w:eastAsiaTheme="minorHAnsi"/>
          <w:lang w:val="es-ES_tradnl" w:eastAsia="ja-JP"/>
        </w:rPr>
        <w:t xml:space="preserve">El Sr. AL HASSAN dio la bienvenida al Vicesecretario General de la UIT, Sr. Tomas LAMANAUSKAS; al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 la BDT, Sr. Cosmas ZAVAZAVA; al Director de la BR, Sr.</w:t>
      </w:r>
      <w:r w:rsidR="00D56F8B" w:rsidRPr="00983703">
        <w:rPr>
          <w:rFonts w:eastAsiaTheme="minorHAnsi"/>
          <w:lang w:val="es-ES_tradnl" w:eastAsia="ja-JP"/>
        </w:rPr>
        <w:t> </w:t>
      </w:r>
      <w:r w:rsidRPr="00983703">
        <w:rPr>
          <w:rFonts w:eastAsiaTheme="minorHAnsi"/>
          <w:lang w:val="es-ES_tradnl" w:eastAsia="ja-JP"/>
        </w:rPr>
        <w:t>Mario MANIEWICZ; y al Director de la TSB, Sr. Seizo ONOE.</w:t>
      </w:r>
    </w:p>
    <w:p w14:paraId="2B3F610C" w14:textId="77777777" w:rsidR="00911DBE" w:rsidRPr="00983703" w:rsidRDefault="00911DBE" w:rsidP="000C4DE4">
      <w:pPr>
        <w:rPr>
          <w:rFonts w:ascii="Calibri" w:hAnsi="Calibri" w:cs="Calibri"/>
          <w:color w:val="333333"/>
          <w:sz w:val="20"/>
          <w:lang w:val="es-ES_tradnl" w:eastAsia="zh-CN"/>
        </w:rPr>
      </w:pPr>
      <w:r w:rsidRPr="00983703">
        <w:rPr>
          <w:rFonts w:eastAsiaTheme="minorHAnsi"/>
          <w:lang w:val="es-ES_tradnl"/>
        </w:rPr>
        <w:t>1.3</w:t>
      </w:r>
      <w:r w:rsidRPr="00983703">
        <w:rPr>
          <w:rFonts w:eastAsiaTheme="minorHAnsi"/>
          <w:lang w:val="es-ES_tradnl"/>
        </w:rPr>
        <w:tab/>
      </w:r>
      <w:r w:rsidRPr="00983703">
        <w:rPr>
          <w:rFonts w:eastAsiaTheme="minorHAnsi"/>
          <w:lang w:val="es-ES_tradnl" w:eastAsia="ja-JP"/>
        </w:rPr>
        <w:t xml:space="preserve">Asistieron a la reunión los siguientes vicepresidentes del GANT: Sr. Isaac BOATENG (Ghana), Sr. Olivier DUBUISSON (Francia), Sr. </w:t>
      </w:r>
      <w:proofErr w:type="spellStart"/>
      <w:r w:rsidRPr="00983703">
        <w:rPr>
          <w:rFonts w:eastAsiaTheme="minorHAnsi"/>
          <w:lang w:val="es-ES_tradnl" w:eastAsia="ja-JP"/>
        </w:rPr>
        <w:t>Tobias</w:t>
      </w:r>
      <w:proofErr w:type="spellEnd"/>
      <w:r w:rsidRPr="00983703">
        <w:rPr>
          <w:rFonts w:eastAsiaTheme="minorHAnsi"/>
          <w:lang w:val="es-ES_tradnl" w:eastAsia="ja-JP"/>
        </w:rPr>
        <w:t xml:space="preserve"> KAUFMANN (República Federal de Alemania), Sr. Guy-Michel KOUAKOU (República de </w:t>
      </w:r>
      <w:proofErr w:type="spellStart"/>
      <w:r w:rsidRPr="00983703">
        <w:rPr>
          <w:rFonts w:eastAsiaTheme="minorHAnsi"/>
          <w:lang w:val="es-ES_tradnl" w:eastAsia="ja-JP"/>
        </w:rPr>
        <w:t>Côte</w:t>
      </w:r>
      <w:proofErr w:type="spellEnd"/>
      <w:r w:rsidRPr="00983703">
        <w:rPr>
          <w:rFonts w:eastAsiaTheme="minorHAnsi"/>
          <w:lang w:val="es-ES_tradnl" w:eastAsia="ja-JP"/>
        </w:rPr>
        <w:t xml:space="preserve"> </w:t>
      </w:r>
      <w:proofErr w:type="spellStart"/>
      <w:r w:rsidRPr="00983703">
        <w:rPr>
          <w:rFonts w:eastAsiaTheme="minorHAnsi"/>
          <w:lang w:val="es-ES_tradnl" w:eastAsia="ja-JP"/>
        </w:rPr>
        <w:t>d'Ivoire</w:t>
      </w:r>
      <w:proofErr w:type="spellEnd"/>
      <w:r w:rsidRPr="00983703">
        <w:rPr>
          <w:rFonts w:eastAsiaTheme="minorHAnsi"/>
          <w:lang w:val="es-ES_tradnl" w:eastAsia="ja-JP"/>
        </w:rPr>
        <w:t xml:space="preserve">), Sra. </w:t>
      </w:r>
      <w:proofErr w:type="spellStart"/>
      <w:r w:rsidRPr="00983703">
        <w:rPr>
          <w:rFonts w:eastAsiaTheme="minorHAnsi"/>
          <w:lang w:val="es-ES_tradnl" w:eastAsia="ja-JP"/>
        </w:rPr>
        <w:t>Fang</w:t>
      </w:r>
      <w:proofErr w:type="spellEnd"/>
      <w:r w:rsidRPr="00983703">
        <w:rPr>
          <w:rFonts w:eastAsiaTheme="minorHAnsi"/>
          <w:lang w:val="es-ES_tradnl" w:eastAsia="ja-JP"/>
        </w:rPr>
        <w:t xml:space="preserve"> LI (R.P. China), Sra. </w:t>
      </w:r>
      <w:proofErr w:type="spellStart"/>
      <w:r w:rsidRPr="00983703">
        <w:rPr>
          <w:rFonts w:eastAsiaTheme="minorHAnsi"/>
          <w:lang w:val="es-ES_tradnl" w:eastAsia="ja-JP"/>
        </w:rPr>
        <w:t>Gaëlle</w:t>
      </w:r>
      <w:proofErr w:type="spellEnd"/>
      <w:r w:rsidRPr="00983703">
        <w:rPr>
          <w:rFonts w:eastAsiaTheme="minorHAnsi"/>
          <w:lang w:val="es-ES_tradnl" w:eastAsia="ja-JP"/>
        </w:rPr>
        <w:t xml:space="preserve"> MARTIN-COCHER (</w:t>
      </w:r>
      <w:proofErr w:type="spellStart"/>
      <w:r w:rsidRPr="00983703">
        <w:rPr>
          <w:rFonts w:eastAsiaTheme="minorHAnsi"/>
          <w:lang w:val="es-ES_tradnl" w:eastAsia="ja-JP"/>
        </w:rPr>
        <w:t>InterDigital</w:t>
      </w:r>
      <w:proofErr w:type="spellEnd"/>
      <w:r w:rsidRPr="00983703">
        <w:rPr>
          <w:rFonts w:eastAsiaTheme="minorHAnsi"/>
          <w:lang w:val="es-ES_tradnl" w:eastAsia="ja-JP"/>
        </w:rPr>
        <w:t xml:space="preserve"> </w:t>
      </w:r>
      <w:proofErr w:type="spellStart"/>
      <w:r w:rsidRPr="00983703">
        <w:rPr>
          <w:rFonts w:eastAsiaTheme="minorHAnsi"/>
          <w:lang w:val="es-ES_tradnl" w:eastAsia="ja-JP"/>
        </w:rPr>
        <w:t>Canada</w:t>
      </w:r>
      <w:proofErr w:type="spellEnd"/>
      <w:r w:rsidRPr="00983703">
        <w:rPr>
          <w:rFonts w:eastAsiaTheme="minorHAnsi"/>
          <w:lang w:val="es-ES_tradnl" w:eastAsia="ja-JP"/>
        </w:rPr>
        <w:t xml:space="preserve"> </w:t>
      </w:r>
      <w:proofErr w:type="spellStart"/>
      <w:r w:rsidRPr="00983703">
        <w:rPr>
          <w:rFonts w:eastAsiaTheme="minorHAnsi"/>
          <w:lang w:val="es-ES_tradnl" w:eastAsia="ja-JP"/>
        </w:rPr>
        <w:t>Ltée</w:t>
      </w:r>
      <w:proofErr w:type="spellEnd"/>
      <w:r w:rsidRPr="00983703">
        <w:rPr>
          <w:rFonts w:eastAsiaTheme="minorHAnsi"/>
          <w:lang w:val="es-ES_tradnl" w:eastAsia="ja-JP"/>
        </w:rPr>
        <w:t xml:space="preserve">), Sra. Miho NAGANUMA (NEC </w:t>
      </w:r>
      <w:proofErr w:type="spellStart"/>
      <w:r w:rsidRPr="00983703">
        <w:rPr>
          <w:rFonts w:eastAsiaTheme="minorHAnsi"/>
          <w:lang w:val="es-ES_tradnl" w:eastAsia="ja-JP"/>
        </w:rPr>
        <w:t>Corporation</w:t>
      </w:r>
      <w:proofErr w:type="spellEnd"/>
      <w:r w:rsidRPr="00983703">
        <w:rPr>
          <w:rFonts w:eastAsiaTheme="minorHAnsi"/>
          <w:lang w:val="es-ES_tradnl" w:eastAsia="ja-JP"/>
        </w:rPr>
        <w:t xml:space="preserve">, Japón), Sr. Víctor Manuel MARTÍNEZ VANEGAS (México), y Sr. </w:t>
      </w:r>
      <w:proofErr w:type="spellStart"/>
      <w:r w:rsidRPr="00983703">
        <w:rPr>
          <w:rFonts w:eastAsiaTheme="minorHAnsi"/>
          <w:lang w:val="es-ES_tradnl" w:eastAsia="ja-JP"/>
        </w:rPr>
        <w:t>Ulugbek</w:t>
      </w:r>
      <w:proofErr w:type="spellEnd"/>
      <w:r w:rsidRPr="00983703">
        <w:rPr>
          <w:rFonts w:eastAsiaTheme="minorHAnsi"/>
          <w:lang w:val="es-ES_tradnl" w:eastAsia="ja-JP"/>
        </w:rPr>
        <w:t xml:space="preserve"> AZIMOV (República de Uzbekistán). El Sr. Khalid AL-HMOUD (Reino Hachemita de Jordania) no asistió a la reunión.</w:t>
      </w:r>
    </w:p>
    <w:p w14:paraId="397ACF91" w14:textId="0EF136BD" w:rsidR="00911DBE" w:rsidRPr="00983703" w:rsidRDefault="00911DBE" w:rsidP="00394C58">
      <w:pPr>
        <w:rPr>
          <w:rFonts w:asciiTheme="majorBidi" w:eastAsiaTheme="minorHAnsi" w:hAnsiTheme="majorBidi" w:cstheme="majorBidi"/>
          <w:lang w:val="es-ES_tradnl" w:eastAsia="ja-JP"/>
        </w:rPr>
      </w:pPr>
      <w:r w:rsidRPr="00B463E4">
        <w:rPr>
          <w:rFonts w:eastAsiaTheme="minorHAnsi"/>
          <w:lang w:val="es-ES_tradnl"/>
        </w:rPr>
        <w:t>1.4</w:t>
      </w:r>
      <w:r w:rsidRPr="00B463E4">
        <w:rPr>
          <w:rFonts w:eastAsiaTheme="minorHAnsi"/>
          <w:lang w:val="es-ES_tradnl"/>
        </w:rPr>
        <w:tab/>
      </w:r>
      <w:r w:rsidRPr="00B463E4">
        <w:rPr>
          <w:rFonts w:eastAsiaTheme="minorHAnsi"/>
          <w:lang w:val="es-ES_tradnl" w:eastAsia="ja-JP"/>
        </w:rPr>
        <w:t>En total, 265 participantes asistieron a esta segunda reunión del GANT (144 de forma presencial y 121 a distancia):</w:t>
      </w:r>
      <w:r w:rsidRPr="00983703">
        <w:rPr>
          <w:rFonts w:eastAsiaTheme="minorHAnsi"/>
          <w:lang w:val="es-ES_tradnl" w:eastAsia="ja-JP"/>
        </w:rPr>
        <w:t xml:space="preserve"> 54 Estados Miembros, 7 Miembros de Sector (EER), 24 Miembros de Sector (OCI), ocho Miembros de Sector (organizaciones regionales y otras organizaciones internacionales), un Miembro de Sector (otros organismos), una organización regional, tres Misiones Permanentes, cuatro Instituciones Académicas, una entidad en virtud de lo dispuesto en la Resolución 99 de la PP, y 50 miembros del personal de la UIT, así como cinco funcionarios de elección de la UIT; véase el </w:t>
      </w:r>
      <w:r w:rsidR="00FE165F">
        <w:rPr>
          <w:rFonts w:eastAsiaTheme="minorHAnsi"/>
          <w:lang w:val="es-ES_tradnl" w:eastAsia="ja-JP"/>
        </w:rPr>
        <w:t>D</w:t>
      </w:r>
      <w:r w:rsidRPr="00983703">
        <w:rPr>
          <w:rFonts w:eastAsiaTheme="minorHAnsi"/>
          <w:lang w:val="es-ES_tradnl" w:eastAsia="ja-JP"/>
        </w:rPr>
        <w:t xml:space="preserve">ocumento </w:t>
      </w:r>
      <w:hyperlink r:id="rId12" w:history="1">
        <w:r w:rsidRPr="00983703">
          <w:rPr>
            <w:rFonts w:asciiTheme="majorBidi" w:eastAsiaTheme="minorHAnsi" w:hAnsiTheme="majorBidi" w:cstheme="majorBidi"/>
            <w:color w:val="0000FF"/>
            <w:u w:val="single"/>
            <w:lang w:val="es-ES_tradnl" w:eastAsia="ja-JP"/>
          </w:rPr>
          <w:t>TD222</w:t>
        </w:r>
      </w:hyperlink>
      <w:r w:rsidRPr="00983703">
        <w:rPr>
          <w:rFonts w:eastAsiaTheme="minorHAnsi"/>
          <w:lang w:val="es-ES_tradnl" w:eastAsia="ja-JP"/>
        </w:rPr>
        <w:t>, que contiene la lista definitiva de participantes.</w:t>
      </w:r>
    </w:p>
    <w:p w14:paraId="3779CF15" w14:textId="77777777" w:rsidR="00911DBE" w:rsidRPr="00983703" w:rsidRDefault="00911DBE" w:rsidP="00394C58">
      <w:pPr>
        <w:rPr>
          <w:rFonts w:eastAsiaTheme="minorHAnsi"/>
          <w:lang w:val="es-ES_tradnl" w:eastAsia="ja-JP"/>
        </w:rPr>
      </w:pPr>
      <w:r w:rsidRPr="00983703">
        <w:rPr>
          <w:rFonts w:eastAsiaTheme="minorHAnsi"/>
          <w:lang w:val="es-ES_tradnl"/>
        </w:rPr>
        <w:t>1.4.1</w:t>
      </w:r>
      <w:r w:rsidRPr="00983703">
        <w:rPr>
          <w:rFonts w:eastAsiaTheme="minorHAnsi"/>
          <w:lang w:val="es-ES_tradnl"/>
        </w:rPr>
        <w:tab/>
      </w:r>
      <w:r w:rsidRPr="00983703">
        <w:rPr>
          <w:rFonts w:eastAsiaTheme="minorHAnsi"/>
          <w:lang w:val="es-ES_tradnl" w:eastAsia="ja-JP"/>
        </w:rPr>
        <w:t>Se solicitaron y concedieron nueve becas.</w:t>
      </w:r>
    </w:p>
    <w:p w14:paraId="570A3790" w14:textId="6A34F85C" w:rsidR="00911DBE" w:rsidRPr="00983703" w:rsidRDefault="00911DBE" w:rsidP="00394C58">
      <w:pPr>
        <w:rPr>
          <w:rFonts w:eastAsiaTheme="minorHAnsi"/>
          <w:lang w:val="es-ES_tradnl" w:eastAsia="ja-JP"/>
        </w:rPr>
      </w:pPr>
      <w:r w:rsidRPr="00983703">
        <w:rPr>
          <w:rFonts w:eastAsiaTheme="minorHAnsi"/>
          <w:lang w:val="es-ES_tradnl"/>
        </w:rPr>
        <w:t>1.4.2</w:t>
      </w:r>
      <w:r w:rsidRPr="00983703">
        <w:rPr>
          <w:rFonts w:eastAsiaTheme="minorHAnsi"/>
          <w:lang w:val="es-ES_tradnl"/>
        </w:rPr>
        <w:tab/>
      </w:r>
      <w:r w:rsidRPr="00983703">
        <w:rPr>
          <w:rFonts w:eastAsiaTheme="minorHAnsi"/>
          <w:lang w:val="es-ES_tradnl" w:eastAsia="ja-JP"/>
        </w:rPr>
        <w:t xml:space="preserve">El 31 de mayo de 2023 se organizó una sesión de formación para los nuevos participantes del GANT; los documentos que se les proporcionó figuran en el </w:t>
      </w:r>
      <w:r w:rsidR="00FE165F">
        <w:rPr>
          <w:rFonts w:eastAsiaTheme="minorHAnsi"/>
          <w:lang w:val="es-ES_tradnl" w:eastAsia="ja-JP"/>
        </w:rPr>
        <w:t>D</w:t>
      </w:r>
      <w:r w:rsidRPr="00983703">
        <w:rPr>
          <w:rFonts w:eastAsiaTheme="minorHAnsi"/>
          <w:lang w:val="es-ES_tradnl" w:eastAsia="ja-JP"/>
        </w:rPr>
        <w:t xml:space="preserve">ocumento </w:t>
      </w:r>
      <w:hyperlink r:id="rId13" w:history="1">
        <w:r w:rsidRPr="00983703">
          <w:rPr>
            <w:rFonts w:eastAsiaTheme="minorHAnsi"/>
            <w:color w:val="0000FF"/>
            <w:u w:val="single"/>
            <w:lang w:val="es-ES_tradnl" w:eastAsia="ja-JP"/>
          </w:rPr>
          <w:t>TD224</w:t>
        </w:r>
      </w:hyperlink>
      <w:r w:rsidRPr="00983703">
        <w:rPr>
          <w:rFonts w:eastAsiaTheme="minorHAnsi"/>
          <w:lang w:val="es-ES_tradnl" w:eastAsia="ja-JP"/>
        </w:rPr>
        <w:t>. A esta sesión asistieron alrededor de 20 nuevos participantes (de forma presencial o a distancia).</w:t>
      </w:r>
    </w:p>
    <w:p w14:paraId="3E026E79" w14:textId="77777777" w:rsidR="00911DBE" w:rsidRPr="00983703" w:rsidRDefault="00911DBE" w:rsidP="00394C58">
      <w:pPr>
        <w:keepLines/>
        <w:rPr>
          <w:rFonts w:eastAsiaTheme="minorHAnsi"/>
          <w:color w:val="000000"/>
          <w:lang w:val="es-ES_tradnl" w:eastAsia="ja-JP"/>
        </w:rPr>
      </w:pPr>
      <w:r w:rsidRPr="00983703">
        <w:rPr>
          <w:rFonts w:eastAsiaTheme="minorHAnsi"/>
          <w:lang w:val="es-ES_tradnl"/>
        </w:rPr>
        <w:lastRenderedPageBreak/>
        <w:t>1.5</w:t>
      </w:r>
      <w:r w:rsidRPr="00983703">
        <w:rPr>
          <w:rFonts w:eastAsiaTheme="minorHAnsi"/>
          <w:lang w:val="es-ES_tradnl"/>
        </w:rPr>
        <w:tab/>
        <w:t xml:space="preserve">En su alocución de apertura, el Vicesecretario General de la UIT, Sr. </w:t>
      </w:r>
      <w:r w:rsidRPr="00983703">
        <w:rPr>
          <w:rFonts w:eastAsiaTheme="minorHAnsi"/>
          <w:lang w:val="es-ES_tradnl" w:eastAsia="ja-JP"/>
        </w:rPr>
        <w:t>Tomas LAMANAUSKAS</w:t>
      </w:r>
      <w:r w:rsidRPr="00983703">
        <w:rPr>
          <w:rFonts w:eastAsiaTheme="minorHAnsi"/>
          <w:lang w:val="es-ES_tradnl"/>
        </w:rPr>
        <w:t xml:space="preserve">, subrayó la importancia que reviste la normalización, al igual que hicieron los </w:t>
      </w:r>
      <w:r w:rsidRPr="00983703">
        <w:rPr>
          <w:rFonts w:eastAsiaTheme="minorHAnsi"/>
          <w:color w:val="000000"/>
          <w:lang w:val="es-ES_tradnl" w:eastAsia="ja-JP"/>
        </w:rPr>
        <w:t>líderes del G7 unos días antes de la reunión del GANT. Consideró necesario que la labor de la UIT vaya más allá de la normalización técnica, a fin de abarcar, en particular, diversas esferas relativas al reto que plantea la crisis climática, cuestiones de género y aspectos referentes a los derechos humanos a escala mundial, y que se aborde un proceso de establecimiento de normas técnicas sobre tecnologías nuevas e incipientes; también señaló la necesidad de que la UIT siga buscando formas nuevas, eficaces e inclusivas para cumplir los objetivos estratégicos de la UIT en cuanto a conectividad universal y la transformación digital sostenible.</w:t>
      </w:r>
    </w:p>
    <w:p w14:paraId="7E54E5A7" w14:textId="515784AD" w:rsidR="00911DBE" w:rsidRPr="00983703" w:rsidRDefault="00911DBE" w:rsidP="000C4DE4">
      <w:pPr>
        <w:rPr>
          <w:rFonts w:eastAsiaTheme="minorHAnsi"/>
          <w:color w:val="000000"/>
          <w:lang w:val="es-ES_tradnl" w:eastAsia="ja-JP"/>
        </w:rPr>
      </w:pPr>
      <w:r w:rsidRPr="00983703">
        <w:rPr>
          <w:rFonts w:eastAsiaTheme="minorHAnsi"/>
          <w:lang w:val="es-ES_tradnl"/>
        </w:rPr>
        <w:t>1.6</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 la BR, Sr. Mario MANIEWICZ, </w:t>
      </w:r>
      <w:r w:rsidRPr="00983703">
        <w:rPr>
          <w:rFonts w:eastAsiaTheme="minorHAnsi"/>
          <w:color w:val="000000"/>
          <w:lang w:val="es-ES_tradnl" w:eastAsia="ja-JP"/>
        </w:rPr>
        <w:t>reconoció la notable contribución del</w:t>
      </w:r>
      <w:r w:rsidR="007768F0">
        <w:rPr>
          <w:rFonts w:eastAsiaTheme="minorHAnsi"/>
          <w:color w:val="000000"/>
          <w:lang w:val="es-ES_tradnl" w:eastAsia="ja-JP"/>
        </w:rPr>
        <w:t> </w:t>
      </w:r>
      <w:r w:rsidRPr="00983703">
        <w:rPr>
          <w:rFonts w:eastAsiaTheme="minorHAnsi"/>
          <w:color w:val="000000"/>
          <w:lang w:val="es-ES_tradnl" w:eastAsia="ja-JP"/>
        </w:rPr>
        <w:t>UIT</w:t>
      </w:r>
      <w:r w:rsidR="0072124B">
        <w:rPr>
          <w:rFonts w:eastAsiaTheme="minorHAnsi"/>
          <w:color w:val="000000"/>
          <w:lang w:val="es-ES_tradnl" w:eastAsia="ja-JP"/>
        </w:rPr>
        <w:noBreakHyphen/>
      </w:r>
      <w:r w:rsidRPr="00983703">
        <w:rPr>
          <w:rFonts w:eastAsiaTheme="minorHAnsi"/>
          <w:color w:val="000000"/>
          <w:lang w:val="es-ES_tradnl" w:eastAsia="ja-JP"/>
        </w:rPr>
        <w:t>T al desarrollo internacional de las telecomunicaciones, fomentando la interoperabilidad y la innovación, y reconoció los esfuerzos colectivos del UIT-T, así como los del UIT-R y el UIT-D, en aras de la conectividad universal y la transformación digital sostenible. Tanto el UIT-R como el</w:t>
      </w:r>
      <w:r w:rsidR="0072124B">
        <w:rPr>
          <w:rFonts w:eastAsiaTheme="minorHAnsi"/>
          <w:color w:val="000000"/>
          <w:lang w:val="es-ES_tradnl" w:eastAsia="ja-JP"/>
        </w:rPr>
        <w:t> </w:t>
      </w:r>
      <w:r w:rsidRPr="00983703">
        <w:rPr>
          <w:rFonts w:eastAsiaTheme="minorHAnsi"/>
          <w:color w:val="000000"/>
          <w:lang w:val="es-ES_tradnl" w:eastAsia="ja-JP"/>
        </w:rPr>
        <w:t xml:space="preserve">UIT-T elaboran normas internacionales en materia de telecomunicaciones y TIC en sus respectivos ámbitos, lo que requiere coordinar la labor de ambos Sectores, evitar solapamiento de trabajos y velar por que sus esfuerzos tengan lugar de la manera más eficiente y eficaz posible, en particular en lo concerniente a los sistemas de aeronaves no tripuladas, la integración de redes fijas, móviles y por satélite en las redes IMT-2020 y posteriores, y las comunicaciones por satélite en los países en desarrollo; la utilización de declaraciones de coordinación entre el UIT-T y el UIT-R contribuye a facilitar la colaboración y el intercambio de conocimientos de interés, así como a garantizar que los trabajos estén en consonancia con la labor de todos los Sectores, de forma complementaria. El Sr. </w:t>
      </w:r>
      <w:r w:rsidRPr="00983703">
        <w:rPr>
          <w:rFonts w:eastAsiaTheme="minorHAnsi"/>
          <w:lang w:val="es-ES_tradnl" w:eastAsia="ja-JP"/>
        </w:rPr>
        <w:t xml:space="preserve">MANIEWICZ hizo un llamamiento para </w:t>
      </w:r>
      <w:r w:rsidRPr="00983703">
        <w:rPr>
          <w:rFonts w:eastAsiaTheme="minorHAnsi"/>
          <w:color w:val="000000"/>
          <w:lang w:val="es-ES_tradnl" w:eastAsia="ja-JP"/>
        </w:rPr>
        <w:t>promover la colaboración, a fin de alcanzar los principales objetivos de la Unión, y contribuir a un marco internacional que propicie el desarrollo de las telecomunicaciones y las radiocomunicaciones. Por otro lado, las Administraciones y el Grupo de Coordinación Intersectorial (ISCG) desempeñan un papel primordial para mantener la coherencia de la labor de los Sectores, de conformidad con la Decisión</w:t>
      </w:r>
      <w:r w:rsidR="0072124B">
        <w:rPr>
          <w:rFonts w:eastAsiaTheme="minorHAnsi"/>
          <w:color w:val="000000"/>
          <w:lang w:val="es-ES_tradnl" w:eastAsia="ja-JP"/>
        </w:rPr>
        <w:t> </w:t>
      </w:r>
      <w:r w:rsidRPr="00983703">
        <w:rPr>
          <w:rFonts w:eastAsiaTheme="minorHAnsi"/>
          <w:color w:val="000000"/>
          <w:lang w:val="es-ES_tradnl" w:eastAsia="ja-JP"/>
        </w:rPr>
        <w:t xml:space="preserve">5 de la Conferencia de Plenipotenciarios. Habida cuenta de ello, Sr. </w:t>
      </w:r>
      <w:r w:rsidRPr="00983703">
        <w:rPr>
          <w:rFonts w:eastAsiaTheme="minorHAnsi"/>
          <w:lang w:val="es-ES_tradnl" w:eastAsia="ja-JP"/>
        </w:rPr>
        <w:t xml:space="preserve">MANIEWICZ invitó a los miembros a que participaran en la </w:t>
      </w:r>
      <w:r w:rsidRPr="00983703">
        <w:rPr>
          <w:rFonts w:eastAsiaTheme="minorHAnsi"/>
          <w:color w:val="000000"/>
          <w:lang w:val="es-ES_tradnl" w:eastAsia="ja-JP"/>
        </w:rPr>
        <w:t>CMR</w:t>
      </w:r>
      <w:r w:rsidRPr="00983703">
        <w:rPr>
          <w:rFonts w:eastAsiaTheme="minorHAnsi"/>
          <w:color w:val="000000"/>
          <w:lang w:val="es-ES_tradnl" w:eastAsia="ja-JP"/>
        </w:rPr>
        <w:noBreakHyphen/>
        <w:t xml:space="preserve">23 en Dubái para actualizar el Reglamento de Radiocomunicaciones, tratado internacional por el que se rige el espectro de frecuencias de las comunicaciones por satélite y la órbita de </w:t>
      </w:r>
      <w:proofErr w:type="gramStart"/>
      <w:r w:rsidRPr="00983703">
        <w:rPr>
          <w:rFonts w:eastAsiaTheme="minorHAnsi"/>
          <w:color w:val="000000"/>
          <w:lang w:val="es-ES_tradnl" w:eastAsia="ja-JP"/>
        </w:rPr>
        <w:t>los mismos</w:t>
      </w:r>
      <w:proofErr w:type="gramEnd"/>
      <w:r w:rsidRPr="00983703">
        <w:rPr>
          <w:rFonts w:eastAsiaTheme="minorHAnsi"/>
          <w:color w:val="000000"/>
          <w:lang w:val="es-ES_tradnl" w:eastAsia="ja-JP"/>
        </w:rPr>
        <w:t>.</w:t>
      </w:r>
    </w:p>
    <w:p w14:paraId="19FB45BC" w14:textId="77777777" w:rsidR="00911DBE" w:rsidRPr="00983703" w:rsidRDefault="00911DBE" w:rsidP="000C4DE4">
      <w:pPr>
        <w:rPr>
          <w:rFonts w:eastAsiaTheme="minorHAnsi"/>
          <w:color w:val="000000"/>
          <w:lang w:val="es-ES_tradnl" w:eastAsia="ja-JP"/>
        </w:rPr>
      </w:pPr>
      <w:r w:rsidRPr="00983703">
        <w:rPr>
          <w:rFonts w:eastAsiaTheme="minorHAnsi"/>
          <w:lang w:val="es-ES_tradnl"/>
        </w:rPr>
        <w:t>1.7</w:t>
      </w:r>
      <w:r w:rsidRPr="00983703">
        <w:rPr>
          <w:rFonts w:eastAsiaTheme="minorHAnsi"/>
          <w:lang w:val="es-ES_tradnl"/>
        </w:rPr>
        <w:tab/>
      </w:r>
      <w:r w:rsidRPr="00983703">
        <w:rPr>
          <w:rFonts w:eastAsiaTheme="minorHAnsi"/>
          <w:lang w:val="es-ES_tradnl" w:eastAsia="ja-JP"/>
        </w:rPr>
        <w:t xml:space="preserve">El Director de la BDT, Sr. Cosmas ZAVAZAVA, presentó </w:t>
      </w:r>
      <w:r w:rsidRPr="00983703">
        <w:rPr>
          <w:rFonts w:eastAsiaTheme="minorHAnsi"/>
          <w:color w:val="000000" w:themeColor="text1"/>
          <w:lang w:val="es-ES_tradnl" w:eastAsia="ja-JP"/>
        </w:rPr>
        <w:t>las prioridades del UIT-D, a saber 1</w:t>
      </w:r>
      <w:r w:rsidRPr="002669AE">
        <w:rPr>
          <w:rFonts w:eastAsiaTheme="minorHAnsi"/>
          <w:color w:val="000000" w:themeColor="text1"/>
          <w:lang w:val="es-ES_tradnl" w:eastAsia="ja-JP"/>
        </w:rPr>
        <w:t>) colmar lagunas de servicio</w:t>
      </w:r>
      <w:r w:rsidRPr="00983703">
        <w:rPr>
          <w:rFonts w:eastAsiaTheme="minorHAnsi"/>
          <w:color w:val="000000" w:themeColor="text1"/>
          <w:lang w:val="es-ES_tradnl" w:eastAsia="ja-JP"/>
        </w:rPr>
        <w:t xml:space="preserve"> en el último kilómetro de red y facilitar la implantación y descripción de las tecnologías necesarias y garantizar una conectividad efectiva en el plano humano, sin que nadie se quede atrás; 2) buscar un entorno propicio, en el marco de los debates que tendrán lugar en el Simposio Mundial para Organismos Reguladores (GSR-23), que se celebrará en Egipto en junio de 2023; 3) facilitar la transformación digital y el cumplimiento de los Objetivos de Desarrollo Sostenible; 4) subrayar la necesidad de fomentar la cooperación internacional y movilización de recursos para poner en marcha proyectos que repercutan a escala mundial; y 5) hacer hincapié en la ciberseguridad y la protección de la infancia en línea, incluido el compromiso de la BDT de contribuir a colmar la brecha de normalización como esfera de interés común, así como en la accesibilidad, el medio ambiente, las ciudades inteligentes y los sistemas de alerta temprana.</w:t>
      </w:r>
    </w:p>
    <w:p w14:paraId="57AEFFC2" w14:textId="77D60FE0" w:rsidR="00911DBE" w:rsidRPr="00983703" w:rsidRDefault="00911DBE" w:rsidP="000C4DE4">
      <w:pPr>
        <w:rPr>
          <w:rFonts w:eastAsiaTheme="minorHAnsi"/>
          <w:lang w:val="es-ES_tradnl" w:eastAsia="ja-JP"/>
        </w:rPr>
      </w:pPr>
      <w:r w:rsidRPr="00983703">
        <w:rPr>
          <w:rFonts w:eastAsiaTheme="minorHAnsi"/>
          <w:lang w:val="es-ES_tradnl"/>
        </w:rPr>
        <w:t>1.8</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 la TSB, Sr. Seizo ONOE, dio la bienvenida a todos los delegados a esta segunda reunión del GANT en el actual periodo de estudios 2022-2024. Su alocución figura en el </w:t>
      </w:r>
      <w:r w:rsidR="00FE165F">
        <w:rPr>
          <w:rFonts w:eastAsiaTheme="minorHAnsi"/>
          <w:lang w:val="es-ES_tradnl" w:eastAsia="ja-JP"/>
        </w:rPr>
        <w:t>D</w:t>
      </w:r>
      <w:r w:rsidRPr="00983703">
        <w:rPr>
          <w:rFonts w:eastAsiaTheme="minorHAnsi"/>
          <w:lang w:val="es-ES_tradnl" w:eastAsia="ja-JP"/>
        </w:rPr>
        <w:t xml:space="preserve">ocumento </w:t>
      </w:r>
      <w:hyperlink r:id="rId14" w:history="1">
        <w:r w:rsidRPr="00983703">
          <w:rPr>
            <w:rFonts w:eastAsiaTheme="minorHAnsi"/>
            <w:color w:val="0000FF"/>
            <w:u w:val="single"/>
            <w:lang w:val="es-ES_tradnl" w:eastAsia="ja-JP"/>
          </w:rPr>
          <w:t>TD225</w:t>
        </w:r>
      </w:hyperlink>
      <w:r w:rsidRPr="00983703">
        <w:rPr>
          <w:rFonts w:eastAsiaTheme="minorHAnsi"/>
          <w:lang w:val="es-ES_tradnl" w:eastAsia="ja-JP"/>
        </w:rPr>
        <w:t>.</w:t>
      </w:r>
    </w:p>
    <w:p w14:paraId="6F9693BC" w14:textId="77777777" w:rsidR="00911DBE" w:rsidRPr="00983703" w:rsidRDefault="00911DBE" w:rsidP="00394C58">
      <w:pPr>
        <w:rPr>
          <w:rFonts w:eastAsiaTheme="minorHAnsi"/>
          <w:lang w:val="es-ES_tradnl" w:eastAsia="ja-JP"/>
        </w:rPr>
      </w:pPr>
      <w:r w:rsidRPr="00983703">
        <w:rPr>
          <w:rFonts w:eastAsiaTheme="minorHAnsi"/>
          <w:lang w:val="es-ES_tradnl"/>
        </w:rPr>
        <w:t>1.9</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Presidente</w:t>
      </w:r>
      <w:proofErr w:type="gramEnd"/>
      <w:r w:rsidRPr="00983703">
        <w:rPr>
          <w:rFonts w:eastAsiaTheme="minorHAnsi"/>
          <w:lang w:val="es-ES_tradnl" w:eastAsia="ja-JP"/>
        </w:rPr>
        <w:t xml:space="preserve"> del GANT señaló que el UIT-T ya ha llevado a cabo su labor a lo largo de la segunda mitad del periodo de estudios 2022-2024, y que sólo queda un año para </w:t>
      </w:r>
      <w:r w:rsidRPr="00983703">
        <w:rPr>
          <w:rFonts w:eastAsiaTheme="minorHAnsi"/>
          <w:color w:val="000000"/>
          <w:lang w:val="es-ES_tradnl" w:eastAsia="ja-JP"/>
        </w:rPr>
        <w:t>concluirla y preparar la próxima Asamblea. Reconoció el magnífico trabajo realizado y los fructíferos debates de los Grupos de Relator en sus numerosas reuniones intermedias. En la reunión del GANT se examinarán los resultados. La reunión del GANT de menor duración en esta semana y el elevado número de contribuciones recibidas obligan a trabajar con la mayor eficacia posible.</w:t>
      </w:r>
    </w:p>
    <w:p w14:paraId="1CBCEC87" w14:textId="16CAB5C3" w:rsidR="00F41298" w:rsidRPr="00983703" w:rsidRDefault="00911DBE" w:rsidP="00394C58">
      <w:pPr>
        <w:rPr>
          <w:rFonts w:eastAsiaTheme="minorHAnsi"/>
          <w:lang w:val="es-ES_tradnl" w:eastAsia="ja-JP"/>
        </w:rPr>
      </w:pPr>
      <w:r w:rsidRPr="00983703">
        <w:rPr>
          <w:rFonts w:eastAsiaTheme="minorHAnsi"/>
          <w:lang w:val="es-ES_tradnl"/>
        </w:rPr>
        <w:lastRenderedPageBreak/>
        <w:t>1.10</w:t>
      </w:r>
      <w:r w:rsidRPr="00983703">
        <w:rPr>
          <w:rFonts w:eastAsiaTheme="minorHAnsi"/>
          <w:lang w:val="es-ES_tradnl"/>
        </w:rPr>
        <w:tab/>
      </w:r>
      <w:r w:rsidRPr="00983703">
        <w:rPr>
          <w:rFonts w:eastAsiaTheme="minorHAnsi"/>
          <w:lang w:val="es-ES_tradnl" w:eastAsia="ja-JP"/>
        </w:rPr>
        <w:t xml:space="preserve">En el </w:t>
      </w:r>
      <w:hyperlink w:anchor="_Annex_A_Summary_1" w:history="1">
        <w:r w:rsidRPr="00983703">
          <w:rPr>
            <w:rFonts w:eastAsiaTheme="minorHAnsi"/>
            <w:color w:val="0000FF"/>
            <w:u w:val="single"/>
            <w:lang w:val="es-ES_tradnl" w:eastAsia="ja-JP"/>
          </w:rPr>
          <w:t>Anexo A</w:t>
        </w:r>
      </w:hyperlink>
      <w:r w:rsidRPr="00983703">
        <w:rPr>
          <w:rFonts w:eastAsiaTheme="minorHAnsi"/>
          <w:lang w:val="es-ES_tradnl" w:eastAsia="ja-JP"/>
        </w:rPr>
        <w:t xml:space="preserve"> del presente informe se sintetizan los principales resultados (informes, declaraciones de coordinación y próximas reuniones) de esta reunión del GANT.</w:t>
      </w:r>
    </w:p>
    <w:p w14:paraId="4A55ABE6" w14:textId="6ECF745E" w:rsidR="00F41298" w:rsidRPr="00983703" w:rsidRDefault="00B97A12" w:rsidP="00F41298">
      <w:pPr>
        <w:pStyle w:val="Heading1"/>
        <w:rPr>
          <w:lang w:val="es-ES_tradnl"/>
        </w:rPr>
      </w:pPr>
      <w:bookmarkStart w:id="12" w:name="_Toc87210126"/>
      <w:bookmarkStart w:id="13" w:name="_Toc140261633"/>
      <w:r w:rsidRPr="00983703">
        <w:rPr>
          <w:lang w:val="es-ES_tradnl"/>
        </w:rPr>
        <w:t>2</w:t>
      </w:r>
      <w:r w:rsidRPr="00983703">
        <w:rPr>
          <w:lang w:val="es-ES_tradnl"/>
        </w:rPr>
        <w:tab/>
      </w:r>
      <w:proofErr w:type="gramStart"/>
      <w:r w:rsidR="00BE59AA" w:rsidRPr="00983703">
        <w:rPr>
          <w:lang w:val="es-ES_tradnl"/>
        </w:rPr>
        <w:t>Aprobación</w:t>
      </w:r>
      <w:proofErr w:type="gramEnd"/>
      <w:r w:rsidR="00BE59AA" w:rsidRPr="00983703">
        <w:rPr>
          <w:lang w:val="es-ES_tradnl"/>
        </w:rPr>
        <w:t xml:space="preserve"> del orden del día, asignación de documentos y plan de gestión del tiempo</w:t>
      </w:r>
      <w:bookmarkEnd w:id="12"/>
      <w:bookmarkEnd w:id="13"/>
    </w:p>
    <w:p w14:paraId="054C0224" w14:textId="377C4E8D" w:rsidR="00F41298" w:rsidRPr="00983703" w:rsidRDefault="00F41298" w:rsidP="00394C58">
      <w:pPr>
        <w:rPr>
          <w:rFonts w:asciiTheme="majorBidi" w:eastAsiaTheme="minorHAnsi" w:hAnsiTheme="majorBidi" w:cstheme="majorBidi"/>
          <w:highlight w:val="yellow"/>
          <w:lang w:val="es-ES_tradnl" w:eastAsia="ja-JP"/>
        </w:rPr>
      </w:pPr>
      <w:r w:rsidRPr="00983703">
        <w:rPr>
          <w:rFonts w:eastAsiaTheme="minorHAnsi"/>
          <w:lang w:val="es-ES_tradnl"/>
        </w:rPr>
        <w:t>2.1</w:t>
      </w:r>
      <w:r w:rsidRPr="00983703">
        <w:rPr>
          <w:rFonts w:eastAsiaTheme="minorHAnsi"/>
          <w:lang w:val="es-ES_tradnl"/>
        </w:rPr>
        <w:tab/>
      </w:r>
      <w:r w:rsidRPr="00983703">
        <w:rPr>
          <w:rFonts w:eastAsiaTheme="minorHAnsi"/>
          <w:lang w:val="es-ES_tradnl" w:eastAsia="ja-JP"/>
        </w:rPr>
        <w:t>La reunión aprobó el proyecto de orden del día, la asignación de documentos y el plan de trabajo (</w:t>
      </w:r>
      <w:hyperlink r:id="rId15" w:history="1">
        <w:r w:rsidRPr="00983703">
          <w:rPr>
            <w:rFonts w:asciiTheme="majorBidi" w:eastAsiaTheme="minorHAnsi" w:hAnsiTheme="majorBidi" w:cstheme="majorBidi"/>
            <w:color w:val="0000FF"/>
            <w:u w:val="single"/>
            <w:lang w:val="es-ES_tradnl" w:eastAsia="ja-JP"/>
          </w:rPr>
          <w:t>TD171R2</w:t>
        </w:r>
      </w:hyperlink>
      <w:r w:rsidRPr="00983703">
        <w:rPr>
          <w:rFonts w:eastAsiaTheme="minorHAnsi"/>
          <w:lang w:val="es-ES_tradnl" w:eastAsia="ja-JP"/>
        </w:rPr>
        <w:t xml:space="preserve">). El GANT aceptó el plan de gestión del tiempo que figura en el </w:t>
      </w:r>
      <w:r w:rsidR="00DC2530">
        <w:rPr>
          <w:rFonts w:eastAsiaTheme="minorHAnsi"/>
          <w:lang w:val="es-ES_tradnl" w:eastAsia="ja-JP"/>
        </w:rPr>
        <w:t>D</w:t>
      </w:r>
      <w:r w:rsidRPr="00983703">
        <w:rPr>
          <w:rFonts w:eastAsiaTheme="minorHAnsi"/>
          <w:lang w:val="es-ES_tradnl" w:eastAsia="ja-JP"/>
        </w:rPr>
        <w:t>ocumento</w:t>
      </w:r>
      <w:r w:rsidR="00DC2530">
        <w:rPr>
          <w:rFonts w:eastAsiaTheme="minorHAnsi"/>
          <w:lang w:val="es-ES_tradnl" w:eastAsia="ja-JP"/>
        </w:rPr>
        <w:t> </w:t>
      </w:r>
      <w:hyperlink r:id="rId16" w:history="1">
        <w:r w:rsidRPr="00983703">
          <w:rPr>
            <w:rFonts w:asciiTheme="majorBidi" w:eastAsiaTheme="minorHAnsi" w:hAnsiTheme="majorBidi" w:cstheme="majorBidi"/>
            <w:color w:val="0000FF"/>
            <w:u w:val="single"/>
            <w:lang w:val="es-ES_tradnl" w:eastAsia="ja-JP"/>
          </w:rPr>
          <w:t>TD170R5</w:t>
        </w:r>
      </w:hyperlink>
      <w:r w:rsidRPr="00983703">
        <w:rPr>
          <w:rFonts w:eastAsiaTheme="minorHAnsi"/>
          <w:lang w:val="es-ES_tradnl" w:eastAsia="ja-JP"/>
        </w:rPr>
        <w:t xml:space="preserve">, revisado ulteriormente en TD170R10, y tomó nota del resumen de los órdenes del día y los informes de </w:t>
      </w:r>
      <w:hyperlink r:id="rId17" w:history="1">
        <w:r w:rsidRPr="00983703">
          <w:rPr>
            <w:rFonts w:asciiTheme="majorBidi" w:eastAsiaTheme="minorHAnsi" w:hAnsiTheme="majorBidi" w:cstheme="majorBidi"/>
            <w:color w:val="0000FF"/>
            <w:u w:val="single"/>
            <w:lang w:val="es-ES_tradnl" w:eastAsia="ja-JP"/>
          </w:rPr>
          <w:t>TD174</w:t>
        </w:r>
      </w:hyperlink>
      <w:r w:rsidRPr="00983703">
        <w:rPr>
          <w:rFonts w:eastAsiaTheme="minorHAnsi"/>
          <w:lang w:val="es-ES_tradnl" w:eastAsia="ja-JP"/>
        </w:rPr>
        <w:t xml:space="preserve">. Se organizaron cuatro reuniones plenarias, cuatro sesiones plenarias de Grupos de Trabajo, ocho reuniones de Grupos de Relator y una reunión </w:t>
      </w:r>
      <w:r w:rsidRPr="00983703">
        <w:rPr>
          <w:rFonts w:eastAsiaTheme="minorHAnsi"/>
          <w:i/>
          <w:iCs/>
          <w:lang w:val="es-ES_tradnl" w:eastAsia="ja-JP"/>
        </w:rPr>
        <w:t>ad ho</w:t>
      </w:r>
      <w:r w:rsidRPr="00983703">
        <w:rPr>
          <w:rFonts w:eastAsiaTheme="minorHAnsi"/>
          <w:lang w:val="es-ES_tradnl" w:eastAsia="ja-JP"/>
        </w:rPr>
        <w:t>c, entre otras nueve reuniones.</w:t>
      </w:r>
    </w:p>
    <w:p w14:paraId="4FFAE24A" w14:textId="089B4475" w:rsidR="00F41298" w:rsidRPr="00983703" w:rsidRDefault="00F41298" w:rsidP="000C4DE4">
      <w:pPr>
        <w:rPr>
          <w:rFonts w:eastAsiaTheme="minorHAnsi"/>
          <w:lang w:val="es-ES_tradnl" w:eastAsia="ja-JP"/>
        </w:rPr>
      </w:pPr>
      <w:r w:rsidRPr="00983703">
        <w:rPr>
          <w:rFonts w:eastAsiaTheme="minorHAnsi"/>
          <w:lang w:val="es-ES_tradnl"/>
        </w:rPr>
        <w:t>2.2</w:t>
      </w:r>
      <w:r w:rsidRPr="00983703">
        <w:rPr>
          <w:rFonts w:eastAsiaTheme="minorHAnsi"/>
          <w:lang w:val="es-ES_tradnl"/>
        </w:rPr>
        <w:tab/>
      </w:r>
      <w:r w:rsidRPr="00983703">
        <w:rPr>
          <w:rFonts w:eastAsiaTheme="minorHAnsi"/>
          <w:lang w:val="es-ES_tradnl" w:eastAsia="ja-JP"/>
        </w:rPr>
        <w:t xml:space="preserve">El GANT aprobó el proyecto de orden del día que figura en </w:t>
      </w:r>
      <w:hyperlink r:id="rId18" w:history="1">
        <w:r w:rsidRPr="00983703">
          <w:rPr>
            <w:rFonts w:asciiTheme="majorBidi" w:eastAsiaTheme="minorHAnsi" w:hAnsiTheme="majorBidi" w:cstheme="majorBidi"/>
            <w:color w:val="0000FF"/>
            <w:u w:val="single"/>
            <w:lang w:val="es-ES_tradnl" w:eastAsia="ja-JP"/>
          </w:rPr>
          <w:t>TD172R1</w:t>
        </w:r>
      </w:hyperlink>
      <w:r w:rsidRPr="00983703">
        <w:rPr>
          <w:rFonts w:eastAsiaTheme="minorHAnsi"/>
          <w:lang w:val="es-ES_tradnl" w:eastAsia="ja-JP"/>
        </w:rPr>
        <w:t xml:space="preserve"> para la reunión plenaria de clausura del GANT que tuvo lugar el 2 de junio de 2023. Se acordó añadir un nuevo punto 30.1 del orden del día en el apartado "Otros asuntos" sobre participación a distancia en la</w:t>
      </w:r>
      <w:r w:rsidR="0072124B">
        <w:rPr>
          <w:rFonts w:eastAsiaTheme="minorHAnsi"/>
          <w:lang w:val="es-ES_tradnl" w:eastAsia="ja-JP"/>
        </w:rPr>
        <w:t> </w:t>
      </w:r>
      <w:r w:rsidRPr="00983703">
        <w:rPr>
          <w:rFonts w:eastAsiaTheme="minorHAnsi"/>
          <w:lang w:val="es-ES_tradnl" w:eastAsia="ja-JP"/>
        </w:rPr>
        <w:t>AMNT-24.</w:t>
      </w:r>
    </w:p>
    <w:p w14:paraId="66C80819" w14:textId="77777777" w:rsidR="00F41298" w:rsidRPr="00983703" w:rsidRDefault="00F41298" w:rsidP="000C4DE4">
      <w:pPr>
        <w:rPr>
          <w:rFonts w:eastAsiaTheme="minorHAnsi"/>
          <w:lang w:val="es-ES_tradnl" w:eastAsia="ja-JP"/>
        </w:rPr>
      </w:pPr>
      <w:r w:rsidRPr="00983703">
        <w:rPr>
          <w:rFonts w:eastAsiaTheme="minorHAnsi"/>
          <w:lang w:val="es-ES_tradnl" w:eastAsia="ja-JP"/>
        </w:rPr>
        <w:t xml:space="preserve">En </w:t>
      </w:r>
      <w:hyperlink r:id="rId19" w:history="1">
        <w:r w:rsidRPr="00983703">
          <w:rPr>
            <w:rFonts w:eastAsiaTheme="minorHAnsi"/>
            <w:color w:val="0000FF"/>
            <w:u w:val="single"/>
            <w:lang w:val="es-ES_tradnl" w:eastAsia="zh-CN"/>
          </w:rPr>
          <w:t>TD174</w:t>
        </w:r>
      </w:hyperlink>
      <w:r w:rsidRPr="00983703">
        <w:rPr>
          <w:rFonts w:eastAsiaTheme="minorHAnsi"/>
          <w:lang w:val="es-ES_tradnl"/>
        </w:rPr>
        <w:t xml:space="preserve"> se proporciona una visión general de todos los proyectos de orden del día e informes.</w:t>
      </w:r>
    </w:p>
    <w:p w14:paraId="22EB9168" w14:textId="7DF4EFDC" w:rsidR="00F41298" w:rsidRPr="00983703" w:rsidRDefault="00F41298" w:rsidP="000C4DE4">
      <w:pPr>
        <w:rPr>
          <w:rFonts w:asciiTheme="majorBidi" w:eastAsiaTheme="minorHAnsi" w:hAnsiTheme="majorBidi" w:cstheme="majorBidi"/>
          <w:lang w:val="es-ES_tradnl" w:eastAsia="ja-JP"/>
        </w:rPr>
      </w:pPr>
      <w:r w:rsidRPr="00983703">
        <w:rPr>
          <w:rFonts w:eastAsiaTheme="minorHAnsi"/>
          <w:lang w:val="es-ES_tradnl"/>
        </w:rPr>
        <w:t>2.3</w:t>
      </w:r>
      <w:r w:rsidRPr="00983703">
        <w:rPr>
          <w:rFonts w:eastAsiaTheme="minorHAnsi"/>
          <w:lang w:val="es-ES_tradnl"/>
        </w:rPr>
        <w:tab/>
      </w:r>
      <w:r w:rsidRPr="00983703">
        <w:rPr>
          <w:rFonts w:eastAsiaTheme="minorHAnsi"/>
          <w:lang w:val="es-ES_tradnl" w:eastAsia="ja-JP"/>
        </w:rPr>
        <w:t xml:space="preserve">En </w:t>
      </w:r>
      <w:hyperlink r:id="rId20" w:history="1">
        <w:r w:rsidRPr="00983703">
          <w:rPr>
            <w:rFonts w:eastAsiaTheme="minorHAnsi"/>
            <w:color w:val="0000FF"/>
            <w:u w:val="single"/>
            <w:lang w:val="es-ES_tradnl" w:eastAsia="ja-JP"/>
          </w:rPr>
          <w:t>TD229R2</w:t>
        </w:r>
      </w:hyperlink>
      <w:r w:rsidRPr="00983703">
        <w:rPr>
          <w:rFonts w:eastAsiaTheme="minorHAnsi"/>
          <w:lang w:val="es-ES_tradnl" w:eastAsia="ja-JP"/>
        </w:rPr>
        <w:t xml:space="preserve"> figuran todas las contribuciones presentadas y examinadas en la segunda reunión del GANT. En el </w:t>
      </w:r>
      <w:r w:rsidR="00FE165F">
        <w:rPr>
          <w:rFonts w:eastAsiaTheme="minorHAnsi"/>
          <w:lang w:val="es-ES_tradnl" w:eastAsia="ja-JP"/>
        </w:rPr>
        <w:t>D</w:t>
      </w:r>
      <w:r w:rsidRPr="00983703">
        <w:rPr>
          <w:rFonts w:eastAsiaTheme="minorHAnsi"/>
          <w:lang w:val="es-ES_tradnl" w:eastAsia="ja-JP"/>
        </w:rPr>
        <w:t xml:space="preserve">ocumento </w:t>
      </w:r>
      <w:hyperlink r:id="rId21" w:history="1">
        <w:r w:rsidRPr="00983703">
          <w:rPr>
            <w:rFonts w:eastAsiaTheme="minorHAnsi"/>
            <w:color w:val="0000FF"/>
            <w:u w:val="single"/>
            <w:lang w:val="es-ES_tradnl" w:eastAsia="zh-CN"/>
          </w:rPr>
          <w:t>TD230</w:t>
        </w:r>
      </w:hyperlink>
      <w:r w:rsidRPr="00983703">
        <w:rPr>
          <w:rFonts w:eastAsiaTheme="minorHAnsi"/>
          <w:lang w:val="es-ES_tradnl" w:eastAsia="ja-JP"/>
        </w:rPr>
        <w:t xml:space="preserve"> se enumeran los 133 DT de la reunión del GANT.</w:t>
      </w:r>
    </w:p>
    <w:p w14:paraId="423612F4" w14:textId="77777777" w:rsidR="00F41298" w:rsidRPr="00983703" w:rsidRDefault="00F41298" w:rsidP="000C4DE4">
      <w:pPr>
        <w:rPr>
          <w:rFonts w:eastAsiaTheme="minorHAnsi"/>
          <w:lang w:val="es-ES_tradnl" w:eastAsia="ja-JP"/>
        </w:rPr>
      </w:pPr>
      <w:r w:rsidRPr="00983703">
        <w:rPr>
          <w:rFonts w:eastAsiaTheme="minorHAnsi"/>
          <w:lang w:val="es-ES_tradnl"/>
        </w:rPr>
        <w:t>2.4</w:t>
      </w:r>
      <w:r w:rsidRPr="00983703">
        <w:rPr>
          <w:rFonts w:eastAsiaTheme="minorHAnsi"/>
          <w:lang w:val="es-ES_tradnl"/>
        </w:rPr>
        <w:tab/>
      </w:r>
      <w:r w:rsidRPr="00983703">
        <w:rPr>
          <w:rFonts w:eastAsiaTheme="minorHAnsi"/>
          <w:lang w:val="es-ES_tradnl" w:eastAsia="ja-JP"/>
        </w:rPr>
        <w:t xml:space="preserve">En </w:t>
      </w:r>
      <w:hyperlink r:id="rId22" w:history="1">
        <w:r w:rsidRPr="00983703">
          <w:rPr>
            <w:rFonts w:eastAsiaTheme="minorHAnsi"/>
            <w:color w:val="0000FF"/>
            <w:u w:val="single"/>
            <w:lang w:val="es-ES_tradnl" w:eastAsia="ja-JP"/>
          </w:rPr>
          <w:t>TD228R2</w:t>
        </w:r>
      </w:hyperlink>
      <w:r w:rsidRPr="00983703">
        <w:rPr>
          <w:rFonts w:eastAsiaTheme="minorHAnsi"/>
          <w:lang w:val="es-ES_tradnl"/>
        </w:rPr>
        <w:t xml:space="preserve"> se sintetizan las 26 declaraciones de coordinación recibidas por el GANT desde el 17 de </w:t>
      </w:r>
      <w:r w:rsidRPr="00983703">
        <w:rPr>
          <w:rFonts w:eastAsiaTheme="minorHAnsi"/>
          <w:lang w:val="es-ES_tradnl" w:eastAsia="ja-JP"/>
        </w:rPr>
        <w:t xml:space="preserve">diciembre </w:t>
      </w:r>
      <w:r w:rsidRPr="00983703">
        <w:rPr>
          <w:rFonts w:asciiTheme="majorBidi" w:hAnsiTheme="majorBidi" w:cstheme="majorBidi"/>
          <w:lang w:val="es-ES_tradnl" w:eastAsia="ja-JP"/>
        </w:rPr>
        <w:t>de 2022</w:t>
      </w:r>
      <w:r w:rsidRPr="00983703">
        <w:rPr>
          <w:rFonts w:eastAsiaTheme="minorHAnsi"/>
          <w:lang w:val="es-ES_tradnl"/>
        </w:rPr>
        <w:t xml:space="preserve">, así como las nueve declaraciones de coordinación enviadas hasta el 5 de </w:t>
      </w:r>
      <w:r w:rsidRPr="00983703">
        <w:rPr>
          <w:rFonts w:asciiTheme="majorBidi" w:hAnsiTheme="majorBidi" w:cstheme="majorBidi"/>
          <w:lang w:val="es-ES_tradnl" w:eastAsia="ja-JP"/>
        </w:rPr>
        <w:t>junio de 2023</w:t>
      </w:r>
      <w:r w:rsidRPr="00983703">
        <w:rPr>
          <w:rFonts w:eastAsiaTheme="minorHAnsi"/>
          <w:lang w:val="es-ES_tradnl"/>
        </w:rPr>
        <w:t xml:space="preserve">, previamente acordadas en la reunión del GANT en mayo y junio de 2023, </w:t>
      </w:r>
      <w:r w:rsidRPr="00983703">
        <w:rPr>
          <w:rFonts w:asciiTheme="majorBidi" w:hAnsiTheme="majorBidi" w:cstheme="majorBidi"/>
          <w:lang w:val="es-ES_tradnl" w:eastAsia="ja-JP"/>
        </w:rPr>
        <w:t xml:space="preserve">y las once declaraciones de </w:t>
      </w:r>
      <w:r w:rsidRPr="00983703">
        <w:rPr>
          <w:rFonts w:eastAsiaTheme="minorHAnsi"/>
          <w:lang w:val="es-ES_tradnl"/>
        </w:rPr>
        <w:t xml:space="preserve">coordinación </w:t>
      </w:r>
      <w:r w:rsidRPr="00983703">
        <w:rPr>
          <w:rFonts w:asciiTheme="majorBidi" w:hAnsiTheme="majorBidi" w:cstheme="majorBidi"/>
          <w:lang w:val="es-ES_tradnl" w:eastAsia="ja-JP"/>
        </w:rPr>
        <w:t>enviadas desde la reunión del GANT de diciembre de 2022</w:t>
      </w:r>
      <w:r w:rsidRPr="00983703">
        <w:rPr>
          <w:rFonts w:eastAsiaTheme="minorHAnsi"/>
          <w:lang w:val="es-ES_tradnl"/>
        </w:rPr>
        <w:t>.</w:t>
      </w:r>
    </w:p>
    <w:p w14:paraId="05176D30" w14:textId="47D0BC8F" w:rsidR="00F41298" w:rsidRPr="00983703" w:rsidRDefault="00B97A12" w:rsidP="00F41298">
      <w:pPr>
        <w:pStyle w:val="Heading1"/>
        <w:rPr>
          <w:lang w:val="es-ES_tradnl"/>
        </w:rPr>
      </w:pPr>
      <w:bookmarkStart w:id="14" w:name="_Toc140261634"/>
      <w:r w:rsidRPr="00983703">
        <w:rPr>
          <w:lang w:val="es-ES_tradnl"/>
        </w:rPr>
        <w:t>3</w:t>
      </w:r>
      <w:r w:rsidRPr="00983703">
        <w:rPr>
          <w:lang w:val="es-ES_tradnl"/>
        </w:rPr>
        <w:tab/>
      </w:r>
      <w:proofErr w:type="gramStart"/>
      <w:r w:rsidR="00BE59AA" w:rsidRPr="00983703">
        <w:rPr>
          <w:lang w:val="es-ES_tradnl"/>
        </w:rPr>
        <w:t>Informes</w:t>
      </w:r>
      <w:proofErr w:type="gramEnd"/>
      <w:r w:rsidR="00BE59AA" w:rsidRPr="00983703">
        <w:rPr>
          <w:lang w:val="es-ES_tradnl"/>
        </w:rPr>
        <w:t xml:space="preserve"> del Director de la TSB</w:t>
      </w:r>
      <w:bookmarkEnd w:id="14"/>
    </w:p>
    <w:p w14:paraId="73A1F3DF" w14:textId="77777777" w:rsidR="00F41298" w:rsidRPr="00983703" w:rsidRDefault="00F41298" w:rsidP="000C4DE4">
      <w:pPr>
        <w:rPr>
          <w:rFonts w:eastAsiaTheme="minorHAnsi"/>
          <w:lang w:val="es-ES_tradnl" w:eastAsia="ja-JP"/>
        </w:rPr>
      </w:pPr>
      <w:r w:rsidRPr="00983703">
        <w:rPr>
          <w:rFonts w:eastAsiaTheme="minorHAnsi"/>
          <w:lang w:val="es-ES_tradnl"/>
        </w:rPr>
        <w:t>3.1</w:t>
      </w:r>
      <w:r w:rsidRPr="00983703">
        <w:rPr>
          <w:rFonts w:eastAsiaTheme="minorHAnsi"/>
          <w:lang w:val="es-ES_tradnl"/>
        </w:rPr>
        <w:tab/>
      </w:r>
      <w:r w:rsidRPr="00983703">
        <w:rPr>
          <w:rFonts w:eastAsiaTheme="minorHAnsi"/>
          <w:lang w:val="es-ES_tradnl" w:eastAsia="ja-JP"/>
        </w:rPr>
        <w:t>El Director de la TSB presentó el informe de actividades del UIT-T (</w:t>
      </w:r>
      <w:hyperlink r:id="rId23" w:history="1">
        <w:r w:rsidRPr="00983703">
          <w:rPr>
            <w:rFonts w:asciiTheme="majorBidi" w:eastAsiaTheme="minorHAnsi" w:hAnsiTheme="majorBidi" w:cstheme="majorBidi"/>
            <w:bCs/>
            <w:color w:val="0000FF"/>
            <w:u w:val="single"/>
            <w:lang w:val="es-ES_tradnl" w:eastAsia="ja-JP"/>
          </w:rPr>
          <w:t>TD189</w:t>
        </w:r>
      </w:hyperlink>
      <w:r w:rsidRPr="00983703">
        <w:rPr>
          <w:rFonts w:eastAsiaTheme="minorHAnsi"/>
          <w:lang w:val="es-ES_tradnl" w:eastAsia="ja-JP"/>
        </w:rPr>
        <w:t xml:space="preserve">, conjunto de diapositivas del </w:t>
      </w:r>
      <w:hyperlink r:id="rId24" w:history="1">
        <w:proofErr w:type="spellStart"/>
        <w:r w:rsidRPr="00983703">
          <w:rPr>
            <w:rFonts w:asciiTheme="majorBidi" w:eastAsiaTheme="minorHAnsi" w:hAnsiTheme="majorBidi" w:cstheme="majorBidi"/>
            <w:color w:val="0000FF"/>
            <w:u w:val="single"/>
            <w:lang w:val="es-ES_tradnl" w:eastAsia="ja-JP"/>
          </w:rPr>
          <w:t>Addéndum</w:t>
        </w:r>
        <w:proofErr w:type="spellEnd"/>
        <w:r w:rsidRPr="00983703">
          <w:rPr>
            <w:rFonts w:asciiTheme="majorBidi" w:eastAsiaTheme="minorHAnsi" w:hAnsiTheme="majorBidi" w:cstheme="majorBidi"/>
            <w:color w:val="0000FF"/>
            <w:u w:val="single"/>
            <w:lang w:val="es-ES_tradnl" w:eastAsia="ja-JP"/>
          </w:rPr>
          <w:t xml:space="preserve"> 1</w:t>
        </w:r>
      </w:hyperlink>
      <w:r w:rsidRPr="00983703">
        <w:rPr>
          <w:rFonts w:eastAsiaTheme="minorHAnsi"/>
          <w:lang w:val="es-ES_tradnl" w:eastAsia="ja-JP"/>
        </w:rPr>
        <w:t>), y destacó los principales resultados alcanzados en los trabajos de normalización del UIT-T desde el 1 de diciembre de 2022 hasta el 19 de mayo de 2023. La reunión tomó nota del informe.</w:t>
      </w:r>
    </w:p>
    <w:p w14:paraId="27159D63" w14:textId="19EE24F9" w:rsidR="00F41298" w:rsidRPr="00983703" w:rsidRDefault="00F41298" w:rsidP="000C4DE4">
      <w:pPr>
        <w:rPr>
          <w:rFonts w:eastAsiaTheme="minorHAnsi"/>
          <w:lang w:val="es-ES_tradnl" w:eastAsia="ja-JP"/>
        </w:rPr>
      </w:pPr>
      <w:r w:rsidRPr="00983703">
        <w:rPr>
          <w:rFonts w:eastAsiaTheme="minorHAnsi"/>
          <w:lang w:val="es-ES_tradnl"/>
        </w:rPr>
        <w:t>3.2</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 la Oficina de la UIT para Europa, Sr. Jaroslaw PONDER, en nombre de los Directores de las Oficinas Regionales, presentó en </w:t>
      </w:r>
      <w:hyperlink r:id="rId25" w:history="1">
        <w:r w:rsidRPr="00983703">
          <w:rPr>
            <w:rFonts w:asciiTheme="majorBidi" w:eastAsiaTheme="minorHAnsi" w:hAnsiTheme="majorBidi" w:cstheme="majorBidi"/>
            <w:color w:val="0000FF"/>
            <w:u w:val="single"/>
            <w:lang w:val="es-ES_tradnl" w:eastAsia="ja-JP"/>
          </w:rPr>
          <w:t>TD190</w:t>
        </w:r>
      </w:hyperlink>
      <w:r w:rsidRPr="00983703">
        <w:rPr>
          <w:rFonts w:eastAsiaTheme="minorHAnsi"/>
          <w:lang w:val="es-ES_tradnl" w:eastAsia="ja-JP"/>
        </w:rPr>
        <w:t xml:space="preserve"> la contribución de las Oficinas Regionales de la UIT al Plan Operacional del UIT-T y a las actividades de coordinación con la TSB (diciembre de 2022 </w:t>
      </w:r>
      <w:r w:rsidR="004839EF" w:rsidRPr="004839EF">
        <w:rPr>
          <w:rFonts w:eastAsiaTheme="minorHAnsi"/>
          <w:lang w:val="es-ES_tradnl" w:eastAsia="ja-JP"/>
        </w:rPr>
        <w:t>–</w:t>
      </w:r>
      <w:r w:rsidRPr="00983703">
        <w:rPr>
          <w:rFonts w:eastAsiaTheme="minorHAnsi"/>
          <w:lang w:val="es-ES_tradnl" w:eastAsia="ja-JP"/>
        </w:rPr>
        <w:t xml:space="preserve"> abril de 2023). En el DT se resume la contribución de las Oficinas Regionales de la UIT a la aplicación del Plan Operacional cuatrienal renovable del UIT-T, a tenor de lo solicitado en la Resolución 25 (Rev. Bucarest, 2022) de la Conferencia de Plenipotenciarios de la</w:t>
      </w:r>
      <w:r w:rsidR="000C4DE4" w:rsidRPr="00983703">
        <w:rPr>
          <w:rFonts w:eastAsiaTheme="minorHAnsi"/>
          <w:lang w:val="es-ES_tradnl" w:eastAsia="ja-JP"/>
        </w:rPr>
        <w:t> </w:t>
      </w:r>
      <w:r w:rsidRPr="00983703">
        <w:rPr>
          <w:rFonts w:eastAsiaTheme="minorHAnsi"/>
          <w:lang w:val="es-ES_tradnl" w:eastAsia="ja-JP"/>
        </w:rPr>
        <w:t>UIT.</w:t>
      </w:r>
    </w:p>
    <w:p w14:paraId="03439DAF" w14:textId="77777777" w:rsidR="00F41298" w:rsidRPr="00983703" w:rsidRDefault="00F41298" w:rsidP="000C4DE4">
      <w:pPr>
        <w:rPr>
          <w:rFonts w:eastAsiaTheme="minorHAnsi"/>
          <w:lang w:val="es-ES_tradnl" w:eastAsia="ja-JP"/>
        </w:rPr>
      </w:pPr>
      <w:r w:rsidRPr="00983703">
        <w:rPr>
          <w:rFonts w:eastAsiaTheme="minorHAnsi"/>
          <w:lang w:val="es-ES_tradnl"/>
        </w:rPr>
        <w:t>3.2.1</w:t>
      </w:r>
      <w:r w:rsidRPr="00983703">
        <w:rPr>
          <w:rFonts w:eastAsiaTheme="minorHAnsi"/>
          <w:lang w:val="es-ES_tradnl"/>
        </w:rPr>
        <w:tab/>
      </w:r>
      <w:r w:rsidRPr="00983703">
        <w:rPr>
          <w:rFonts w:eastAsiaTheme="minorHAnsi"/>
          <w:lang w:val="es-ES_tradnl" w:eastAsia="ja-JP"/>
        </w:rPr>
        <w:t xml:space="preserve">La reunión agradeció la mejora de la plataforma </w:t>
      </w:r>
      <w:proofErr w:type="spellStart"/>
      <w:r w:rsidRPr="00983703">
        <w:rPr>
          <w:rFonts w:eastAsiaTheme="minorHAnsi"/>
          <w:i/>
          <w:iCs/>
          <w:lang w:val="es-ES_tradnl" w:eastAsia="ja-JP"/>
        </w:rPr>
        <w:t>MyWorkspace</w:t>
      </w:r>
      <w:proofErr w:type="spellEnd"/>
      <w:r w:rsidRPr="00983703">
        <w:rPr>
          <w:rFonts w:eastAsiaTheme="minorHAnsi"/>
          <w:lang w:val="es-ES_tradnl" w:eastAsia="ja-JP"/>
        </w:rPr>
        <w:t xml:space="preserve"> de la UIT que ha venido llevando a cabo el personal de la TSB, tomó nota del informe e invitó a las Comisiones de Estudio a examinar los documentos pertinentes.</w:t>
      </w:r>
    </w:p>
    <w:p w14:paraId="5404F753" w14:textId="1BE6F9AB" w:rsidR="00F41298" w:rsidRPr="00983703" w:rsidRDefault="00F41298" w:rsidP="000C4DE4">
      <w:pPr>
        <w:rPr>
          <w:rFonts w:eastAsiaTheme="minorHAnsi"/>
          <w:lang w:val="es-ES_tradnl" w:eastAsia="ja-JP"/>
        </w:rPr>
      </w:pPr>
      <w:r w:rsidRPr="00983703">
        <w:rPr>
          <w:rFonts w:eastAsiaTheme="minorHAnsi"/>
          <w:lang w:val="es-ES_tradnl"/>
        </w:rPr>
        <w:t>3.3</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del Departamento de Gestión de Recursos Financieros de la UIT, Sr. Alassane BA, presentó en </w:t>
      </w:r>
      <w:hyperlink r:id="rId26" w:history="1">
        <w:r w:rsidRPr="00983703">
          <w:rPr>
            <w:rFonts w:eastAsiaTheme="minorHAnsi"/>
            <w:color w:val="0000FF"/>
            <w:u w:val="single"/>
            <w:lang w:val="es-ES_tradnl" w:eastAsia="ja-JP"/>
          </w:rPr>
          <w:t>TD197</w:t>
        </w:r>
      </w:hyperlink>
      <w:r w:rsidRPr="00983703">
        <w:rPr>
          <w:rFonts w:eastAsiaTheme="minorHAnsi"/>
          <w:lang w:val="es-ES_tradnl" w:eastAsia="ja-JP"/>
        </w:rPr>
        <w:t xml:space="preserve"> los proyectos de plan operacional cuatrienal renovable de la Unión para</w:t>
      </w:r>
      <w:r w:rsidR="00394C58" w:rsidRPr="00983703">
        <w:rPr>
          <w:rFonts w:eastAsiaTheme="minorHAnsi"/>
          <w:lang w:val="es-ES_tradnl" w:eastAsia="ja-JP"/>
        </w:rPr>
        <w:t> </w:t>
      </w:r>
      <w:r w:rsidRPr="00983703">
        <w:rPr>
          <w:rFonts w:eastAsiaTheme="minorHAnsi"/>
          <w:lang w:val="es-ES_tradnl" w:eastAsia="ja-JP"/>
        </w:rPr>
        <w:t>2024-2027.</w:t>
      </w:r>
    </w:p>
    <w:p w14:paraId="5D910032" w14:textId="0FB931AC" w:rsidR="00F41298" w:rsidRPr="00983703" w:rsidRDefault="00F41298" w:rsidP="00394C58">
      <w:pPr>
        <w:rPr>
          <w:rFonts w:eastAsiaTheme="minorHAnsi"/>
          <w:highlight w:val="yellow"/>
          <w:lang w:val="es-ES_tradnl" w:eastAsia="ja-JP"/>
        </w:rPr>
      </w:pPr>
      <w:r w:rsidRPr="00983703">
        <w:rPr>
          <w:rFonts w:eastAsiaTheme="minorHAnsi"/>
          <w:lang w:val="es-ES_tradnl"/>
        </w:rPr>
        <w:t>3.3.1</w:t>
      </w:r>
      <w:r w:rsidRPr="00983703">
        <w:rPr>
          <w:rFonts w:eastAsiaTheme="minorHAnsi"/>
          <w:lang w:val="es-ES_tradnl"/>
        </w:rPr>
        <w:tab/>
      </w:r>
      <w:r w:rsidRPr="00983703">
        <w:rPr>
          <w:rFonts w:eastAsiaTheme="minorHAnsi"/>
          <w:lang w:val="es-ES_tradnl" w:eastAsia="ja-JP"/>
        </w:rPr>
        <w:t xml:space="preserve">Los delegados formularon observaciones de índole diversa, en particular la necesidad de afrontar riesgos, incluidos los operacionales, y de abordar los ODS en los planos estratégico y operacional. La Secretaría General de la UIT tendrá en cuenta esas observaciones al presentar un documento mejorado en la reunión del Consejo. El GANT tomó nota del </w:t>
      </w:r>
      <w:r w:rsidR="00FE165F">
        <w:rPr>
          <w:rFonts w:eastAsiaTheme="minorHAnsi"/>
          <w:lang w:val="es-ES_tradnl" w:eastAsia="ja-JP"/>
        </w:rPr>
        <w:t>D</w:t>
      </w:r>
      <w:r w:rsidRPr="00983703">
        <w:rPr>
          <w:rFonts w:eastAsiaTheme="minorHAnsi"/>
          <w:lang w:val="es-ES_tradnl" w:eastAsia="ja-JP"/>
        </w:rPr>
        <w:t>ocumento TD197.</w:t>
      </w:r>
    </w:p>
    <w:p w14:paraId="1EC1753A" w14:textId="312D2183" w:rsidR="00F41298" w:rsidRPr="00983703" w:rsidRDefault="00F41298" w:rsidP="000C4DE4">
      <w:pPr>
        <w:rPr>
          <w:rFonts w:asciiTheme="majorBidi" w:eastAsiaTheme="minorHAnsi" w:hAnsiTheme="majorBidi" w:cstheme="majorBidi"/>
          <w:lang w:val="es-ES_tradnl" w:eastAsia="ja-JP"/>
        </w:rPr>
      </w:pPr>
      <w:r w:rsidRPr="00983703">
        <w:rPr>
          <w:rFonts w:eastAsiaTheme="minorHAnsi"/>
          <w:lang w:val="es-ES_tradnl"/>
        </w:rPr>
        <w:t>3.4</w:t>
      </w:r>
      <w:r w:rsidRPr="00983703">
        <w:rPr>
          <w:rFonts w:eastAsiaTheme="minorHAnsi"/>
          <w:lang w:val="es-ES_tradnl"/>
        </w:rPr>
        <w:tab/>
      </w:r>
      <w:r w:rsidRPr="00983703">
        <w:rPr>
          <w:rFonts w:eastAsiaTheme="minorHAnsi"/>
          <w:lang w:val="es-ES_tradnl" w:eastAsia="ja-JP"/>
        </w:rPr>
        <w:t xml:space="preserve">La TSB presentó en </w:t>
      </w:r>
      <w:hyperlink r:id="rId27" w:history="1">
        <w:r w:rsidRPr="00983703">
          <w:rPr>
            <w:rFonts w:asciiTheme="majorBidi" w:eastAsiaTheme="minorHAnsi" w:hAnsiTheme="majorBidi" w:cstheme="majorBidi"/>
            <w:bCs/>
            <w:color w:val="0000FF"/>
            <w:u w:val="single"/>
            <w:lang w:val="es-ES_tradnl" w:eastAsia="ja-JP"/>
          </w:rPr>
          <w:t>TD191R2</w:t>
        </w:r>
      </w:hyperlink>
      <w:r w:rsidRPr="00983703">
        <w:rPr>
          <w:rFonts w:asciiTheme="majorBidi" w:eastAsiaTheme="minorHAnsi" w:hAnsiTheme="majorBidi" w:cstheme="majorBidi"/>
          <w:lang w:val="es-ES_tradnl" w:eastAsia="ja-JP"/>
        </w:rPr>
        <w:t xml:space="preserve"> el Plan de Acción de la </w:t>
      </w:r>
      <w:r w:rsidRPr="00983703">
        <w:rPr>
          <w:rFonts w:eastAsiaTheme="minorHAnsi"/>
          <w:lang w:val="es-ES_tradnl" w:eastAsia="ja-JP"/>
        </w:rPr>
        <w:t>AMNT-20 para el periodo de estudios 2022-2024 sobre Resoluciones y la Opinión de la AMNT</w:t>
      </w:r>
      <w:r w:rsidRPr="00983703">
        <w:rPr>
          <w:rFonts w:asciiTheme="majorBidi" w:eastAsiaTheme="minorHAnsi" w:hAnsiTheme="majorBidi" w:cstheme="majorBidi"/>
          <w:lang w:val="es-ES_tradnl" w:eastAsia="ja-JP"/>
        </w:rPr>
        <w:t>, actualizado desde diciembre de</w:t>
      </w:r>
      <w:r w:rsidR="00394C58" w:rsidRPr="00983703">
        <w:rPr>
          <w:rFonts w:asciiTheme="majorBidi" w:eastAsiaTheme="minorHAnsi" w:hAnsiTheme="majorBidi" w:cstheme="majorBidi"/>
          <w:lang w:val="es-ES_tradnl" w:eastAsia="ja-JP"/>
        </w:rPr>
        <w:t> </w:t>
      </w:r>
      <w:r w:rsidRPr="00983703">
        <w:rPr>
          <w:rFonts w:asciiTheme="majorBidi" w:eastAsiaTheme="minorHAnsi" w:hAnsiTheme="majorBidi" w:cstheme="majorBidi"/>
          <w:lang w:val="es-ES_tradnl" w:eastAsia="ja-JP"/>
        </w:rPr>
        <w:t>2022.</w:t>
      </w:r>
    </w:p>
    <w:p w14:paraId="7EBAFD98" w14:textId="36E4CA6E" w:rsidR="00F41298" w:rsidRPr="00983703" w:rsidRDefault="00F41298" w:rsidP="00394C58">
      <w:pPr>
        <w:rPr>
          <w:rFonts w:eastAsiaTheme="minorHAnsi"/>
          <w:lang w:val="es-ES_tradnl" w:eastAsia="ja-JP"/>
        </w:rPr>
      </w:pPr>
      <w:r w:rsidRPr="00983703">
        <w:rPr>
          <w:rFonts w:eastAsiaTheme="minorHAnsi"/>
          <w:lang w:val="es-ES_tradnl"/>
        </w:rPr>
        <w:lastRenderedPageBreak/>
        <w:t>3.4.1</w:t>
      </w:r>
      <w:r w:rsidRPr="00983703">
        <w:rPr>
          <w:rFonts w:eastAsiaTheme="minorHAnsi"/>
          <w:lang w:val="es-ES_tradnl"/>
        </w:rPr>
        <w:tab/>
      </w:r>
      <w:r w:rsidRPr="00983703">
        <w:rPr>
          <w:rFonts w:eastAsiaTheme="minorHAnsi"/>
          <w:lang w:val="es-ES_tradnl" w:eastAsia="ja-JP"/>
        </w:rPr>
        <w:t xml:space="preserve">Con objeto de que los delegados comprendan la relación del UIT-T con el COP de la UPU en el marco de la Resolución 11 de la AMNT, en </w:t>
      </w:r>
      <w:hyperlink r:id="rId28">
        <w:r w:rsidRPr="00983703">
          <w:rPr>
            <w:rFonts w:eastAsiaTheme="minorHAnsi"/>
            <w:color w:val="0000FF"/>
            <w:u w:val="single"/>
            <w:lang w:val="es-ES_tradnl" w:eastAsia="ja-JP"/>
          </w:rPr>
          <w:t>TD281</w:t>
        </w:r>
      </w:hyperlink>
      <w:r w:rsidRPr="00983703">
        <w:rPr>
          <w:rFonts w:eastAsiaTheme="minorHAnsi"/>
          <w:lang w:val="es-ES_tradnl" w:eastAsia="ja-JP"/>
        </w:rPr>
        <w:t xml:space="preserve"> se proporciona información actualizada sobre la colaboración entre la TSB y la secretaría de la UPU, a petición del equipo directivo del</w:t>
      </w:r>
      <w:r w:rsidR="00394C58" w:rsidRPr="00983703">
        <w:rPr>
          <w:rFonts w:eastAsiaTheme="minorHAnsi"/>
          <w:lang w:val="es-ES_tradnl" w:eastAsia="ja-JP"/>
        </w:rPr>
        <w:t> </w:t>
      </w:r>
      <w:r w:rsidRPr="00983703">
        <w:rPr>
          <w:rFonts w:eastAsiaTheme="minorHAnsi"/>
          <w:lang w:val="es-ES_tradnl" w:eastAsia="ja-JP"/>
        </w:rPr>
        <w:t>GANT. El asunto se debatió pormenorizadamente en el GR-AMNT.</w:t>
      </w:r>
    </w:p>
    <w:p w14:paraId="669FB404" w14:textId="77777777" w:rsidR="00F41298" w:rsidRPr="00983703" w:rsidRDefault="00F41298" w:rsidP="000C4DE4">
      <w:pPr>
        <w:rPr>
          <w:rFonts w:eastAsiaTheme="minorHAnsi"/>
          <w:highlight w:val="yellow"/>
          <w:lang w:val="es-ES_tradnl" w:eastAsia="ja-JP"/>
        </w:rPr>
      </w:pPr>
      <w:r w:rsidRPr="00983703">
        <w:rPr>
          <w:rFonts w:eastAsiaTheme="minorHAnsi"/>
          <w:lang w:val="es-ES_tradnl"/>
        </w:rPr>
        <w:t>3.4.2</w:t>
      </w:r>
      <w:r w:rsidRPr="00983703">
        <w:rPr>
          <w:rFonts w:eastAsiaTheme="minorHAnsi"/>
          <w:lang w:val="es-ES_tradnl"/>
        </w:rPr>
        <w:tab/>
      </w:r>
      <w:r w:rsidRPr="00983703">
        <w:rPr>
          <w:rFonts w:asciiTheme="majorBidi" w:eastAsiaTheme="minorHAnsi" w:hAnsiTheme="majorBidi" w:cstheme="majorBidi"/>
          <w:lang w:val="es-ES_tradnl" w:eastAsia="ja-JP"/>
        </w:rPr>
        <w:t xml:space="preserve">Se invitó al GR-WTSA a examinar el Plan de Acción </w:t>
      </w:r>
      <w:r w:rsidRPr="00983703">
        <w:rPr>
          <w:rFonts w:eastAsiaTheme="minorHAnsi"/>
          <w:lang w:val="es-ES_tradnl" w:eastAsia="ja-JP"/>
        </w:rPr>
        <w:t xml:space="preserve">que figura en </w:t>
      </w:r>
      <w:hyperlink r:id="rId29" w:history="1">
        <w:r w:rsidRPr="00983703">
          <w:rPr>
            <w:rFonts w:asciiTheme="majorBidi" w:eastAsiaTheme="minorHAnsi" w:hAnsiTheme="majorBidi" w:cstheme="majorBidi"/>
            <w:bCs/>
            <w:color w:val="0000FF"/>
            <w:u w:val="single"/>
            <w:lang w:val="es-ES_tradnl" w:eastAsia="ja-JP"/>
          </w:rPr>
          <w:t>TD191R2</w:t>
        </w:r>
      </w:hyperlink>
      <w:r w:rsidRPr="00983703">
        <w:rPr>
          <w:rFonts w:asciiTheme="majorBidi" w:eastAsiaTheme="minorHAnsi" w:hAnsiTheme="majorBidi" w:cstheme="majorBidi"/>
          <w:bCs/>
          <w:lang w:val="es-ES_tradnl" w:eastAsia="ja-JP"/>
        </w:rPr>
        <w:t xml:space="preserve"> al debatir </w:t>
      </w:r>
      <w:r w:rsidRPr="00983703">
        <w:rPr>
          <w:rFonts w:asciiTheme="majorBidi" w:eastAsiaTheme="minorHAnsi" w:hAnsiTheme="majorBidi" w:cstheme="majorBidi"/>
          <w:lang w:val="es-ES_tradnl" w:eastAsia="ja-JP"/>
        </w:rPr>
        <w:t>los preparativos de la AMNT-24.</w:t>
      </w:r>
    </w:p>
    <w:p w14:paraId="17C9EAC7" w14:textId="26ACE2D0" w:rsidR="00F41298" w:rsidRPr="00983703" w:rsidRDefault="00F41298" w:rsidP="000C4DE4">
      <w:pPr>
        <w:rPr>
          <w:rFonts w:asciiTheme="majorBidi" w:eastAsiaTheme="minorHAnsi" w:hAnsiTheme="majorBidi" w:cstheme="majorBidi"/>
          <w:lang w:val="es-ES_tradnl" w:eastAsia="ja-JP"/>
        </w:rPr>
      </w:pPr>
      <w:r w:rsidRPr="00983703">
        <w:rPr>
          <w:rFonts w:eastAsiaTheme="minorHAnsi"/>
          <w:lang w:val="es-ES_tradnl"/>
        </w:rPr>
        <w:t>3.4.3</w:t>
      </w:r>
      <w:r w:rsidRPr="00983703">
        <w:rPr>
          <w:rFonts w:eastAsiaTheme="minorHAnsi"/>
          <w:lang w:val="es-ES_tradnl"/>
        </w:rPr>
        <w:tab/>
      </w:r>
      <w:r w:rsidRPr="00983703">
        <w:rPr>
          <w:rFonts w:asciiTheme="majorBidi" w:eastAsiaTheme="minorHAnsi" w:hAnsiTheme="majorBidi" w:cstheme="majorBidi"/>
          <w:lang w:val="es-ES_tradnl" w:eastAsia="ja-JP"/>
        </w:rPr>
        <w:t>La reunión valoró e</w:t>
      </w:r>
      <w:r w:rsidRPr="00983703">
        <w:rPr>
          <w:rFonts w:eastAsiaTheme="minorHAnsi"/>
          <w:lang w:val="es-ES_tradnl" w:eastAsia="ja-JP"/>
        </w:rPr>
        <w:t>l</w:t>
      </w:r>
      <w:r w:rsidRPr="00983703">
        <w:rPr>
          <w:rFonts w:asciiTheme="majorBidi" w:eastAsiaTheme="minorHAnsi" w:hAnsiTheme="majorBidi" w:cstheme="majorBidi"/>
          <w:lang w:val="es-ES_tradnl" w:eastAsia="ja-JP"/>
        </w:rPr>
        <w:t xml:space="preserve"> documento, que volvió a actualizarse</w:t>
      </w:r>
      <w:r w:rsidRPr="00983703">
        <w:rPr>
          <w:rFonts w:eastAsiaTheme="minorHAnsi"/>
          <w:lang w:val="es-ES_tradnl" w:eastAsia="ja-JP"/>
        </w:rPr>
        <w:t xml:space="preserve"> en</w:t>
      </w:r>
      <w:r w:rsidRPr="00983703">
        <w:rPr>
          <w:rFonts w:asciiTheme="majorBidi" w:eastAsiaTheme="minorHAnsi" w:hAnsiTheme="majorBidi" w:cstheme="majorBidi"/>
          <w:lang w:val="es-ES_tradnl" w:eastAsia="ja-JP"/>
        </w:rPr>
        <w:t xml:space="preserve"> </w:t>
      </w:r>
      <w:hyperlink r:id="rId30">
        <w:r w:rsidRPr="00983703">
          <w:rPr>
            <w:rFonts w:asciiTheme="majorBidi" w:eastAsiaTheme="minorHAnsi" w:hAnsiTheme="majorBidi" w:cstheme="majorBidi"/>
            <w:color w:val="0000FF"/>
            <w:u w:val="single"/>
            <w:lang w:val="es-ES_tradnl" w:eastAsia="ja-JP"/>
          </w:rPr>
          <w:t>TD191R3</w:t>
        </w:r>
      </w:hyperlink>
      <w:r w:rsidRPr="00983703">
        <w:rPr>
          <w:rFonts w:asciiTheme="majorBidi" w:eastAsiaTheme="minorHAnsi" w:hAnsiTheme="majorBidi" w:cstheme="majorBidi"/>
          <w:lang w:val="es-ES_tradnl" w:eastAsia="ja-JP"/>
        </w:rPr>
        <w:t xml:space="preserve"> tras la reunión, y lo compartió con las CE del UIT-T y las organizaciones regionales de telecomunicaciones; véase el </w:t>
      </w:r>
      <w:r w:rsidR="00FE165F">
        <w:rPr>
          <w:rFonts w:asciiTheme="majorBidi" w:eastAsiaTheme="minorHAnsi" w:hAnsiTheme="majorBidi" w:cstheme="majorBidi"/>
          <w:lang w:val="es-ES_tradnl" w:eastAsia="ja-JP"/>
        </w:rPr>
        <w:t>D</w:t>
      </w:r>
      <w:r w:rsidRPr="00983703">
        <w:rPr>
          <w:rFonts w:asciiTheme="majorBidi" w:eastAsiaTheme="minorHAnsi" w:hAnsiTheme="majorBidi" w:cstheme="majorBidi"/>
          <w:lang w:val="es-ES_tradnl" w:eastAsia="ja-JP"/>
        </w:rPr>
        <w:t xml:space="preserve">ocumento </w:t>
      </w:r>
      <w:hyperlink r:id="rId31" w:history="1">
        <w:r w:rsidRPr="00983703">
          <w:rPr>
            <w:rFonts w:asciiTheme="majorBidi" w:eastAsiaTheme="minorHAnsi" w:hAnsiTheme="majorBidi" w:cstheme="majorBidi"/>
            <w:color w:val="0000FF"/>
            <w:u w:val="single"/>
            <w:lang w:val="es-ES_tradnl" w:eastAsia="ja-JP"/>
          </w:rPr>
          <w:t>TSAG-LS15</w:t>
        </w:r>
      </w:hyperlink>
      <w:r w:rsidRPr="00983703">
        <w:rPr>
          <w:rFonts w:asciiTheme="majorBidi" w:eastAsiaTheme="minorHAnsi" w:hAnsiTheme="majorBidi" w:cstheme="majorBidi"/>
          <w:lang w:val="es-ES_tradnl" w:eastAsia="ja-JP"/>
        </w:rPr>
        <w:t>.</w:t>
      </w:r>
    </w:p>
    <w:p w14:paraId="219031FB" w14:textId="202C1A3C" w:rsidR="00BE59AA" w:rsidRPr="00983703" w:rsidRDefault="00B97A12" w:rsidP="00B97A12">
      <w:pPr>
        <w:pStyle w:val="Heading1"/>
        <w:rPr>
          <w:lang w:val="es-ES_tradnl"/>
        </w:rPr>
      </w:pPr>
      <w:bookmarkStart w:id="15" w:name="_Toc140261635"/>
      <w:r w:rsidRPr="00983703">
        <w:rPr>
          <w:lang w:val="es-ES_tradnl"/>
        </w:rPr>
        <w:t>4</w:t>
      </w:r>
      <w:r w:rsidRPr="00983703">
        <w:rPr>
          <w:lang w:val="es-ES_tradnl"/>
        </w:rPr>
        <w:tab/>
      </w:r>
      <w:proofErr w:type="gramStart"/>
      <w:r w:rsidR="00BE59AA" w:rsidRPr="00983703">
        <w:rPr>
          <w:lang w:val="es-ES_tradnl"/>
        </w:rPr>
        <w:t>Transformación</w:t>
      </w:r>
      <w:proofErr w:type="gramEnd"/>
      <w:r w:rsidR="00BE59AA" w:rsidRPr="00983703">
        <w:rPr>
          <w:lang w:val="es-ES_tradnl"/>
        </w:rPr>
        <w:t xml:space="preserve"> digital</w:t>
      </w:r>
      <w:bookmarkEnd w:id="15"/>
    </w:p>
    <w:p w14:paraId="33DA24DB" w14:textId="1B05EB9D" w:rsidR="00BE59AA" w:rsidRPr="00983703" w:rsidRDefault="00BE59AA" w:rsidP="00F41298">
      <w:pPr>
        <w:pStyle w:val="Heading2"/>
        <w:rPr>
          <w:lang w:val="es-ES_tradnl"/>
        </w:rPr>
      </w:pPr>
      <w:bookmarkStart w:id="16" w:name="_Toc140261636"/>
      <w:r w:rsidRPr="00983703">
        <w:rPr>
          <w:lang w:val="es-ES_tradnl"/>
        </w:rPr>
        <w:t>4.1</w:t>
      </w:r>
      <w:r w:rsidRPr="00983703">
        <w:rPr>
          <w:lang w:val="es-ES_tradnl"/>
        </w:rPr>
        <w:tab/>
        <w:t>Propuesta de nuevo Grupo Temático sobre Transformación Digital (GT-DT)</w:t>
      </w:r>
      <w:bookmarkEnd w:id="16"/>
    </w:p>
    <w:p w14:paraId="5F24B15C" w14:textId="77777777" w:rsidR="00F41298" w:rsidRPr="00983703" w:rsidRDefault="00F41298" w:rsidP="000C4DE4">
      <w:pPr>
        <w:rPr>
          <w:rFonts w:eastAsiaTheme="minorHAnsi"/>
          <w:lang w:val="es-ES_tradnl" w:eastAsia="ja-JP"/>
        </w:rPr>
      </w:pPr>
      <w:r w:rsidRPr="00983703">
        <w:rPr>
          <w:rFonts w:eastAsiaTheme="minorHAnsi"/>
          <w:lang w:val="es-ES_tradnl"/>
        </w:rPr>
        <w:t>4.1.1</w:t>
      </w:r>
      <w:r w:rsidRPr="00983703">
        <w:rPr>
          <w:rFonts w:eastAsiaTheme="minorHAnsi"/>
          <w:lang w:val="es-ES_tradnl"/>
        </w:rPr>
        <w:tab/>
      </w:r>
      <w:r w:rsidRPr="00983703">
        <w:rPr>
          <w:rFonts w:asciiTheme="majorBidi" w:eastAsiaTheme="minorHAnsi" w:hAnsiTheme="majorBidi" w:cstheme="majorBidi"/>
          <w:lang w:val="es-ES_tradnl" w:eastAsia="ja-JP"/>
        </w:rPr>
        <w:t xml:space="preserve">El GANT </w:t>
      </w:r>
      <w:r w:rsidRPr="00983703">
        <w:rPr>
          <w:rFonts w:eastAsiaTheme="minorHAnsi"/>
          <w:lang w:val="es-ES_tradnl" w:eastAsia="ja-JP"/>
        </w:rPr>
        <w:t xml:space="preserve">recibió en </w:t>
      </w:r>
      <w:hyperlink r:id="rId32" w:history="1">
        <w:r w:rsidRPr="00983703">
          <w:rPr>
            <w:rFonts w:eastAsiaTheme="minorHAnsi"/>
            <w:color w:val="0000FF"/>
            <w:u w:val="single"/>
            <w:lang w:val="es-ES_tradnl" w:eastAsia="ja-JP"/>
          </w:rPr>
          <w:t>C49</w:t>
        </w:r>
      </w:hyperlink>
      <w:r w:rsidRPr="00983703">
        <w:rPr>
          <w:rFonts w:eastAsiaTheme="minorHAnsi"/>
          <w:lang w:val="es-ES_tradnl" w:eastAsia="ja-JP"/>
        </w:rPr>
        <w:t xml:space="preserve"> dos propuestas de Nigeria, Sudáfrica, la Universidad </w:t>
      </w:r>
      <w:proofErr w:type="spellStart"/>
      <w:r w:rsidRPr="00983703">
        <w:rPr>
          <w:rFonts w:eastAsiaTheme="minorHAnsi"/>
          <w:lang w:val="es-ES_tradnl" w:eastAsia="ja-JP"/>
        </w:rPr>
        <w:t>Tarbiat</w:t>
      </w:r>
      <w:proofErr w:type="spellEnd"/>
      <w:r w:rsidRPr="00983703">
        <w:rPr>
          <w:rFonts w:eastAsiaTheme="minorHAnsi"/>
          <w:lang w:val="es-ES_tradnl" w:eastAsia="ja-JP"/>
        </w:rPr>
        <w:t xml:space="preserve"> </w:t>
      </w:r>
      <w:proofErr w:type="spellStart"/>
      <w:r w:rsidRPr="00983703">
        <w:rPr>
          <w:rFonts w:eastAsiaTheme="minorHAnsi"/>
          <w:lang w:val="es-ES_tradnl" w:eastAsia="ja-JP"/>
        </w:rPr>
        <w:t>Modares</w:t>
      </w:r>
      <w:proofErr w:type="spellEnd"/>
      <w:r w:rsidRPr="00983703">
        <w:rPr>
          <w:rFonts w:eastAsiaTheme="minorHAnsi"/>
          <w:lang w:val="es-ES_tradnl" w:eastAsia="ja-JP"/>
        </w:rPr>
        <w:t xml:space="preserve"> (Irán, República Islámica del) y Vietnam, y en </w:t>
      </w:r>
      <w:hyperlink r:id="rId33" w:history="1">
        <w:r w:rsidRPr="00983703">
          <w:rPr>
            <w:rFonts w:eastAsiaTheme="minorHAnsi"/>
            <w:color w:val="0000FF"/>
            <w:u w:val="single"/>
            <w:lang w:val="es-ES_tradnl" w:eastAsia="ja-JP"/>
          </w:rPr>
          <w:t>C51R1</w:t>
        </w:r>
      </w:hyperlink>
      <w:r w:rsidRPr="00983703">
        <w:rPr>
          <w:rFonts w:eastAsiaTheme="minorHAnsi"/>
          <w:color w:val="0000FF"/>
          <w:u w:val="single"/>
          <w:lang w:val="es-ES_tradnl" w:eastAsia="ja-JP"/>
        </w:rPr>
        <w:t xml:space="preserve">, </w:t>
      </w:r>
      <w:r w:rsidRPr="00983703">
        <w:rPr>
          <w:rFonts w:eastAsiaTheme="minorHAnsi"/>
          <w:lang w:val="es-ES_tradnl" w:eastAsia="ja-JP"/>
        </w:rPr>
        <w:t xml:space="preserve">de Bahréin, Egipto, Huawei Technologies </w:t>
      </w:r>
      <w:proofErr w:type="spellStart"/>
      <w:r w:rsidRPr="00983703">
        <w:rPr>
          <w:rFonts w:eastAsiaTheme="minorHAnsi"/>
          <w:lang w:val="es-ES_tradnl" w:eastAsia="ja-JP"/>
        </w:rPr>
        <w:t>Switzerland</w:t>
      </w:r>
      <w:proofErr w:type="spellEnd"/>
      <w:r w:rsidRPr="00983703">
        <w:rPr>
          <w:rFonts w:eastAsiaTheme="minorHAnsi"/>
          <w:lang w:val="es-ES_tradnl" w:eastAsia="ja-JP"/>
        </w:rPr>
        <w:t xml:space="preserve"> AG, Kuwait y Sudán, sobre el establecimiento de </w:t>
      </w:r>
      <w:r w:rsidRPr="00983703">
        <w:rPr>
          <w:rFonts w:asciiTheme="majorBidi" w:eastAsiaTheme="minorHAnsi" w:hAnsiTheme="majorBidi" w:cstheme="majorBidi"/>
          <w:lang w:val="es-ES_tradnl" w:eastAsia="ja-JP"/>
        </w:rPr>
        <w:t xml:space="preserve">un nuevo Grupo Temático sobre Transformación Digital, incluido su correspondiente mandato, y en </w:t>
      </w:r>
      <w:hyperlink r:id="rId34" w:history="1">
        <w:r w:rsidRPr="00983703">
          <w:rPr>
            <w:rFonts w:eastAsiaTheme="minorHAnsi"/>
            <w:color w:val="0000FF"/>
            <w:u w:val="single"/>
            <w:lang w:val="es-ES_tradnl" w:eastAsia="ja-JP"/>
          </w:rPr>
          <w:t>TD266</w:t>
        </w:r>
      </w:hyperlink>
      <w:r w:rsidRPr="00983703">
        <w:rPr>
          <w:rFonts w:eastAsiaTheme="minorHAnsi"/>
          <w:lang w:val="es-ES_tradnl" w:eastAsia="ja-JP"/>
        </w:rPr>
        <w:t xml:space="preserve"> observaciones sobre ambas propuestas del </w:t>
      </w:r>
      <w:r w:rsidRPr="00983703">
        <w:rPr>
          <w:rFonts w:asciiTheme="majorBidi" w:eastAsiaTheme="minorHAnsi" w:hAnsiTheme="majorBidi" w:cstheme="majorBidi"/>
          <w:lang w:val="es-ES_tradnl" w:eastAsia="ja-JP"/>
        </w:rPr>
        <w:t>Grupo de Coordinación del Programa de Normalización (GCPN) de la SMB de la CEI, el TMB de la ISO y el GANT del UIT</w:t>
      </w:r>
      <w:r w:rsidRPr="00983703">
        <w:rPr>
          <w:rFonts w:eastAsiaTheme="minorHAnsi"/>
          <w:lang w:val="es-ES_tradnl" w:eastAsia="ja-JP"/>
        </w:rPr>
        <w:t>.</w:t>
      </w:r>
    </w:p>
    <w:p w14:paraId="1DB4ECF7" w14:textId="623CDA6F" w:rsidR="00F41298" w:rsidRPr="00983703" w:rsidRDefault="00F41298" w:rsidP="000C4DE4">
      <w:pPr>
        <w:rPr>
          <w:rFonts w:eastAsiaTheme="minorHAnsi"/>
          <w:lang w:val="es-ES_tradnl" w:eastAsia="ja-JP"/>
        </w:rPr>
      </w:pPr>
      <w:r w:rsidRPr="00983703">
        <w:rPr>
          <w:rFonts w:eastAsiaTheme="minorHAnsi"/>
          <w:lang w:val="es-ES_tradnl"/>
        </w:rPr>
        <w:t>4.1.2</w:t>
      </w:r>
      <w:r w:rsidRPr="00983703">
        <w:rPr>
          <w:rFonts w:eastAsiaTheme="minorHAnsi"/>
          <w:lang w:val="es-ES_tradnl"/>
        </w:rPr>
        <w:tab/>
      </w:r>
      <w:r w:rsidRPr="00983703">
        <w:rPr>
          <w:rFonts w:eastAsiaTheme="minorHAnsi"/>
          <w:lang w:val="es-ES_tradnl" w:eastAsia="ja-JP"/>
        </w:rPr>
        <w:t xml:space="preserve">Varios Estados Miembros (India, Kenia, Federación de Rusia y Túnez) respaldaron en el </w:t>
      </w:r>
      <w:r w:rsidR="00FE165F">
        <w:rPr>
          <w:rFonts w:eastAsiaTheme="minorHAnsi"/>
          <w:lang w:val="es-ES_tradnl" w:eastAsia="ja-JP"/>
        </w:rPr>
        <w:t>D</w:t>
      </w:r>
      <w:r w:rsidRPr="00983703">
        <w:rPr>
          <w:rFonts w:eastAsiaTheme="minorHAnsi"/>
          <w:lang w:val="es-ES_tradnl" w:eastAsia="ja-JP"/>
        </w:rPr>
        <w:t>ocumento C51 el establecimiento de dicho Grupo Temático. Canadá manifestó su oposición al establecimiento del Grupo.</w:t>
      </w:r>
    </w:p>
    <w:p w14:paraId="40F391B4" w14:textId="4341484A" w:rsidR="00F41298" w:rsidRPr="00983703" w:rsidRDefault="00F41298" w:rsidP="000C4DE4">
      <w:pPr>
        <w:rPr>
          <w:rFonts w:eastAsiaTheme="minorHAnsi"/>
          <w:lang w:val="es-ES_tradnl" w:eastAsia="ja-JP"/>
        </w:rPr>
      </w:pPr>
      <w:r w:rsidRPr="00983703">
        <w:rPr>
          <w:rFonts w:eastAsiaTheme="minorHAnsi"/>
          <w:lang w:val="es-ES_tradnl"/>
        </w:rPr>
        <w:t>4.1.3</w:t>
      </w:r>
      <w:r w:rsidRPr="00983703">
        <w:rPr>
          <w:rFonts w:eastAsiaTheme="minorHAnsi"/>
          <w:lang w:val="es-ES_tradnl"/>
        </w:rPr>
        <w:tab/>
      </w:r>
      <w:r w:rsidRPr="00983703">
        <w:rPr>
          <w:rFonts w:eastAsiaTheme="minorHAnsi"/>
          <w:lang w:val="es-ES_tradnl" w:eastAsia="ja-JP"/>
        </w:rPr>
        <w:t xml:space="preserve">La reunión convino en establecer un grupo </w:t>
      </w:r>
      <w:r w:rsidRPr="006D2F4D">
        <w:rPr>
          <w:rFonts w:eastAsiaTheme="minorHAnsi"/>
          <w:lang w:val="es-ES_tradnl" w:eastAsia="ja-JP"/>
        </w:rPr>
        <w:t>ad hoc</w:t>
      </w:r>
      <w:r w:rsidRPr="00983703">
        <w:rPr>
          <w:rFonts w:eastAsiaTheme="minorHAnsi"/>
          <w:lang w:val="es-ES_tradnl" w:eastAsia="ja-JP"/>
        </w:rPr>
        <w:t xml:space="preserve"> (GAD) sobre C49, C51 y TD266 bajo la dirección del Sr. Ahmad SHARAFAT (Irán, República Islámica de), con la asistencia del Sr.</w:t>
      </w:r>
      <w:r w:rsidR="0048211B" w:rsidRPr="00983703">
        <w:rPr>
          <w:rFonts w:eastAsiaTheme="minorHAnsi"/>
          <w:lang w:val="es-ES_tradnl" w:eastAsia="ja-JP"/>
        </w:rPr>
        <w:t> </w:t>
      </w:r>
      <w:r w:rsidRPr="00983703">
        <w:rPr>
          <w:rFonts w:eastAsiaTheme="minorHAnsi"/>
          <w:lang w:val="es-ES_tradnl" w:eastAsia="ja-JP"/>
        </w:rPr>
        <w:t>Ahmed SAID (Egipto), a fin de debatir los tres documentos y presentar una propuesta y un informe en la sesión plenaria de clausura.</w:t>
      </w:r>
    </w:p>
    <w:p w14:paraId="5B29754A" w14:textId="0E69F986" w:rsidR="00F41298" w:rsidRPr="00983703" w:rsidRDefault="00F41298" w:rsidP="000C4DE4">
      <w:pPr>
        <w:rPr>
          <w:rFonts w:asciiTheme="majorBidi" w:eastAsiaTheme="minorHAnsi" w:hAnsiTheme="majorBidi" w:cstheme="majorBidi"/>
          <w:lang w:val="es-ES_tradnl" w:eastAsia="ja-JP"/>
        </w:rPr>
      </w:pPr>
      <w:r w:rsidRPr="00983703">
        <w:rPr>
          <w:rFonts w:eastAsiaTheme="minorHAnsi"/>
          <w:lang w:val="es-ES_tradnl"/>
        </w:rPr>
        <w:t>4.1.4</w:t>
      </w:r>
      <w:r w:rsidRPr="00983703">
        <w:rPr>
          <w:rFonts w:eastAsiaTheme="minorHAnsi"/>
          <w:lang w:val="es-ES_tradnl"/>
        </w:rPr>
        <w:tab/>
      </w:r>
      <w:r w:rsidRPr="00983703">
        <w:rPr>
          <w:rFonts w:eastAsiaTheme="minorHAnsi"/>
          <w:lang w:val="es-ES_tradnl" w:eastAsia="ja-JP"/>
        </w:rPr>
        <w:t xml:space="preserve">El Sr. Ahmed SAID (Egipto) convocó el GAD sobre C49, C51 y TD266, y presentó su informe en el </w:t>
      </w:r>
      <w:r w:rsidR="00FE165F">
        <w:rPr>
          <w:rFonts w:eastAsiaTheme="minorHAnsi"/>
          <w:lang w:val="es-ES_tradnl" w:eastAsia="ja-JP"/>
        </w:rPr>
        <w:t>D</w:t>
      </w:r>
      <w:r w:rsidRPr="00983703">
        <w:rPr>
          <w:rFonts w:eastAsiaTheme="minorHAnsi"/>
          <w:lang w:val="es-ES_tradnl" w:eastAsia="ja-JP"/>
        </w:rPr>
        <w:t xml:space="preserve">ocumento </w:t>
      </w:r>
      <w:hyperlink r:id="rId35" w:history="1">
        <w:r w:rsidRPr="00983703">
          <w:rPr>
            <w:rFonts w:eastAsiaTheme="minorHAnsi"/>
            <w:color w:val="0000FF"/>
            <w:u w:val="single"/>
            <w:lang w:val="es-ES_tradnl" w:eastAsia="ja-JP"/>
          </w:rPr>
          <w:t>TD284</w:t>
        </w:r>
      </w:hyperlink>
      <w:r w:rsidRPr="00983703">
        <w:rPr>
          <w:rFonts w:eastAsiaTheme="minorHAnsi"/>
          <w:lang w:val="es-ES_tradnl" w:eastAsia="ja-JP"/>
        </w:rPr>
        <w:t xml:space="preserve">. La principal conclusión del GAD fue considerar </w:t>
      </w:r>
      <w:r w:rsidRPr="00983703">
        <w:rPr>
          <w:rFonts w:asciiTheme="majorBidi" w:eastAsiaTheme="minorHAnsi" w:hAnsiTheme="majorBidi" w:cstheme="majorBidi"/>
          <w:lang w:val="es-ES_tradnl" w:eastAsia="ja-JP"/>
        </w:rPr>
        <w:t>prematuro el establecimiento de un grupo temático de esas características, si bien hubo consenso para establecer un grupo de relator del GANT sobre transformación digital sostenible (GR-TD).</w:t>
      </w:r>
    </w:p>
    <w:p w14:paraId="60857BFC" w14:textId="77777777" w:rsidR="00F41298" w:rsidRPr="00983703" w:rsidRDefault="00F41298" w:rsidP="000C4DE4">
      <w:pPr>
        <w:rPr>
          <w:rFonts w:eastAsiaTheme="minorHAnsi"/>
          <w:lang w:val="es-ES_tradnl" w:eastAsia="ja-JP"/>
        </w:rPr>
      </w:pPr>
      <w:r w:rsidRPr="00983703">
        <w:rPr>
          <w:rFonts w:eastAsiaTheme="minorHAnsi"/>
          <w:lang w:val="es-ES_tradnl"/>
        </w:rPr>
        <w:t>4.1.5</w:t>
      </w:r>
      <w:r w:rsidRPr="00983703">
        <w:rPr>
          <w:rFonts w:eastAsiaTheme="minorHAnsi"/>
          <w:lang w:val="es-ES_tradnl"/>
        </w:rPr>
        <w:tab/>
      </w:r>
      <w:r w:rsidRPr="00983703">
        <w:rPr>
          <w:rFonts w:eastAsiaTheme="minorHAnsi"/>
          <w:lang w:val="es-ES_tradnl" w:eastAsia="ja-JP"/>
        </w:rPr>
        <w:t xml:space="preserve">La reunión aprobó el informe que figura en </w:t>
      </w:r>
      <w:hyperlink r:id="rId36" w:history="1">
        <w:r w:rsidRPr="00983703">
          <w:rPr>
            <w:rFonts w:eastAsiaTheme="minorHAnsi"/>
            <w:color w:val="0000FF"/>
            <w:u w:val="single"/>
            <w:lang w:val="es-ES_tradnl" w:eastAsia="ja-JP"/>
          </w:rPr>
          <w:t>TD284</w:t>
        </w:r>
      </w:hyperlink>
      <w:r w:rsidRPr="00983703">
        <w:rPr>
          <w:rFonts w:eastAsiaTheme="minorHAnsi"/>
          <w:lang w:val="es-ES_tradnl" w:eastAsia="ja-JP"/>
        </w:rPr>
        <w:t>.</w:t>
      </w:r>
    </w:p>
    <w:p w14:paraId="7BF26628" w14:textId="30978DE6" w:rsidR="00F41298" w:rsidRPr="00983703" w:rsidRDefault="00F41298" w:rsidP="000C4DE4">
      <w:pPr>
        <w:rPr>
          <w:rFonts w:eastAsiaTheme="minorHAnsi"/>
          <w:lang w:val="es-ES_tradnl" w:eastAsia="ja-JP"/>
        </w:rPr>
      </w:pPr>
      <w:r w:rsidRPr="00983703">
        <w:rPr>
          <w:rFonts w:eastAsiaTheme="minorHAnsi"/>
          <w:lang w:val="es-ES_tradnl"/>
        </w:rPr>
        <w:t>4.2</w:t>
      </w:r>
      <w:r w:rsidRPr="00983703">
        <w:rPr>
          <w:rFonts w:eastAsiaTheme="minorHAnsi"/>
          <w:lang w:val="es-ES_tradnl"/>
        </w:rPr>
        <w:tab/>
      </w:r>
      <w:r w:rsidRPr="00983703">
        <w:rPr>
          <w:rFonts w:eastAsiaTheme="minorHAnsi"/>
          <w:lang w:val="es-ES_tradnl" w:eastAsia="ja-JP"/>
        </w:rPr>
        <w:t xml:space="preserve">La TSB presentó el </w:t>
      </w:r>
      <w:r w:rsidR="00FE165F">
        <w:rPr>
          <w:rFonts w:eastAsiaTheme="minorHAnsi"/>
          <w:lang w:val="es-ES_tradnl" w:eastAsia="ja-JP"/>
        </w:rPr>
        <w:t>D</w:t>
      </w:r>
      <w:r w:rsidRPr="00983703">
        <w:rPr>
          <w:rFonts w:eastAsiaTheme="minorHAnsi"/>
          <w:lang w:val="es-ES_tradnl" w:eastAsia="ja-JP"/>
        </w:rPr>
        <w:t xml:space="preserve">ocumento </w:t>
      </w:r>
      <w:hyperlink r:id="rId37" w:history="1">
        <w:r w:rsidRPr="00983703">
          <w:rPr>
            <w:rFonts w:eastAsiaTheme="minorHAnsi"/>
            <w:color w:val="0000FF"/>
            <w:u w:val="single"/>
            <w:lang w:val="es-ES_tradnl" w:eastAsia="ja-JP"/>
          </w:rPr>
          <w:t>TD295</w:t>
        </w:r>
      </w:hyperlink>
      <w:r w:rsidRPr="00983703">
        <w:rPr>
          <w:rFonts w:eastAsiaTheme="minorHAnsi"/>
          <w:lang w:val="es-ES_tradnl" w:eastAsia="ja-JP"/>
        </w:rPr>
        <w:t xml:space="preserve"> "Actividades de transformación digital en 2023", en el que se </w:t>
      </w:r>
      <w:r w:rsidRPr="00983703">
        <w:rPr>
          <w:rFonts w:asciiTheme="majorBidi" w:eastAsia="SimSun" w:hAnsiTheme="majorBidi" w:cstheme="majorBidi"/>
          <w:bCs/>
          <w:lang w:val="es-ES_tradnl" w:eastAsia="ja-JP"/>
        </w:rPr>
        <w:t>ofrece información sobre las actividades del UIT-T realizadas en 2023</w:t>
      </w:r>
      <w:r w:rsidR="00FE165F">
        <w:rPr>
          <w:rFonts w:asciiTheme="majorBidi" w:eastAsia="SimSun" w:hAnsiTheme="majorBidi" w:cstheme="majorBidi"/>
          <w:bCs/>
          <w:lang w:val="es-ES_tradnl" w:eastAsia="ja-JP"/>
        </w:rPr>
        <w:t xml:space="preserve"> </w:t>
      </w:r>
      <w:r w:rsidRPr="00983703">
        <w:rPr>
          <w:rFonts w:asciiTheme="majorBidi" w:eastAsia="SimSun" w:hAnsiTheme="majorBidi" w:cstheme="majorBidi"/>
          <w:bCs/>
          <w:lang w:val="es-ES_tradnl" w:eastAsia="ja-JP"/>
        </w:rPr>
        <w:t>en materia de ciudades inteligentes sostenibles y transformación digital.</w:t>
      </w:r>
    </w:p>
    <w:p w14:paraId="1D461727" w14:textId="5F4B3C4C" w:rsidR="00F41298" w:rsidRPr="00983703" w:rsidRDefault="00F41298" w:rsidP="000C4DE4">
      <w:pPr>
        <w:rPr>
          <w:rFonts w:eastAsiaTheme="minorHAnsi"/>
          <w:lang w:val="es-ES_tradnl" w:eastAsia="ja-JP"/>
        </w:rPr>
      </w:pPr>
      <w:r w:rsidRPr="00983703">
        <w:rPr>
          <w:rFonts w:eastAsiaTheme="minorHAnsi"/>
          <w:lang w:val="es-ES_tradnl"/>
        </w:rPr>
        <w:t>4.2.1</w:t>
      </w:r>
      <w:r w:rsidRPr="00983703">
        <w:rPr>
          <w:rFonts w:eastAsiaTheme="minorHAnsi"/>
          <w:lang w:val="es-ES_tradnl"/>
        </w:rPr>
        <w:tab/>
      </w:r>
      <w:r w:rsidRPr="00983703">
        <w:rPr>
          <w:rFonts w:eastAsiaTheme="minorHAnsi"/>
          <w:lang w:val="es-ES_tradnl" w:eastAsia="ja-JP"/>
        </w:rPr>
        <w:t xml:space="preserve">La reunión tomó nota del </w:t>
      </w:r>
      <w:r w:rsidR="00FE165F">
        <w:rPr>
          <w:rFonts w:eastAsiaTheme="minorHAnsi"/>
          <w:lang w:val="es-ES_tradnl" w:eastAsia="ja-JP"/>
        </w:rPr>
        <w:t>D</w:t>
      </w:r>
      <w:r w:rsidRPr="00983703">
        <w:rPr>
          <w:rFonts w:eastAsiaTheme="minorHAnsi"/>
          <w:lang w:val="es-ES_tradnl" w:eastAsia="ja-JP"/>
        </w:rPr>
        <w:t>ocumento TD295 y pidió al GR-TD que lo examinara.</w:t>
      </w:r>
    </w:p>
    <w:p w14:paraId="763BB634" w14:textId="77777777" w:rsidR="00BE59AA" w:rsidRPr="00983703" w:rsidRDefault="00BE59AA" w:rsidP="000C4DE4">
      <w:pPr>
        <w:pStyle w:val="Heading2"/>
        <w:rPr>
          <w:highlight w:val="yellow"/>
          <w:lang w:val="es-ES_tradnl"/>
        </w:rPr>
      </w:pPr>
      <w:bookmarkStart w:id="17" w:name="_Toc140261637"/>
      <w:r w:rsidRPr="00983703">
        <w:rPr>
          <w:lang w:val="es-ES_tradnl"/>
        </w:rPr>
        <w:t>4.2</w:t>
      </w:r>
      <w:r w:rsidRPr="00983703">
        <w:rPr>
          <w:lang w:val="es-ES_tradnl"/>
        </w:rPr>
        <w:tab/>
        <w:t>Nuevo Grupo de Relator del GANT sobre transformación digital sostenible (GR-TD)</w:t>
      </w:r>
      <w:bookmarkEnd w:id="17"/>
    </w:p>
    <w:p w14:paraId="07DD8EFA" w14:textId="388C9109" w:rsidR="0048211B" w:rsidRPr="00983703" w:rsidRDefault="0048211B" w:rsidP="0048211B">
      <w:pPr>
        <w:rPr>
          <w:rFonts w:asciiTheme="majorBidi" w:eastAsia="SimSun" w:hAnsiTheme="majorBidi" w:cstheme="majorBidi"/>
          <w:bCs/>
          <w:lang w:val="es-ES_tradnl" w:eastAsia="ja-JP"/>
        </w:rPr>
      </w:pPr>
      <w:r w:rsidRPr="00983703">
        <w:rPr>
          <w:rFonts w:eastAsiaTheme="minorHAnsi"/>
          <w:lang w:val="es-ES_tradnl"/>
        </w:rPr>
        <w:t>4.2.1</w:t>
      </w:r>
      <w:r w:rsidRPr="00983703">
        <w:rPr>
          <w:rFonts w:eastAsiaTheme="minorHAnsi"/>
          <w:lang w:val="es-ES_tradnl"/>
        </w:rPr>
        <w:tab/>
      </w:r>
      <w:r w:rsidRPr="00983703">
        <w:rPr>
          <w:rFonts w:eastAsiaTheme="minorHAnsi"/>
          <w:lang w:val="es-ES_tradnl" w:eastAsia="ja-JP"/>
        </w:rPr>
        <w:t>El Coordinador del GAD sobre C49, C51 y TD266, el Sr. Ahmed SAID, presentó en</w:t>
      </w:r>
      <w:r w:rsidR="0072124B">
        <w:rPr>
          <w:rFonts w:eastAsiaTheme="minorHAnsi"/>
          <w:lang w:val="es-ES_tradnl" w:eastAsia="ja-JP"/>
        </w:rPr>
        <w:t> </w:t>
      </w:r>
      <w:hyperlink r:id="rId38" w:history="1">
        <w:r w:rsidRPr="00983703">
          <w:rPr>
            <w:rFonts w:eastAsiaTheme="minorHAnsi"/>
            <w:color w:val="0000FF"/>
            <w:u w:val="single"/>
            <w:lang w:val="es-ES_tradnl" w:eastAsia="ja-JP"/>
          </w:rPr>
          <w:t>TD285</w:t>
        </w:r>
      </w:hyperlink>
      <w:r w:rsidRPr="00983703">
        <w:rPr>
          <w:rFonts w:eastAsiaTheme="minorHAnsi"/>
          <w:color w:val="0000FF"/>
          <w:u w:val="single"/>
          <w:lang w:val="es-ES_tradnl" w:eastAsia="ja-JP"/>
        </w:rPr>
        <w:t xml:space="preserve"> </w:t>
      </w:r>
      <w:r w:rsidRPr="00983703">
        <w:rPr>
          <w:rFonts w:eastAsiaTheme="minorHAnsi"/>
          <w:lang w:val="es-ES_tradnl" w:eastAsia="ja-JP"/>
        </w:rPr>
        <w:t xml:space="preserve">la propuesta de establecer un nuevo </w:t>
      </w:r>
      <w:r w:rsidRPr="00983703">
        <w:rPr>
          <w:rFonts w:asciiTheme="majorBidi" w:eastAsia="SimSun" w:hAnsiTheme="majorBidi" w:cstheme="majorBidi"/>
          <w:bCs/>
          <w:lang w:val="es-ES_tradnl" w:eastAsia="ja-JP"/>
        </w:rPr>
        <w:t>Grupo de Relator del GANT sobre transformación digital (GR-TD), incluido su correspondiente mandato.</w:t>
      </w:r>
    </w:p>
    <w:p w14:paraId="59C2CF81" w14:textId="7F38B514" w:rsidR="0048211B" w:rsidRPr="00983703" w:rsidRDefault="0048211B" w:rsidP="0048211B">
      <w:pPr>
        <w:rPr>
          <w:rFonts w:eastAsiaTheme="minorHAnsi"/>
          <w:lang w:val="es-ES_tradnl" w:eastAsia="ja-JP"/>
        </w:rPr>
      </w:pPr>
      <w:r w:rsidRPr="00983703">
        <w:rPr>
          <w:rFonts w:eastAsiaTheme="minorHAnsi"/>
          <w:lang w:val="es-ES_tradnl"/>
        </w:rPr>
        <w:t>4.2.2</w:t>
      </w:r>
      <w:r w:rsidRPr="00983703">
        <w:rPr>
          <w:rFonts w:eastAsiaTheme="minorHAnsi"/>
          <w:lang w:val="es-ES_tradnl"/>
        </w:rPr>
        <w:tab/>
      </w:r>
      <w:r w:rsidRPr="00983703">
        <w:rPr>
          <w:rFonts w:eastAsiaTheme="minorHAnsi"/>
          <w:lang w:val="es-ES_tradnl" w:eastAsia="ja-JP"/>
        </w:rPr>
        <w:t xml:space="preserve">El GANT estableció un nuevo </w:t>
      </w:r>
      <w:r w:rsidRPr="00983703">
        <w:rPr>
          <w:rFonts w:asciiTheme="majorBidi" w:eastAsia="SimSun" w:hAnsiTheme="majorBidi" w:cstheme="majorBidi"/>
          <w:bCs/>
          <w:lang w:val="es-ES_tradnl" w:eastAsia="ja-JP"/>
        </w:rPr>
        <w:t xml:space="preserve">Grupo de Relator del GANT sobre transformación digital sostenible (GR-TD), incluido su correspondiente mandato, en el </w:t>
      </w:r>
      <w:hyperlink w:anchor="_Annex_C_Terms_1" w:history="1">
        <w:r w:rsidRPr="00983703">
          <w:rPr>
            <w:rFonts w:eastAsiaTheme="minorHAnsi"/>
            <w:color w:val="0000FF"/>
            <w:u w:val="single"/>
            <w:lang w:val="es-ES_tradnl" w:eastAsia="ja-JP"/>
          </w:rPr>
          <w:t>Anexo C</w:t>
        </w:r>
      </w:hyperlink>
      <w:r w:rsidRPr="00983703">
        <w:rPr>
          <w:rFonts w:asciiTheme="majorBidi" w:eastAsia="SimSun" w:hAnsiTheme="majorBidi" w:cstheme="majorBidi"/>
          <w:bCs/>
          <w:lang w:val="es-ES_tradnl" w:eastAsia="ja-JP"/>
        </w:rPr>
        <w:t xml:space="preserve"> (</w:t>
      </w:r>
      <w:hyperlink r:id="rId39" w:history="1">
        <w:r w:rsidRPr="00983703">
          <w:rPr>
            <w:rFonts w:eastAsiaTheme="minorHAnsi"/>
            <w:color w:val="0000FF"/>
            <w:u w:val="single"/>
            <w:lang w:val="es-ES_tradnl" w:eastAsia="ja-JP"/>
          </w:rPr>
          <w:t>TD285R1</w:t>
        </w:r>
      </w:hyperlink>
      <w:r w:rsidRPr="00983703">
        <w:rPr>
          <w:rFonts w:asciiTheme="majorBidi" w:eastAsia="SimSun" w:hAnsiTheme="majorBidi" w:cstheme="majorBidi"/>
          <w:bCs/>
          <w:lang w:val="es-ES_tradnl" w:eastAsia="ja-JP"/>
        </w:rPr>
        <w:t>). El GANT convino en que el GR-TD desarrollara su labor hasta el final del presente periodo de estudios, y en que el GR-TD informara al respecto al GT2 del GANT. Se han previsto tres reuniones virtuales del GT-DT en 2023; véase §19.3 (</w:t>
      </w:r>
      <w:hyperlink r:id="rId40" w:history="1">
        <w:r w:rsidRPr="00983703">
          <w:rPr>
            <w:rFonts w:eastAsiaTheme="minorHAnsi"/>
            <w:color w:val="0000FF"/>
            <w:u w:val="single"/>
            <w:lang w:val="es-ES_tradnl" w:eastAsia="ja-JP"/>
          </w:rPr>
          <w:t>TD283R1</w:t>
        </w:r>
      </w:hyperlink>
      <w:r w:rsidRPr="00983703">
        <w:rPr>
          <w:rFonts w:eastAsiaTheme="minorHAnsi"/>
          <w:lang w:val="es-ES_tradnl" w:eastAsia="ja-JP"/>
        </w:rPr>
        <w:t>)</w:t>
      </w:r>
      <w:r w:rsidRPr="00983703">
        <w:rPr>
          <w:rFonts w:asciiTheme="majorBidi" w:eastAsia="SimSun" w:hAnsiTheme="majorBidi" w:cstheme="majorBidi"/>
          <w:bCs/>
          <w:lang w:val="es-ES_tradnl" w:eastAsia="ja-JP"/>
        </w:rPr>
        <w:t>. El GANT solicitó a la TSB que pusiera en marcha la infraestructura logística para ese nuevo GR-TD.</w:t>
      </w:r>
    </w:p>
    <w:p w14:paraId="219F7B08" w14:textId="6B3784C7" w:rsidR="0048211B" w:rsidRPr="00983703" w:rsidRDefault="0048211B" w:rsidP="0048211B">
      <w:pPr>
        <w:rPr>
          <w:rFonts w:eastAsiaTheme="minorHAnsi"/>
          <w:lang w:val="es-ES_tradnl" w:eastAsia="ja-JP"/>
        </w:rPr>
      </w:pPr>
      <w:r w:rsidRPr="00983703">
        <w:rPr>
          <w:rFonts w:eastAsiaTheme="minorHAnsi"/>
          <w:lang w:val="es-ES_tradnl"/>
        </w:rPr>
        <w:lastRenderedPageBreak/>
        <w:t>4.2.3</w:t>
      </w:r>
      <w:r w:rsidRPr="00983703">
        <w:rPr>
          <w:rFonts w:eastAsiaTheme="minorHAnsi"/>
          <w:lang w:val="es-ES_tradnl"/>
        </w:rPr>
        <w:tab/>
      </w:r>
      <w:r w:rsidRPr="00983703">
        <w:rPr>
          <w:rFonts w:eastAsiaTheme="minorHAnsi"/>
          <w:lang w:val="es-ES_tradnl" w:eastAsia="ja-JP"/>
        </w:rPr>
        <w:t>El GANT designó al Sr. Ahmed SAID (Egipto) Relator del GR-TD, y al Sr. Ahmad Reza SHARAFAT (Irán, República Islámica de) y a la Sra</w:t>
      </w:r>
      <w:r w:rsidR="004839EF">
        <w:rPr>
          <w:rFonts w:eastAsiaTheme="minorHAnsi"/>
          <w:lang w:val="es-ES_tradnl" w:eastAsia="ja-JP"/>
        </w:rPr>
        <w:t>.</w:t>
      </w:r>
      <w:r w:rsidRPr="00983703">
        <w:rPr>
          <w:rFonts w:eastAsiaTheme="minorHAnsi"/>
          <w:lang w:val="es-ES_tradnl" w:eastAsia="ja-JP"/>
        </w:rPr>
        <w:t xml:space="preserve"> Cynthia LESUFI (Sudáfrica, República de) Relatores Asociados del GR-TD, que desempeñarán por turnos su función de apoyo al Relator. Se acordó que los Sres. SAID y SHARAFAT alternaran las funciones de Relator y Relator Asociado entre reuniones del GANT.</w:t>
      </w:r>
    </w:p>
    <w:p w14:paraId="2C8355AC" w14:textId="7CB19597" w:rsidR="00BE59AA" w:rsidRPr="00983703" w:rsidRDefault="00BE59AA" w:rsidP="0048211B">
      <w:pPr>
        <w:pStyle w:val="Heading2"/>
        <w:rPr>
          <w:lang w:val="es-ES_tradnl"/>
        </w:rPr>
      </w:pPr>
      <w:bookmarkStart w:id="18" w:name="_Toc140261638"/>
      <w:r w:rsidRPr="00983703">
        <w:rPr>
          <w:lang w:val="es-ES_tradnl"/>
        </w:rPr>
        <w:t>4.3</w:t>
      </w:r>
      <w:r w:rsidRPr="00983703">
        <w:rPr>
          <w:lang w:val="es-ES_tradnl"/>
        </w:rPr>
        <w:tab/>
        <w:t xml:space="preserve">Coalición Digital </w:t>
      </w:r>
      <w:r w:rsidRPr="00983703">
        <w:rPr>
          <w:i/>
          <w:iCs/>
          <w:lang w:val="es-ES_tradnl"/>
        </w:rPr>
        <w:t>Partner2Connect</w:t>
      </w:r>
      <w:r w:rsidRPr="00983703">
        <w:rPr>
          <w:lang w:val="es-ES_tradnl"/>
        </w:rPr>
        <w:t xml:space="preserve"> de la UIT</w:t>
      </w:r>
      <w:bookmarkEnd w:id="18"/>
    </w:p>
    <w:p w14:paraId="6EEC5CD0" w14:textId="77777777" w:rsidR="0048211B" w:rsidRPr="00983703" w:rsidRDefault="0048211B" w:rsidP="0048211B">
      <w:pPr>
        <w:rPr>
          <w:rFonts w:eastAsia="SimSun"/>
          <w:lang w:val="es-ES_tradnl" w:eastAsia="ja-JP"/>
        </w:rPr>
      </w:pPr>
      <w:r w:rsidRPr="00983703">
        <w:rPr>
          <w:rFonts w:eastAsiaTheme="minorHAnsi"/>
          <w:lang w:val="es-ES_tradnl"/>
        </w:rPr>
        <w:t>4.3.1</w:t>
      </w:r>
      <w:r w:rsidRPr="00983703">
        <w:rPr>
          <w:rFonts w:eastAsiaTheme="minorHAnsi"/>
          <w:lang w:val="es-ES_tradnl"/>
        </w:rPr>
        <w:tab/>
      </w:r>
      <w:r w:rsidRPr="00983703">
        <w:rPr>
          <w:rFonts w:eastAsia="SimSun"/>
          <w:lang w:val="es-ES_tradnl" w:eastAsia="ja-JP"/>
        </w:rPr>
        <w:t xml:space="preserve">El 2 de junio de 2023 (de 14.00 a 14.30 horas) se organizó una sesión informativa sobre la coalición digital </w:t>
      </w:r>
      <w:r w:rsidRPr="00983703">
        <w:rPr>
          <w:rFonts w:eastAsia="SimSun"/>
          <w:i/>
          <w:iCs/>
          <w:lang w:val="es-ES_tradnl" w:eastAsia="ja-JP"/>
        </w:rPr>
        <w:t xml:space="preserve">Partner2Connect </w:t>
      </w:r>
      <w:r w:rsidRPr="00983703">
        <w:rPr>
          <w:rFonts w:eastAsia="SimSun"/>
          <w:lang w:val="es-ES_tradnl" w:eastAsia="ja-JP"/>
        </w:rPr>
        <w:t xml:space="preserve">de la UIT bajo los auspicios de la </w:t>
      </w:r>
      <w:proofErr w:type="gramStart"/>
      <w:r w:rsidRPr="00983703">
        <w:rPr>
          <w:rFonts w:eastAsia="SimSun"/>
          <w:lang w:val="es-ES_tradnl" w:eastAsia="ja-JP"/>
        </w:rPr>
        <w:t>Secretaria General</w:t>
      </w:r>
      <w:proofErr w:type="gramEnd"/>
      <w:r w:rsidRPr="00983703">
        <w:rPr>
          <w:rFonts w:eastAsia="SimSun"/>
          <w:lang w:val="es-ES_tradnl" w:eastAsia="ja-JP"/>
        </w:rPr>
        <w:t xml:space="preserve"> de la UIT. Dicha coalición digital promueve la conectividad universal efectiva y la transformación digital para todos. La correspondiente presentación figura en </w:t>
      </w:r>
      <w:hyperlink r:id="rId41" w:history="1">
        <w:r w:rsidRPr="00983703">
          <w:rPr>
            <w:rFonts w:eastAsia="SimSun"/>
            <w:color w:val="0000FF"/>
            <w:u w:val="single"/>
            <w:lang w:val="es-ES_tradnl" w:eastAsia="ja-JP"/>
          </w:rPr>
          <w:t>TD302</w:t>
        </w:r>
      </w:hyperlink>
      <w:r w:rsidRPr="00983703">
        <w:rPr>
          <w:rFonts w:eastAsia="SimSun"/>
          <w:lang w:val="es-ES_tradnl" w:eastAsia="ja-JP"/>
        </w:rPr>
        <w:t>.</w:t>
      </w:r>
    </w:p>
    <w:p w14:paraId="6FD512F0" w14:textId="38ACF5B2" w:rsidR="00BE59AA" w:rsidRPr="00983703" w:rsidRDefault="00B97A12" w:rsidP="00B97A12">
      <w:pPr>
        <w:pStyle w:val="Heading1"/>
        <w:rPr>
          <w:lang w:val="es-ES_tradnl"/>
        </w:rPr>
      </w:pPr>
      <w:bookmarkStart w:id="19" w:name="_Toc140261639"/>
      <w:r w:rsidRPr="00983703">
        <w:rPr>
          <w:lang w:val="es-ES_tradnl"/>
        </w:rPr>
        <w:t>5</w:t>
      </w:r>
      <w:r w:rsidRPr="00983703">
        <w:rPr>
          <w:lang w:val="es-ES_tradnl"/>
        </w:rPr>
        <w:tab/>
      </w:r>
      <w:proofErr w:type="gramStart"/>
      <w:r w:rsidR="00BE59AA" w:rsidRPr="00983703">
        <w:rPr>
          <w:lang w:val="es-ES_tradnl"/>
        </w:rPr>
        <w:t>Grupos</w:t>
      </w:r>
      <w:proofErr w:type="gramEnd"/>
      <w:r w:rsidR="00BE59AA" w:rsidRPr="00983703">
        <w:rPr>
          <w:lang w:val="es-ES_tradnl"/>
        </w:rPr>
        <w:t xml:space="preserve"> Temáticos del UIT-T</w:t>
      </w:r>
      <w:bookmarkEnd w:id="19"/>
    </w:p>
    <w:p w14:paraId="5C447566" w14:textId="54837D41" w:rsidR="00BE59AA" w:rsidRPr="00983703" w:rsidRDefault="00BE59AA" w:rsidP="0048211B">
      <w:pPr>
        <w:pStyle w:val="Heading2"/>
        <w:rPr>
          <w:b w:val="0"/>
          <w:lang w:val="es-ES_tradnl"/>
        </w:rPr>
      </w:pPr>
      <w:bookmarkStart w:id="20" w:name="_Toc140261640"/>
      <w:r w:rsidRPr="00983703">
        <w:rPr>
          <w:lang w:val="es-ES_tradnl"/>
        </w:rPr>
        <w:t>5.1</w:t>
      </w:r>
      <w:r w:rsidRPr="00983703">
        <w:rPr>
          <w:lang w:val="es-ES_tradnl"/>
        </w:rPr>
        <w:tab/>
        <w:t>Grupo Temático del UIT-T sobre el Metaverso (GT-MV)</w:t>
      </w:r>
      <w:bookmarkEnd w:id="20"/>
    </w:p>
    <w:p w14:paraId="72E1A91D" w14:textId="77777777" w:rsidR="0048211B" w:rsidRPr="00983703" w:rsidRDefault="0048211B" w:rsidP="0048211B">
      <w:pPr>
        <w:rPr>
          <w:rFonts w:eastAsiaTheme="minorHAnsi"/>
          <w:lang w:val="es-ES_tradnl" w:eastAsia="ja-JP"/>
        </w:rPr>
      </w:pPr>
      <w:r w:rsidRPr="00983703">
        <w:rPr>
          <w:rFonts w:eastAsiaTheme="minorHAnsi"/>
          <w:lang w:val="es-ES_tradnl"/>
        </w:rPr>
        <w:t>5.1.1</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Presidente</w:t>
      </w:r>
      <w:proofErr w:type="gramEnd"/>
      <w:r w:rsidRPr="00983703">
        <w:rPr>
          <w:rFonts w:eastAsiaTheme="minorHAnsi"/>
          <w:lang w:val="es-ES_tradnl" w:eastAsia="ja-JP"/>
        </w:rPr>
        <w:t xml:space="preserve"> del GT-MV, Sr. </w:t>
      </w:r>
      <w:proofErr w:type="spellStart"/>
      <w:r w:rsidRPr="00983703">
        <w:rPr>
          <w:rFonts w:eastAsiaTheme="minorHAnsi"/>
          <w:lang w:val="es-ES_tradnl"/>
        </w:rPr>
        <w:t>Shin-Gak</w:t>
      </w:r>
      <w:proofErr w:type="spellEnd"/>
      <w:r w:rsidRPr="00983703">
        <w:rPr>
          <w:rFonts w:eastAsiaTheme="minorHAnsi"/>
          <w:lang w:val="es-ES_tradnl"/>
        </w:rPr>
        <w:t xml:space="preserve"> KANG, presentó en </w:t>
      </w:r>
      <w:hyperlink r:id="rId42" w:history="1">
        <w:r w:rsidRPr="00983703">
          <w:rPr>
            <w:rFonts w:eastAsiaTheme="minorHAnsi"/>
            <w:color w:val="0000FF"/>
            <w:u w:val="single"/>
            <w:lang w:val="es-ES_tradnl" w:eastAsia="ja-JP"/>
          </w:rPr>
          <w:t>TD198</w:t>
        </w:r>
      </w:hyperlink>
      <w:r w:rsidRPr="00983703">
        <w:rPr>
          <w:rFonts w:eastAsiaTheme="minorHAnsi"/>
          <w:lang w:val="es-ES_tradnl"/>
        </w:rPr>
        <w:t xml:space="preserve"> una declaración de coordinación del GT-MV que </w:t>
      </w:r>
      <w:r w:rsidRPr="00983703">
        <w:rPr>
          <w:rFonts w:asciiTheme="majorBidi" w:eastAsiaTheme="minorHAnsi" w:hAnsiTheme="majorBidi" w:cstheme="majorBidi"/>
          <w:lang w:val="es-ES_tradnl" w:eastAsia="ja-JP"/>
        </w:rPr>
        <w:t>contiene un informe provisional de dicho Grupo, actualizado para el periodo comprendido entre diciembre de 2022 y mayo de 2023.</w:t>
      </w:r>
    </w:p>
    <w:p w14:paraId="5621B5F2" w14:textId="77777777" w:rsidR="0048211B" w:rsidRPr="00983703" w:rsidRDefault="0048211B" w:rsidP="0048211B">
      <w:pPr>
        <w:rPr>
          <w:rFonts w:eastAsiaTheme="minorHAnsi"/>
          <w:lang w:val="es-ES_tradnl" w:eastAsia="ja-JP"/>
        </w:rPr>
      </w:pPr>
      <w:r w:rsidRPr="00983703">
        <w:rPr>
          <w:rFonts w:eastAsiaTheme="minorHAnsi"/>
          <w:lang w:val="es-ES_tradnl" w:eastAsia="ja-JP"/>
        </w:rPr>
        <w:t>5.1.1.1</w:t>
      </w:r>
      <w:r w:rsidRPr="00983703">
        <w:rPr>
          <w:rFonts w:eastAsiaTheme="minorHAnsi"/>
          <w:lang w:val="es-ES_tradnl" w:eastAsia="ja-JP"/>
        </w:rPr>
        <w:tab/>
        <w:t>El GANT tomó nota de ese destacado informe, que los delegados consideraron muy informativo y útil.</w:t>
      </w:r>
    </w:p>
    <w:p w14:paraId="664DDADB" w14:textId="77777777" w:rsidR="0048211B" w:rsidRPr="00983703" w:rsidRDefault="0048211B" w:rsidP="0048211B">
      <w:pPr>
        <w:rPr>
          <w:rFonts w:eastAsiaTheme="minorHAnsi"/>
          <w:lang w:val="es-ES_tradnl"/>
        </w:rPr>
      </w:pPr>
      <w:r w:rsidRPr="00983703">
        <w:rPr>
          <w:rFonts w:eastAsiaTheme="minorHAnsi"/>
          <w:lang w:val="es-ES_tradnl"/>
        </w:rPr>
        <w:t>5.1.2</w:t>
      </w:r>
      <w:r w:rsidRPr="00983703">
        <w:rPr>
          <w:rFonts w:eastAsiaTheme="minorHAnsi"/>
          <w:lang w:val="es-ES_tradnl"/>
        </w:rPr>
        <w:tab/>
        <w:t xml:space="preserve">El </w:t>
      </w:r>
      <w:proofErr w:type="gramStart"/>
      <w:r w:rsidRPr="00983703">
        <w:rPr>
          <w:rFonts w:eastAsiaTheme="minorHAnsi"/>
          <w:lang w:val="es-ES_tradnl"/>
        </w:rPr>
        <w:t>Presidente</w:t>
      </w:r>
      <w:proofErr w:type="gramEnd"/>
      <w:r w:rsidRPr="00983703">
        <w:rPr>
          <w:rFonts w:eastAsiaTheme="minorHAnsi"/>
          <w:lang w:val="es-ES_tradnl"/>
        </w:rPr>
        <w:t xml:space="preserve"> de la CE 20 del UIT-T, Sr. Hyoung-Jun KIM, presentó en </w:t>
      </w:r>
      <w:hyperlink r:id="rId43" w:history="1">
        <w:r w:rsidRPr="00983703">
          <w:rPr>
            <w:rFonts w:eastAsiaTheme="minorHAnsi"/>
            <w:color w:val="0000FF"/>
            <w:u w:val="single"/>
            <w:lang w:val="es-ES_tradnl" w:eastAsia="ja-JP"/>
          </w:rPr>
          <w:t>TD236</w:t>
        </w:r>
      </w:hyperlink>
      <w:r w:rsidRPr="00983703">
        <w:rPr>
          <w:rFonts w:eastAsiaTheme="minorHAnsi"/>
          <w:lang w:val="es-ES_tradnl"/>
        </w:rPr>
        <w:t xml:space="preserve"> una declaración de coordinación en la que </w:t>
      </w:r>
      <w:r w:rsidRPr="00983703">
        <w:rPr>
          <w:rFonts w:asciiTheme="majorBidi" w:eastAsiaTheme="minorHAnsi" w:hAnsiTheme="majorBidi" w:cstheme="majorBidi"/>
          <w:lang w:val="es-ES_tradnl" w:eastAsia="ja-JP"/>
        </w:rPr>
        <w:t>se comunica al GANT y al GT-MV que una nueva propuesta de tema de trabajo de la C3/20 se había transferido al GT-MV, habida cuenta de que el alcance de dicha propuesta guardaba relación con el metaverso. La CE 20 alentó al GANT a solicitar a las demás Comisiones de Estudio del UIT-T que transfirieran al GT-MV, para su ulterior estudio, todas las propuestas de nuevo tema de trabajo y los temas de trabajo en curso relacionados con el metaverso.</w:t>
      </w:r>
    </w:p>
    <w:p w14:paraId="53D1EA82" w14:textId="77777777" w:rsidR="0048211B" w:rsidRPr="00983703" w:rsidRDefault="0048211B" w:rsidP="0048211B">
      <w:pPr>
        <w:rPr>
          <w:rFonts w:eastAsiaTheme="minorHAnsi"/>
          <w:lang w:val="es-ES_tradnl"/>
        </w:rPr>
      </w:pPr>
      <w:r w:rsidRPr="00983703">
        <w:rPr>
          <w:rFonts w:eastAsiaTheme="minorHAnsi"/>
          <w:lang w:val="es-ES_tradnl"/>
        </w:rPr>
        <w:t>5.1.2.1</w:t>
      </w:r>
      <w:r w:rsidRPr="00983703">
        <w:rPr>
          <w:rFonts w:eastAsiaTheme="minorHAnsi"/>
          <w:lang w:val="es-ES_tradnl"/>
        </w:rPr>
        <w:tab/>
        <w:t>El GANT pidió al Sr. KIM que consultara de manera oficiosa dicha propuesta con los presidentes de las Comisiones de Estudio del UIT-T y las partes interesadas, y que informara al respecto en la sesión plenaria de clausura. Se solicitó al Sr. KIM que tuviera en cuenta la experiencia adquirida durante el establecimiento del GT-QIT4N, así como las cuestiones sobre tecnologías incipientes para las que el UIT-T no dispone aún de un mecanismo adecuado.</w:t>
      </w:r>
    </w:p>
    <w:p w14:paraId="371E6D18" w14:textId="77777777" w:rsidR="0048211B" w:rsidRPr="00983703" w:rsidRDefault="0048211B" w:rsidP="0048211B">
      <w:pPr>
        <w:rPr>
          <w:rFonts w:eastAsiaTheme="minorHAnsi"/>
          <w:lang w:val="es-ES_tradnl"/>
        </w:rPr>
      </w:pPr>
      <w:r w:rsidRPr="00983703">
        <w:rPr>
          <w:rFonts w:eastAsiaTheme="minorHAnsi"/>
          <w:lang w:val="es-ES_tradnl"/>
        </w:rPr>
        <w:t>5.1.2.2</w:t>
      </w:r>
      <w:r w:rsidRPr="00983703">
        <w:rPr>
          <w:rFonts w:eastAsiaTheme="minorHAnsi"/>
          <w:lang w:val="es-ES_tradnl"/>
        </w:rPr>
        <w:tab/>
        <w:t xml:space="preserve">El Sr. KIM presentó en </w:t>
      </w:r>
      <w:hyperlink r:id="rId44" w:history="1">
        <w:r w:rsidRPr="00983703">
          <w:rPr>
            <w:rFonts w:asciiTheme="majorBidi" w:eastAsia="SimSun" w:hAnsiTheme="majorBidi" w:cstheme="majorBidi"/>
            <w:bCs/>
            <w:color w:val="0000FF"/>
            <w:u w:val="single"/>
            <w:lang w:val="es-ES_tradnl" w:eastAsia="ja-JP"/>
          </w:rPr>
          <w:t>TD301</w:t>
        </w:r>
      </w:hyperlink>
      <w:r w:rsidRPr="00983703">
        <w:rPr>
          <w:rFonts w:eastAsiaTheme="minorHAnsi"/>
          <w:lang w:val="es-ES_tradnl"/>
        </w:rPr>
        <w:t xml:space="preserve"> el </w:t>
      </w:r>
      <w:r w:rsidRPr="00983703">
        <w:rPr>
          <w:rFonts w:eastAsiaTheme="minorHAnsi"/>
          <w:bCs/>
          <w:lang w:val="es-ES_tradnl" w:eastAsia="ja-JP"/>
        </w:rPr>
        <w:t>resultado de las consultas o</w:t>
      </w:r>
      <w:r w:rsidRPr="00983703">
        <w:rPr>
          <w:rFonts w:eastAsiaTheme="minorHAnsi"/>
          <w:lang w:val="es-ES_tradnl" w:eastAsia="ja-JP"/>
        </w:rPr>
        <w:t>ficiosas</w:t>
      </w:r>
      <w:r w:rsidRPr="00983703">
        <w:rPr>
          <w:rFonts w:eastAsiaTheme="minorHAnsi"/>
          <w:bCs/>
          <w:lang w:val="es-ES_tradnl" w:eastAsia="ja-JP"/>
        </w:rPr>
        <w:t xml:space="preserve"> sobre "temas de trabajo y C</w:t>
      </w:r>
      <w:r w:rsidRPr="00983703">
        <w:rPr>
          <w:rFonts w:eastAsiaTheme="minorHAnsi"/>
          <w:lang w:val="es-ES_tradnl" w:eastAsia="ja-JP"/>
        </w:rPr>
        <w:t>E</w:t>
      </w:r>
      <w:r w:rsidRPr="00983703">
        <w:rPr>
          <w:rFonts w:eastAsiaTheme="minorHAnsi"/>
          <w:bCs/>
          <w:lang w:val="es-ES_tradnl" w:eastAsia="ja-JP"/>
        </w:rPr>
        <w:t xml:space="preserve"> referentes al</w:t>
      </w:r>
      <w:r w:rsidRPr="00983703">
        <w:rPr>
          <w:rFonts w:eastAsiaTheme="minorHAnsi"/>
          <w:lang w:val="es-ES_tradnl" w:eastAsia="ja-JP"/>
        </w:rPr>
        <w:t xml:space="preserve"> </w:t>
      </w:r>
      <w:r w:rsidRPr="00983703">
        <w:rPr>
          <w:rFonts w:eastAsiaTheme="minorHAnsi"/>
          <w:bCs/>
          <w:lang w:val="es-ES_tradnl" w:eastAsia="ja-JP"/>
        </w:rPr>
        <w:t>metaverso ".</w:t>
      </w:r>
    </w:p>
    <w:p w14:paraId="254C12D4" w14:textId="7E6EC658" w:rsidR="0048211B" w:rsidRPr="00983703" w:rsidRDefault="0048211B" w:rsidP="0048211B">
      <w:pPr>
        <w:rPr>
          <w:rFonts w:eastAsiaTheme="minorHAnsi"/>
          <w:lang w:val="es-ES_tradnl"/>
        </w:rPr>
      </w:pPr>
      <w:r w:rsidRPr="00983703">
        <w:rPr>
          <w:rFonts w:eastAsiaTheme="minorHAnsi"/>
          <w:lang w:val="es-ES_tradnl"/>
        </w:rPr>
        <w:t>5.1.2.3</w:t>
      </w:r>
      <w:r w:rsidRPr="00983703">
        <w:rPr>
          <w:rFonts w:eastAsiaTheme="minorHAnsi"/>
          <w:lang w:val="es-ES_tradnl"/>
        </w:rPr>
        <w:tab/>
        <w:t xml:space="preserve">El GANT tomó nota del informe y convino en enviar una declaración de coordinación conforme al </w:t>
      </w:r>
      <w:hyperlink r:id="rId45" w:history="1">
        <w:r w:rsidRPr="00983703">
          <w:rPr>
            <w:rFonts w:eastAsiaTheme="minorHAnsi"/>
            <w:color w:val="0000FF"/>
            <w:u w:val="single"/>
            <w:lang w:val="es-ES_tradnl"/>
          </w:rPr>
          <w:t>TD301</w:t>
        </w:r>
      </w:hyperlink>
      <w:r w:rsidRPr="00983703">
        <w:rPr>
          <w:rFonts w:eastAsiaTheme="minorHAnsi"/>
          <w:lang w:val="es-ES_tradnl"/>
        </w:rPr>
        <w:t xml:space="preserve"> a todas las Comisiones de Estudio del UIT-T, en consonancia con </w:t>
      </w:r>
      <w:hyperlink r:id="rId46" w:history="1">
        <w:r w:rsidRPr="00983703">
          <w:rPr>
            <w:rFonts w:eastAsiaTheme="minorHAnsi"/>
            <w:color w:val="0000FF"/>
            <w:u w:val="single"/>
            <w:lang w:val="es-ES_tradnl" w:eastAsia="ja-JP"/>
          </w:rPr>
          <w:t>GANT</w:t>
        </w:r>
        <w:r w:rsidR="00993C3E">
          <w:rPr>
            <w:rFonts w:eastAsiaTheme="minorHAnsi"/>
            <w:color w:val="0000FF"/>
            <w:u w:val="single"/>
            <w:lang w:val="es-ES_tradnl" w:eastAsia="ja-JP"/>
          </w:rPr>
          <w:noBreakHyphen/>
        </w:r>
        <w:r w:rsidRPr="00983703">
          <w:rPr>
            <w:rFonts w:eastAsiaTheme="minorHAnsi"/>
            <w:color w:val="0000FF"/>
            <w:u w:val="single"/>
            <w:lang w:val="es-ES_tradnl" w:eastAsia="ja-JP"/>
          </w:rPr>
          <w:t>LS21</w:t>
        </w:r>
      </w:hyperlink>
      <w:r w:rsidRPr="00983703">
        <w:rPr>
          <w:rFonts w:eastAsiaTheme="minorHAnsi"/>
          <w:lang w:val="es-ES_tradnl"/>
        </w:rPr>
        <w:t>.</w:t>
      </w:r>
    </w:p>
    <w:p w14:paraId="727B1213" w14:textId="77777777" w:rsidR="0048211B" w:rsidRPr="00983703" w:rsidRDefault="0048211B" w:rsidP="0048211B">
      <w:pPr>
        <w:rPr>
          <w:rFonts w:eastAsiaTheme="minorHAnsi"/>
          <w:lang w:val="es-ES_tradnl"/>
        </w:rPr>
      </w:pPr>
      <w:r w:rsidRPr="00983703">
        <w:rPr>
          <w:rFonts w:eastAsiaTheme="minorHAnsi"/>
          <w:lang w:val="es-ES_tradnl"/>
        </w:rPr>
        <w:t>5.1.3</w:t>
      </w:r>
      <w:r w:rsidRPr="00983703">
        <w:rPr>
          <w:rFonts w:eastAsiaTheme="minorHAnsi"/>
          <w:lang w:val="es-ES_tradnl"/>
        </w:rPr>
        <w:tab/>
      </w:r>
      <w:r w:rsidRPr="00983703">
        <w:rPr>
          <w:rFonts w:eastAsiaTheme="minorHAnsi"/>
          <w:lang w:val="es-ES_tradnl" w:eastAsia="ja-JP"/>
        </w:rPr>
        <w:t xml:space="preserve">El presidente del GT-MV, el Sr. </w:t>
      </w:r>
      <w:proofErr w:type="spellStart"/>
      <w:r w:rsidRPr="00983703">
        <w:rPr>
          <w:rFonts w:eastAsiaTheme="minorHAnsi"/>
          <w:lang w:val="es-ES_tradnl"/>
        </w:rPr>
        <w:t>Shin-Gak</w:t>
      </w:r>
      <w:proofErr w:type="spellEnd"/>
      <w:r w:rsidRPr="00983703">
        <w:rPr>
          <w:rFonts w:eastAsiaTheme="minorHAnsi"/>
          <w:lang w:val="es-ES_tradnl"/>
        </w:rPr>
        <w:t xml:space="preserve"> KANG, presentó en </w:t>
      </w:r>
      <w:hyperlink r:id="rId47" w:history="1">
        <w:r w:rsidRPr="00983703">
          <w:rPr>
            <w:rFonts w:eastAsiaTheme="minorHAnsi"/>
            <w:color w:val="0000FF"/>
            <w:u w:val="single"/>
            <w:lang w:val="es-ES_tradnl" w:eastAsia="ja-JP"/>
          </w:rPr>
          <w:t>TD241</w:t>
        </w:r>
      </w:hyperlink>
      <w:r w:rsidRPr="00983703">
        <w:rPr>
          <w:rFonts w:eastAsiaTheme="minorHAnsi"/>
          <w:lang w:val="es-ES_tradnl"/>
        </w:rPr>
        <w:t xml:space="preserve"> una declaración de coordinación </w:t>
      </w:r>
      <w:r w:rsidRPr="00983703">
        <w:rPr>
          <w:rFonts w:eastAsiaTheme="minorHAnsi"/>
          <w:lang w:val="es-ES_tradnl" w:eastAsia="ja-JP"/>
        </w:rPr>
        <w:t>del GT-MV, en la que solicitó colaboración sobre los trabajos de normalización del metaverso.</w:t>
      </w:r>
    </w:p>
    <w:p w14:paraId="7671528B" w14:textId="5067A20D" w:rsidR="0048211B" w:rsidRPr="00983703" w:rsidRDefault="0048211B" w:rsidP="0048211B">
      <w:pPr>
        <w:rPr>
          <w:rFonts w:eastAsiaTheme="minorHAnsi"/>
          <w:lang w:val="es-ES_tradnl" w:eastAsia="ja-JP"/>
        </w:rPr>
      </w:pPr>
      <w:r w:rsidRPr="00983703">
        <w:rPr>
          <w:rFonts w:eastAsiaTheme="minorHAnsi"/>
          <w:lang w:val="es-ES_tradnl"/>
        </w:rPr>
        <w:t>5.1.3.1</w:t>
      </w:r>
      <w:r w:rsidRPr="00983703">
        <w:rPr>
          <w:rFonts w:eastAsiaTheme="minorHAnsi"/>
          <w:lang w:val="es-ES_tradnl"/>
        </w:rPr>
        <w:tab/>
      </w:r>
      <w:r w:rsidRPr="00983703">
        <w:rPr>
          <w:rFonts w:eastAsiaTheme="minorHAnsi"/>
          <w:lang w:val="es-ES_tradnl" w:eastAsia="ja-JP"/>
        </w:rPr>
        <w:t>El GANT tomó nota del Documento TD241.</w:t>
      </w:r>
    </w:p>
    <w:p w14:paraId="259E995B" w14:textId="77777777" w:rsidR="00BE59AA" w:rsidRPr="00983703" w:rsidRDefault="00BE59AA" w:rsidP="0048211B">
      <w:pPr>
        <w:pStyle w:val="Heading2"/>
        <w:rPr>
          <w:lang w:val="es-ES_tradnl"/>
        </w:rPr>
      </w:pPr>
      <w:bookmarkStart w:id="21" w:name="_Toc140261641"/>
      <w:r w:rsidRPr="00983703">
        <w:rPr>
          <w:lang w:val="es-ES_tradnl"/>
        </w:rPr>
        <w:t>5.2</w:t>
      </w:r>
      <w:r w:rsidRPr="00983703">
        <w:rPr>
          <w:lang w:val="es-ES_tradnl"/>
        </w:rPr>
        <w:tab/>
        <w:t>Grupo Temático del UIT-T sobre modelos de costes de servicios de datos asequibles (GT-CD)</w:t>
      </w:r>
      <w:bookmarkEnd w:id="21"/>
    </w:p>
    <w:p w14:paraId="5B100822" w14:textId="77777777" w:rsidR="0048211B" w:rsidRPr="00983703" w:rsidRDefault="0048211B" w:rsidP="0048211B">
      <w:pPr>
        <w:rPr>
          <w:rFonts w:eastAsiaTheme="minorHAnsi"/>
          <w:lang w:val="es-ES_tradnl" w:eastAsia="ja-JP"/>
        </w:rPr>
      </w:pPr>
      <w:r w:rsidRPr="00983703">
        <w:rPr>
          <w:rFonts w:eastAsiaTheme="minorHAnsi"/>
          <w:lang w:val="es-ES_tradnl"/>
        </w:rPr>
        <w:t>5.2.1</w:t>
      </w:r>
      <w:r w:rsidRPr="00983703">
        <w:rPr>
          <w:rFonts w:eastAsiaTheme="minorHAnsi"/>
          <w:lang w:val="es-ES_tradnl"/>
        </w:rPr>
        <w:tab/>
      </w:r>
      <w:r w:rsidRPr="00983703">
        <w:rPr>
          <w:rFonts w:eastAsiaTheme="minorHAnsi"/>
          <w:lang w:val="es-ES_tradnl" w:eastAsia="ja-JP"/>
        </w:rPr>
        <w:t xml:space="preserve">El presidente de la CE 3 del UIT-T, Sr. Ahmed SAID, presentó en </w:t>
      </w:r>
      <w:hyperlink r:id="rId48" w:history="1">
        <w:r w:rsidRPr="00983703">
          <w:rPr>
            <w:rFonts w:eastAsiaTheme="minorHAnsi"/>
            <w:color w:val="0000FF"/>
            <w:u w:val="single"/>
            <w:lang w:val="es-ES_tradnl" w:eastAsia="ja-JP"/>
          </w:rPr>
          <w:t>TD240</w:t>
        </w:r>
      </w:hyperlink>
      <w:r w:rsidRPr="00983703">
        <w:rPr>
          <w:rFonts w:eastAsiaTheme="minorHAnsi"/>
          <w:lang w:val="es-ES_tradnl" w:eastAsia="ja-JP"/>
        </w:rPr>
        <w:t xml:space="preserve"> una declaración de coordinación para comunicar el establecimiento de un nuevo Grupo Temático del UIT-T sobre modelos de costes de servicios de datos asequibles (GT-CD).</w:t>
      </w:r>
    </w:p>
    <w:p w14:paraId="1114F445" w14:textId="77777777" w:rsidR="0048211B" w:rsidRPr="00983703" w:rsidRDefault="0048211B" w:rsidP="0048211B">
      <w:pPr>
        <w:rPr>
          <w:rFonts w:eastAsiaTheme="minorHAnsi"/>
          <w:lang w:val="es-ES_tradnl"/>
        </w:rPr>
      </w:pPr>
      <w:r w:rsidRPr="00983703">
        <w:rPr>
          <w:rFonts w:eastAsiaTheme="minorHAnsi"/>
          <w:lang w:val="es-ES_tradnl"/>
        </w:rPr>
        <w:lastRenderedPageBreak/>
        <w:t>5.2.2</w:t>
      </w:r>
      <w:r w:rsidRPr="00983703">
        <w:rPr>
          <w:rFonts w:eastAsiaTheme="minorHAnsi"/>
          <w:lang w:val="es-ES_tradnl"/>
        </w:rPr>
        <w:tab/>
      </w:r>
      <w:r w:rsidRPr="00983703">
        <w:rPr>
          <w:rFonts w:eastAsiaTheme="minorHAnsi"/>
          <w:lang w:val="es-ES_tradnl" w:eastAsia="ja-JP"/>
        </w:rPr>
        <w:t xml:space="preserve">El presidente del GCPN presentó en </w:t>
      </w:r>
      <w:hyperlink r:id="rId49" w:history="1">
        <w:r w:rsidRPr="00983703">
          <w:rPr>
            <w:rFonts w:eastAsiaTheme="minorHAnsi"/>
            <w:color w:val="0000FF"/>
            <w:u w:val="single"/>
            <w:lang w:val="es-ES_tradnl" w:eastAsia="ja-JP"/>
          </w:rPr>
          <w:t>TD264</w:t>
        </w:r>
      </w:hyperlink>
      <w:r w:rsidRPr="00983703">
        <w:rPr>
          <w:rFonts w:eastAsiaTheme="minorHAnsi"/>
          <w:lang w:val="es-ES_tradnl" w:eastAsia="ja-JP"/>
        </w:rPr>
        <w:t xml:space="preserve"> la recomendación formulada por el GCPN de la CEI/ISO/UI sobre el nuevo Grupo Temático del UIT-T sobre modelos de costes para servicios de datos asequibles (GT-CD).</w:t>
      </w:r>
    </w:p>
    <w:p w14:paraId="6BEBAE77" w14:textId="088DD884" w:rsidR="0048211B" w:rsidRPr="00983703" w:rsidRDefault="0048211B" w:rsidP="0048211B">
      <w:pPr>
        <w:rPr>
          <w:rFonts w:eastAsiaTheme="minorHAnsi"/>
          <w:lang w:val="es-ES_tradnl"/>
        </w:rPr>
      </w:pPr>
      <w:r w:rsidRPr="00983703">
        <w:rPr>
          <w:rFonts w:eastAsiaTheme="minorHAnsi"/>
          <w:lang w:val="es-ES_tradnl"/>
        </w:rPr>
        <w:t>5.2.3</w:t>
      </w:r>
      <w:r w:rsidRPr="00983703">
        <w:rPr>
          <w:rFonts w:eastAsiaTheme="minorHAnsi"/>
          <w:lang w:val="es-ES_tradnl"/>
        </w:rPr>
        <w:tab/>
        <w:t xml:space="preserve">La reunión acordó aceptar la recomendación del </w:t>
      </w:r>
      <w:r w:rsidRPr="00983703">
        <w:rPr>
          <w:rFonts w:eastAsiaTheme="minorHAnsi"/>
          <w:lang w:val="es-ES_tradnl" w:eastAsia="ja-JP"/>
        </w:rPr>
        <w:t xml:space="preserve">GCPN </w:t>
      </w:r>
      <w:r w:rsidRPr="00983703">
        <w:rPr>
          <w:rFonts w:eastAsiaTheme="minorHAnsi"/>
          <w:lang w:val="es-ES_tradnl"/>
        </w:rPr>
        <w:t xml:space="preserve">y enviar una declaración de coordinación en </w:t>
      </w:r>
      <w:hyperlink r:id="rId50" w:history="1">
        <w:r w:rsidRPr="00983703">
          <w:rPr>
            <w:rFonts w:eastAsiaTheme="minorHAnsi"/>
            <w:color w:val="0000FF"/>
            <w:u w:val="single"/>
            <w:lang w:val="es-ES_tradnl" w:eastAsia="ja-JP"/>
          </w:rPr>
          <w:t>TSAG-LS13</w:t>
        </w:r>
      </w:hyperlink>
      <w:r w:rsidRPr="00983703">
        <w:rPr>
          <w:rFonts w:eastAsiaTheme="minorHAnsi"/>
          <w:lang w:val="es-ES_tradnl" w:eastAsia="ja-JP"/>
        </w:rPr>
        <w:t>/</w:t>
      </w:r>
      <w:hyperlink r:id="rId51" w:history="1">
        <w:r w:rsidRPr="00983703">
          <w:rPr>
            <w:rFonts w:eastAsiaTheme="minorHAnsi"/>
            <w:color w:val="0000FF"/>
            <w:u w:val="single"/>
            <w:lang w:val="es-ES_tradnl" w:eastAsia="ja-JP"/>
          </w:rPr>
          <w:t>TD288</w:t>
        </w:r>
      </w:hyperlink>
      <w:r w:rsidRPr="00983703">
        <w:rPr>
          <w:rFonts w:eastAsiaTheme="minorHAnsi"/>
          <w:lang w:val="es-ES_tradnl"/>
        </w:rPr>
        <w:t xml:space="preserve"> a la CE3 del UIT-T y al GT-CD.</w:t>
      </w:r>
    </w:p>
    <w:p w14:paraId="0EF33DB9" w14:textId="77777777" w:rsidR="00BE59AA" w:rsidRPr="00983703" w:rsidRDefault="00BE59AA" w:rsidP="0048211B">
      <w:pPr>
        <w:pStyle w:val="Heading2"/>
        <w:rPr>
          <w:lang w:val="es-ES_tradnl"/>
        </w:rPr>
      </w:pPr>
      <w:bookmarkStart w:id="22" w:name="_Toc140261642"/>
      <w:r w:rsidRPr="00983703">
        <w:rPr>
          <w:lang w:val="es-ES_tradnl"/>
        </w:rPr>
        <w:t>5.3</w:t>
      </w:r>
      <w:r w:rsidRPr="00983703">
        <w:rPr>
          <w:lang w:val="es-ES_tradnl"/>
        </w:rPr>
        <w:tab/>
        <w:t>Grupo Temático del UIT-T sobre Redes Autónomas (GT-RA)</w:t>
      </w:r>
      <w:bookmarkEnd w:id="22"/>
    </w:p>
    <w:p w14:paraId="7FDDFD1E" w14:textId="5B575B07" w:rsidR="0048211B" w:rsidRPr="00983703" w:rsidRDefault="0048211B" w:rsidP="009817D4">
      <w:pPr>
        <w:rPr>
          <w:rFonts w:eastAsiaTheme="minorHAnsi"/>
          <w:lang w:val="es-ES_tradnl" w:eastAsia="ja-JP"/>
        </w:rPr>
      </w:pPr>
      <w:r w:rsidRPr="00983703">
        <w:rPr>
          <w:rFonts w:eastAsiaTheme="minorHAnsi"/>
          <w:lang w:val="es-ES_tradnl"/>
        </w:rPr>
        <w:t>5.3.1</w:t>
      </w:r>
      <w:r w:rsidRPr="00983703">
        <w:rPr>
          <w:rFonts w:eastAsiaTheme="minorHAnsi"/>
          <w:lang w:val="es-ES_tradnl"/>
        </w:rPr>
        <w:tab/>
      </w:r>
      <w:r w:rsidRPr="00983703">
        <w:rPr>
          <w:rFonts w:eastAsiaTheme="minorHAnsi"/>
          <w:lang w:val="es-ES_tradnl" w:eastAsia="ja-JP"/>
        </w:rPr>
        <w:t xml:space="preserve">El vicepresidente de la CE 13 del UIT-T, Sr. Scott MANSFIELD (Ericsson Canadá), presentó en </w:t>
      </w:r>
      <w:hyperlink r:id="rId52">
        <w:r w:rsidRPr="00983703">
          <w:rPr>
            <w:rFonts w:eastAsiaTheme="minorHAnsi"/>
            <w:color w:val="0000FF"/>
            <w:u w:val="single"/>
            <w:lang w:val="es-ES_tradnl" w:eastAsia="ja-JP"/>
          </w:rPr>
          <w:t>TD247</w:t>
        </w:r>
      </w:hyperlink>
      <w:r w:rsidRPr="00983703">
        <w:rPr>
          <w:rFonts w:eastAsiaTheme="minorHAnsi"/>
          <w:lang w:val="es-ES_tradnl" w:eastAsia="ja-JP"/>
        </w:rPr>
        <w:t xml:space="preserve"> una declaración de coordinación sobre la continuación del funcionamiento del</w:t>
      </w:r>
      <w:r w:rsidR="009817D4" w:rsidRPr="00983703">
        <w:rPr>
          <w:rFonts w:eastAsiaTheme="minorHAnsi"/>
          <w:lang w:val="es-ES_tradnl" w:eastAsia="ja-JP"/>
        </w:rPr>
        <w:t> </w:t>
      </w:r>
      <w:r w:rsidRPr="00983703">
        <w:rPr>
          <w:rFonts w:eastAsiaTheme="minorHAnsi"/>
          <w:lang w:val="es-ES_tradnl" w:eastAsia="ja-JP"/>
        </w:rPr>
        <w:t>GT-RA hasta finales de 2023.</w:t>
      </w:r>
    </w:p>
    <w:p w14:paraId="0244737E" w14:textId="7135E378" w:rsidR="0048211B" w:rsidRPr="00983703" w:rsidRDefault="0048211B" w:rsidP="009817D4">
      <w:pPr>
        <w:rPr>
          <w:rFonts w:eastAsiaTheme="minorHAnsi"/>
          <w:lang w:val="es-ES_tradnl"/>
        </w:rPr>
      </w:pPr>
      <w:r w:rsidRPr="00983703">
        <w:rPr>
          <w:rFonts w:eastAsiaTheme="minorHAnsi"/>
          <w:lang w:val="es-ES_tradnl"/>
        </w:rPr>
        <w:t>5.3.1.1</w:t>
      </w:r>
      <w:r w:rsidRPr="00983703">
        <w:rPr>
          <w:rFonts w:eastAsiaTheme="minorHAnsi"/>
          <w:lang w:val="es-ES_tradnl"/>
        </w:rPr>
        <w:tab/>
        <w:t xml:space="preserve">La reunión tomó nota del </w:t>
      </w:r>
      <w:r w:rsidR="00FE165F">
        <w:rPr>
          <w:rFonts w:eastAsiaTheme="minorHAnsi"/>
          <w:lang w:val="es-ES_tradnl"/>
        </w:rPr>
        <w:t>D</w:t>
      </w:r>
      <w:r w:rsidRPr="00983703">
        <w:rPr>
          <w:rFonts w:eastAsiaTheme="minorHAnsi"/>
          <w:lang w:val="es-ES_tradnl"/>
        </w:rPr>
        <w:t>ocumento TD247.</w:t>
      </w:r>
    </w:p>
    <w:p w14:paraId="2FA8800A" w14:textId="64A93E54" w:rsidR="00BE59AA" w:rsidRPr="00983703" w:rsidRDefault="00BE59AA" w:rsidP="00404869">
      <w:pPr>
        <w:pStyle w:val="Heading2"/>
        <w:rPr>
          <w:lang w:val="es-ES_tradnl"/>
        </w:rPr>
      </w:pPr>
      <w:bookmarkStart w:id="23" w:name="_Toc140261643"/>
      <w:r w:rsidRPr="00983703">
        <w:rPr>
          <w:lang w:val="es-ES_tradnl"/>
        </w:rPr>
        <w:t>5.4</w:t>
      </w:r>
      <w:r w:rsidRPr="00983703">
        <w:rPr>
          <w:lang w:val="es-ES_tradnl"/>
        </w:rPr>
        <w:tab/>
        <w:t>Grupo Temático del UIT-T sobre federaciones de bancos de pruebas para las</w:t>
      </w:r>
      <w:r w:rsidR="004839EF">
        <w:rPr>
          <w:lang w:val="es-ES_tradnl"/>
        </w:rPr>
        <w:t> </w:t>
      </w:r>
      <w:r w:rsidRPr="00983703">
        <w:rPr>
          <w:lang w:val="es-ES_tradnl"/>
        </w:rPr>
        <w:t>IMT</w:t>
      </w:r>
      <w:r w:rsidR="00404869" w:rsidRPr="00983703">
        <w:rPr>
          <w:lang w:val="es-ES_tradnl"/>
        </w:rPr>
        <w:noBreakHyphen/>
      </w:r>
      <w:r w:rsidRPr="00983703">
        <w:rPr>
          <w:lang w:val="es-ES_tradnl"/>
        </w:rPr>
        <w:t>2020 y sistemas posteriores (GT-</w:t>
      </w:r>
      <w:proofErr w:type="spellStart"/>
      <w:r w:rsidRPr="00983703">
        <w:rPr>
          <w:lang w:val="es-ES_tradnl"/>
        </w:rPr>
        <w:t>TBFxG</w:t>
      </w:r>
      <w:proofErr w:type="spellEnd"/>
      <w:r w:rsidRPr="00983703">
        <w:rPr>
          <w:lang w:val="es-ES_tradnl"/>
        </w:rPr>
        <w:t>))</w:t>
      </w:r>
      <w:bookmarkEnd w:id="23"/>
    </w:p>
    <w:p w14:paraId="78BD4E04" w14:textId="528D49A9" w:rsidR="00404869" w:rsidRPr="00983703" w:rsidRDefault="00404869" w:rsidP="00404869">
      <w:pPr>
        <w:rPr>
          <w:rFonts w:eastAsiaTheme="minorHAnsi"/>
          <w:lang w:val="es-ES_tradnl" w:eastAsia="ja-JP"/>
        </w:rPr>
      </w:pPr>
      <w:r w:rsidRPr="00983703">
        <w:rPr>
          <w:rFonts w:eastAsiaTheme="minorHAnsi"/>
          <w:lang w:val="es-ES_tradnl"/>
        </w:rPr>
        <w:t>5.4.1</w:t>
      </w:r>
      <w:r w:rsidRPr="00983703">
        <w:rPr>
          <w:rFonts w:eastAsiaTheme="minorHAnsi"/>
          <w:lang w:val="es-ES_tradnl"/>
        </w:rPr>
        <w:tab/>
      </w:r>
      <w:r w:rsidRPr="00983703">
        <w:rPr>
          <w:rFonts w:eastAsiaTheme="minorHAnsi"/>
          <w:lang w:val="es-ES_tradnl" w:eastAsia="ja-JP"/>
        </w:rPr>
        <w:t xml:space="preserve">En </w:t>
      </w:r>
      <w:hyperlink r:id="rId53" w:history="1">
        <w:r w:rsidRPr="00983703">
          <w:rPr>
            <w:rFonts w:eastAsiaTheme="minorHAnsi"/>
            <w:color w:val="0000FF"/>
            <w:u w:val="single"/>
            <w:lang w:val="es-ES_tradnl" w:eastAsia="ja-JP"/>
          </w:rPr>
          <w:t>TD270</w:t>
        </w:r>
      </w:hyperlink>
      <w:r w:rsidRPr="00983703">
        <w:rPr>
          <w:rFonts w:eastAsiaTheme="minorHAnsi"/>
          <w:lang w:val="es-ES_tradnl" w:eastAsia="ja-JP"/>
        </w:rPr>
        <w:t xml:space="preserve"> se presentó una declaración de coordinación de la CE 11 del UIT-T para comunicar que la </w:t>
      </w:r>
      <w:r w:rsidRPr="00983703">
        <w:rPr>
          <w:rFonts w:asciiTheme="majorBidi" w:eastAsiaTheme="minorHAnsi" w:hAnsiTheme="majorBidi" w:cstheme="majorBidi"/>
          <w:lang w:val="es-ES_tradnl" w:eastAsia="ja-JP"/>
        </w:rPr>
        <w:t>duración del Grupo Temático sobre federaciones de bancos de pruebas para las IMT-2020 y sistemas posteriores (GT-</w:t>
      </w:r>
      <w:proofErr w:type="spellStart"/>
      <w:r w:rsidRPr="00983703">
        <w:rPr>
          <w:rFonts w:asciiTheme="majorBidi" w:eastAsiaTheme="minorHAnsi" w:hAnsiTheme="majorBidi" w:cstheme="majorBidi"/>
          <w:lang w:val="es-ES_tradnl" w:eastAsia="ja-JP"/>
        </w:rPr>
        <w:t>TBFxG</w:t>
      </w:r>
      <w:proofErr w:type="spellEnd"/>
      <w:r w:rsidRPr="00983703">
        <w:rPr>
          <w:rFonts w:asciiTheme="majorBidi" w:eastAsiaTheme="minorHAnsi" w:hAnsiTheme="majorBidi" w:cstheme="majorBidi"/>
          <w:lang w:val="es-ES_tradnl" w:eastAsia="ja-JP"/>
        </w:rPr>
        <w:t>) se había prorrogado hasta junio de 2024.</w:t>
      </w:r>
    </w:p>
    <w:p w14:paraId="1166E1DF" w14:textId="7C68CC0B" w:rsidR="00404869" w:rsidRPr="00983703" w:rsidRDefault="00404869" w:rsidP="00404869">
      <w:pPr>
        <w:rPr>
          <w:rFonts w:eastAsiaTheme="minorHAnsi"/>
          <w:lang w:val="es-ES_tradnl"/>
        </w:rPr>
      </w:pPr>
      <w:r w:rsidRPr="00983703">
        <w:rPr>
          <w:rFonts w:eastAsiaTheme="minorHAnsi"/>
          <w:lang w:val="es-ES_tradnl"/>
        </w:rPr>
        <w:t>5.4.1.1</w:t>
      </w:r>
      <w:r w:rsidRPr="00983703">
        <w:rPr>
          <w:rFonts w:eastAsiaTheme="minorHAnsi"/>
          <w:lang w:val="es-ES_tradnl"/>
        </w:rPr>
        <w:tab/>
        <w:t xml:space="preserve">El GANT tomó nota del </w:t>
      </w:r>
      <w:r w:rsidR="00FE165F">
        <w:rPr>
          <w:rFonts w:eastAsiaTheme="minorHAnsi"/>
          <w:lang w:val="es-ES_tradnl"/>
        </w:rPr>
        <w:t>D</w:t>
      </w:r>
      <w:r w:rsidRPr="00983703">
        <w:rPr>
          <w:rFonts w:eastAsiaTheme="minorHAnsi"/>
          <w:lang w:val="es-ES_tradnl"/>
        </w:rPr>
        <w:t>ocumento TD270.</w:t>
      </w:r>
    </w:p>
    <w:p w14:paraId="720FA755" w14:textId="5F052E8E" w:rsidR="00BE59AA" w:rsidRPr="00983703" w:rsidRDefault="00B97A12" w:rsidP="00B97A12">
      <w:pPr>
        <w:pStyle w:val="Heading1"/>
        <w:rPr>
          <w:lang w:val="es-ES_tradnl"/>
        </w:rPr>
      </w:pPr>
      <w:bookmarkStart w:id="24" w:name="_Toc140261644"/>
      <w:r w:rsidRPr="00983703">
        <w:rPr>
          <w:lang w:val="es-ES_tradnl"/>
        </w:rPr>
        <w:t>6</w:t>
      </w:r>
      <w:r w:rsidRPr="00983703">
        <w:rPr>
          <w:lang w:val="es-ES_tradnl"/>
        </w:rPr>
        <w:tab/>
      </w:r>
      <w:proofErr w:type="gramStart"/>
      <w:r w:rsidR="00BE59AA" w:rsidRPr="00983703">
        <w:rPr>
          <w:lang w:val="es-ES_tradnl"/>
        </w:rPr>
        <w:t>Actividades</w:t>
      </w:r>
      <w:proofErr w:type="gramEnd"/>
      <w:r w:rsidR="00BE59AA" w:rsidRPr="00983703">
        <w:rPr>
          <w:lang w:val="es-ES_tradnl"/>
        </w:rPr>
        <w:t xml:space="preserve"> de coordinación conjuntas del UIT-T</w:t>
      </w:r>
      <w:bookmarkEnd w:id="24"/>
    </w:p>
    <w:p w14:paraId="5D9353C6" w14:textId="77777777" w:rsidR="00BE59AA" w:rsidRPr="00983703" w:rsidRDefault="00BE59AA" w:rsidP="00404869">
      <w:pPr>
        <w:pStyle w:val="Heading2"/>
        <w:rPr>
          <w:lang w:val="es-ES_tradnl"/>
        </w:rPr>
      </w:pPr>
      <w:bookmarkStart w:id="25" w:name="_Toc140261645"/>
      <w:r w:rsidRPr="00983703">
        <w:rPr>
          <w:lang w:val="es-ES_tradnl"/>
        </w:rPr>
        <w:t>6.1</w:t>
      </w:r>
      <w:r w:rsidRPr="00983703">
        <w:rPr>
          <w:lang w:val="es-ES_tradnl"/>
        </w:rPr>
        <w:tab/>
        <w:t>Actividad de coordinación conjunta del UIT-T sobre certificados digitales COVID-19 (JCA-DCC del UIT-T)</w:t>
      </w:r>
      <w:bookmarkEnd w:id="25"/>
    </w:p>
    <w:p w14:paraId="7B582481" w14:textId="77777777" w:rsidR="00404869" w:rsidRPr="00983703" w:rsidRDefault="00404869" w:rsidP="00404869">
      <w:pPr>
        <w:rPr>
          <w:rFonts w:eastAsiaTheme="minorHAnsi"/>
          <w:lang w:val="es-ES_tradnl" w:eastAsia="ja-JP"/>
        </w:rPr>
      </w:pPr>
      <w:r w:rsidRPr="00983703">
        <w:rPr>
          <w:rFonts w:eastAsiaTheme="minorHAnsi"/>
          <w:lang w:val="es-ES_tradnl"/>
        </w:rPr>
        <w:t>6.1.1</w:t>
      </w:r>
      <w:r w:rsidRPr="00983703">
        <w:rPr>
          <w:rFonts w:eastAsiaTheme="minorHAnsi"/>
          <w:lang w:val="es-ES_tradnl"/>
        </w:rPr>
        <w:tab/>
      </w:r>
      <w:r w:rsidRPr="00983703">
        <w:rPr>
          <w:rFonts w:eastAsiaTheme="minorHAnsi"/>
          <w:lang w:val="es-ES_tradnl" w:eastAsia="ja-JP"/>
        </w:rPr>
        <w:t xml:space="preserve">El copresidente de la JCA-DCC del UIT-T, Sr. Heung-Youl YOUM, presentó en </w:t>
      </w:r>
      <w:hyperlink r:id="rId54" w:history="1">
        <w:r w:rsidRPr="00983703">
          <w:rPr>
            <w:rFonts w:eastAsiaTheme="minorHAnsi"/>
            <w:color w:val="0000FF"/>
            <w:u w:val="single"/>
            <w:lang w:val="es-ES_tradnl" w:eastAsia="ja-JP"/>
          </w:rPr>
          <w:t>TD209</w:t>
        </w:r>
      </w:hyperlink>
      <w:r w:rsidRPr="00983703">
        <w:rPr>
          <w:rFonts w:eastAsiaTheme="minorHAnsi"/>
          <w:color w:val="0000FF"/>
          <w:u w:val="single"/>
          <w:lang w:val="es-ES_tradnl" w:eastAsia="ja-JP"/>
        </w:rPr>
        <w:t xml:space="preserve"> </w:t>
      </w:r>
      <w:r w:rsidRPr="00983703">
        <w:rPr>
          <w:rFonts w:eastAsiaTheme="minorHAnsi"/>
          <w:lang w:val="es-ES_tradnl" w:eastAsia="ja-JP"/>
        </w:rPr>
        <w:t>el informe de situación relativo a la Actividad de Coordinación Conjunta sobre Certificados Digitales COVID-19 (JCA-DCC) y a su reunión celebrada el 24 de febrero de 2023, e informó al GANT sobre sus actividades previstas para septiembre de 2023.</w:t>
      </w:r>
    </w:p>
    <w:p w14:paraId="7F7D5D13" w14:textId="640F06BE" w:rsidR="00404869" w:rsidRPr="00983703" w:rsidRDefault="00404869" w:rsidP="00404869">
      <w:pPr>
        <w:rPr>
          <w:rFonts w:eastAsiaTheme="minorHAnsi"/>
          <w:lang w:val="es-ES_tradnl"/>
        </w:rPr>
      </w:pPr>
      <w:r w:rsidRPr="00983703">
        <w:rPr>
          <w:rFonts w:eastAsiaTheme="minorHAnsi"/>
          <w:lang w:val="es-ES_tradnl"/>
        </w:rPr>
        <w:t>6.1.1.1</w:t>
      </w:r>
      <w:r w:rsidRPr="00983703">
        <w:rPr>
          <w:rFonts w:eastAsiaTheme="minorHAnsi"/>
          <w:lang w:val="es-ES_tradnl"/>
        </w:rPr>
        <w:tab/>
        <w:t xml:space="preserve">La reunión tomó nota del </w:t>
      </w:r>
      <w:r w:rsidR="006F6F91">
        <w:rPr>
          <w:rFonts w:eastAsiaTheme="minorHAnsi"/>
          <w:lang w:val="es-ES_tradnl"/>
        </w:rPr>
        <w:t>D</w:t>
      </w:r>
      <w:r w:rsidRPr="00983703">
        <w:rPr>
          <w:rFonts w:eastAsiaTheme="minorHAnsi"/>
          <w:lang w:val="es-ES_tradnl"/>
        </w:rPr>
        <w:t>ocumento TD209.</w:t>
      </w:r>
    </w:p>
    <w:p w14:paraId="069C22E9" w14:textId="77777777" w:rsidR="00BE59AA" w:rsidRPr="00983703" w:rsidRDefault="00BE59AA" w:rsidP="00404869">
      <w:pPr>
        <w:pStyle w:val="Heading2"/>
        <w:rPr>
          <w:b w:val="0"/>
          <w:lang w:val="es-ES_tradnl"/>
        </w:rPr>
      </w:pPr>
      <w:bookmarkStart w:id="26" w:name="_Toc140261646"/>
      <w:r w:rsidRPr="00983703">
        <w:rPr>
          <w:lang w:val="es-ES_tradnl"/>
        </w:rPr>
        <w:t>6.2</w:t>
      </w:r>
      <w:r w:rsidRPr="00983703">
        <w:rPr>
          <w:lang w:val="es-ES_tradnl"/>
        </w:rPr>
        <w:tab/>
        <w:t>Actividad de Coordinación Conjunta del UIT-T sobre redes de distribución de claves cuánticas (JCA-QKDN del UIT-T)</w:t>
      </w:r>
      <w:bookmarkEnd w:id="26"/>
    </w:p>
    <w:p w14:paraId="63E4BDF5" w14:textId="1C16DE19" w:rsidR="00404869" w:rsidRPr="00983703" w:rsidRDefault="00404869" w:rsidP="00404869">
      <w:pPr>
        <w:rPr>
          <w:rFonts w:eastAsiaTheme="minorHAnsi"/>
          <w:lang w:val="es-ES_tradnl" w:eastAsia="ja-JP"/>
        </w:rPr>
      </w:pPr>
      <w:r w:rsidRPr="00983703">
        <w:rPr>
          <w:rFonts w:eastAsiaTheme="minorHAnsi"/>
          <w:lang w:val="es-ES_tradnl"/>
        </w:rPr>
        <w:t>6.2.1</w:t>
      </w:r>
      <w:r w:rsidRPr="00983703">
        <w:rPr>
          <w:rFonts w:eastAsiaTheme="minorHAnsi"/>
          <w:lang w:val="es-ES_tradnl"/>
        </w:rPr>
        <w:tab/>
      </w:r>
      <w:r w:rsidRPr="00983703">
        <w:rPr>
          <w:rFonts w:eastAsiaTheme="minorHAnsi"/>
          <w:lang w:val="es-ES_tradnl" w:eastAsia="ja-JP"/>
        </w:rPr>
        <w:t xml:space="preserve">El presidente de la JCA-QKDN del UIT-T, Sr. </w:t>
      </w:r>
      <w:proofErr w:type="spellStart"/>
      <w:r w:rsidRPr="00983703">
        <w:rPr>
          <w:rFonts w:eastAsiaTheme="minorHAnsi"/>
          <w:lang w:val="es-ES_tradnl" w:eastAsia="ja-JP"/>
        </w:rPr>
        <w:t>Junsen</w:t>
      </w:r>
      <w:proofErr w:type="spellEnd"/>
      <w:r w:rsidRPr="00983703">
        <w:rPr>
          <w:rFonts w:eastAsiaTheme="minorHAnsi"/>
          <w:lang w:val="es-ES_tradnl" w:eastAsia="ja-JP"/>
        </w:rPr>
        <w:t xml:space="preserve"> LAI, presentó en </w:t>
      </w:r>
      <w:hyperlink r:id="rId55" w:history="1">
        <w:r w:rsidRPr="00983703">
          <w:rPr>
            <w:rFonts w:eastAsiaTheme="minorHAnsi"/>
            <w:color w:val="0000FF"/>
            <w:u w:val="single"/>
            <w:lang w:val="es-ES_tradnl" w:eastAsia="ja-JP"/>
          </w:rPr>
          <w:t>TD210</w:t>
        </w:r>
      </w:hyperlink>
      <w:r w:rsidRPr="00983703">
        <w:rPr>
          <w:rFonts w:eastAsiaTheme="minorHAnsi"/>
          <w:lang w:val="es-ES_tradnl" w:eastAsia="ja-JP"/>
        </w:rPr>
        <w:t xml:space="preserve"> un resumen ejecutivo de la primera reunión de la Actividad de Coordinación Conjunta sobre redes de distribución de claves cuánticas (JCA-QKDN del UIT-T), celebrada en Ginebra, 22 de marzo de 2023.</w:t>
      </w:r>
    </w:p>
    <w:p w14:paraId="59584E39" w14:textId="40ADFDB9" w:rsidR="00404869" w:rsidRPr="00983703" w:rsidRDefault="00404869" w:rsidP="00404869">
      <w:pPr>
        <w:rPr>
          <w:rFonts w:eastAsiaTheme="minorHAnsi"/>
          <w:lang w:val="es-ES_tradnl"/>
        </w:rPr>
      </w:pPr>
      <w:r w:rsidRPr="00983703">
        <w:rPr>
          <w:rFonts w:eastAsiaTheme="minorHAnsi"/>
          <w:lang w:val="es-ES_tradnl"/>
        </w:rPr>
        <w:t>6.2.1.1</w:t>
      </w:r>
      <w:r w:rsidRPr="00983703">
        <w:rPr>
          <w:rFonts w:eastAsiaTheme="minorHAnsi"/>
          <w:lang w:val="es-ES_tradnl"/>
        </w:rPr>
        <w:tab/>
        <w:t xml:space="preserve">La reunión tomó nota del </w:t>
      </w:r>
      <w:r w:rsidR="00FE165F">
        <w:rPr>
          <w:rFonts w:eastAsiaTheme="minorHAnsi"/>
          <w:lang w:val="es-ES_tradnl"/>
        </w:rPr>
        <w:t>D</w:t>
      </w:r>
      <w:r w:rsidRPr="00983703">
        <w:rPr>
          <w:rFonts w:eastAsiaTheme="minorHAnsi"/>
          <w:lang w:val="es-ES_tradnl"/>
        </w:rPr>
        <w:t>ocumento TD210.</w:t>
      </w:r>
    </w:p>
    <w:p w14:paraId="186D9B6F" w14:textId="77777777" w:rsidR="00BE59AA" w:rsidRPr="00983703" w:rsidRDefault="00BE59AA" w:rsidP="00404869">
      <w:pPr>
        <w:pStyle w:val="Heading2"/>
        <w:rPr>
          <w:b w:val="0"/>
          <w:lang w:val="es-ES_tradnl"/>
        </w:rPr>
      </w:pPr>
      <w:bookmarkStart w:id="27" w:name="_Toc140261647"/>
      <w:r w:rsidRPr="00983703">
        <w:rPr>
          <w:lang w:val="es-ES_tradnl"/>
        </w:rPr>
        <w:t>6.3</w:t>
      </w:r>
      <w:r w:rsidRPr="00983703">
        <w:rPr>
          <w:lang w:val="es-ES_tradnl"/>
        </w:rPr>
        <w:tab/>
        <w:t>Actividad de Coordinación Conjunta del UIT-T sobre las IMT-2020 y tecnologías posteriores (JCA-IMT2020)</w:t>
      </w:r>
      <w:bookmarkEnd w:id="27"/>
    </w:p>
    <w:p w14:paraId="6401A564" w14:textId="02DFC63C" w:rsidR="00404869" w:rsidRPr="00983703" w:rsidRDefault="00404869" w:rsidP="00404869">
      <w:pPr>
        <w:rPr>
          <w:rFonts w:asciiTheme="majorBidi" w:eastAsiaTheme="minorHAnsi" w:hAnsiTheme="majorBidi" w:cstheme="majorBidi"/>
          <w:lang w:val="es-ES_tradnl" w:eastAsia="ja-JP"/>
        </w:rPr>
      </w:pPr>
      <w:r w:rsidRPr="00983703">
        <w:rPr>
          <w:rFonts w:eastAsiaTheme="minorHAnsi"/>
          <w:lang w:val="es-ES_tradnl"/>
        </w:rPr>
        <w:t>6.3.1</w:t>
      </w:r>
      <w:r w:rsidRPr="00983703">
        <w:rPr>
          <w:rFonts w:eastAsiaTheme="minorHAnsi"/>
          <w:lang w:val="es-ES_tradnl"/>
        </w:rPr>
        <w:tab/>
      </w:r>
      <w:r w:rsidRPr="00983703">
        <w:rPr>
          <w:rFonts w:eastAsiaTheme="minorHAnsi"/>
          <w:lang w:val="es-ES_tradnl" w:eastAsia="ja-JP"/>
        </w:rPr>
        <w:t xml:space="preserve">El vicepresidente de la CE 13 del UIT-T, Sr. Scott MANSFIELD (Ericsson Canadá), presentó en </w:t>
      </w:r>
      <w:hyperlink r:id="rId56">
        <w:r w:rsidRPr="00983703">
          <w:rPr>
            <w:rFonts w:eastAsiaTheme="minorHAnsi"/>
            <w:color w:val="0000FF"/>
            <w:u w:val="single"/>
            <w:lang w:val="es-ES_tradnl" w:eastAsia="ja-JP"/>
          </w:rPr>
          <w:t>TD246</w:t>
        </w:r>
      </w:hyperlink>
      <w:r w:rsidRPr="00983703">
        <w:rPr>
          <w:rFonts w:eastAsiaTheme="minorHAnsi"/>
          <w:lang w:val="es-ES_tradnl" w:eastAsia="ja-JP"/>
        </w:rPr>
        <w:t xml:space="preserve"> una declaración de coordinación para informar de la revisión del </w:t>
      </w:r>
      <w:r w:rsidRPr="00983703">
        <w:rPr>
          <w:rFonts w:asciiTheme="majorBidi" w:eastAsiaTheme="minorHAnsi" w:hAnsiTheme="majorBidi" w:cstheme="majorBidi"/>
          <w:lang w:val="es-ES_tradnl" w:eastAsia="ja-JP"/>
        </w:rPr>
        <w:t>mandato de la JCA-IMT2020.</w:t>
      </w:r>
    </w:p>
    <w:p w14:paraId="2E32C8D1" w14:textId="11073A36" w:rsidR="00404869" w:rsidRPr="00983703" w:rsidRDefault="00404869" w:rsidP="00404869">
      <w:pPr>
        <w:rPr>
          <w:rFonts w:eastAsiaTheme="minorHAnsi"/>
          <w:lang w:val="es-ES_tradnl"/>
        </w:rPr>
      </w:pPr>
      <w:r w:rsidRPr="00983703">
        <w:rPr>
          <w:rFonts w:eastAsiaTheme="minorHAnsi"/>
          <w:lang w:val="es-ES_tradnl"/>
        </w:rPr>
        <w:t>6.3.1.1</w:t>
      </w:r>
      <w:r w:rsidRPr="00983703">
        <w:rPr>
          <w:rFonts w:eastAsiaTheme="minorHAnsi"/>
          <w:lang w:val="es-ES_tradnl"/>
        </w:rPr>
        <w:tab/>
        <w:t xml:space="preserve">La reunión tomó nota del </w:t>
      </w:r>
      <w:r w:rsidR="00FE165F">
        <w:rPr>
          <w:rFonts w:eastAsiaTheme="minorHAnsi"/>
          <w:lang w:val="es-ES_tradnl"/>
        </w:rPr>
        <w:t>D</w:t>
      </w:r>
      <w:r w:rsidRPr="00983703">
        <w:rPr>
          <w:rFonts w:eastAsiaTheme="minorHAnsi"/>
          <w:lang w:val="es-ES_tradnl"/>
        </w:rPr>
        <w:t>ocumento TD246.</w:t>
      </w:r>
    </w:p>
    <w:p w14:paraId="3F8899D0" w14:textId="37CF0AAE" w:rsidR="00BE59AA" w:rsidRPr="00983703" w:rsidRDefault="00B97A12" w:rsidP="00B97A12">
      <w:pPr>
        <w:pStyle w:val="Heading1"/>
        <w:rPr>
          <w:lang w:val="es-ES_tradnl"/>
        </w:rPr>
      </w:pPr>
      <w:bookmarkStart w:id="28" w:name="_Toc140261648"/>
      <w:r w:rsidRPr="00983703">
        <w:rPr>
          <w:lang w:val="es-ES_tradnl"/>
        </w:rPr>
        <w:lastRenderedPageBreak/>
        <w:t>7</w:t>
      </w:r>
      <w:r w:rsidRPr="00983703">
        <w:rPr>
          <w:lang w:val="es-ES_tradnl"/>
        </w:rPr>
        <w:tab/>
      </w:r>
      <w:proofErr w:type="gramStart"/>
      <w:r w:rsidR="00BE59AA" w:rsidRPr="00983703">
        <w:rPr>
          <w:lang w:val="es-ES_tradnl"/>
        </w:rPr>
        <w:t>Coordinación</w:t>
      </w:r>
      <w:proofErr w:type="gramEnd"/>
      <w:r w:rsidR="00BE59AA" w:rsidRPr="00983703">
        <w:rPr>
          <w:lang w:val="es-ES_tradnl"/>
        </w:rPr>
        <w:t xml:space="preserve"> con la CEI, la ISO y el Grupo de Coordinación del Programa de Normalización (GCPN) CEI-ISO-UIT-T</w:t>
      </w:r>
      <w:bookmarkEnd w:id="28"/>
    </w:p>
    <w:p w14:paraId="4398BB7B" w14:textId="77777777" w:rsidR="007B1BDF" w:rsidRPr="00983703" w:rsidRDefault="007B1BDF" w:rsidP="007B1BDF">
      <w:pPr>
        <w:rPr>
          <w:rFonts w:eastAsiaTheme="minorHAnsi"/>
          <w:lang w:val="es-ES_tradnl"/>
        </w:rPr>
      </w:pPr>
      <w:r w:rsidRPr="00983703">
        <w:rPr>
          <w:rFonts w:eastAsiaTheme="minorHAnsi"/>
          <w:lang w:val="es-ES_tradnl"/>
        </w:rPr>
        <w:t>7.1</w:t>
      </w:r>
      <w:r w:rsidRPr="00983703">
        <w:rPr>
          <w:rFonts w:eastAsiaTheme="minorHAnsi"/>
          <w:lang w:val="es-ES_tradnl"/>
        </w:rPr>
        <w:tab/>
        <w:t>El GANT tomó nota del informe (</w:t>
      </w:r>
      <w:hyperlink r:id="rId57" w:history="1">
        <w:r w:rsidRPr="00983703">
          <w:rPr>
            <w:rFonts w:eastAsiaTheme="minorHAnsi"/>
            <w:color w:val="0000FF"/>
            <w:u w:val="single"/>
            <w:lang w:val="es-ES_tradnl" w:eastAsia="ja-JP"/>
          </w:rPr>
          <w:t>TD213</w:t>
        </w:r>
      </w:hyperlink>
      <w:r w:rsidRPr="00983703">
        <w:rPr>
          <w:rFonts w:eastAsiaTheme="minorHAnsi"/>
          <w:lang w:val="es-ES_tradnl"/>
        </w:rPr>
        <w:t xml:space="preserve">) de la 22ª reunión de la Cooperación Mundial para la Normalización CEI-ISO-UIT (WSC) que tuvo lugar el 24 de febrero de </w:t>
      </w:r>
      <w:r w:rsidRPr="00983703">
        <w:rPr>
          <w:rFonts w:eastAsiaTheme="minorHAnsi"/>
          <w:lang w:val="es-ES_tradnl" w:eastAsia="ja-JP"/>
        </w:rPr>
        <w:t>2023</w:t>
      </w:r>
      <w:r w:rsidRPr="00983703">
        <w:rPr>
          <w:rFonts w:eastAsiaTheme="minorHAnsi"/>
          <w:lang w:val="es-ES_tradnl"/>
        </w:rPr>
        <w:t xml:space="preserve">, en el que figura una </w:t>
      </w:r>
      <w:r w:rsidRPr="00983703">
        <w:rPr>
          <w:rFonts w:eastAsiaTheme="minorHAnsi"/>
          <w:lang w:val="es-ES_tradnl" w:eastAsia="ja-JP"/>
        </w:rPr>
        <w:t xml:space="preserve">declaración del Alto Comisionado de las Naciones Unidas para los Derechos Humanos, Sr. </w:t>
      </w:r>
      <w:proofErr w:type="spellStart"/>
      <w:r w:rsidRPr="00983703">
        <w:rPr>
          <w:rFonts w:eastAsiaTheme="minorHAnsi"/>
          <w:lang w:val="es-ES_tradnl" w:eastAsia="ja-JP"/>
        </w:rPr>
        <w:t>Volker</w:t>
      </w:r>
      <w:proofErr w:type="spellEnd"/>
      <w:r w:rsidRPr="00983703">
        <w:rPr>
          <w:rFonts w:eastAsiaTheme="minorHAnsi"/>
          <w:lang w:val="es-ES_tradnl" w:eastAsia="ja-JP"/>
        </w:rPr>
        <w:t xml:space="preserve"> TÜRK, realizada el 24 de febrero de 2023 en la reunión de la WSC</w:t>
      </w:r>
      <w:r w:rsidRPr="00983703">
        <w:rPr>
          <w:rFonts w:eastAsiaTheme="minorHAnsi"/>
          <w:lang w:val="es-ES_tradnl"/>
        </w:rPr>
        <w:t>.</w:t>
      </w:r>
    </w:p>
    <w:p w14:paraId="555D258A" w14:textId="77777777" w:rsidR="007B1BDF" w:rsidRPr="00983703" w:rsidRDefault="007B1BDF" w:rsidP="007B1BDF">
      <w:pPr>
        <w:rPr>
          <w:rFonts w:eastAsiaTheme="minorHAnsi"/>
          <w:lang w:val="es-ES_tradnl"/>
        </w:rPr>
      </w:pPr>
      <w:r w:rsidRPr="00983703">
        <w:rPr>
          <w:rFonts w:eastAsiaTheme="minorHAnsi"/>
          <w:lang w:val="es-ES_tradnl"/>
        </w:rPr>
        <w:t>7.1.1</w:t>
      </w:r>
      <w:r w:rsidRPr="00983703">
        <w:rPr>
          <w:rFonts w:eastAsiaTheme="minorHAnsi"/>
          <w:lang w:val="es-ES_tradnl"/>
        </w:rPr>
        <w:tab/>
        <w:t>Se pidió a la TSB que elaborara un informe para la próxima reunión del GANT con objeto de proporcionar información sobre:</w:t>
      </w:r>
    </w:p>
    <w:p w14:paraId="71760063" w14:textId="6CB8C005" w:rsidR="007B1BDF" w:rsidRPr="00983703" w:rsidRDefault="007B1BDF" w:rsidP="007B1BDF">
      <w:pPr>
        <w:pStyle w:val="enumlev2"/>
        <w:rPr>
          <w:lang w:val="es-ES_tradnl"/>
        </w:rPr>
      </w:pPr>
      <w:r w:rsidRPr="00983703">
        <w:rPr>
          <w:lang w:val="es-ES_tradnl"/>
        </w:rPr>
        <w:t>a)</w:t>
      </w:r>
      <w:r w:rsidRPr="00983703">
        <w:rPr>
          <w:lang w:val="es-ES_tradnl"/>
        </w:rPr>
        <w:tab/>
        <w:t>la manera de aplicar normas responsables en materia de género;</w:t>
      </w:r>
    </w:p>
    <w:p w14:paraId="56F9CD53" w14:textId="4C9A22A1" w:rsidR="007B1BDF" w:rsidRPr="00983703" w:rsidRDefault="007B1BDF" w:rsidP="007B1BDF">
      <w:pPr>
        <w:pStyle w:val="enumlev2"/>
        <w:rPr>
          <w:lang w:val="es-ES_tradnl"/>
        </w:rPr>
      </w:pPr>
      <w:r w:rsidRPr="00983703">
        <w:rPr>
          <w:lang w:val="es-ES_tradnl"/>
        </w:rPr>
        <w:t>b)</w:t>
      </w:r>
      <w:r w:rsidRPr="00983703">
        <w:rPr>
          <w:lang w:val="es-ES_tradnl"/>
        </w:rPr>
        <w:tab/>
        <w:t>la aclaración del enfoque sobre derechos humanos, las actividades de la UIT al respecto, en curso o previstas, incluida su motivación, y la forma de vincular dicho enfoque sobre derechos humanos a la labor normativa del UIT-T.</w:t>
      </w:r>
    </w:p>
    <w:p w14:paraId="4846D0A1" w14:textId="68AA720F" w:rsidR="007B1BDF" w:rsidRPr="00B27BF5" w:rsidRDefault="007B1BDF" w:rsidP="007B1BDF">
      <w:pPr>
        <w:rPr>
          <w:rFonts w:eastAsiaTheme="minorHAnsi"/>
          <w:lang w:val="es-ES_tradnl"/>
        </w:rPr>
      </w:pPr>
      <w:r w:rsidRPr="00983703">
        <w:rPr>
          <w:rFonts w:eastAsiaTheme="minorHAnsi"/>
          <w:lang w:val="es-ES_tradnl"/>
        </w:rPr>
        <w:t>7.2</w:t>
      </w:r>
      <w:r w:rsidRPr="00983703">
        <w:rPr>
          <w:rFonts w:eastAsiaTheme="minorHAnsi"/>
          <w:lang w:val="es-ES_tradnl"/>
        </w:rPr>
        <w:tab/>
      </w:r>
      <w:r w:rsidRPr="00B27BF5">
        <w:rPr>
          <w:rFonts w:eastAsiaTheme="minorHAnsi"/>
          <w:lang w:val="es-ES_tradnl"/>
        </w:rPr>
        <w:t xml:space="preserve">El GANT tomó nota del </w:t>
      </w:r>
      <w:r w:rsidRPr="00B27BF5">
        <w:rPr>
          <w:rFonts w:eastAsiaTheme="minorHAnsi"/>
          <w:lang w:val="es-ES_tradnl" w:eastAsia="ja-JP"/>
        </w:rPr>
        <w:t xml:space="preserve">informe </w:t>
      </w:r>
      <w:r w:rsidRPr="00B27BF5">
        <w:rPr>
          <w:rFonts w:eastAsiaTheme="minorHAnsi"/>
          <w:lang w:val="es-ES_tradnl"/>
        </w:rPr>
        <w:t>(</w:t>
      </w:r>
      <w:hyperlink r:id="rId58" w:history="1">
        <w:r w:rsidRPr="00B27BF5">
          <w:rPr>
            <w:rFonts w:eastAsiaTheme="minorHAnsi"/>
            <w:color w:val="0000FF"/>
            <w:u w:val="single"/>
            <w:lang w:val="es-ES_tradnl" w:eastAsia="ja-JP"/>
          </w:rPr>
          <w:t>TD211</w:t>
        </w:r>
      </w:hyperlink>
      <w:r w:rsidRPr="00B27BF5">
        <w:rPr>
          <w:rFonts w:eastAsiaTheme="minorHAnsi"/>
          <w:lang w:val="es-ES_tradnl"/>
        </w:rPr>
        <w:t xml:space="preserve">) </w:t>
      </w:r>
      <w:r w:rsidRPr="00B27BF5">
        <w:rPr>
          <w:rFonts w:eastAsiaTheme="minorHAnsi"/>
          <w:lang w:val="es-ES_tradnl" w:eastAsia="ja-JP"/>
        </w:rPr>
        <w:t>sobre los avances registrados por el GCPN del GANT CEI SMB-ISO TMB-UIT-T.</w:t>
      </w:r>
    </w:p>
    <w:p w14:paraId="5FBE8468" w14:textId="77777777" w:rsidR="007B1BDF" w:rsidRPr="00983703" w:rsidRDefault="007B1BDF" w:rsidP="007B1BDF">
      <w:pPr>
        <w:rPr>
          <w:rFonts w:eastAsiaTheme="minorHAnsi"/>
          <w:lang w:val="es-ES_tradnl"/>
        </w:rPr>
      </w:pPr>
      <w:r w:rsidRPr="00983703">
        <w:rPr>
          <w:rFonts w:eastAsiaTheme="minorHAnsi"/>
          <w:lang w:val="es-ES_tradnl"/>
        </w:rPr>
        <w:t>7.2.1</w:t>
      </w:r>
      <w:r w:rsidRPr="00983703">
        <w:rPr>
          <w:rFonts w:eastAsiaTheme="minorHAnsi"/>
          <w:lang w:val="es-ES_tradnl"/>
        </w:rPr>
        <w:tab/>
        <w:t>La reunión alentó al GCPN a estudiar las posibilidades de coordinación que brinda la JCA del UIT-T sobre aprendizaje automático (JCA-ML) en el marco de la CE 13, a tenor de la necesidad de coordinación de la inteligencia artificial (IA).</w:t>
      </w:r>
    </w:p>
    <w:p w14:paraId="33406CF4" w14:textId="59A6BFB5" w:rsidR="00BE59AA" w:rsidRPr="00983703" w:rsidRDefault="00996BD7" w:rsidP="00996BD7">
      <w:pPr>
        <w:pStyle w:val="Heading1"/>
        <w:rPr>
          <w:lang w:val="es-ES_tradnl"/>
        </w:rPr>
      </w:pPr>
      <w:bookmarkStart w:id="29" w:name="_Toc140261649"/>
      <w:r w:rsidRPr="00983703">
        <w:rPr>
          <w:lang w:val="es-ES_tradnl"/>
        </w:rPr>
        <w:t>8</w:t>
      </w:r>
      <w:r w:rsidRPr="00983703">
        <w:rPr>
          <w:lang w:val="es-ES_tradnl"/>
        </w:rPr>
        <w:tab/>
      </w:r>
      <w:proofErr w:type="gramStart"/>
      <w:r w:rsidR="00BE59AA" w:rsidRPr="00983703">
        <w:rPr>
          <w:lang w:val="es-ES_tradnl"/>
        </w:rPr>
        <w:t>Colaboración</w:t>
      </w:r>
      <w:proofErr w:type="gramEnd"/>
      <w:r w:rsidR="00BE59AA" w:rsidRPr="00983703">
        <w:rPr>
          <w:lang w:val="es-ES_tradnl"/>
        </w:rPr>
        <w:t xml:space="preserve"> Mundial para la Normalización (GSC)</w:t>
      </w:r>
      <w:bookmarkEnd w:id="29"/>
    </w:p>
    <w:p w14:paraId="0FC42BE9" w14:textId="107F2641" w:rsidR="00DB6AE1" w:rsidRPr="00983703" w:rsidRDefault="00DB6AE1" w:rsidP="00DB6AE1">
      <w:pPr>
        <w:rPr>
          <w:rFonts w:eastAsiaTheme="minorHAnsi"/>
          <w:lang w:val="es-ES_tradnl" w:eastAsia="ja-JP"/>
        </w:rPr>
      </w:pPr>
      <w:r w:rsidRPr="00983703">
        <w:rPr>
          <w:rFonts w:eastAsiaTheme="minorHAnsi"/>
          <w:lang w:val="es-ES_tradnl"/>
        </w:rPr>
        <w:t>8.1</w:t>
      </w:r>
      <w:r w:rsidRPr="00983703">
        <w:rPr>
          <w:rFonts w:eastAsiaTheme="minorHAnsi"/>
          <w:lang w:val="es-ES_tradnl"/>
        </w:rPr>
        <w:tab/>
        <w:t xml:space="preserve">La TSB presentó en </w:t>
      </w:r>
      <w:hyperlink r:id="rId59" w:history="1">
        <w:r w:rsidRPr="00983703">
          <w:rPr>
            <w:rFonts w:eastAsiaTheme="minorHAnsi"/>
            <w:color w:val="0000FF"/>
            <w:u w:val="single"/>
            <w:lang w:val="es-ES_tradnl" w:eastAsia="ja-JP"/>
          </w:rPr>
          <w:t>TD254</w:t>
        </w:r>
      </w:hyperlink>
      <w:r w:rsidRPr="00983703">
        <w:rPr>
          <w:rFonts w:eastAsiaTheme="minorHAnsi"/>
          <w:lang w:val="es-ES_tradnl"/>
        </w:rPr>
        <w:t xml:space="preserve"> un informe </w:t>
      </w:r>
      <w:r w:rsidRPr="00983703">
        <w:rPr>
          <w:rFonts w:eastAsiaTheme="minorHAnsi"/>
          <w:lang w:val="es-ES_tradnl" w:eastAsia="ja-JP"/>
        </w:rPr>
        <w:t>con los resultados de la reunión de la Colaboración Mundial para la Normalización 2023 (GSC-23) que tuvo lugar en Londres (Reino Unido), del 26 al 27 de abril de 2023.</w:t>
      </w:r>
    </w:p>
    <w:p w14:paraId="73D54E47" w14:textId="2C8D4B84" w:rsidR="00DB6AE1" w:rsidRPr="00983703" w:rsidRDefault="00DB6AE1" w:rsidP="00DB6AE1">
      <w:pPr>
        <w:rPr>
          <w:rFonts w:eastAsiaTheme="minorHAnsi"/>
          <w:lang w:val="es-ES_tradnl"/>
        </w:rPr>
      </w:pPr>
      <w:r w:rsidRPr="00983703">
        <w:rPr>
          <w:rFonts w:eastAsiaTheme="minorHAnsi"/>
          <w:lang w:val="es-ES_tradnl"/>
        </w:rPr>
        <w:t>8.1.1</w:t>
      </w:r>
      <w:r w:rsidRPr="00983703">
        <w:rPr>
          <w:rFonts w:eastAsiaTheme="minorHAnsi"/>
          <w:lang w:val="es-ES_tradnl"/>
        </w:rPr>
        <w:tab/>
        <w:t xml:space="preserve">La reunión tomó nota del </w:t>
      </w:r>
      <w:r w:rsidR="00FE165F">
        <w:rPr>
          <w:rFonts w:eastAsiaTheme="minorHAnsi"/>
          <w:lang w:val="es-ES_tradnl"/>
        </w:rPr>
        <w:t>D</w:t>
      </w:r>
      <w:r w:rsidRPr="00983703">
        <w:rPr>
          <w:rFonts w:eastAsiaTheme="minorHAnsi"/>
          <w:lang w:val="es-ES_tradnl"/>
        </w:rPr>
        <w:t>ocumento TD254.</w:t>
      </w:r>
    </w:p>
    <w:p w14:paraId="2741557A" w14:textId="3827FD48" w:rsidR="00BE59AA" w:rsidRPr="00983703" w:rsidRDefault="00996BD7" w:rsidP="00996BD7">
      <w:pPr>
        <w:pStyle w:val="Heading1"/>
        <w:rPr>
          <w:lang w:val="es-ES_tradnl"/>
        </w:rPr>
      </w:pPr>
      <w:bookmarkStart w:id="30" w:name="_Toc140261650"/>
      <w:r w:rsidRPr="00983703">
        <w:rPr>
          <w:lang w:val="es-ES_tradnl"/>
        </w:rPr>
        <w:t>9</w:t>
      </w:r>
      <w:r w:rsidRPr="00983703">
        <w:rPr>
          <w:lang w:val="es-ES_tradnl"/>
        </w:rPr>
        <w:tab/>
      </w:r>
      <w:proofErr w:type="gramStart"/>
      <w:r w:rsidR="00BE59AA" w:rsidRPr="00983703">
        <w:rPr>
          <w:lang w:val="es-ES_tradnl"/>
        </w:rPr>
        <w:t>Coordinación</w:t>
      </w:r>
      <w:proofErr w:type="gramEnd"/>
      <w:r w:rsidR="00BE59AA" w:rsidRPr="00983703">
        <w:rPr>
          <w:lang w:val="es-ES_tradnl"/>
        </w:rPr>
        <w:t xml:space="preserve"> intersectorial con el UIT-D y el UIT-R</w:t>
      </w:r>
      <w:bookmarkEnd w:id="30"/>
    </w:p>
    <w:p w14:paraId="01FC58DA" w14:textId="77777777" w:rsidR="00DB6AE1" w:rsidRPr="00983703" w:rsidRDefault="00DB6AE1" w:rsidP="00DB6AE1">
      <w:pPr>
        <w:rPr>
          <w:rFonts w:eastAsiaTheme="minorHAnsi"/>
          <w:lang w:val="es-ES_tradnl"/>
        </w:rPr>
      </w:pPr>
      <w:r w:rsidRPr="00983703">
        <w:rPr>
          <w:rFonts w:eastAsiaTheme="minorHAnsi"/>
          <w:lang w:val="es-ES_tradnl"/>
        </w:rPr>
        <w:t>9.1</w:t>
      </w:r>
      <w:r w:rsidRPr="00983703">
        <w:rPr>
          <w:rFonts w:eastAsiaTheme="minorHAnsi"/>
          <w:lang w:val="es-ES_tradnl"/>
        </w:rPr>
        <w:tab/>
        <w:t xml:space="preserve">El presidente del </w:t>
      </w:r>
      <w:r w:rsidRPr="00983703">
        <w:rPr>
          <w:rFonts w:eastAsiaTheme="minorHAnsi"/>
          <w:lang w:val="es-ES_tradnl" w:eastAsia="ja-JP"/>
        </w:rPr>
        <w:t>Grupo de Coordinación Intersectorial (GCIS)</w:t>
      </w:r>
      <w:r w:rsidRPr="00983703">
        <w:rPr>
          <w:rFonts w:eastAsiaTheme="minorHAnsi"/>
          <w:lang w:val="es-ES_tradnl"/>
        </w:rPr>
        <w:t xml:space="preserve">, Sr. Fabio BIGI, presentó el </w:t>
      </w:r>
      <w:r w:rsidRPr="00983703">
        <w:rPr>
          <w:rFonts w:eastAsiaTheme="minorHAnsi"/>
          <w:lang w:val="es-ES_tradnl" w:eastAsia="ja-JP"/>
        </w:rPr>
        <w:t xml:space="preserve">informe de </w:t>
      </w:r>
      <w:r w:rsidRPr="00983703">
        <w:rPr>
          <w:rFonts w:eastAsiaTheme="minorHAnsi"/>
          <w:lang w:val="es-ES_tradnl"/>
        </w:rPr>
        <w:t>situación (</w:t>
      </w:r>
      <w:hyperlink r:id="rId60" w:history="1">
        <w:r w:rsidRPr="00983703">
          <w:rPr>
            <w:rFonts w:eastAsiaTheme="minorHAnsi"/>
            <w:color w:val="0000FF"/>
            <w:u w:val="single"/>
            <w:lang w:val="es-ES_tradnl" w:eastAsia="ja-JP"/>
          </w:rPr>
          <w:t>TD216</w:t>
        </w:r>
      </w:hyperlink>
      <w:r w:rsidRPr="00983703">
        <w:rPr>
          <w:rFonts w:eastAsiaTheme="minorHAnsi"/>
          <w:lang w:val="es-ES_tradnl"/>
        </w:rPr>
        <w:t xml:space="preserve">) </w:t>
      </w:r>
      <w:r w:rsidRPr="00983703">
        <w:rPr>
          <w:rFonts w:eastAsiaTheme="minorHAnsi"/>
          <w:lang w:val="es-ES_tradnl" w:eastAsia="ja-JP"/>
        </w:rPr>
        <w:t xml:space="preserve">del GCIS </w:t>
      </w:r>
      <w:r w:rsidRPr="00983703">
        <w:rPr>
          <w:rFonts w:eastAsiaTheme="minorHAnsi"/>
          <w:lang w:val="es-ES_tradnl"/>
        </w:rPr>
        <w:t xml:space="preserve">sobre cuestiones de interés mutuo, </w:t>
      </w:r>
      <w:r w:rsidRPr="00983703">
        <w:rPr>
          <w:rFonts w:asciiTheme="majorBidi" w:eastAsiaTheme="minorHAnsi" w:hAnsiTheme="majorBidi" w:cstheme="majorBidi"/>
          <w:lang w:val="es-ES_tradnl" w:eastAsia="ja-JP"/>
        </w:rPr>
        <w:t xml:space="preserve">y puso de manifiesto las conclusiones de </w:t>
      </w:r>
      <w:r w:rsidRPr="00983703">
        <w:rPr>
          <w:rFonts w:eastAsiaTheme="minorHAnsi"/>
          <w:lang w:val="es-ES_tradnl"/>
        </w:rPr>
        <w:t xml:space="preserve">su última reunión (celebrada el </w:t>
      </w:r>
      <w:r w:rsidRPr="00983703">
        <w:rPr>
          <w:rFonts w:asciiTheme="majorBidi" w:eastAsiaTheme="minorHAnsi" w:hAnsiTheme="majorBidi" w:cstheme="majorBidi"/>
          <w:lang w:val="es-ES_tradnl" w:eastAsia="ja-JP"/>
        </w:rPr>
        <w:t>2 de mayo de 2023</w:t>
      </w:r>
      <w:r w:rsidRPr="00983703">
        <w:rPr>
          <w:rFonts w:eastAsiaTheme="minorHAnsi"/>
          <w:lang w:val="es-ES_tradnl"/>
        </w:rPr>
        <w:t>).</w:t>
      </w:r>
    </w:p>
    <w:p w14:paraId="48E95EEA" w14:textId="0D0DFFEA" w:rsidR="00DB6AE1" w:rsidRPr="00983703" w:rsidRDefault="00DB6AE1" w:rsidP="00DB6AE1">
      <w:pPr>
        <w:rPr>
          <w:rFonts w:eastAsiaTheme="minorHAnsi"/>
          <w:lang w:val="es-ES_tradnl"/>
        </w:rPr>
      </w:pPr>
      <w:r w:rsidRPr="00983703">
        <w:rPr>
          <w:rFonts w:eastAsiaTheme="minorHAnsi"/>
          <w:lang w:val="es-ES_tradnl"/>
        </w:rPr>
        <w:t>9.1.1</w:t>
      </w:r>
      <w:r w:rsidRPr="00983703">
        <w:rPr>
          <w:rFonts w:eastAsiaTheme="minorHAnsi"/>
          <w:lang w:val="es-ES_tradnl"/>
        </w:rPr>
        <w:tab/>
        <w:t xml:space="preserve">El GANT tomó nota del </w:t>
      </w:r>
      <w:r w:rsidR="00FE165F">
        <w:rPr>
          <w:rFonts w:eastAsiaTheme="minorHAnsi"/>
          <w:lang w:val="es-ES_tradnl"/>
        </w:rPr>
        <w:t>D</w:t>
      </w:r>
      <w:r w:rsidRPr="00983703">
        <w:rPr>
          <w:rFonts w:eastAsiaTheme="minorHAnsi"/>
          <w:lang w:val="es-ES_tradnl"/>
        </w:rPr>
        <w:t>ocumento TD216.</w:t>
      </w:r>
    </w:p>
    <w:p w14:paraId="3BEB07EF" w14:textId="77777777" w:rsidR="00DB6AE1" w:rsidRPr="00983703" w:rsidRDefault="00DB6AE1" w:rsidP="00DB6AE1">
      <w:pPr>
        <w:rPr>
          <w:rFonts w:eastAsiaTheme="minorHAnsi"/>
          <w:lang w:val="es-ES_tradnl"/>
        </w:rPr>
      </w:pPr>
      <w:r w:rsidRPr="00983703">
        <w:rPr>
          <w:rFonts w:eastAsiaTheme="minorHAnsi"/>
          <w:lang w:val="es-ES_tradnl"/>
        </w:rPr>
        <w:t>9.1.2</w:t>
      </w:r>
      <w:r w:rsidRPr="00983703">
        <w:rPr>
          <w:rFonts w:eastAsiaTheme="minorHAnsi"/>
          <w:lang w:val="es-ES_tradnl"/>
        </w:rPr>
        <w:tab/>
        <w:t xml:space="preserve">El GANT refrenda la organización de una reunión del </w:t>
      </w:r>
      <w:r w:rsidRPr="00983703">
        <w:rPr>
          <w:rFonts w:eastAsiaTheme="minorHAnsi"/>
          <w:lang w:val="es-ES_tradnl" w:eastAsia="ja-JP"/>
        </w:rPr>
        <w:t>GCIS</w:t>
      </w:r>
      <w:r w:rsidRPr="00983703">
        <w:rPr>
          <w:rFonts w:eastAsiaTheme="minorHAnsi"/>
          <w:lang w:val="es-ES_tradnl"/>
        </w:rPr>
        <w:t xml:space="preserve"> en el marco de la próxima reunión del GANT, prevista para febrero de 2024; véase (RG-WM-2), cláusula 17.1.6.</w:t>
      </w:r>
    </w:p>
    <w:p w14:paraId="429C2CE6" w14:textId="77777777" w:rsidR="00DB6AE1" w:rsidRPr="00983703" w:rsidRDefault="00DB6AE1" w:rsidP="00DB6AE1">
      <w:pPr>
        <w:rPr>
          <w:rFonts w:eastAsiaTheme="minorHAnsi"/>
          <w:lang w:val="es-ES_tradnl" w:eastAsia="ja-JP"/>
        </w:rPr>
      </w:pPr>
      <w:r w:rsidRPr="00983703">
        <w:rPr>
          <w:rFonts w:eastAsiaTheme="minorHAnsi"/>
          <w:lang w:val="es-ES_tradnl"/>
        </w:rPr>
        <w:t>9.2</w:t>
      </w:r>
      <w:r w:rsidRPr="00983703">
        <w:rPr>
          <w:rFonts w:eastAsiaTheme="minorHAnsi"/>
          <w:lang w:val="es-ES_tradnl"/>
        </w:rPr>
        <w:tab/>
        <w:t xml:space="preserve">El GANT tomó nota de la declaración de coordinación de </w:t>
      </w:r>
      <w:r w:rsidRPr="00983703">
        <w:rPr>
          <w:rFonts w:eastAsiaTheme="minorHAnsi"/>
          <w:lang w:val="es-ES_tradnl" w:eastAsia="ja-JP"/>
        </w:rPr>
        <w:t xml:space="preserve">la CE 13 del UIT-T </w:t>
      </w:r>
      <w:r w:rsidRPr="00983703">
        <w:rPr>
          <w:rFonts w:eastAsiaTheme="minorHAnsi"/>
          <w:lang w:val="es-ES_tradnl"/>
        </w:rPr>
        <w:t>(</w:t>
      </w:r>
      <w:hyperlink r:id="rId61">
        <w:r w:rsidRPr="00983703">
          <w:rPr>
            <w:rFonts w:eastAsiaTheme="minorHAnsi"/>
            <w:color w:val="0000FF"/>
            <w:u w:val="single"/>
            <w:lang w:val="es-ES_tradnl" w:eastAsia="ja-JP"/>
          </w:rPr>
          <w:t>TD242</w:t>
        </w:r>
      </w:hyperlink>
      <w:r w:rsidRPr="00983703">
        <w:rPr>
          <w:rFonts w:eastAsiaTheme="minorHAnsi"/>
          <w:lang w:val="es-ES_tradnl"/>
        </w:rPr>
        <w:t>) "</w:t>
      </w:r>
      <w:r w:rsidRPr="00983703">
        <w:rPr>
          <w:rFonts w:eastAsiaTheme="minorHAnsi"/>
          <w:lang w:val="es-ES_tradnl" w:eastAsia="ja-JP"/>
        </w:rPr>
        <w:t>DC/r Revisión de los cuadros de correspondencias intersectoriales de interés mutuo</w:t>
      </w:r>
      <w:r w:rsidRPr="00983703">
        <w:rPr>
          <w:rFonts w:eastAsiaTheme="minorHAnsi"/>
          <w:lang w:val="es-ES_tradnl"/>
        </w:rPr>
        <w:t xml:space="preserve">", presentada por el vicepresidente de la CE 13, Sr. Scott MANSFIELD </w:t>
      </w:r>
      <w:r w:rsidRPr="00983703">
        <w:rPr>
          <w:rFonts w:eastAsiaTheme="minorHAnsi"/>
          <w:lang w:val="es-ES_tradnl" w:eastAsia="ja-JP"/>
        </w:rPr>
        <w:t>(Ericsson Canadá).</w:t>
      </w:r>
    </w:p>
    <w:p w14:paraId="2D4063E3" w14:textId="7658A287" w:rsidR="00BE59AA" w:rsidRPr="00983703" w:rsidRDefault="00996BD7" w:rsidP="00996BD7">
      <w:pPr>
        <w:pStyle w:val="Heading1"/>
        <w:rPr>
          <w:lang w:val="es-ES_tradnl"/>
        </w:rPr>
      </w:pPr>
      <w:bookmarkStart w:id="31" w:name="_Toc140261651"/>
      <w:r w:rsidRPr="00983703">
        <w:rPr>
          <w:lang w:val="es-ES_tradnl"/>
        </w:rPr>
        <w:t>10</w:t>
      </w:r>
      <w:r w:rsidRPr="00983703">
        <w:rPr>
          <w:lang w:val="es-ES_tradnl"/>
        </w:rPr>
        <w:tab/>
      </w:r>
      <w:proofErr w:type="gramStart"/>
      <w:r w:rsidR="00BE59AA" w:rsidRPr="00983703">
        <w:rPr>
          <w:lang w:val="es-ES_tradnl"/>
        </w:rPr>
        <w:t>Colaboración</w:t>
      </w:r>
      <w:proofErr w:type="gramEnd"/>
      <w:r w:rsidR="00BE59AA" w:rsidRPr="00983703">
        <w:rPr>
          <w:lang w:val="es-ES_tradnl"/>
        </w:rPr>
        <w:t xml:space="preserve"> sobre normas de comunicación en los STI (CITS)</w:t>
      </w:r>
      <w:bookmarkEnd w:id="31"/>
    </w:p>
    <w:p w14:paraId="70E25607" w14:textId="77777777" w:rsidR="00DB6AE1" w:rsidRPr="00983703" w:rsidRDefault="00DB6AE1" w:rsidP="00A74C71">
      <w:pPr>
        <w:rPr>
          <w:rFonts w:eastAsiaTheme="minorHAnsi"/>
          <w:lang w:val="es-ES_tradnl"/>
        </w:rPr>
      </w:pPr>
      <w:r w:rsidRPr="00983703">
        <w:rPr>
          <w:rFonts w:eastAsiaTheme="minorHAnsi"/>
          <w:lang w:val="es-ES_tradnl"/>
        </w:rPr>
        <w:t>10.1</w:t>
      </w:r>
      <w:r w:rsidRPr="00983703">
        <w:rPr>
          <w:rFonts w:eastAsiaTheme="minorHAnsi"/>
          <w:lang w:val="es-ES_tradnl"/>
        </w:rPr>
        <w:tab/>
        <w:t xml:space="preserve">El </w:t>
      </w:r>
      <w:r w:rsidRPr="00983703">
        <w:rPr>
          <w:rFonts w:eastAsiaTheme="minorHAnsi"/>
          <w:lang w:val="es-ES_tradnl" w:eastAsia="zh-CN"/>
        </w:rPr>
        <w:t>GANT</w:t>
      </w:r>
      <w:r w:rsidRPr="00983703">
        <w:rPr>
          <w:rFonts w:eastAsiaTheme="minorHAnsi"/>
          <w:lang w:val="es-ES_tradnl"/>
        </w:rPr>
        <w:t xml:space="preserve"> agradeció el informe de la CITS (</w:t>
      </w:r>
      <w:hyperlink r:id="rId62" w:history="1">
        <w:r w:rsidRPr="00983703">
          <w:rPr>
            <w:rFonts w:eastAsiaTheme="minorHAnsi"/>
            <w:color w:val="0000FF"/>
            <w:u w:val="single"/>
            <w:lang w:val="es-ES_tradnl" w:eastAsia="ja-JP"/>
          </w:rPr>
          <w:t>TD215</w:t>
        </w:r>
      </w:hyperlink>
      <w:r w:rsidRPr="00983703">
        <w:rPr>
          <w:rFonts w:eastAsiaTheme="minorHAnsi"/>
          <w:lang w:val="es-ES_tradnl"/>
        </w:rPr>
        <w:t xml:space="preserve">), y tomó nota </w:t>
      </w:r>
      <w:proofErr w:type="gramStart"/>
      <w:r w:rsidRPr="00983703">
        <w:rPr>
          <w:rFonts w:eastAsiaTheme="minorHAnsi"/>
          <w:lang w:val="es-ES_tradnl"/>
        </w:rPr>
        <w:t>del mismo</w:t>
      </w:r>
      <w:proofErr w:type="gramEnd"/>
      <w:r w:rsidRPr="00983703">
        <w:rPr>
          <w:rFonts w:eastAsiaTheme="minorHAnsi"/>
          <w:lang w:val="es-ES_tradnl"/>
        </w:rPr>
        <w:t xml:space="preserve">; en el informe se </w:t>
      </w:r>
      <w:r w:rsidRPr="00983703">
        <w:rPr>
          <w:rFonts w:eastAsiaTheme="minorHAnsi"/>
          <w:lang w:val="es-ES_tradnl" w:eastAsia="zh-CN"/>
        </w:rPr>
        <w:t>sintetizan las actividades del UIT-T en la esfera de las comunicaciones de los STI desde la última reunión del GANT, celebrada en diciembre de 2022.</w:t>
      </w:r>
    </w:p>
    <w:p w14:paraId="360B4C05" w14:textId="77777777" w:rsidR="00DB6AE1" w:rsidRPr="00983703" w:rsidRDefault="00DB6AE1" w:rsidP="00A74C71">
      <w:pPr>
        <w:rPr>
          <w:rFonts w:eastAsiaTheme="minorHAnsi"/>
          <w:lang w:val="es-ES_tradnl" w:eastAsia="ja-JP"/>
        </w:rPr>
      </w:pPr>
      <w:r w:rsidRPr="00983703">
        <w:rPr>
          <w:rFonts w:eastAsiaTheme="minorHAnsi"/>
          <w:lang w:val="es-ES_tradnl"/>
        </w:rPr>
        <w:t>10.1.1</w:t>
      </w:r>
      <w:r w:rsidRPr="00983703">
        <w:rPr>
          <w:rFonts w:eastAsiaTheme="minorHAnsi"/>
          <w:lang w:val="es-ES_tradnl"/>
        </w:rPr>
        <w:tab/>
      </w:r>
      <w:r w:rsidRPr="00983703">
        <w:rPr>
          <w:rFonts w:eastAsiaTheme="minorHAnsi"/>
          <w:lang w:val="es-ES_tradnl" w:eastAsia="ja-JP"/>
        </w:rPr>
        <w:t>Un Estado Miembro señaló que la CITS constituye un éxito a largo plazo para la UIT, habida cuenta de su satisfactoria labor al establecer relaciones de colaboración y facilitación con diversos asociados y SDO; se elogió al personal de apoyo de la TSB por coordinar los magníficos servicios de secretaría de la CITS. Se aconsejó al GANT que estudiara minuciosamente el modelo de colaboración de la CITS como alternativa a los Grupos Temáticos.</w:t>
      </w:r>
    </w:p>
    <w:p w14:paraId="62775ABA" w14:textId="5C707D22" w:rsidR="00BE59AA" w:rsidRPr="00983703" w:rsidRDefault="00996BD7" w:rsidP="00996BD7">
      <w:pPr>
        <w:pStyle w:val="Heading1"/>
        <w:rPr>
          <w:lang w:val="es-ES_tradnl"/>
        </w:rPr>
      </w:pPr>
      <w:bookmarkStart w:id="32" w:name="_Toc140261652"/>
      <w:r w:rsidRPr="00983703">
        <w:rPr>
          <w:lang w:val="es-ES_tradnl"/>
        </w:rPr>
        <w:lastRenderedPageBreak/>
        <w:t>11</w:t>
      </w:r>
      <w:r w:rsidRPr="00983703">
        <w:rPr>
          <w:lang w:val="es-ES_tradnl"/>
        </w:rPr>
        <w:tab/>
      </w:r>
      <w:proofErr w:type="gramStart"/>
      <w:r w:rsidR="00BE59AA" w:rsidRPr="00983703">
        <w:rPr>
          <w:lang w:val="es-ES_tradnl"/>
        </w:rPr>
        <w:t>Igualdad</w:t>
      </w:r>
      <w:proofErr w:type="gramEnd"/>
      <w:r w:rsidR="00BE59AA" w:rsidRPr="00983703">
        <w:rPr>
          <w:lang w:val="es-ES_tradnl"/>
        </w:rPr>
        <w:t xml:space="preserve"> de condiciones en materia de idiomas</w:t>
      </w:r>
      <w:bookmarkEnd w:id="32"/>
    </w:p>
    <w:p w14:paraId="4C87186F" w14:textId="182DE2C6" w:rsidR="00A74C71" w:rsidRPr="00983703" w:rsidRDefault="00A74C71" w:rsidP="00A74C71">
      <w:pPr>
        <w:rPr>
          <w:rFonts w:asciiTheme="majorBidi" w:eastAsiaTheme="minorHAnsi" w:hAnsiTheme="majorBidi" w:cstheme="majorBidi"/>
          <w:lang w:val="es-ES_tradnl" w:eastAsia="ja-JP"/>
        </w:rPr>
      </w:pPr>
      <w:r w:rsidRPr="00983703">
        <w:rPr>
          <w:rFonts w:eastAsiaTheme="minorHAnsi"/>
          <w:lang w:val="es-ES_tradnl"/>
        </w:rPr>
        <w:t>11.1</w:t>
      </w:r>
      <w:r w:rsidRPr="00983703">
        <w:rPr>
          <w:rFonts w:eastAsiaTheme="minorHAnsi"/>
          <w:lang w:val="es-ES_tradnl"/>
        </w:rPr>
        <w:tab/>
      </w:r>
      <w:r w:rsidRPr="00983703">
        <w:rPr>
          <w:rFonts w:eastAsiaTheme="minorHAnsi"/>
          <w:lang w:val="es-ES_tradnl" w:eastAsia="ja-JP"/>
        </w:rPr>
        <w:t>La presidenta del Comité para la Normalización del Vocabulario (CNV), Sra. Rim BELHAJ (Túnez), presentó en</w:t>
      </w:r>
      <w:hyperlink r:id="rId63" w:history="1">
        <w:r w:rsidRPr="00983703">
          <w:rPr>
            <w:rFonts w:eastAsiaTheme="minorHAnsi"/>
            <w:color w:val="0000FF"/>
            <w:u w:val="single"/>
            <w:lang w:val="es-ES_tradnl" w:eastAsia="ja-JP"/>
          </w:rPr>
          <w:t xml:space="preserve"> TD218</w:t>
        </w:r>
      </w:hyperlink>
      <w:r w:rsidRPr="00983703">
        <w:rPr>
          <w:rFonts w:asciiTheme="majorBidi" w:eastAsiaTheme="minorHAnsi" w:hAnsiTheme="majorBidi" w:cstheme="majorBidi"/>
          <w:lang w:val="es-ES_tradnl" w:eastAsia="ja-JP"/>
        </w:rPr>
        <w:t xml:space="preserve"> el informe sobre las actividades del CNV para el per</w:t>
      </w:r>
      <w:r w:rsidR="00983703">
        <w:rPr>
          <w:rFonts w:asciiTheme="majorBidi" w:eastAsiaTheme="minorHAnsi" w:hAnsiTheme="majorBidi" w:cstheme="majorBidi"/>
          <w:lang w:val="es-ES_tradnl" w:eastAsia="ja-JP"/>
        </w:rPr>
        <w:t>i</w:t>
      </w:r>
      <w:r w:rsidRPr="00983703">
        <w:rPr>
          <w:rFonts w:asciiTheme="majorBidi" w:eastAsiaTheme="minorHAnsi" w:hAnsiTheme="majorBidi" w:cstheme="majorBidi"/>
          <w:lang w:val="es-ES_tradnl" w:eastAsia="ja-JP"/>
        </w:rPr>
        <w:t>odo comprendido entre enero y mayo de 2023. Cabe destacar la conveniencia o la propuesta de establecer memorandos de entendimiento con otros SDO.</w:t>
      </w:r>
    </w:p>
    <w:p w14:paraId="75C12699" w14:textId="77777777" w:rsidR="00A74C71" w:rsidRPr="00983703" w:rsidRDefault="00A74C71" w:rsidP="00A74C71">
      <w:pPr>
        <w:rPr>
          <w:rFonts w:eastAsiaTheme="minorHAnsi"/>
          <w:lang w:val="es-ES_tradnl" w:eastAsia="ja-JP"/>
        </w:rPr>
      </w:pPr>
      <w:r w:rsidRPr="00983703">
        <w:rPr>
          <w:rFonts w:eastAsiaTheme="minorHAnsi"/>
          <w:lang w:val="es-ES_tradnl"/>
        </w:rPr>
        <w:t>11.1.1</w:t>
      </w:r>
      <w:r w:rsidRPr="00983703">
        <w:rPr>
          <w:rFonts w:eastAsiaTheme="minorHAnsi"/>
          <w:lang w:val="es-ES_tradnl"/>
        </w:rPr>
        <w:tab/>
      </w:r>
      <w:r w:rsidRPr="00983703">
        <w:rPr>
          <w:rFonts w:eastAsiaTheme="minorHAnsi"/>
          <w:lang w:val="es-ES_tradnl" w:eastAsia="ja-JP"/>
        </w:rPr>
        <w:t>Varios miembros refrendaron la propuesta de establecer memorandos de entendimiento con otros SDO, y pidieron que dichos memorandos se compartieran con el GANT en futuras reuniones.</w:t>
      </w:r>
    </w:p>
    <w:p w14:paraId="0DF2B857" w14:textId="77777777" w:rsidR="00A74C71" w:rsidRPr="00983703" w:rsidRDefault="00A74C71" w:rsidP="00A74C71">
      <w:pPr>
        <w:rPr>
          <w:rFonts w:eastAsiaTheme="minorHAnsi"/>
          <w:lang w:val="es-ES_tradnl" w:eastAsia="ja-JP"/>
        </w:rPr>
      </w:pPr>
      <w:r w:rsidRPr="00983703">
        <w:rPr>
          <w:rFonts w:eastAsiaTheme="minorHAnsi"/>
          <w:lang w:val="es-ES_tradnl"/>
        </w:rPr>
        <w:t>11.1.2</w:t>
      </w:r>
      <w:r w:rsidRPr="00983703">
        <w:rPr>
          <w:rFonts w:eastAsiaTheme="minorHAnsi"/>
          <w:lang w:val="es-ES_tradnl"/>
        </w:rPr>
        <w:tab/>
      </w:r>
      <w:r w:rsidRPr="00983703">
        <w:rPr>
          <w:rFonts w:eastAsiaTheme="minorHAnsi"/>
          <w:lang w:val="es-ES_tradnl" w:eastAsia="ja-JP"/>
        </w:rPr>
        <w:t>Se informó al GANT de la necesidad de encontrar un nuevo presidente del CNV para el periodo de estudios 2025-2028, a fin de cubrir la vacante de la Sra. Rim BELHAJ, que ya desempeña su segundo mandato.</w:t>
      </w:r>
    </w:p>
    <w:p w14:paraId="3396A5B7" w14:textId="77777777" w:rsidR="00A74C71" w:rsidRPr="00983703" w:rsidRDefault="00A74C71" w:rsidP="00A74C71">
      <w:pPr>
        <w:rPr>
          <w:rFonts w:eastAsiaTheme="minorHAnsi"/>
          <w:lang w:val="es-ES_tradnl" w:eastAsia="ja-JP"/>
        </w:rPr>
      </w:pPr>
      <w:r w:rsidRPr="00983703">
        <w:rPr>
          <w:rFonts w:eastAsiaTheme="minorHAnsi"/>
          <w:lang w:val="es-ES_tradnl"/>
        </w:rPr>
        <w:t>11.1.3</w:t>
      </w:r>
      <w:r w:rsidRPr="00983703">
        <w:rPr>
          <w:rFonts w:eastAsiaTheme="minorHAnsi"/>
          <w:lang w:val="es-ES_tradnl"/>
        </w:rPr>
        <w:tab/>
      </w:r>
      <w:r w:rsidRPr="00983703">
        <w:rPr>
          <w:rFonts w:eastAsiaTheme="minorHAnsi"/>
          <w:lang w:val="es-ES_tradnl" w:eastAsia="ja-JP"/>
        </w:rPr>
        <w:t>El GANT tomó nota de dicho informe.</w:t>
      </w:r>
    </w:p>
    <w:p w14:paraId="35603B97" w14:textId="77777777" w:rsidR="00A74C71" w:rsidRPr="00983703" w:rsidRDefault="00A74C71" w:rsidP="00A74C71">
      <w:pPr>
        <w:rPr>
          <w:rFonts w:asciiTheme="majorBidi" w:eastAsiaTheme="minorHAnsi" w:hAnsiTheme="majorBidi" w:cstheme="majorBidi"/>
          <w:lang w:val="es-ES_tradnl" w:eastAsia="ja-JP"/>
        </w:rPr>
      </w:pPr>
      <w:r w:rsidRPr="00983703">
        <w:rPr>
          <w:rFonts w:eastAsiaTheme="minorHAnsi"/>
          <w:lang w:val="es-ES_tradnl"/>
        </w:rPr>
        <w:t>11.2</w:t>
      </w:r>
      <w:r w:rsidRPr="00983703">
        <w:rPr>
          <w:rFonts w:eastAsiaTheme="minorHAnsi"/>
          <w:lang w:val="es-ES_tradnl"/>
        </w:rPr>
        <w:tab/>
      </w:r>
      <w:r w:rsidRPr="00983703">
        <w:rPr>
          <w:rFonts w:eastAsiaTheme="minorHAnsi"/>
          <w:lang w:val="es-ES_tradnl" w:eastAsia="ja-JP"/>
        </w:rPr>
        <w:t xml:space="preserve">El presidente de la CE 2 del UIT-T, Sr. Phil RUSHTON, presentó en </w:t>
      </w:r>
      <w:hyperlink r:id="rId64" w:history="1">
        <w:r w:rsidRPr="00983703">
          <w:rPr>
            <w:rFonts w:eastAsiaTheme="minorHAnsi"/>
            <w:color w:val="0000FF"/>
            <w:u w:val="single"/>
            <w:lang w:val="es-ES_tradnl" w:eastAsia="ja-JP"/>
          </w:rPr>
          <w:t>TD243</w:t>
        </w:r>
      </w:hyperlink>
      <w:r w:rsidRPr="00983703">
        <w:rPr>
          <w:rFonts w:eastAsiaTheme="minorHAnsi"/>
          <w:lang w:val="es-ES_tradnl" w:eastAsia="ja-JP"/>
        </w:rPr>
        <w:t xml:space="preserve"> la declaración de coordinación en la que se </w:t>
      </w:r>
      <w:r w:rsidRPr="00983703">
        <w:rPr>
          <w:rFonts w:asciiTheme="majorBidi" w:eastAsiaTheme="minorHAnsi" w:hAnsiTheme="majorBidi" w:cstheme="majorBidi"/>
          <w:lang w:val="es-ES_tradnl" w:eastAsia="ja-JP"/>
        </w:rPr>
        <w:t xml:space="preserve">informa de las actividades en curso en materia de términos y definiciones en el marco de la CE 2. La CE 2 pidió al GANT que evaluara diversos temas, en particular la posible supresión en la cláusula 3.2 </w:t>
      </w:r>
      <w:r w:rsidRPr="00B27BF5">
        <w:rPr>
          <w:rFonts w:asciiTheme="majorBidi" w:eastAsiaTheme="minorHAnsi" w:hAnsiTheme="majorBidi" w:cstheme="majorBidi"/>
          <w:lang w:val="es-ES_tradnl" w:eastAsia="ja-JP"/>
        </w:rPr>
        <w:t>(Definiciones formuladas en este texto)</w:t>
      </w:r>
      <w:r w:rsidRPr="00983703">
        <w:rPr>
          <w:rFonts w:asciiTheme="majorBidi" w:eastAsiaTheme="minorHAnsi" w:hAnsiTheme="majorBidi" w:cstheme="majorBidi"/>
          <w:lang w:val="es-ES_tradnl" w:eastAsia="ja-JP"/>
        </w:rPr>
        <w:t xml:space="preserve"> de plantillas de documentos oficiosos. La CE 2 también pidió al GANT que analizara la cuestión de las definiciones externas y modificara la Guía del autor, y en su caso, varias Recomendaciones de la serie A del UIT-T, de ser necesario.</w:t>
      </w:r>
    </w:p>
    <w:p w14:paraId="47DAEF17" w14:textId="77777777" w:rsidR="00A74C71" w:rsidRPr="00983703" w:rsidRDefault="00A74C71" w:rsidP="00A74C71">
      <w:pPr>
        <w:rPr>
          <w:rFonts w:eastAsiaTheme="minorHAnsi"/>
          <w:lang w:val="es-ES_tradnl" w:eastAsia="ja-JP"/>
        </w:rPr>
      </w:pPr>
      <w:r w:rsidRPr="00B27BF5">
        <w:rPr>
          <w:rFonts w:eastAsiaTheme="minorHAnsi"/>
          <w:lang w:val="es-ES_tradnl"/>
        </w:rPr>
        <w:t>11.2.1</w:t>
      </w:r>
      <w:r w:rsidRPr="00983703">
        <w:rPr>
          <w:rFonts w:eastAsiaTheme="minorHAnsi"/>
          <w:lang w:val="es-ES_tradnl"/>
        </w:rPr>
        <w:tab/>
      </w:r>
      <w:r w:rsidRPr="00983703">
        <w:rPr>
          <w:rFonts w:eastAsiaTheme="minorHAnsi"/>
          <w:lang w:val="es-ES_tradnl" w:eastAsia="ja-JP"/>
        </w:rPr>
        <w:t>El GANT pidió al GR-MT que estudiara dicha declaración de coordinación y proporcionara orientaciones al GANT. El problema planteado sobre accesibilidad de la página web del CCT se subsanó a lo largo de la reunión.</w:t>
      </w:r>
    </w:p>
    <w:p w14:paraId="35131A07" w14:textId="77777777" w:rsidR="00A74C71" w:rsidRPr="00983703" w:rsidRDefault="00A74C71" w:rsidP="00B52768">
      <w:pPr>
        <w:pStyle w:val="Heading2"/>
        <w:rPr>
          <w:rFonts w:eastAsiaTheme="minorHAnsi"/>
          <w:lang w:val="es-ES_tradnl" w:eastAsia="ja-JP"/>
        </w:rPr>
      </w:pPr>
      <w:r w:rsidRPr="007D0E2B">
        <w:rPr>
          <w:rFonts w:eastAsiaTheme="minorHAnsi"/>
          <w:lang w:val="es-ES_tradnl"/>
        </w:rPr>
        <w:t>11.3</w:t>
      </w:r>
      <w:r w:rsidRPr="00983703">
        <w:rPr>
          <w:rFonts w:eastAsiaTheme="minorHAnsi"/>
          <w:lang w:val="es-ES_tradnl"/>
        </w:rPr>
        <w:tab/>
      </w:r>
      <w:r w:rsidRPr="00983703">
        <w:rPr>
          <w:rFonts w:eastAsiaTheme="minorHAnsi"/>
          <w:lang w:val="es-ES_tradnl" w:eastAsia="ja-JP"/>
        </w:rPr>
        <w:t>Aspectos de lenguaje inclusivo</w:t>
      </w:r>
    </w:p>
    <w:p w14:paraId="38DA3BC3" w14:textId="1B7208C8" w:rsidR="00A74C71" w:rsidRPr="00983703" w:rsidRDefault="00A74C71" w:rsidP="00A74C71">
      <w:pPr>
        <w:rPr>
          <w:rFonts w:eastAsiaTheme="minorHAnsi"/>
          <w:lang w:val="es-ES_tradnl" w:eastAsia="ja-JP"/>
        </w:rPr>
      </w:pPr>
      <w:r w:rsidRPr="00983703">
        <w:rPr>
          <w:rFonts w:eastAsiaTheme="minorHAnsi"/>
          <w:lang w:val="es-ES_tradnl"/>
        </w:rPr>
        <w:t>11.3.1</w:t>
      </w:r>
      <w:r w:rsidRPr="00983703">
        <w:rPr>
          <w:rFonts w:eastAsiaTheme="minorHAnsi"/>
          <w:lang w:val="es-ES_tradnl"/>
        </w:rPr>
        <w:tab/>
      </w:r>
      <w:r w:rsidRPr="00983703">
        <w:rPr>
          <w:rFonts w:eastAsiaTheme="minorHAnsi"/>
          <w:lang w:val="es-ES_tradnl" w:eastAsia="ja-JP"/>
        </w:rPr>
        <w:t>El presidente de la CE 15 del UIT-T, Sr. Glenn PARSONS (Ericsson Canadá), presentó en</w:t>
      </w:r>
      <w:r w:rsidR="006F6F91">
        <w:rPr>
          <w:rFonts w:eastAsiaTheme="minorHAnsi"/>
          <w:lang w:val="es-ES_tradnl" w:eastAsia="ja-JP"/>
        </w:rPr>
        <w:t> </w:t>
      </w:r>
      <w:hyperlink r:id="rId65" w:history="1">
        <w:r w:rsidRPr="00983703">
          <w:rPr>
            <w:rFonts w:eastAsiaTheme="minorHAnsi"/>
            <w:color w:val="0000FF"/>
            <w:u w:val="single"/>
            <w:lang w:val="es-ES_tradnl" w:eastAsia="ja-JP"/>
          </w:rPr>
          <w:t>TD263</w:t>
        </w:r>
      </w:hyperlink>
      <w:r w:rsidRPr="00983703">
        <w:rPr>
          <w:rFonts w:eastAsiaTheme="minorHAnsi"/>
          <w:lang w:val="es-ES_tradnl" w:eastAsia="ja-JP"/>
        </w:rPr>
        <w:t xml:space="preserve"> una declaración de coordinación en la que figura</w:t>
      </w:r>
      <w:r w:rsidRPr="00983703">
        <w:rPr>
          <w:rFonts w:asciiTheme="majorBidi" w:eastAsiaTheme="minorHAnsi" w:hAnsiTheme="majorBidi" w:cstheme="majorBidi"/>
          <w:lang w:val="es-ES_tradnl" w:eastAsia="ja-JP"/>
        </w:rPr>
        <w:t xml:space="preserve"> información sobre las medidas adoptadas por la CE 15 en relación con el tema del lenguaje no inclusivo.</w:t>
      </w:r>
    </w:p>
    <w:p w14:paraId="27336AAD" w14:textId="77777777" w:rsidR="00A74C71" w:rsidRPr="00983703" w:rsidRDefault="00A74C71" w:rsidP="00A74C71">
      <w:pPr>
        <w:rPr>
          <w:rFonts w:eastAsiaTheme="minorHAnsi"/>
          <w:lang w:val="es-ES_tradnl" w:eastAsia="ja-JP"/>
        </w:rPr>
      </w:pPr>
      <w:r w:rsidRPr="00983703">
        <w:rPr>
          <w:rFonts w:eastAsiaTheme="minorHAnsi"/>
          <w:lang w:val="es-ES_tradnl"/>
        </w:rPr>
        <w:t>11.3.2</w:t>
      </w:r>
      <w:r w:rsidRPr="00983703">
        <w:rPr>
          <w:rFonts w:eastAsiaTheme="minorHAnsi"/>
          <w:lang w:val="es-ES_tradnl"/>
        </w:rPr>
        <w:tab/>
      </w:r>
      <w:r w:rsidRPr="00983703">
        <w:rPr>
          <w:rFonts w:eastAsiaTheme="minorHAnsi"/>
          <w:lang w:val="es-ES_tradnl" w:eastAsia="ja-JP"/>
        </w:rPr>
        <w:t xml:space="preserve">La Federación de Rusia presentó en </w:t>
      </w:r>
      <w:hyperlink r:id="rId66" w:history="1">
        <w:r w:rsidRPr="00983703">
          <w:rPr>
            <w:rFonts w:eastAsiaTheme="minorHAnsi"/>
            <w:color w:val="0000FF"/>
            <w:u w:val="single"/>
            <w:lang w:val="es-ES_tradnl" w:eastAsia="ja-JP"/>
          </w:rPr>
          <w:t>C40</w:t>
        </w:r>
      </w:hyperlink>
      <w:r w:rsidRPr="00983703">
        <w:rPr>
          <w:rFonts w:eastAsiaTheme="minorHAnsi"/>
          <w:lang w:val="es-ES_tradnl" w:eastAsia="ja-JP"/>
        </w:rPr>
        <w:t xml:space="preserve"> el documento "Adopción de una solución común sobre lenguaje inclusivo por las Comisiones de Estudio del UIT-T", en el que se </w:t>
      </w:r>
      <w:r w:rsidRPr="00983703">
        <w:rPr>
          <w:rFonts w:asciiTheme="majorBidi" w:eastAsiaTheme="minorHAnsi" w:hAnsiTheme="majorBidi" w:cstheme="majorBidi"/>
          <w:lang w:val="es-ES_tradnl" w:eastAsia="ja-JP"/>
        </w:rPr>
        <w:t xml:space="preserve">propone regirse por la decisión anterior del GANT sobre aplazamiento de toda actividad relativa a la armonización de la labor del UIT-T con respecto a los requisitos no normativos en materia de lenguaje inclusivo hasta que se alcance una solución general conjunta para la Unión, y se recomienda a las Comisiones de Estudio que se centren en los aspectos de interés. La Federación de Rusia propuso enviar una declaración de coordinación a las Comisiones de Estudio del UIT-T con la clara recomendación de aplazar el proceso de revisión de las Recomendaciones UIT-T existentes con respecto a requisitos no normativos en materia de lenguaje inclusivo, a fin de evitar una utilización ineficiente de los recursos hasta que el Consejo, o </w:t>
      </w:r>
      <w:proofErr w:type="spellStart"/>
      <w:r w:rsidRPr="00983703">
        <w:rPr>
          <w:rFonts w:asciiTheme="majorBidi" w:eastAsiaTheme="minorHAnsi" w:hAnsiTheme="majorBidi" w:cstheme="majorBidi"/>
          <w:lang w:val="es-ES_tradnl" w:eastAsia="ja-JP"/>
        </w:rPr>
        <w:t>la</w:t>
      </w:r>
      <w:proofErr w:type="spellEnd"/>
      <w:r w:rsidRPr="00983703">
        <w:rPr>
          <w:rFonts w:asciiTheme="majorBidi" w:eastAsiaTheme="minorHAnsi" w:hAnsiTheme="majorBidi" w:cstheme="majorBidi"/>
          <w:lang w:val="es-ES_tradnl" w:eastAsia="ja-JP"/>
        </w:rPr>
        <w:t xml:space="preserve"> PP, adopten una decisión adecuada aplicable a toda la Unión.</w:t>
      </w:r>
    </w:p>
    <w:p w14:paraId="7A904995" w14:textId="42A51328" w:rsidR="00A74C71" w:rsidRPr="00983703" w:rsidRDefault="00A74C71" w:rsidP="00A74C71">
      <w:pPr>
        <w:rPr>
          <w:rFonts w:asciiTheme="majorBidi" w:eastAsiaTheme="minorHAnsi" w:hAnsiTheme="majorBidi" w:cstheme="majorBidi"/>
          <w:lang w:val="es-ES_tradnl" w:eastAsia="ja-JP"/>
        </w:rPr>
      </w:pPr>
      <w:r w:rsidRPr="00983703">
        <w:rPr>
          <w:rFonts w:eastAsiaTheme="minorHAnsi"/>
          <w:lang w:val="es-ES_tradnl"/>
        </w:rPr>
        <w:t>11.3.3</w:t>
      </w:r>
      <w:r w:rsidRPr="00983703">
        <w:rPr>
          <w:rFonts w:eastAsiaTheme="minorHAnsi"/>
          <w:lang w:val="es-ES_tradnl"/>
        </w:rPr>
        <w:tab/>
      </w:r>
      <w:r w:rsidRPr="00983703">
        <w:rPr>
          <w:rFonts w:asciiTheme="majorBidi" w:eastAsiaTheme="minorHAnsi" w:hAnsiTheme="majorBidi" w:cstheme="majorBidi"/>
          <w:lang w:val="es-ES_tradnl" w:eastAsia="ja-JP"/>
        </w:rPr>
        <w:t xml:space="preserve">Se invitó a la Federación de Rusia a colaborar en la redacción de la declaración de coordinación propuesta en </w:t>
      </w:r>
      <w:hyperlink r:id="rId67" w:history="1">
        <w:r w:rsidRPr="00983703">
          <w:rPr>
            <w:rFonts w:asciiTheme="majorBidi" w:eastAsia="SimSun" w:hAnsiTheme="majorBidi" w:cstheme="majorBidi"/>
            <w:bCs/>
            <w:iCs/>
            <w:color w:val="0000FF"/>
            <w:u w:val="single"/>
            <w:lang w:val="es-ES_tradnl" w:eastAsia="ja-JP"/>
          </w:rPr>
          <w:t>TD300</w:t>
        </w:r>
      </w:hyperlink>
      <w:r w:rsidRPr="00983703">
        <w:rPr>
          <w:rFonts w:asciiTheme="majorBidi" w:eastAsiaTheme="minorHAnsi" w:hAnsiTheme="majorBidi" w:cstheme="majorBidi"/>
          <w:lang w:val="es-ES_tradnl" w:eastAsia="ja-JP"/>
        </w:rPr>
        <w:t xml:space="preserve"> "D</w:t>
      </w:r>
      <w:r w:rsidRPr="00983703">
        <w:rPr>
          <w:rFonts w:eastAsiaTheme="minorHAnsi"/>
          <w:lang w:val="es-ES_tradnl" w:eastAsia="ja-JP"/>
        </w:rPr>
        <w:t>C/e sobre utilización de lenguaje inclusivo en los textos del</w:t>
      </w:r>
      <w:r w:rsidR="00A959B2" w:rsidRPr="00983703">
        <w:rPr>
          <w:rFonts w:eastAsiaTheme="minorHAnsi"/>
          <w:lang w:val="es-ES_tradnl" w:eastAsia="ja-JP"/>
        </w:rPr>
        <w:t> </w:t>
      </w:r>
      <w:r w:rsidRPr="00983703">
        <w:rPr>
          <w:rFonts w:eastAsiaTheme="minorHAnsi"/>
          <w:lang w:val="es-ES_tradnl" w:eastAsia="ja-JP"/>
        </w:rPr>
        <w:t>UIT-T [a todas las CE del UIT-T]</w:t>
      </w:r>
      <w:r w:rsidRPr="00983703">
        <w:rPr>
          <w:rFonts w:asciiTheme="majorBidi" w:eastAsiaTheme="minorHAnsi" w:hAnsiTheme="majorBidi" w:cstheme="majorBidi"/>
          <w:lang w:val="es-ES_tradnl" w:eastAsia="ja-JP"/>
        </w:rPr>
        <w:t>", a fin de proporcionar</w:t>
      </w:r>
      <w:r w:rsidRPr="00983703">
        <w:rPr>
          <w:rFonts w:asciiTheme="majorBidi" w:eastAsia="SimSun" w:hAnsiTheme="majorBidi" w:cstheme="majorBidi"/>
          <w:bCs/>
          <w:iCs/>
          <w:lang w:val="es-ES_tradnl" w:eastAsia="ja-JP"/>
        </w:rPr>
        <w:t xml:space="preserve"> orientación a las Comisiones de Estudio de la UIT sobre la cuestión del uso de lenguaje inclusivo en los textos del UIT-T.</w:t>
      </w:r>
    </w:p>
    <w:p w14:paraId="0C63D810" w14:textId="0BDB10E1" w:rsidR="00A74C71" w:rsidRPr="00983703" w:rsidRDefault="00A74C71" w:rsidP="00A74C71">
      <w:pPr>
        <w:rPr>
          <w:rFonts w:asciiTheme="majorBidi" w:eastAsiaTheme="minorHAnsi" w:hAnsiTheme="majorBidi" w:cstheme="majorBidi"/>
          <w:lang w:val="es-ES_tradnl" w:eastAsia="ja-JP"/>
        </w:rPr>
      </w:pPr>
      <w:r w:rsidRPr="00983703">
        <w:rPr>
          <w:rFonts w:eastAsiaTheme="minorHAnsi"/>
          <w:lang w:val="es-ES_tradnl"/>
        </w:rPr>
        <w:t>11.3.4</w:t>
      </w:r>
      <w:r w:rsidRPr="00983703">
        <w:rPr>
          <w:rFonts w:eastAsiaTheme="minorHAnsi"/>
          <w:lang w:val="es-ES_tradnl"/>
        </w:rPr>
        <w:tab/>
      </w:r>
      <w:r w:rsidRPr="00983703">
        <w:rPr>
          <w:rFonts w:asciiTheme="majorBidi" w:eastAsiaTheme="minorHAnsi" w:hAnsiTheme="majorBidi" w:cstheme="majorBidi"/>
          <w:lang w:val="es-ES_tradnl" w:eastAsia="ja-JP"/>
        </w:rPr>
        <w:t xml:space="preserve">El GANT acordó enviar el </w:t>
      </w:r>
      <w:r w:rsidR="006F6F91">
        <w:rPr>
          <w:rFonts w:asciiTheme="majorBidi" w:eastAsiaTheme="minorHAnsi" w:hAnsiTheme="majorBidi" w:cstheme="majorBidi"/>
          <w:lang w:val="es-ES_tradnl" w:eastAsia="ja-JP"/>
        </w:rPr>
        <w:t>D</w:t>
      </w:r>
      <w:r w:rsidRPr="00983703">
        <w:rPr>
          <w:rFonts w:asciiTheme="majorBidi" w:eastAsiaTheme="minorHAnsi" w:hAnsiTheme="majorBidi" w:cstheme="majorBidi"/>
          <w:lang w:val="es-ES_tradnl" w:eastAsia="ja-JP"/>
        </w:rPr>
        <w:t xml:space="preserve">ocumento </w:t>
      </w:r>
      <w:hyperlink r:id="rId68" w:history="1">
        <w:r w:rsidRPr="00983703">
          <w:rPr>
            <w:rFonts w:eastAsiaTheme="minorHAnsi"/>
            <w:color w:val="0000FF"/>
            <w:u w:val="single"/>
            <w:lang w:val="es-ES_tradnl" w:eastAsia="ja-JP"/>
          </w:rPr>
          <w:t>TSAG-LS20</w:t>
        </w:r>
      </w:hyperlink>
      <w:r w:rsidRPr="00983703">
        <w:rPr>
          <w:rFonts w:asciiTheme="majorBidi" w:eastAsiaTheme="minorHAnsi" w:hAnsiTheme="majorBidi" w:cstheme="majorBidi"/>
          <w:lang w:val="es-ES_tradnl" w:eastAsia="ja-JP"/>
        </w:rPr>
        <w:t>/</w:t>
      </w:r>
      <w:hyperlink r:id="rId69" w:history="1">
        <w:r w:rsidRPr="00983703">
          <w:rPr>
            <w:rFonts w:asciiTheme="majorBidi" w:eastAsia="SimSun" w:hAnsiTheme="majorBidi" w:cstheme="majorBidi"/>
            <w:bCs/>
            <w:iCs/>
            <w:color w:val="0000FF"/>
            <w:u w:val="single"/>
            <w:lang w:val="es-ES_tradnl" w:eastAsia="ja-JP"/>
          </w:rPr>
          <w:t>TD300R1</w:t>
        </w:r>
      </w:hyperlink>
      <w:r w:rsidRPr="00983703">
        <w:rPr>
          <w:rFonts w:asciiTheme="majorBidi" w:eastAsiaTheme="minorHAnsi" w:hAnsiTheme="majorBidi" w:cstheme="majorBidi"/>
          <w:lang w:val="es-ES_tradnl" w:eastAsia="ja-JP"/>
        </w:rPr>
        <w:t xml:space="preserve"> sobre uso de lenguaje inclusivo en los textos del UIT-T a todas las CE del UIT-T, al CNV y al GCIS.</w:t>
      </w:r>
    </w:p>
    <w:p w14:paraId="2F8D855A" w14:textId="66992799" w:rsidR="00BE59AA" w:rsidRPr="00983703" w:rsidRDefault="00996BD7" w:rsidP="00996BD7">
      <w:pPr>
        <w:pStyle w:val="Heading1"/>
        <w:rPr>
          <w:lang w:val="es-ES_tradnl"/>
        </w:rPr>
      </w:pPr>
      <w:bookmarkStart w:id="33" w:name="_Toc140261653"/>
      <w:r w:rsidRPr="00983703">
        <w:rPr>
          <w:lang w:val="es-ES_tradnl"/>
        </w:rPr>
        <w:lastRenderedPageBreak/>
        <w:t>12</w:t>
      </w:r>
      <w:r w:rsidRPr="00983703">
        <w:rPr>
          <w:lang w:val="es-ES_tradnl"/>
        </w:rPr>
        <w:tab/>
      </w:r>
      <w:proofErr w:type="gramStart"/>
      <w:r w:rsidR="00BE59AA" w:rsidRPr="00AE14D4">
        <w:rPr>
          <w:lang w:val="es-ES_tradnl"/>
        </w:rPr>
        <w:t>Aspectos</w:t>
      </w:r>
      <w:proofErr w:type="gramEnd"/>
      <w:r w:rsidR="00BE59AA" w:rsidRPr="00AE14D4">
        <w:rPr>
          <w:lang w:val="es-ES_tradnl"/>
        </w:rPr>
        <w:t xml:space="preserve"> de</w:t>
      </w:r>
      <w:r w:rsidR="00BE59AA" w:rsidRPr="00983703">
        <w:rPr>
          <w:lang w:val="es-ES_tradnl"/>
        </w:rPr>
        <w:t xml:space="preserve"> DPI y normas abiertas</w:t>
      </w:r>
      <w:bookmarkEnd w:id="33"/>
    </w:p>
    <w:p w14:paraId="11104D62" w14:textId="2E0837FD" w:rsidR="00A74C71" w:rsidRPr="00983703" w:rsidRDefault="00A74C71" w:rsidP="004F62FD">
      <w:pPr>
        <w:keepNext/>
        <w:keepLines/>
        <w:rPr>
          <w:rFonts w:eastAsiaTheme="minorHAnsi"/>
          <w:lang w:val="es-ES_tradnl" w:eastAsia="ja-JP"/>
        </w:rPr>
      </w:pPr>
      <w:r w:rsidRPr="00983703">
        <w:rPr>
          <w:rFonts w:eastAsiaTheme="minorHAnsi"/>
          <w:lang w:val="es-ES_tradnl"/>
        </w:rPr>
        <w:t>12.1</w:t>
      </w:r>
      <w:r w:rsidRPr="00983703">
        <w:rPr>
          <w:rFonts w:eastAsiaTheme="minorHAnsi"/>
          <w:lang w:val="es-ES_tradnl"/>
        </w:rPr>
        <w:tab/>
        <w:t xml:space="preserve">La </w:t>
      </w:r>
      <w:r w:rsidRPr="00983703">
        <w:rPr>
          <w:rFonts w:eastAsiaTheme="minorHAnsi"/>
          <w:lang w:val="es-ES_tradnl" w:eastAsia="ja-JP"/>
        </w:rPr>
        <w:t xml:space="preserve">Federación de Rusia presentó en </w:t>
      </w:r>
      <w:hyperlink r:id="rId70" w:history="1">
        <w:r w:rsidRPr="00983703">
          <w:rPr>
            <w:rFonts w:eastAsiaTheme="minorHAnsi"/>
            <w:color w:val="0000FF"/>
            <w:u w:val="single"/>
            <w:lang w:val="es-ES_tradnl" w:eastAsia="ja-JP"/>
          </w:rPr>
          <w:t>C42</w:t>
        </w:r>
      </w:hyperlink>
      <w:r w:rsidRPr="00983703">
        <w:rPr>
          <w:rFonts w:eastAsiaTheme="minorHAnsi"/>
          <w:lang w:val="es-ES_tradnl" w:eastAsia="ja-JP"/>
        </w:rPr>
        <w:t xml:space="preserve"> el documento "Definición de norma abierta en el UIT-T", en el que se propone modificar la definición de norma abierta mediante la supresión de "términos y condiciones razonables (incluida compensación monetaria)" no demostrables en el marco de negociaciones comerciales a puerta cerrada. También se propone evaluar la viabilidad de contar con la participación de la UIT en el análisis del término "razonable" relativo a los términos y las condiciones. Por otro lado, se propuso modificar la definición de norma abierta mediante la supresión de la condición (2).</w:t>
      </w:r>
    </w:p>
    <w:p w14:paraId="3975552F" w14:textId="0F71B766" w:rsidR="00A74C71" w:rsidRPr="00983703" w:rsidRDefault="00A74C71" w:rsidP="00A74C71">
      <w:pPr>
        <w:rPr>
          <w:rFonts w:eastAsiaTheme="minorHAnsi"/>
          <w:lang w:val="es-ES_tradnl" w:eastAsia="ja-JP"/>
        </w:rPr>
      </w:pPr>
      <w:r w:rsidRPr="00983703">
        <w:rPr>
          <w:rFonts w:eastAsiaTheme="minorHAnsi"/>
          <w:lang w:val="es-ES_tradnl"/>
        </w:rPr>
        <w:t>12.1.1</w:t>
      </w:r>
      <w:r w:rsidRPr="00983703">
        <w:rPr>
          <w:rFonts w:eastAsiaTheme="minorHAnsi"/>
          <w:lang w:val="es-ES_tradnl"/>
        </w:rPr>
        <w:tab/>
      </w:r>
      <w:r w:rsidRPr="00983703">
        <w:rPr>
          <w:rFonts w:eastAsiaTheme="minorHAnsi"/>
          <w:lang w:val="es-ES_tradnl" w:eastAsia="ja-JP"/>
        </w:rPr>
        <w:t>La reunión pidió a la Federación de Rusia que comenzara consultas a título oficioso sobre</w:t>
      </w:r>
      <w:r w:rsidR="00A959B2" w:rsidRPr="00983703">
        <w:rPr>
          <w:rFonts w:eastAsiaTheme="minorHAnsi"/>
          <w:lang w:val="es-ES_tradnl" w:eastAsia="ja-JP"/>
        </w:rPr>
        <w:t> </w:t>
      </w:r>
      <w:r w:rsidRPr="00983703">
        <w:rPr>
          <w:rFonts w:eastAsiaTheme="minorHAnsi"/>
          <w:lang w:val="es-ES_tradnl" w:eastAsia="ja-JP"/>
        </w:rPr>
        <w:t>C42 y que informara al respecto a la sesión plenaria de clausura.</w:t>
      </w:r>
    </w:p>
    <w:p w14:paraId="6551C8D5" w14:textId="77777777" w:rsidR="00A74C71" w:rsidRPr="00983703" w:rsidRDefault="00A74C71" w:rsidP="00A74C71">
      <w:pPr>
        <w:keepLines/>
        <w:rPr>
          <w:rFonts w:eastAsiaTheme="minorHAnsi"/>
          <w:highlight w:val="yellow"/>
          <w:lang w:val="es-ES_tradnl" w:eastAsia="ja-JP"/>
        </w:rPr>
      </w:pPr>
      <w:r w:rsidRPr="00983703">
        <w:rPr>
          <w:rFonts w:eastAsiaTheme="minorHAnsi"/>
          <w:lang w:val="es-ES_tradnl"/>
        </w:rPr>
        <w:t>12.1.2</w:t>
      </w:r>
      <w:r w:rsidRPr="00983703">
        <w:rPr>
          <w:rFonts w:eastAsiaTheme="minorHAnsi"/>
          <w:lang w:val="es-ES_tradnl"/>
        </w:rPr>
        <w:tab/>
      </w:r>
      <w:r w:rsidRPr="00983703">
        <w:rPr>
          <w:rFonts w:eastAsiaTheme="minorHAnsi"/>
          <w:lang w:val="es-ES_tradnl" w:eastAsia="ja-JP"/>
        </w:rPr>
        <w:t>La Federación de Rusia señaló que se habían celebrado varias consultas oficiosas sobre C42 e informó de los resultados en la sesión plenaria de clausura. También se destacó la participación de alrededor de 20 delegaciones, y se recibió una propuesta por correo electrónico con diversas preguntas, si bien dicha propuesta no recibió apoyo alguno.</w:t>
      </w:r>
    </w:p>
    <w:p w14:paraId="0D928EA4" w14:textId="1BDF380B" w:rsidR="00A74C71" w:rsidRPr="00983703" w:rsidRDefault="00A74C71" w:rsidP="00A74C71">
      <w:pPr>
        <w:rPr>
          <w:rFonts w:eastAsiaTheme="minorHAnsi"/>
          <w:lang w:val="es-ES_tradnl" w:eastAsia="ja-JP"/>
        </w:rPr>
      </w:pPr>
      <w:r w:rsidRPr="00983703">
        <w:rPr>
          <w:rFonts w:eastAsiaTheme="minorHAnsi"/>
          <w:lang w:val="es-ES_tradnl"/>
        </w:rPr>
        <w:t>12.1.3</w:t>
      </w:r>
      <w:r w:rsidRPr="00983703">
        <w:rPr>
          <w:rFonts w:eastAsiaTheme="minorHAnsi"/>
          <w:lang w:val="es-ES_tradnl"/>
        </w:rPr>
        <w:tab/>
      </w:r>
      <w:r w:rsidRPr="00983703">
        <w:rPr>
          <w:rFonts w:eastAsiaTheme="minorHAnsi"/>
          <w:lang w:val="es-ES_tradnl" w:eastAsia="ja-JP"/>
        </w:rPr>
        <w:t xml:space="preserve">La reunión tomó nota del informe e invitó a proseguir las consultas fuera de línea o en futuras reuniones. Se tomó nota del </w:t>
      </w:r>
      <w:r w:rsidR="00FE165F">
        <w:rPr>
          <w:rFonts w:eastAsiaTheme="minorHAnsi"/>
          <w:lang w:val="es-ES_tradnl" w:eastAsia="ja-JP"/>
        </w:rPr>
        <w:t>D</w:t>
      </w:r>
      <w:r w:rsidRPr="00983703">
        <w:rPr>
          <w:rFonts w:eastAsiaTheme="minorHAnsi"/>
          <w:lang w:val="es-ES_tradnl" w:eastAsia="ja-JP"/>
        </w:rPr>
        <w:t>ocumento C42.</w:t>
      </w:r>
    </w:p>
    <w:p w14:paraId="64B563F8" w14:textId="6DC3DB0B" w:rsidR="00BE59AA" w:rsidRPr="00983703" w:rsidRDefault="00996BD7" w:rsidP="00996BD7">
      <w:pPr>
        <w:pStyle w:val="Heading1"/>
        <w:rPr>
          <w:lang w:val="es-ES_tradnl"/>
        </w:rPr>
      </w:pPr>
      <w:bookmarkStart w:id="34" w:name="_Toc140261654"/>
      <w:r w:rsidRPr="00983703">
        <w:rPr>
          <w:lang w:val="es-ES_tradnl"/>
        </w:rPr>
        <w:t>13</w:t>
      </w:r>
      <w:r w:rsidRPr="00983703">
        <w:rPr>
          <w:lang w:val="es-ES_tradnl"/>
        </w:rPr>
        <w:tab/>
      </w:r>
      <w:proofErr w:type="gramStart"/>
      <w:r w:rsidR="00BE59AA" w:rsidRPr="00983703">
        <w:rPr>
          <w:lang w:val="es-ES_tradnl"/>
        </w:rPr>
        <w:t>Actividades</w:t>
      </w:r>
      <w:proofErr w:type="gramEnd"/>
      <w:r w:rsidR="00BE59AA" w:rsidRPr="00983703">
        <w:rPr>
          <w:lang w:val="es-ES_tradnl"/>
        </w:rPr>
        <w:t xml:space="preserve"> relacionadas con el género en el UIT-T y la TSB</w:t>
      </w:r>
      <w:bookmarkEnd w:id="34"/>
    </w:p>
    <w:p w14:paraId="4D83F06E" w14:textId="7FB52802" w:rsidR="00A74C71" w:rsidRPr="00983703" w:rsidRDefault="00A74C71" w:rsidP="00A74C71">
      <w:pPr>
        <w:rPr>
          <w:rFonts w:eastAsiaTheme="minorHAnsi"/>
          <w:lang w:val="es-ES_tradnl"/>
        </w:rPr>
      </w:pPr>
      <w:r w:rsidRPr="00983703">
        <w:rPr>
          <w:rFonts w:eastAsiaTheme="minorHAnsi"/>
          <w:lang w:val="es-ES_tradnl"/>
        </w:rPr>
        <w:t>13.1</w:t>
      </w:r>
      <w:r w:rsidRPr="00983703">
        <w:rPr>
          <w:rFonts w:eastAsiaTheme="minorHAnsi"/>
          <w:lang w:val="es-ES_tradnl"/>
        </w:rPr>
        <w:tab/>
      </w:r>
      <w:bookmarkStart w:id="35" w:name="_Hlk122177917"/>
      <w:r w:rsidRPr="00983703">
        <w:rPr>
          <w:rFonts w:eastAsiaTheme="minorHAnsi"/>
          <w:bCs/>
          <w:lang w:val="es-ES_tradnl" w:eastAsia="ja-JP"/>
        </w:rPr>
        <w:t xml:space="preserve">La TSB presentó </w:t>
      </w:r>
      <w:r w:rsidRPr="00983703">
        <w:rPr>
          <w:rFonts w:eastAsiaTheme="minorHAnsi"/>
          <w:lang w:val="es-ES_tradnl" w:eastAsia="ja-JP"/>
        </w:rPr>
        <w:t xml:space="preserve">el </w:t>
      </w:r>
      <w:r w:rsidR="00A959B2" w:rsidRPr="00983703">
        <w:rPr>
          <w:rFonts w:eastAsiaTheme="minorHAnsi"/>
          <w:lang w:val="es-ES_tradnl" w:eastAsia="ja-JP"/>
        </w:rPr>
        <w:t>D</w:t>
      </w:r>
      <w:r w:rsidRPr="00983703">
        <w:rPr>
          <w:rFonts w:eastAsiaTheme="minorHAnsi"/>
          <w:lang w:val="es-ES_tradnl" w:eastAsia="ja-JP"/>
        </w:rPr>
        <w:t>ocumento</w:t>
      </w:r>
      <w:r w:rsidRPr="00983703">
        <w:rPr>
          <w:rFonts w:eastAsiaTheme="minorHAnsi"/>
          <w:bCs/>
          <w:lang w:val="es-ES_tradnl" w:eastAsia="ja-JP"/>
        </w:rPr>
        <w:t xml:space="preserve"> </w:t>
      </w:r>
      <w:hyperlink r:id="rId71" w:history="1">
        <w:r w:rsidRPr="00983703">
          <w:rPr>
            <w:rFonts w:eastAsiaTheme="minorHAnsi"/>
            <w:bCs/>
            <w:color w:val="0000FF"/>
            <w:u w:val="single"/>
            <w:lang w:val="es-ES_tradnl" w:eastAsia="ja-JP"/>
          </w:rPr>
          <w:t>TD196</w:t>
        </w:r>
      </w:hyperlink>
      <w:r w:rsidRPr="00983703">
        <w:rPr>
          <w:rFonts w:eastAsiaTheme="minorHAnsi"/>
          <w:lang w:val="es-ES_tradnl"/>
        </w:rPr>
        <w:t>, en el que</w:t>
      </w:r>
      <w:bookmarkEnd w:id="35"/>
      <w:r w:rsidRPr="00983703">
        <w:rPr>
          <w:rFonts w:eastAsiaTheme="minorHAnsi"/>
          <w:lang w:val="es-ES_tradnl"/>
        </w:rPr>
        <w:t xml:space="preserve"> se informa de los resultados</w:t>
      </w:r>
      <w:r w:rsidRPr="00983703">
        <w:rPr>
          <w:rFonts w:eastAsiaTheme="minorHAnsi"/>
          <w:bCs/>
          <w:lang w:val="es-ES_tradnl" w:eastAsia="ja-JP"/>
        </w:rPr>
        <w:t xml:space="preserve"> de la encuesta sobre promoción de la igualdad de género en las actividades del UIT-T.</w:t>
      </w:r>
    </w:p>
    <w:p w14:paraId="59AB9229" w14:textId="14E2B246" w:rsidR="00A74C71" w:rsidRPr="00983703" w:rsidRDefault="00A74C71" w:rsidP="00A74C71">
      <w:pPr>
        <w:rPr>
          <w:rFonts w:eastAsiaTheme="minorHAnsi"/>
          <w:lang w:val="es-ES_tradnl" w:eastAsia="ja-JP"/>
        </w:rPr>
      </w:pPr>
      <w:r w:rsidRPr="00983703">
        <w:rPr>
          <w:rFonts w:eastAsiaTheme="minorHAnsi"/>
          <w:lang w:val="es-ES_tradnl"/>
        </w:rPr>
        <w:t>13.1.1</w:t>
      </w:r>
      <w:r w:rsidRPr="00983703">
        <w:rPr>
          <w:rFonts w:eastAsiaTheme="minorHAnsi"/>
          <w:lang w:val="es-ES_tradnl"/>
        </w:rPr>
        <w:tab/>
      </w:r>
      <w:r w:rsidRPr="00983703">
        <w:rPr>
          <w:rFonts w:eastAsiaTheme="minorHAnsi"/>
          <w:lang w:val="es-ES_tradnl" w:eastAsia="ja-JP"/>
        </w:rPr>
        <w:t xml:space="preserve">El GANT tomó nota del </w:t>
      </w:r>
      <w:r w:rsidR="00FE165F">
        <w:rPr>
          <w:rFonts w:eastAsiaTheme="minorHAnsi"/>
          <w:lang w:val="es-ES_tradnl" w:eastAsia="ja-JP"/>
        </w:rPr>
        <w:t>D</w:t>
      </w:r>
      <w:r w:rsidRPr="00983703">
        <w:rPr>
          <w:rFonts w:eastAsiaTheme="minorHAnsi"/>
          <w:lang w:val="es-ES_tradnl" w:eastAsia="ja-JP"/>
        </w:rPr>
        <w:t>ocumento TD196 e invitó a los miembros a tomar medidas para fomentar la participación de mujeres en las actividades de la Unión.</w:t>
      </w:r>
    </w:p>
    <w:p w14:paraId="64A8DC2F" w14:textId="44C643B6" w:rsidR="00BE59AA" w:rsidRPr="00983703" w:rsidRDefault="00996BD7" w:rsidP="00996BD7">
      <w:pPr>
        <w:pStyle w:val="Heading1"/>
        <w:rPr>
          <w:lang w:val="es-ES_tradnl"/>
        </w:rPr>
      </w:pPr>
      <w:bookmarkStart w:id="36" w:name="_Toc140261655"/>
      <w:r w:rsidRPr="00983703">
        <w:rPr>
          <w:lang w:val="es-ES_tradnl"/>
        </w:rPr>
        <w:t>14</w:t>
      </w:r>
      <w:r w:rsidRPr="00983703">
        <w:rPr>
          <w:lang w:val="es-ES_tradnl"/>
        </w:rPr>
        <w:tab/>
      </w:r>
      <w:proofErr w:type="gramStart"/>
      <w:r w:rsidR="00BE59AA" w:rsidRPr="00983703">
        <w:rPr>
          <w:lang w:val="es-ES_tradnl"/>
        </w:rPr>
        <w:t>Gaceta</w:t>
      </w:r>
      <w:proofErr w:type="gramEnd"/>
      <w:r w:rsidR="00BE59AA" w:rsidRPr="00983703">
        <w:rPr>
          <w:lang w:val="es-ES_tradnl"/>
        </w:rPr>
        <w:t xml:space="preserve"> de la UIT sobre Tecnologías Futuras y en Evolución</w:t>
      </w:r>
      <w:bookmarkEnd w:id="36"/>
    </w:p>
    <w:p w14:paraId="6A536100" w14:textId="2A02571D" w:rsidR="00A74C71" w:rsidRPr="00983703" w:rsidRDefault="00A74C71" w:rsidP="00BE59AA">
      <w:pPr>
        <w:tabs>
          <w:tab w:val="clear" w:pos="794"/>
          <w:tab w:val="clear" w:pos="1191"/>
          <w:tab w:val="clear" w:pos="1588"/>
          <w:tab w:val="clear" w:pos="1985"/>
          <w:tab w:val="left" w:pos="777"/>
        </w:tabs>
        <w:spacing w:before="60" w:after="60"/>
        <w:ind w:left="-39"/>
        <w:rPr>
          <w:rFonts w:asciiTheme="majorBidi" w:eastAsiaTheme="minorHAnsi" w:hAnsiTheme="majorBidi" w:cstheme="majorBidi"/>
          <w:highlight w:val="yellow"/>
          <w:lang w:val="es-ES_tradnl" w:eastAsia="ja-JP"/>
        </w:rPr>
      </w:pPr>
      <w:r w:rsidRPr="00983703">
        <w:rPr>
          <w:rFonts w:eastAsiaTheme="minorHAnsi"/>
          <w:lang w:val="es-ES_tradnl"/>
        </w:rPr>
        <w:t>14.1</w:t>
      </w:r>
      <w:r w:rsidRPr="00983703">
        <w:rPr>
          <w:rFonts w:asciiTheme="majorBidi" w:eastAsiaTheme="minorHAnsi" w:hAnsiTheme="majorBidi" w:cstheme="majorBidi"/>
          <w:lang w:val="es-ES_tradnl" w:eastAsia="ja-JP"/>
        </w:rPr>
        <w:tab/>
      </w:r>
      <w:r w:rsidRPr="00983703">
        <w:rPr>
          <w:rFonts w:eastAsiaTheme="minorHAnsi"/>
          <w:lang w:val="es-ES_tradnl"/>
        </w:rPr>
        <w:t xml:space="preserve">El GANT tomó nota del </w:t>
      </w:r>
      <w:r w:rsidR="00A959B2" w:rsidRPr="00983703">
        <w:rPr>
          <w:rFonts w:eastAsiaTheme="minorHAnsi"/>
          <w:lang w:val="es-ES_tradnl"/>
        </w:rPr>
        <w:t>D</w:t>
      </w:r>
      <w:r w:rsidRPr="00983703">
        <w:rPr>
          <w:rFonts w:eastAsiaTheme="minorHAnsi"/>
          <w:lang w:val="es-ES_tradnl"/>
        </w:rPr>
        <w:t xml:space="preserve">ocumento </w:t>
      </w:r>
      <w:hyperlink r:id="rId72" w:history="1">
        <w:r w:rsidRPr="00983703">
          <w:rPr>
            <w:rFonts w:eastAsiaTheme="minorHAnsi"/>
            <w:color w:val="0000FF"/>
            <w:u w:val="single"/>
            <w:lang w:val="es-ES_tradnl" w:eastAsia="ja-JP"/>
          </w:rPr>
          <w:t>TD227</w:t>
        </w:r>
      </w:hyperlink>
      <w:r w:rsidRPr="00983703">
        <w:rPr>
          <w:rFonts w:eastAsiaTheme="minorHAnsi"/>
          <w:lang w:val="es-ES_tradnl" w:eastAsia="ja-JP"/>
        </w:rPr>
        <w:t xml:space="preserve"> relativo a la </w:t>
      </w:r>
      <w:r w:rsidRPr="00983703">
        <w:rPr>
          <w:rFonts w:asciiTheme="majorBidi" w:eastAsia="SimSun" w:hAnsiTheme="majorBidi" w:cstheme="majorBidi"/>
          <w:bCs/>
          <w:i/>
          <w:iCs/>
          <w:lang w:val="es-ES_tradnl" w:eastAsia="ja-JP"/>
        </w:rPr>
        <w:t>Gaceta de la UIT sobre Tecnologías Futuras y en Evolución</w:t>
      </w:r>
      <w:r w:rsidRPr="00983703">
        <w:rPr>
          <w:rFonts w:eastAsiaTheme="minorHAnsi"/>
          <w:lang w:val="es-ES_tradnl"/>
        </w:rPr>
        <w:t xml:space="preserve">, en la que se han </w:t>
      </w:r>
      <w:r w:rsidRPr="00983703">
        <w:rPr>
          <w:rFonts w:asciiTheme="majorBidi" w:eastAsiaTheme="minorHAnsi" w:hAnsiTheme="majorBidi" w:cstheme="majorBidi"/>
          <w:lang w:val="es-ES_tradnl" w:eastAsia="ja-JP"/>
        </w:rPr>
        <w:t>publicado 148 artículos desde su puesta en marcha en septiembre de 2020. Por otro lado, en el marco de nuevas ediciones especiales se siguen solicitando contribuciones sobre sistemas inalámbricos 5G o basados en tecnologías posteriores, seguridad impulsada por IA, IA para facilitar la accesibilidad, el metaverso, y constelaciones de satélites y espacio, para su publicación en 2023 y 2024.</w:t>
      </w:r>
    </w:p>
    <w:p w14:paraId="1BBD2F7E" w14:textId="2B9316A7" w:rsidR="00A74C71" w:rsidRPr="00983703" w:rsidRDefault="00A74C71" w:rsidP="00A959B2">
      <w:pPr>
        <w:rPr>
          <w:rFonts w:eastAsiaTheme="minorHAnsi"/>
          <w:highlight w:val="yellow"/>
          <w:lang w:val="es-ES_tradnl" w:eastAsia="ja-JP"/>
        </w:rPr>
      </w:pPr>
      <w:r w:rsidRPr="00983703">
        <w:rPr>
          <w:rFonts w:eastAsiaTheme="minorHAnsi"/>
          <w:lang w:val="es-ES_tradnl"/>
        </w:rPr>
        <w:t>14.1.1</w:t>
      </w:r>
      <w:r w:rsidRPr="00983703">
        <w:rPr>
          <w:rFonts w:eastAsiaTheme="minorHAnsi"/>
          <w:lang w:val="es-ES_tradnl"/>
        </w:rPr>
        <w:tab/>
      </w:r>
      <w:r w:rsidRPr="00983703">
        <w:rPr>
          <w:rFonts w:eastAsiaTheme="minorHAnsi"/>
          <w:lang w:val="es-ES_tradnl" w:eastAsia="ja-JP"/>
        </w:rPr>
        <w:t xml:space="preserve">La reunión tomó nota del </w:t>
      </w:r>
      <w:r w:rsidR="00A959B2" w:rsidRPr="00983703">
        <w:rPr>
          <w:rFonts w:eastAsiaTheme="minorHAnsi"/>
          <w:lang w:val="es-ES_tradnl" w:eastAsia="ja-JP"/>
        </w:rPr>
        <w:t>D</w:t>
      </w:r>
      <w:r w:rsidRPr="00983703">
        <w:rPr>
          <w:rFonts w:eastAsiaTheme="minorHAnsi"/>
          <w:lang w:val="es-ES_tradnl" w:eastAsia="ja-JP"/>
        </w:rPr>
        <w:t>ocumento TD227.</w:t>
      </w:r>
    </w:p>
    <w:p w14:paraId="431952F5" w14:textId="0C9E97ED" w:rsidR="00BE59AA" w:rsidRPr="00983703" w:rsidRDefault="00996BD7" w:rsidP="00996BD7">
      <w:pPr>
        <w:pStyle w:val="Heading1"/>
        <w:rPr>
          <w:lang w:val="es-ES_tradnl"/>
        </w:rPr>
      </w:pPr>
      <w:bookmarkStart w:id="37" w:name="_Toc140261656"/>
      <w:r w:rsidRPr="00983703">
        <w:rPr>
          <w:lang w:val="es-ES_tradnl"/>
        </w:rPr>
        <w:t>15</w:t>
      </w:r>
      <w:r w:rsidRPr="00983703">
        <w:rPr>
          <w:lang w:val="es-ES_tradnl"/>
        </w:rPr>
        <w:tab/>
      </w:r>
      <w:proofErr w:type="gramStart"/>
      <w:r w:rsidR="00BE59AA" w:rsidRPr="00983703">
        <w:rPr>
          <w:lang w:val="es-ES_tradnl"/>
        </w:rPr>
        <w:t>Preparativos</w:t>
      </w:r>
      <w:proofErr w:type="gramEnd"/>
      <w:r w:rsidR="00BE59AA" w:rsidRPr="00983703">
        <w:rPr>
          <w:lang w:val="es-ES_tradnl"/>
        </w:rPr>
        <w:t xml:space="preserve"> para la AMNT-24</w:t>
      </w:r>
      <w:bookmarkEnd w:id="37"/>
    </w:p>
    <w:p w14:paraId="6F2C5E30" w14:textId="0D085206" w:rsidR="00A74C71" w:rsidRPr="00983703" w:rsidRDefault="00A74C71" w:rsidP="00A74C71">
      <w:pPr>
        <w:rPr>
          <w:rFonts w:eastAsiaTheme="minorHAnsi"/>
          <w:lang w:val="es-ES_tradnl" w:eastAsia="ja-JP"/>
        </w:rPr>
      </w:pPr>
      <w:r w:rsidRPr="00983703">
        <w:rPr>
          <w:rFonts w:eastAsiaTheme="minorHAnsi"/>
          <w:lang w:val="es-ES_tradnl"/>
        </w:rPr>
        <w:t>15.1</w:t>
      </w:r>
      <w:r w:rsidRPr="00983703">
        <w:rPr>
          <w:rFonts w:eastAsiaTheme="minorHAnsi"/>
          <w:lang w:val="es-ES_tradnl" w:eastAsia="ja-JP"/>
        </w:rPr>
        <w:tab/>
        <w:t xml:space="preserve">La TSB presentó el </w:t>
      </w:r>
      <w:r w:rsidR="00A959B2" w:rsidRPr="00983703">
        <w:rPr>
          <w:rFonts w:eastAsiaTheme="minorHAnsi"/>
          <w:lang w:val="es-ES_tradnl" w:eastAsia="ja-JP"/>
        </w:rPr>
        <w:t>D</w:t>
      </w:r>
      <w:r w:rsidRPr="00983703">
        <w:rPr>
          <w:rFonts w:eastAsiaTheme="minorHAnsi"/>
          <w:lang w:val="es-ES_tradnl" w:eastAsia="ja-JP"/>
        </w:rPr>
        <w:t xml:space="preserve">ocumento </w:t>
      </w:r>
      <w:hyperlink r:id="rId73" w:history="1">
        <w:r w:rsidRPr="00983703">
          <w:rPr>
            <w:rFonts w:eastAsiaTheme="minorHAnsi"/>
            <w:color w:val="0000FF"/>
            <w:u w:val="single"/>
            <w:lang w:val="es-ES_tradnl" w:eastAsia="ja-JP"/>
          </w:rPr>
          <w:t>TD248</w:t>
        </w:r>
      </w:hyperlink>
      <w:r w:rsidRPr="00983703">
        <w:rPr>
          <w:rFonts w:eastAsiaTheme="minorHAnsi"/>
          <w:lang w:val="es-ES_tradnl" w:eastAsia="ja-JP"/>
        </w:rPr>
        <w:t xml:space="preserve">, que </w:t>
      </w:r>
      <w:r w:rsidRPr="00983703">
        <w:rPr>
          <w:rFonts w:eastAsia="SimSun"/>
          <w:bCs/>
          <w:lang w:val="es-ES_tradnl" w:eastAsia="ja-JP"/>
        </w:rPr>
        <w:t xml:space="preserve">contiene información actualizada sobre las reuniones preparatorias </w:t>
      </w:r>
      <w:r w:rsidRPr="00983703">
        <w:rPr>
          <w:rFonts w:eastAsiaTheme="minorHAnsi"/>
          <w:lang w:val="es-ES_tradnl" w:eastAsia="ja-JP"/>
        </w:rPr>
        <w:t xml:space="preserve">regionales de </w:t>
      </w:r>
      <w:r w:rsidRPr="00983703">
        <w:rPr>
          <w:rFonts w:eastAsia="SimSun"/>
          <w:bCs/>
          <w:lang w:val="es-ES_tradnl" w:eastAsia="ja-JP"/>
        </w:rPr>
        <w:t>la AMNT-24.</w:t>
      </w:r>
    </w:p>
    <w:p w14:paraId="142637A6" w14:textId="686A3350" w:rsidR="00A74C71" w:rsidRPr="00983703" w:rsidRDefault="00A74C71" w:rsidP="00A74C71">
      <w:pPr>
        <w:rPr>
          <w:rFonts w:eastAsiaTheme="minorHAnsi"/>
          <w:lang w:val="es-ES_tradnl" w:eastAsia="ja-JP"/>
        </w:rPr>
      </w:pPr>
      <w:r w:rsidRPr="00983703">
        <w:rPr>
          <w:rFonts w:eastAsiaTheme="minorHAnsi"/>
          <w:lang w:val="es-ES_tradnl"/>
        </w:rPr>
        <w:t>15.1.1</w:t>
      </w:r>
      <w:r w:rsidRPr="00983703">
        <w:rPr>
          <w:rFonts w:eastAsiaTheme="minorHAnsi"/>
          <w:lang w:val="es-ES_tradnl"/>
        </w:rPr>
        <w:tab/>
      </w:r>
      <w:r w:rsidRPr="00983703">
        <w:rPr>
          <w:rFonts w:eastAsiaTheme="minorHAnsi"/>
          <w:lang w:val="es-ES_tradnl" w:eastAsia="ja-JP"/>
        </w:rPr>
        <w:t xml:space="preserve">La reunión tomó nota del </w:t>
      </w:r>
      <w:r w:rsidR="00FE165F">
        <w:rPr>
          <w:rFonts w:eastAsiaTheme="minorHAnsi"/>
          <w:lang w:val="es-ES_tradnl" w:eastAsia="ja-JP"/>
        </w:rPr>
        <w:t>D</w:t>
      </w:r>
      <w:r w:rsidRPr="00983703">
        <w:rPr>
          <w:rFonts w:eastAsiaTheme="minorHAnsi"/>
          <w:lang w:val="es-ES_tradnl" w:eastAsia="ja-JP"/>
        </w:rPr>
        <w:t>ocumento TD248.</w:t>
      </w:r>
    </w:p>
    <w:p w14:paraId="1931977A" w14:textId="06427FF5" w:rsidR="00A74C71" w:rsidRPr="00983703" w:rsidRDefault="00A74C71" w:rsidP="00A74C71">
      <w:pPr>
        <w:rPr>
          <w:rFonts w:eastAsiaTheme="minorHAnsi"/>
          <w:lang w:val="es-ES_tradnl" w:eastAsia="ja-JP"/>
        </w:rPr>
      </w:pPr>
      <w:r w:rsidRPr="00983703">
        <w:rPr>
          <w:rFonts w:eastAsiaTheme="minorHAnsi"/>
          <w:lang w:val="es-ES_tradnl"/>
        </w:rPr>
        <w:t>15.2</w:t>
      </w:r>
      <w:r w:rsidRPr="00983703">
        <w:rPr>
          <w:rFonts w:eastAsiaTheme="minorHAnsi"/>
          <w:lang w:val="es-ES_tradnl"/>
        </w:rPr>
        <w:tab/>
      </w:r>
      <w:r w:rsidRPr="00983703">
        <w:rPr>
          <w:rFonts w:eastAsiaTheme="minorHAnsi"/>
          <w:lang w:val="es-ES_tradnl" w:eastAsia="ja-JP"/>
        </w:rPr>
        <w:t xml:space="preserve">La TSB presentó el </w:t>
      </w:r>
      <w:r w:rsidR="00A959B2" w:rsidRPr="00983703">
        <w:rPr>
          <w:rFonts w:eastAsiaTheme="minorHAnsi"/>
          <w:lang w:val="es-ES_tradnl" w:eastAsia="ja-JP"/>
        </w:rPr>
        <w:t>D</w:t>
      </w:r>
      <w:r w:rsidRPr="00983703">
        <w:rPr>
          <w:rFonts w:eastAsiaTheme="minorHAnsi"/>
          <w:lang w:val="es-ES_tradnl" w:eastAsia="ja-JP"/>
        </w:rPr>
        <w:t xml:space="preserve">ocumento </w:t>
      </w:r>
      <w:hyperlink r:id="rId74" w:history="1">
        <w:r w:rsidRPr="00983703">
          <w:rPr>
            <w:rFonts w:eastAsiaTheme="minorHAnsi"/>
            <w:color w:val="0000FF"/>
            <w:u w:val="single"/>
            <w:lang w:val="es-ES_tradnl" w:eastAsia="ja-JP"/>
          </w:rPr>
          <w:t>TD249</w:t>
        </w:r>
      </w:hyperlink>
      <w:r w:rsidRPr="00983703">
        <w:rPr>
          <w:rFonts w:eastAsiaTheme="minorHAnsi"/>
          <w:lang w:val="es-ES_tradnl" w:eastAsia="ja-JP"/>
        </w:rPr>
        <w:t xml:space="preserve">, que </w:t>
      </w:r>
      <w:r w:rsidRPr="00983703">
        <w:rPr>
          <w:rFonts w:asciiTheme="majorBidi" w:eastAsia="SimSun" w:hAnsiTheme="majorBidi" w:cstheme="majorBidi"/>
          <w:bCs/>
          <w:lang w:val="es-ES_tradnl" w:eastAsia="ja-JP"/>
        </w:rPr>
        <w:t>contiene información actualizada sobre planificación de la coordinación interregional de la AMNT-24.</w:t>
      </w:r>
    </w:p>
    <w:p w14:paraId="1E8CD154" w14:textId="27DC9A31" w:rsidR="00A74C71" w:rsidRPr="00983703" w:rsidRDefault="00A74C71" w:rsidP="00A74C71">
      <w:pPr>
        <w:rPr>
          <w:rFonts w:eastAsiaTheme="minorHAnsi"/>
          <w:bCs/>
          <w:lang w:val="es-ES_tradnl" w:eastAsia="ja-JP"/>
        </w:rPr>
      </w:pPr>
      <w:r w:rsidRPr="00983703">
        <w:rPr>
          <w:rFonts w:eastAsiaTheme="minorHAnsi"/>
          <w:lang w:val="es-ES_tradnl"/>
        </w:rPr>
        <w:t>15.2.1</w:t>
      </w:r>
      <w:r w:rsidRPr="00983703">
        <w:rPr>
          <w:rFonts w:eastAsiaTheme="minorHAnsi"/>
          <w:lang w:val="es-ES_tradnl"/>
        </w:rPr>
        <w:tab/>
      </w:r>
      <w:r w:rsidRPr="00983703">
        <w:rPr>
          <w:rFonts w:eastAsiaTheme="minorHAnsi"/>
          <w:lang w:val="es-ES_tradnl" w:eastAsia="ja-JP"/>
        </w:rPr>
        <w:t xml:space="preserve">La reunión tomó nota del </w:t>
      </w:r>
      <w:r w:rsidR="006F6F91">
        <w:rPr>
          <w:rFonts w:eastAsiaTheme="minorHAnsi"/>
          <w:lang w:val="es-ES_tradnl" w:eastAsia="ja-JP"/>
        </w:rPr>
        <w:t>D</w:t>
      </w:r>
      <w:r w:rsidRPr="00983703">
        <w:rPr>
          <w:rFonts w:eastAsiaTheme="minorHAnsi"/>
          <w:lang w:val="es-ES_tradnl" w:eastAsia="ja-JP"/>
        </w:rPr>
        <w:t>ocumento TD249.</w:t>
      </w:r>
    </w:p>
    <w:p w14:paraId="4219C14B" w14:textId="77777777" w:rsidR="00B52768" w:rsidRDefault="00B52768">
      <w:pPr>
        <w:tabs>
          <w:tab w:val="clear" w:pos="794"/>
          <w:tab w:val="clear" w:pos="1191"/>
          <w:tab w:val="clear" w:pos="1588"/>
          <w:tab w:val="clear" w:pos="1985"/>
        </w:tabs>
        <w:overflowPunct/>
        <w:autoSpaceDE/>
        <w:autoSpaceDN/>
        <w:adjustRightInd/>
        <w:spacing w:before="0"/>
        <w:textAlignment w:val="auto"/>
        <w:rPr>
          <w:rFonts w:eastAsiaTheme="minorHAnsi"/>
          <w:lang w:val="es-ES_tradnl"/>
        </w:rPr>
      </w:pPr>
      <w:r>
        <w:rPr>
          <w:rFonts w:eastAsiaTheme="minorHAnsi"/>
          <w:lang w:val="es-ES_tradnl"/>
        </w:rPr>
        <w:br w:type="page"/>
      </w:r>
    </w:p>
    <w:p w14:paraId="1B474B39" w14:textId="2D33B9B0" w:rsidR="00A74C71" w:rsidRPr="00983703" w:rsidRDefault="00A74C71" w:rsidP="00A74C71">
      <w:pPr>
        <w:rPr>
          <w:rFonts w:eastAsiaTheme="minorHAnsi"/>
          <w:lang w:val="es-ES_tradnl" w:eastAsia="ja-JP"/>
        </w:rPr>
      </w:pPr>
      <w:r w:rsidRPr="00983703">
        <w:rPr>
          <w:rFonts w:eastAsiaTheme="minorHAnsi"/>
          <w:lang w:val="es-ES_tradnl"/>
        </w:rPr>
        <w:lastRenderedPageBreak/>
        <w:t>15.3</w:t>
      </w:r>
      <w:r w:rsidRPr="00983703">
        <w:rPr>
          <w:rFonts w:eastAsiaTheme="minorHAnsi"/>
          <w:lang w:val="es-ES_tradnl"/>
        </w:rPr>
        <w:tab/>
      </w:r>
      <w:r w:rsidRPr="00983703">
        <w:rPr>
          <w:rFonts w:eastAsiaTheme="minorHAnsi"/>
          <w:lang w:val="es-ES_tradnl" w:eastAsia="ja-JP"/>
        </w:rPr>
        <w:t>Se pidió a la TSB que en la próxima reunión del GANT se informara sobre la posibilidad</w:t>
      </w:r>
      <w:r w:rsidR="00B52768">
        <w:rPr>
          <w:rFonts w:eastAsiaTheme="minorHAnsi"/>
          <w:lang w:val="es-ES_tradnl" w:eastAsia="ja-JP"/>
        </w:rPr>
        <w:t> </w:t>
      </w:r>
      <w:r w:rsidRPr="00983703">
        <w:rPr>
          <w:rFonts w:eastAsiaTheme="minorHAnsi"/>
          <w:lang w:val="es-ES_tradnl" w:eastAsia="ja-JP"/>
        </w:rPr>
        <w:t>de:</w:t>
      </w:r>
    </w:p>
    <w:p w14:paraId="191D9D08" w14:textId="64A79A9E" w:rsidR="00A74C71" w:rsidRPr="00983703" w:rsidRDefault="00A74C71" w:rsidP="00A74C71">
      <w:pPr>
        <w:pStyle w:val="enumlev2"/>
        <w:rPr>
          <w:lang w:val="es-ES_tradnl" w:eastAsia="ja-JP"/>
        </w:rPr>
      </w:pPr>
      <w:r w:rsidRPr="00983703">
        <w:rPr>
          <w:lang w:val="es-ES_tradnl" w:eastAsia="ja-JP"/>
        </w:rPr>
        <w:t>a)</w:t>
      </w:r>
      <w:r w:rsidRPr="00983703">
        <w:rPr>
          <w:lang w:val="es-ES_tradnl" w:eastAsia="ja-JP"/>
        </w:rPr>
        <w:tab/>
        <w:t>evaluar el aumento paulatino de la participación presencial en todas las Comisiones de Estudio, habida cuenta de los resultados satisfactorios al respecto en este GANT;</w:t>
      </w:r>
    </w:p>
    <w:p w14:paraId="201DEEC9" w14:textId="2280A23D" w:rsidR="00A74C71" w:rsidRPr="00983703" w:rsidRDefault="00A74C71" w:rsidP="00A74C71">
      <w:pPr>
        <w:pStyle w:val="enumlev2"/>
        <w:rPr>
          <w:lang w:val="es-ES_tradnl" w:eastAsia="ja-JP"/>
        </w:rPr>
      </w:pPr>
      <w:r w:rsidRPr="00983703">
        <w:rPr>
          <w:lang w:val="es-ES_tradnl" w:eastAsia="ja-JP"/>
        </w:rPr>
        <w:t>b)</w:t>
      </w:r>
      <w:r w:rsidRPr="00983703">
        <w:rPr>
          <w:lang w:val="es-ES_tradnl" w:eastAsia="ja-JP"/>
        </w:rPr>
        <w:tab/>
        <w:t>estudiar la celebración de una AMNT-24 sin participación a distancia, e informar al respecto en el marco de los preparativos de la AMNT-24, destacando la disponibilidad de las aplicaciones habituales de retransmisión por Internet, transmisión continua de vídeo y subtitulado;</w:t>
      </w:r>
    </w:p>
    <w:p w14:paraId="375E554F" w14:textId="67B33DB0" w:rsidR="00A74C71" w:rsidRPr="00983703" w:rsidRDefault="00A74C71" w:rsidP="00A74C71">
      <w:pPr>
        <w:pStyle w:val="enumlev2"/>
        <w:rPr>
          <w:rFonts w:asciiTheme="majorBidi" w:hAnsiTheme="majorBidi" w:cstheme="majorBidi"/>
          <w:lang w:val="es-ES_tradnl" w:eastAsia="ja-JP"/>
        </w:rPr>
      </w:pPr>
      <w:r w:rsidRPr="00983703">
        <w:rPr>
          <w:lang w:val="es-ES_tradnl" w:eastAsia="ja-JP"/>
        </w:rPr>
        <w:t>c)</w:t>
      </w:r>
      <w:r w:rsidRPr="00983703">
        <w:rPr>
          <w:lang w:val="es-ES_tradnl" w:eastAsia="ja-JP"/>
        </w:rPr>
        <w:tab/>
        <w:t>recopilar y analizar las conclusiones extraídas de la CMR-23 y debatir con la BR toda dificultad surgida a medida que la BR registra avances para celebrar una CMR-23 sin participación a distancia.</w:t>
      </w:r>
    </w:p>
    <w:p w14:paraId="38FB8BB2" w14:textId="76B4CC81" w:rsidR="00A74C71" w:rsidRPr="00983703" w:rsidRDefault="00A74C71" w:rsidP="00A74C71">
      <w:pPr>
        <w:rPr>
          <w:rFonts w:eastAsiaTheme="minorHAnsi"/>
          <w:lang w:val="es-ES_tradnl" w:eastAsia="ja-JP"/>
        </w:rPr>
      </w:pPr>
      <w:r w:rsidRPr="00983703">
        <w:rPr>
          <w:rFonts w:eastAsiaTheme="minorHAnsi"/>
          <w:lang w:val="es-ES_tradnl" w:eastAsia="ja-JP"/>
        </w:rPr>
        <w:t>La TSB tendrá en cuenta esas cuestiones al negociar el acuerdo de país anfitrión con la India para la AMNT-24. Se señaló la posible necesidad de tomar una decisión sobre participación a distancia en la AMNT-24, antes de la próxima reunión del GANT prevista para febrero de 2024.</w:t>
      </w:r>
    </w:p>
    <w:p w14:paraId="44161B92" w14:textId="544ABB68" w:rsidR="00BE59AA" w:rsidRPr="00983703" w:rsidRDefault="00996BD7" w:rsidP="00996BD7">
      <w:pPr>
        <w:pStyle w:val="Heading1"/>
        <w:rPr>
          <w:lang w:val="es-ES_tradnl"/>
        </w:rPr>
      </w:pPr>
      <w:bookmarkStart w:id="38" w:name="_Toc140261657"/>
      <w:r w:rsidRPr="00983703">
        <w:rPr>
          <w:lang w:val="es-ES_tradnl"/>
        </w:rPr>
        <w:t>16</w:t>
      </w:r>
      <w:r w:rsidRPr="00983703">
        <w:rPr>
          <w:lang w:val="es-ES_tradnl"/>
        </w:rPr>
        <w:tab/>
      </w:r>
      <w:proofErr w:type="gramStart"/>
      <w:r w:rsidR="00BE59AA" w:rsidRPr="00983703">
        <w:rPr>
          <w:lang w:val="es-ES_tradnl"/>
        </w:rPr>
        <w:t>Participación</w:t>
      </w:r>
      <w:proofErr w:type="gramEnd"/>
      <w:r w:rsidR="00BE59AA" w:rsidRPr="00983703">
        <w:rPr>
          <w:lang w:val="es-ES_tradnl"/>
        </w:rPr>
        <w:t xml:space="preserve"> de miembros de países en desarrollo, en particular, de África</w:t>
      </w:r>
      <w:bookmarkStart w:id="39" w:name="_Ref482380328"/>
      <w:bookmarkEnd w:id="38"/>
    </w:p>
    <w:p w14:paraId="571D8BCA" w14:textId="77777777" w:rsidR="00A74C71" w:rsidRPr="00983703" w:rsidRDefault="00A74C71" w:rsidP="00A74C71">
      <w:pPr>
        <w:rPr>
          <w:rFonts w:eastAsiaTheme="minorHAnsi"/>
          <w:lang w:val="es-ES_tradnl" w:eastAsia="ja-JP"/>
        </w:rPr>
      </w:pPr>
      <w:r w:rsidRPr="00983703">
        <w:rPr>
          <w:rFonts w:eastAsiaTheme="minorHAnsi"/>
          <w:lang w:val="es-ES_tradnl"/>
        </w:rPr>
        <w:t>16.1</w:t>
      </w:r>
      <w:r w:rsidRPr="00983703">
        <w:rPr>
          <w:rFonts w:asciiTheme="majorBidi" w:eastAsiaTheme="minorHAnsi" w:hAnsiTheme="majorBidi" w:cstheme="majorBidi"/>
          <w:lang w:val="es-ES_tradnl" w:eastAsia="ja-JP"/>
        </w:rPr>
        <w:tab/>
      </w:r>
      <w:proofErr w:type="spellStart"/>
      <w:r w:rsidRPr="00983703">
        <w:rPr>
          <w:rFonts w:eastAsiaTheme="minorHAnsi"/>
          <w:lang w:val="es-ES_tradnl" w:eastAsia="ja-JP"/>
        </w:rPr>
        <w:t>Kenya</w:t>
      </w:r>
      <w:proofErr w:type="spellEnd"/>
      <w:r w:rsidRPr="00983703">
        <w:rPr>
          <w:rFonts w:eastAsiaTheme="minorHAnsi"/>
          <w:lang w:val="es-ES_tradnl" w:eastAsia="ja-JP"/>
        </w:rPr>
        <w:t xml:space="preserve"> manifestó su inquietud por la amplia reducción de la participación de países de África, y de países en desarrollo en general.</w:t>
      </w:r>
    </w:p>
    <w:p w14:paraId="2388A1AC" w14:textId="77777777" w:rsidR="00A74C71" w:rsidRPr="00983703" w:rsidRDefault="00A74C71" w:rsidP="00A74C71">
      <w:pPr>
        <w:rPr>
          <w:rFonts w:eastAsiaTheme="minorHAnsi"/>
          <w:lang w:val="es-ES_tradnl" w:eastAsia="ja-JP"/>
        </w:rPr>
      </w:pPr>
      <w:r w:rsidRPr="00983703">
        <w:rPr>
          <w:rFonts w:eastAsiaTheme="minorHAnsi"/>
          <w:lang w:val="es-ES_tradnl"/>
        </w:rPr>
        <w:t>16.1.1</w:t>
      </w:r>
      <w:r w:rsidRPr="00983703">
        <w:rPr>
          <w:rFonts w:eastAsiaTheme="minorHAnsi"/>
          <w:lang w:val="es-ES_tradnl"/>
        </w:rPr>
        <w:tab/>
      </w:r>
      <w:r w:rsidRPr="00983703">
        <w:rPr>
          <w:rFonts w:eastAsiaTheme="minorHAnsi"/>
          <w:lang w:val="es-ES_tradnl" w:eastAsia="ja-JP"/>
        </w:rPr>
        <w:t>En la reunión se pidió a la TSB que facilitara información sobre la situación a la próxima reunión del GANT y realizara un análisis al respecto, incluidas propuestas de posibles soluciones (por ejemplo, reducción de la brecha digital).</w:t>
      </w:r>
    </w:p>
    <w:p w14:paraId="1412E912" w14:textId="77777777" w:rsidR="00BE59AA" w:rsidRPr="00983703" w:rsidRDefault="00BE59AA" w:rsidP="00996BD7">
      <w:pPr>
        <w:pStyle w:val="Heading1"/>
        <w:rPr>
          <w:lang w:val="es-ES_tradnl"/>
        </w:rPr>
      </w:pPr>
      <w:bookmarkStart w:id="40" w:name="_Toc140261658"/>
      <w:r w:rsidRPr="00983703">
        <w:rPr>
          <w:lang w:val="es-ES_tradnl"/>
        </w:rPr>
        <w:t>17</w:t>
      </w:r>
      <w:r w:rsidRPr="00983703">
        <w:rPr>
          <w:lang w:val="es-ES_tradnl"/>
        </w:rPr>
        <w:tab/>
      </w:r>
      <w:proofErr w:type="gramStart"/>
      <w:r w:rsidRPr="00983703">
        <w:rPr>
          <w:lang w:val="es-ES_tradnl"/>
        </w:rPr>
        <w:t>Resultados</w:t>
      </w:r>
      <w:proofErr w:type="gramEnd"/>
      <w:r w:rsidRPr="00983703">
        <w:rPr>
          <w:lang w:val="es-ES_tradnl"/>
        </w:rPr>
        <w:t xml:space="preserve"> de los Grupos de Trabajo del GANT</w:t>
      </w:r>
      <w:bookmarkEnd w:id="39"/>
      <w:bookmarkEnd w:id="40"/>
    </w:p>
    <w:p w14:paraId="34841402" w14:textId="77777777" w:rsidR="00BE59AA" w:rsidRPr="00983703" w:rsidRDefault="00BE59AA" w:rsidP="00A74C71">
      <w:pPr>
        <w:rPr>
          <w:rFonts w:eastAsiaTheme="minorHAnsi"/>
          <w:lang w:val="es-ES_tradnl"/>
        </w:rPr>
      </w:pPr>
      <w:r w:rsidRPr="00983703">
        <w:rPr>
          <w:rFonts w:eastAsiaTheme="minorHAnsi"/>
          <w:lang w:val="es-ES_tradnl"/>
        </w:rPr>
        <w:t xml:space="preserve">Los dos Grupos de Trabajo del GANT avanzaron en su labor y presentaron sus resultados en la sesión plenaria de clausura del GANT. Los informes pertinentes se aprobaron. A </w:t>
      </w:r>
      <w:proofErr w:type="gramStart"/>
      <w:r w:rsidRPr="00983703">
        <w:rPr>
          <w:rFonts w:eastAsiaTheme="minorHAnsi"/>
          <w:lang w:val="es-ES_tradnl"/>
        </w:rPr>
        <w:t>continuación</w:t>
      </w:r>
      <w:proofErr w:type="gramEnd"/>
      <w:r w:rsidRPr="00983703">
        <w:rPr>
          <w:rFonts w:eastAsiaTheme="minorHAnsi"/>
          <w:lang w:val="es-ES_tradnl"/>
        </w:rPr>
        <w:t xml:space="preserve"> se resumen las decisiones de la sesión plenaria. En el </w:t>
      </w:r>
      <w:hyperlink w:anchor="_Annex_A_Summary_1" w:history="1">
        <w:r w:rsidRPr="00983703">
          <w:rPr>
            <w:rFonts w:eastAsiaTheme="minorHAnsi"/>
            <w:color w:val="0000FF"/>
            <w:u w:val="single"/>
            <w:lang w:val="es-ES_tradnl"/>
          </w:rPr>
          <w:t>Anexo A</w:t>
        </w:r>
      </w:hyperlink>
      <w:r w:rsidRPr="00983703">
        <w:rPr>
          <w:rFonts w:eastAsiaTheme="minorHAnsi"/>
          <w:lang w:val="es-ES_tradnl"/>
        </w:rPr>
        <w:t xml:space="preserve"> del presente informe figura un cuadro en el que se enumeran los DT y los informes de los Grupos de Trabajo y Grupos de Relator, las declaraciones de coordinación elaboradas y las actividades provisionales previstas.</w:t>
      </w:r>
    </w:p>
    <w:p w14:paraId="4A005A9B" w14:textId="158D7138" w:rsidR="00BE59AA" w:rsidRPr="00983703" w:rsidRDefault="00BE59AA" w:rsidP="00B85ED9">
      <w:pPr>
        <w:pStyle w:val="Heading2"/>
        <w:rPr>
          <w:lang w:val="es-ES_tradnl" w:eastAsia="zh-CN"/>
        </w:rPr>
      </w:pPr>
      <w:bookmarkStart w:id="41" w:name="_Toc140261659"/>
      <w:bookmarkStart w:id="42" w:name="_Toc508133739"/>
      <w:bookmarkStart w:id="43" w:name="_Toc508133736"/>
      <w:r w:rsidRPr="00983703">
        <w:rPr>
          <w:lang w:val="es-ES_tradnl" w:eastAsia="zh-CN"/>
        </w:rPr>
        <w:t>17.1</w:t>
      </w:r>
      <w:r w:rsidR="00B85ED9" w:rsidRPr="00983703">
        <w:rPr>
          <w:lang w:val="es-ES_tradnl" w:eastAsia="zh-CN"/>
        </w:rPr>
        <w:tab/>
      </w:r>
      <w:r w:rsidRPr="00983703">
        <w:rPr>
          <w:lang w:val="es-ES_tradnl" w:eastAsia="zh-CN"/>
        </w:rPr>
        <w:t>Grupo de Trabajo 1 del GANT "Métodos de trabajo y preparativos relacionados con la AMNT" (WP</w:t>
      </w:r>
      <w:r w:rsidRPr="00983703">
        <w:rPr>
          <w:lang w:val="es-ES_tradnl" w:eastAsia="zh-CN"/>
        </w:rPr>
        <w:noBreakHyphen/>
        <w:t xml:space="preserve"> WMW)</w:t>
      </w:r>
      <w:bookmarkEnd w:id="41"/>
    </w:p>
    <w:p w14:paraId="5F476863" w14:textId="77777777" w:rsidR="00A74C71" w:rsidRPr="00983703" w:rsidRDefault="00A74C71" w:rsidP="00A959B2">
      <w:pPr>
        <w:rPr>
          <w:rFonts w:eastAsiaTheme="minorHAnsi"/>
          <w:lang w:val="es-ES_tradnl"/>
        </w:rPr>
      </w:pPr>
      <w:r w:rsidRPr="00983703">
        <w:rPr>
          <w:rFonts w:eastAsiaTheme="minorHAnsi"/>
          <w:lang w:val="es-ES_tradnl"/>
        </w:rPr>
        <w:t>17.1.1</w:t>
      </w:r>
      <w:r w:rsidRPr="00983703">
        <w:rPr>
          <w:rFonts w:eastAsiaTheme="minorHAnsi"/>
          <w:lang w:val="es-ES_tradnl"/>
        </w:rPr>
        <w:tab/>
        <w:t>El Grupo de Trabajo 1 se reunió bajo la dirección d</w:t>
      </w:r>
      <w:r w:rsidRPr="00983703">
        <w:rPr>
          <w:rFonts w:eastAsiaTheme="minorHAnsi"/>
          <w:lang w:val="es-ES_tradnl" w:eastAsia="ja-JP"/>
        </w:rPr>
        <w:t>e su p</w:t>
      </w:r>
      <w:r w:rsidRPr="00983703">
        <w:rPr>
          <w:rFonts w:eastAsiaTheme="minorHAnsi"/>
          <w:lang w:val="es-ES_tradnl"/>
        </w:rPr>
        <w:t>residente,</w:t>
      </w:r>
      <w:r w:rsidRPr="00983703">
        <w:rPr>
          <w:rFonts w:eastAsiaTheme="minorHAnsi"/>
          <w:lang w:val="es-ES_tradnl" w:eastAsia="ja-JP"/>
        </w:rPr>
        <w:t xml:space="preserve"> Sr.</w:t>
      </w:r>
      <w:r w:rsidRPr="00983703">
        <w:rPr>
          <w:rFonts w:eastAsiaTheme="minorHAnsi"/>
          <w:lang w:val="es-ES_tradnl"/>
        </w:rPr>
        <w:t xml:space="preserve"> </w:t>
      </w:r>
      <w:proofErr w:type="spellStart"/>
      <w:r w:rsidRPr="00983703">
        <w:rPr>
          <w:rFonts w:eastAsiaTheme="minorHAnsi"/>
          <w:lang w:val="es-ES_tradnl"/>
        </w:rPr>
        <w:t>Tobias</w:t>
      </w:r>
      <w:proofErr w:type="spellEnd"/>
      <w:r w:rsidRPr="00983703">
        <w:rPr>
          <w:rFonts w:eastAsiaTheme="minorHAnsi"/>
          <w:lang w:val="es-ES_tradnl"/>
        </w:rPr>
        <w:t xml:space="preserve"> KAUFMANN (Alemania), con asistencia de la vicepresidenta del G</w:t>
      </w:r>
      <w:r w:rsidRPr="00983703">
        <w:rPr>
          <w:rFonts w:eastAsiaTheme="minorHAnsi"/>
          <w:lang w:val="es-ES_tradnl" w:eastAsia="ja-JP"/>
        </w:rPr>
        <w:t>rupo</w:t>
      </w:r>
      <w:r w:rsidRPr="00983703">
        <w:rPr>
          <w:rFonts w:eastAsiaTheme="minorHAnsi"/>
          <w:lang w:val="es-ES_tradnl"/>
        </w:rPr>
        <w:t>, S</w:t>
      </w:r>
      <w:r w:rsidRPr="00983703">
        <w:rPr>
          <w:rFonts w:eastAsiaTheme="minorHAnsi"/>
          <w:lang w:val="es-ES_tradnl" w:eastAsia="ja-JP"/>
        </w:rPr>
        <w:t>ra</w:t>
      </w:r>
      <w:r w:rsidRPr="00983703">
        <w:rPr>
          <w:rFonts w:eastAsiaTheme="minorHAnsi"/>
          <w:lang w:val="es-ES_tradnl"/>
        </w:rPr>
        <w:t>. Minah LEE, Corea (Rep. de) y S</w:t>
      </w:r>
      <w:r w:rsidRPr="00983703">
        <w:rPr>
          <w:rFonts w:eastAsiaTheme="minorHAnsi"/>
          <w:lang w:val="es-ES_tradnl" w:eastAsia="ja-JP"/>
        </w:rPr>
        <w:t>r.</w:t>
      </w:r>
      <w:r w:rsidRPr="00983703">
        <w:rPr>
          <w:rFonts w:eastAsiaTheme="minorHAnsi"/>
          <w:lang w:val="es-ES_tradnl"/>
        </w:rPr>
        <w:t xml:space="preserve"> </w:t>
      </w:r>
      <w:proofErr w:type="spellStart"/>
      <w:r w:rsidRPr="00983703">
        <w:rPr>
          <w:rFonts w:eastAsiaTheme="minorHAnsi"/>
          <w:lang w:val="es-ES_tradnl"/>
        </w:rPr>
        <w:t>Simão</w:t>
      </w:r>
      <w:proofErr w:type="spellEnd"/>
      <w:r w:rsidRPr="00983703">
        <w:rPr>
          <w:rFonts w:eastAsiaTheme="minorHAnsi"/>
          <w:lang w:val="es-ES_tradnl"/>
        </w:rPr>
        <w:t xml:space="preserve"> Campos (TSB).</w:t>
      </w:r>
    </w:p>
    <w:p w14:paraId="517C88A9" w14:textId="77777777" w:rsidR="00A74C71" w:rsidRPr="00983703" w:rsidRDefault="00A74C71" w:rsidP="00A74C71">
      <w:pPr>
        <w:rPr>
          <w:rFonts w:eastAsiaTheme="minorHAnsi"/>
          <w:lang w:val="es-ES_tradnl"/>
        </w:rPr>
      </w:pPr>
      <w:r w:rsidRPr="00983703">
        <w:rPr>
          <w:rFonts w:eastAsiaTheme="minorHAnsi"/>
          <w:lang w:val="es-ES_tradnl"/>
        </w:rPr>
        <w:t>17.1.2</w:t>
      </w:r>
      <w:r w:rsidRPr="00983703">
        <w:rPr>
          <w:rFonts w:eastAsiaTheme="minorHAnsi"/>
          <w:lang w:val="es-ES_tradnl"/>
        </w:rPr>
        <w:tab/>
        <w:t>El vicepresidente del G</w:t>
      </w:r>
      <w:r w:rsidRPr="00983703">
        <w:rPr>
          <w:rFonts w:eastAsiaTheme="minorHAnsi"/>
          <w:lang w:val="es-ES_tradnl" w:eastAsia="ja-JP"/>
        </w:rPr>
        <w:t>T1</w:t>
      </w:r>
      <w:r w:rsidRPr="00983703">
        <w:rPr>
          <w:rFonts w:eastAsiaTheme="minorHAnsi"/>
          <w:lang w:val="es-ES_tradnl"/>
        </w:rPr>
        <w:t xml:space="preserve"> presentó </w:t>
      </w:r>
      <w:r w:rsidRPr="00983703">
        <w:rPr>
          <w:rFonts w:eastAsiaTheme="minorHAnsi"/>
          <w:lang w:val="es-ES_tradnl" w:eastAsia="ja-JP"/>
        </w:rPr>
        <w:t xml:space="preserve">el informe del Grupo en </w:t>
      </w:r>
      <w:hyperlink r:id="rId75" w:history="1">
        <w:r w:rsidRPr="00983703">
          <w:rPr>
            <w:rFonts w:asciiTheme="majorBidi" w:eastAsiaTheme="minorHAnsi" w:hAnsiTheme="majorBidi" w:cstheme="majorBidi"/>
            <w:bCs/>
            <w:color w:val="0000FF"/>
            <w:u w:val="single"/>
            <w:lang w:val="es-ES_tradnl" w:eastAsia="ja-JP"/>
          </w:rPr>
          <w:t>TD177R1</w:t>
        </w:r>
      </w:hyperlink>
      <w:r w:rsidRPr="00983703">
        <w:rPr>
          <w:rFonts w:eastAsiaTheme="minorHAnsi"/>
          <w:lang w:val="es-ES_tradnl" w:eastAsia="ja-JP"/>
        </w:rPr>
        <w:t>.</w:t>
      </w:r>
    </w:p>
    <w:p w14:paraId="3193AE69" w14:textId="77777777" w:rsidR="00A74C71" w:rsidRPr="00983703" w:rsidRDefault="00A74C71" w:rsidP="00A74C71">
      <w:pPr>
        <w:rPr>
          <w:rFonts w:eastAsiaTheme="minorHAnsi"/>
          <w:lang w:val="es-ES_tradnl"/>
        </w:rPr>
      </w:pPr>
      <w:r w:rsidRPr="00983703">
        <w:rPr>
          <w:rFonts w:eastAsiaTheme="minorHAnsi"/>
          <w:lang w:val="es-ES_tradnl"/>
        </w:rPr>
        <w:t>17.1.3</w:t>
      </w:r>
      <w:r w:rsidRPr="00983703">
        <w:rPr>
          <w:rFonts w:eastAsiaTheme="minorHAnsi"/>
          <w:lang w:val="es-ES_tradnl"/>
        </w:rPr>
        <w:tab/>
      </w:r>
      <w:r w:rsidRPr="00983703">
        <w:rPr>
          <w:rFonts w:eastAsiaTheme="minorHAnsi"/>
          <w:lang w:val="es-ES_tradnl" w:eastAsia="ja-JP"/>
        </w:rPr>
        <w:t xml:space="preserve">El GANT aprobó el informe de la reunión del WP1 en </w:t>
      </w:r>
      <w:hyperlink r:id="rId76" w:history="1">
        <w:r w:rsidRPr="00983703">
          <w:rPr>
            <w:rFonts w:asciiTheme="majorBidi" w:eastAsiaTheme="minorHAnsi" w:hAnsiTheme="majorBidi" w:cstheme="majorBidi"/>
            <w:bCs/>
            <w:color w:val="0000FF"/>
            <w:u w:val="single"/>
            <w:lang w:val="es-ES_tradnl" w:eastAsia="ja-JP"/>
          </w:rPr>
          <w:t>TD177R1</w:t>
        </w:r>
      </w:hyperlink>
      <w:r w:rsidRPr="00983703">
        <w:rPr>
          <w:rFonts w:eastAsiaTheme="minorHAnsi"/>
          <w:lang w:val="es-ES_tradnl" w:eastAsia="ja-JP"/>
        </w:rPr>
        <w:t xml:space="preserve"> (ref. acción </w:t>
      </w:r>
      <w:r w:rsidRPr="00983703">
        <w:rPr>
          <w:rFonts w:eastAsiaTheme="minorHAnsi"/>
          <w:bCs/>
          <w:lang w:val="es-ES_tradnl" w:eastAsia="ja-JP"/>
        </w:rPr>
        <w:t>WP1-1</w:t>
      </w:r>
      <w:r w:rsidRPr="00983703">
        <w:rPr>
          <w:rFonts w:eastAsiaTheme="minorHAnsi"/>
          <w:lang w:val="es-ES_tradnl" w:eastAsia="ja-JP"/>
        </w:rPr>
        <w:t>).</w:t>
      </w:r>
    </w:p>
    <w:p w14:paraId="0996C505" w14:textId="1D7EDD65" w:rsidR="00A74C71" w:rsidRPr="00983703" w:rsidRDefault="00A74C71" w:rsidP="00A74C71">
      <w:pPr>
        <w:rPr>
          <w:rFonts w:eastAsiaTheme="minorHAnsi"/>
          <w:lang w:val="es-ES_tradnl"/>
        </w:rPr>
      </w:pPr>
      <w:r w:rsidRPr="00983703">
        <w:rPr>
          <w:rFonts w:eastAsiaTheme="minorHAnsi"/>
          <w:lang w:val="es-ES_tradnl"/>
        </w:rPr>
        <w:t>17.1.4</w:t>
      </w:r>
      <w:r w:rsidRPr="00983703">
        <w:rPr>
          <w:rFonts w:eastAsiaTheme="minorHAnsi"/>
          <w:lang w:val="es-ES_tradnl"/>
        </w:rPr>
        <w:tab/>
        <w:t>El GANT acordó determinar en el marco del TAP el proyecto de Recomendación UIT-T A.8 revisada "</w:t>
      </w:r>
      <w:r w:rsidRPr="00983703">
        <w:rPr>
          <w:rFonts w:eastAsiaTheme="minorHAnsi"/>
          <w:i/>
          <w:iCs/>
          <w:lang w:val="es-ES_tradnl"/>
        </w:rPr>
        <w:t>Proceso de aprobación alternativo para las Recomendaciones UIT-T nuevas y revisadas</w:t>
      </w:r>
      <w:r w:rsidRPr="00983703">
        <w:rPr>
          <w:rFonts w:eastAsiaTheme="minorHAnsi"/>
          <w:lang w:val="es-ES_tradnl"/>
        </w:rPr>
        <w:t>" (</w:t>
      </w:r>
      <w:hyperlink r:id="rId77" w:history="1">
        <w:r w:rsidRPr="00983703">
          <w:rPr>
            <w:rFonts w:eastAsiaTheme="minorHAnsi"/>
            <w:color w:val="0000FF"/>
            <w:u w:val="single"/>
            <w:lang w:val="es-ES_tradnl"/>
          </w:rPr>
          <w:t>TSAG-R3</w:t>
        </w:r>
      </w:hyperlink>
      <w:r w:rsidRPr="00983703">
        <w:rPr>
          <w:rFonts w:eastAsiaTheme="minorHAnsi"/>
          <w:lang w:val="es-ES_tradnl"/>
        </w:rPr>
        <w:t>) (</w:t>
      </w:r>
      <w:hyperlink r:id="rId78" w:history="1">
        <w:r w:rsidRPr="00983703">
          <w:rPr>
            <w:rFonts w:eastAsiaTheme="minorHAnsi"/>
            <w:color w:val="0000FF"/>
            <w:u w:val="single"/>
            <w:lang w:val="es-ES_tradnl"/>
          </w:rPr>
          <w:t>TD293</w:t>
        </w:r>
      </w:hyperlink>
      <w:r w:rsidRPr="00983703">
        <w:rPr>
          <w:rFonts w:eastAsiaTheme="minorHAnsi"/>
          <w:lang w:val="es-ES_tradnl"/>
        </w:rPr>
        <w:t xml:space="preserve">) (ref. </w:t>
      </w:r>
      <w:r w:rsidRPr="00983703">
        <w:rPr>
          <w:rFonts w:eastAsiaTheme="minorHAnsi"/>
          <w:lang w:val="es-ES_tradnl" w:eastAsia="ja-JP"/>
        </w:rPr>
        <w:t xml:space="preserve">acción </w:t>
      </w:r>
      <w:r w:rsidRPr="00983703">
        <w:rPr>
          <w:rFonts w:eastAsiaTheme="minorHAnsi"/>
          <w:lang w:val="es-ES_tradnl"/>
        </w:rPr>
        <w:t>RG-WM-5), de conformidad con la Resolución 1 de la</w:t>
      </w:r>
      <w:r w:rsidR="008434BD" w:rsidRPr="00983703">
        <w:rPr>
          <w:rFonts w:eastAsiaTheme="minorHAnsi"/>
          <w:lang w:val="es-ES_tradnl"/>
        </w:rPr>
        <w:t> </w:t>
      </w:r>
      <w:r w:rsidRPr="00983703">
        <w:rPr>
          <w:rFonts w:eastAsiaTheme="minorHAnsi"/>
          <w:lang w:val="es-ES_tradnl"/>
        </w:rPr>
        <w:t>AMNT. La consulta del TAP a los Estados Miembros se anunciará a través de la Carta Circular</w:t>
      </w:r>
      <w:r w:rsidR="00B52768">
        <w:rPr>
          <w:rFonts w:eastAsiaTheme="minorHAnsi"/>
          <w:lang w:val="es-ES_tradnl"/>
        </w:rPr>
        <w:t> </w:t>
      </w:r>
      <w:r w:rsidRPr="00983703">
        <w:rPr>
          <w:rFonts w:eastAsiaTheme="minorHAnsi"/>
          <w:lang w:val="es-ES_tradnl"/>
        </w:rPr>
        <w:t>111 de la TSB una vez que hayan confirmado la fecha y el lugar de celebración de la próxima reunión del GANT.</w:t>
      </w:r>
    </w:p>
    <w:p w14:paraId="7811003E" w14:textId="77777777" w:rsidR="00A74C71" w:rsidRPr="00983703" w:rsidRDefault="00A74C71" w:rsidP="00A74C71">
      <w:pPr>
        <w:rPr>
          <w:rFonts w:eastAsiaTheme="minorHAnsi"/>
          <w:lang w:val="es-ES_tradnl" w:eastAsia="ja-JP"/>
        </w:rPr>
      </w:pPr>
      <w:r w:rsidRPr="00983703">
        <w:rPr>
          <w:rFonts w:eastAsiaTheme="minorHAnsi"/>
          <w:lang w:val="es-ES_tradnl"/>
        </w:rPr>
        <w:t>17.1.5</w:t>
      </w:r>
      <w:r w:rsidRPr="00983703">
        <w:rPr>
          <w:rFonts w:eastAsiaTheme="minorHAnsi"/>
          <w:lang w:val="es-ES_tradnl"/>
        </w:rPr>
        <w:tab/>
      </w:r>
      <w:r w:rsidRPr="00983703">
        <w:rPr>
          <w:rFonts w:eastAsiaTheme="minorHAnsi"/>
          <w:lang w:val="es-ES_tradnl" w:eastAsia="ja-JP"/>
        </w:rPr>
        <w:t>El GANT aprobó la revisión de la "</w:t>
      </w:r>
      <w:r w:rsidRPr="00983703">
        <w:rPr>
          <w:rFonts w:eastAsiaTheme="minorHAnsi"/>
          <w:i/>
          <w:iCs/>
          <w:lang w:val="es-ES_tradnl" w:eastAsia="ja-JP"/>
        </w:rPr>
        <w:t>Guía del autor para la elaboración de Recomendaciones UIT-T</w:t>
      </w:r>
      <w:r w:rsidRPr="00983703">
        <w:rPr>
          <w:rFonts w:eastAsiaTheme="minorHAnsi"/>
          <w:lang w:val="es-ES_tradnl" w:eastAsia="ja-JP"/>
        </w:rPr>
        <w:t>" (</w:t>
      </w:r>
      <w:hyperlink r:id="rId79" w:history="1">
        <w:r w:rsidRPr="00983703">
          <w:rPr>
            <w:rFonts w:eastAsiaTheme="minorHAnsi"/>
            <w:color w:val="0000FF"/>
            <w:u w:val="single"/>
            <w:lang w:val="es-ES_tradnl" w:eastAsia="ja-JP"/>
          </w:rPr>
          <w:t>TD294</w:t>
        </w:r>
      </w:hyperlink>
      <w:r w:rsidRPr="00983703">
        <w:rPr>
          <w:rFonts w:eastAsiaTheme="minorHAnsi"/>
          <w:lang w:val="es-ES_tradnl" w:eastAsia="ja-JP"/>
        </w:rPr>
        <w:t xml:space="preserve">). </w:t>
      </w:r>
      <w:r w:rsidRPr="00983703">
        <w:rPr>
          <w:rFonts w:eastAsiaTheme="minorHAnsi"/>
          <w:lang w:val="es-ES_tradnl" w:eastAsia="zh-CN"/>
        </w:rPr>
        <w:t>(</w:t>
      </w:r>
      <w:r w:rsidRPr="00983703">
        <w:rPr>
          <w:rFonts w:eastAsiaTheme="minorHAnsi"/>
          <w:lang w:val="es-ES_tradnl" w:eastAsia="ja-JP"/>
        </w:rPr>
        <w:t xml:space="preserve">ref. acción </w:t>
      </w:r>
      <w:r w:rsidRPr="00983703">
        <w:rPr>
          <w:rFonts w:eastAsiaTheme="minorHAnsi"/>
          <w:bCs/>
          <w:lang w:val="es-ES_tradnl" w:eastAsia="zh-CN"/>
        </w:rPr>
        <w:t>RG-WM-6)</w:t>
      </w:r>
    </w:p>
    <w:p w14:paraId="3F4349E7" w14:textId="03261B69" w:rsidR="00A74C71" w:rsidRPr="00983703" w:rsidRDefault="00A74C71" w:rsidP="00A74C71">
      <w:pPr>
        <w:rPr>
          <w:rFonts w:eastAsiaTheme="minorHAnsi"/>
          <w:lang w:val="es-ES_tradnl" w:eastAsia="ja-JP"/>
        </w:rPr>
      </w:pPr>
      <w:r w:rsidRPr="00983703">
        <w:rPr>
          <w:rFonts w:eastAsiaTheme="minorHAnsi"/>
          <w:lang w:val="es-ES_tradnl"/>
        </w:rPr>
        <w:t>17.1.6</w:t>
      </w:r>
      <w:r w:rsidRPr="00983703">
        <w:rPr>
          <w:rFonts w:eastAsiaTheme="minorHAnsi"/>
          <w:lang w:val="es-ES_tradnl"/>
        </w:rPr>
        <w:tab/>
      </w:r>
      <w:r w:rsidRPr="00983703">
        <w:rPr>
          <w:rFonts w:eastAsiaTheme="minorHAnsi"/>
          <w:lang w:val="es-ES_tradnl" w:eastAsia="ja-JP"/>
        </w:rPr>
        <w:t>El GANT acordó organizar una reunión del GCIS en el marco de la próxima reunión del GANT en febrero de 2024. (ref. acción RG-WM-2)</w:t>
      </w:r>
    </w:p>
    <w:p w14:paraId="1376F4AB" w14:textId="45433C79" w:rsidR="00A74C71" w:rsidRPr="00983703" w:rsidRDefault="00A74C71" w:rsidP="00A74C71">
      <w:pPr>
        <w:rPr>
          <w:rFonts w:eastAsiaTheme="minorHAnsi"/>
          <w:lang w:val="es-ES_tradnl" w:eastAsia="zh-CN"/>
        </w:rPr>
      </w:pPr>
      <w:r w:rsidRPr="001528D3">
        <w:rPr>
          <w:rFonts w:eastAsiaTheme="minorHAnsi"/>
          <w:lang w:val="es-ES_tradnl"/>
        </w:rPr>
        <w:lastRenderedPageBreak/>
        <w:t>17.1.7</w:t>
      </w:r>
      <w:r w:rsidRPr="001528D3">
        <w:rPr>
          <w:rFonts w:eastAsiaTheme="minorHAnsi"/>
          <w:lang w:val="es-ES_tradnl"/>
        </w:rPr>
        <w:tab/>
      </w:r>
      <w:r w:rsidRPr="001528D3">
        <w:rPr>
          <w:rFonts w:eastAsiaTheme="minorHAnsi"/>
          <w:lang w:val="es-ES_tradnl" w:eastAsia="zh-CN"/>
        </w:rPr>
        <w:t>El</w:t>
      </w:r>
      <w:r w:rsidRPr="00983703">
        <w:rPr>
          <w:rFonts w:eastAsiaTheme="minorHAnsi"/>
          <w:lang w:val="es-ES_tradnl" w:eastAsia="zh-CN"/>
        </w:rPr>
        <w:t xml:space="preserve"> GANT modificó la denominación del Relator asociado del GR-MT para que pasara a ser "</w:t>
      </w:r>
      <w:r w:rsidRPr="00983703">
        <w:rPr>
          <w:rFonts w:eastAsiaTheme="minorHAnsi"/>
          <w:i/>
          <w:iCs/>
          <w:lang w:val="es-ES_tradnl" w:eastAsia="zh-CN"/>
        </w:rPr>
        <w:t>Relator asociado sobre participación a distancia y métodos de trabajo electrónicos</w:t>
      </w:r>
      <w:r w:rsidRPr="00983703">
        <w:rPr>
          <w:rFonts w:eastAsiaTheme="minorHAnsi"/>
          <w:lang w:val="es-ES_tradnl" w:eastAsia="zh-CN"/>
        </w:rPr>
        <w:t>" (</w:t>
      </w:r>
      <w:r w:rsidRPr="00983703">
        <w:rPr>
          <w:rFonts w:eastAsiaTheme="minorHAnsi"/>
          <w:lang w:val="es-ES_tradnl" w:eastAsia="ja-JP"/>
        </w:rPr>
        <w:t>ref.</w:t>
      </w:r>
      <w:r w:rsidR="008434BD" w:rsidRPr="00983703">
        <w:rPr>
          <w:rFonts w:eastAsiaTheme="minorHAnsi"/>
          <w:lang w:val="es-ES_tradnl" w:eastAsia="ja-JP"/>
        </w:rPr>
        <w:t> </w:t>
      </w:r>
      <w:r w:rsidRPr="00983703">
        <w:rPr>
          <w:rFonts w:eastAsiaTheme="minorHAnsi"/>
          <w:lang w:val="es-ES_tradnl" w:eastAsia="ja-JP"/>
        </w:rPr>
        <w:t>acción</w:t>
      </w:r>
      <w:r w:rsidR="008434BD" w:rsidRPr="00983703">
        <w:rPr>
          <w:rFonts w:eastAsiaTheme="minorHAnsi"/>
          <w:lang w:val="es-ES_tradnl" w:eastAsia="ja-JP"/>
        </w:rPr>
        <w:t> </w:t>
      </w:r>
      <w:r w:rsidRPr="00983703">
        <w:rPr>
          <w:rFonts w:eastAsiaTheme="minorHAnsi"/>
          <w:lang w:val="es-ES_tradnl" w:eastAsia="zh-CN"/>
        </w:rPr>
        <w:t>RG-WM-3).</w:t>
      </w:r>
    </w:p>
    <w:p w14:paraId="5594FE1D" w14:textId="77777777" w:rsidR="00A74C71" w:rsidRPr="00983703" w:rsidRDefault="00A74C71" w:rsidP="00A74C71">
      <w:pPr>
        <w:rPr>
          <w:rFonts w:eastAsiaTheme="minorHAnsi"/>
          <w:lang w:val="es-ES_tradnl" w:eastAsia="zh-CN"/>
        </w:rPr>
      </w:pPr>
      <w:r w:rsidRPr="00983703">
        <w:rPr>
          <w:rFonts w:eastAsiaTheme="minorHAnsi"/>
          <w:lang w:val="es-ES_tradnl"/>
        </w:rPr>
        <w:t>17.1.8</w:t>
      </w:r>
      <w:r w:rsidRPr="00983703">
        <w:rPr>
          <w:rFonts w:eastAsiaTheme="minorHAnsi"/>
          <w:lang w:val="es-ES_tradnl"/>
        </w:rPr>
        <w:tab/>
      </w:r>
      <w:r w:rsidRPr="00983703">
        <w:rPr>
          <w:rFonts w:eastAsiaTheme="minorHAnsi"/>
          <w:lang w:val="es-ES_tradnl" w:eastAsia="zh-CN"/>
        </w:rPr>
        <w:t>El GANT acordó encargar a sus representantes en el GCPN del GANT CEI SMB-ISO TMB-UIT-T que, habida cuenta de la Recomendación UIT-T A.23 y el Suplemento 5 de la serie A del UIT-T, iniciaran consultas internas para formular una propuesta de mecanismo o directrices de colaboración entre las Comisiones de Estudio del UIT-T y los Comités Técnicos de la ISO o la CEI, respectivamente, y que informaran sobre los avances realizados en la próxima reunión del GANT (</w:t>
      </w:r>
      <w:r w:rsidRPr="00983703">
        <w:rPr>
          <w:rFonts w:eastAsiaTheme="minorHAnsi"/>
          <w:lang w:val="es-ES_tradnl" w:eastAsia="ja-JP"/>
        </w:rPr>
        <w:t>ref. acción RG-WM-4).</w:t>
      </w:r>
    </w:p>
    <w:p w14:paraId="4FE58F00" w14:textId="77777777" w:rsidR="00A74C71" w:rsidRPr="00983703" w:rsidRDefault="00A74C71" w:rsidP="00A74C71">
      <w:pPr>
        <w:rPr>
          <w:rFonts w:eastAsiaTheme="minorHAnsi"/>
          <w:u w:val="single"/>
          <w:lang w:val="es-ES_tradnl" w:eastAsia="ja-JP"/>
        </w:rPr>
      </w:pPr>
      <w:r w:rsidRPr="00983703">
        <w:rPr>
          <w:rFonts w:eastAsiaTheme="minorHAnsi"/>
          <w:lang w:val="es-ES_tradnl"/>
        </w:rPr>
        <w:t>17.1.9</w:t>
      </w:r>
      <w:r w:rsidRPr="00983703">
        <w:rPr>
          <w:rFonts w:eastAsiaTheme="minorHAnsi"/>
          <w:lang w:val="es-ES_tradnl"/>
        </w:rPr>
        <w:tab/>
      </w:r>
      <w:r w:rsidRPr="00983703">
        <w:rPr>
          <w:rFonts w:eastAsiaTheme="minorHAnsi"/>
          <w:lang w:val="es-ES_tradnl" w:eastAsia="ja-JP"/>
        </w:rPr>
        <w:t xml:space="preserve">El GANT solicitó a la TSB que facilitara el apoyo a la sesión de formación de Relatores y editores a fin de abarcar mejor los tres aspectos enumerados en </w:t>
      </w:r>
      <w:hyperlink r:id="rId80" w:history="1">
        <w:r w:rsidRPr="00983703">
          <w:rPr>
            <w:rFonts w:eastAsiaTheme="minorHAnsi"/>
            <w:color w:val="0000FF"/>
            <w:u w:val="single"/>
            <w:lang w:val="es-ES_tradnl" w:eastAsia="ja-JP"/>
          </w:rPr>
          <w:t>TD245R2</w:t>
        </w:r>
      </w:hyperlink>
      <w:r w:rsidRPr="00983703">
        <w:rPr>
          <w:rFonts w:eastAsiaTheme="minorHAnsi"/>
          <w:color w:val="0000FF"/>
          <w:position w:val="6"/>
          <w:sz w:val="18"/>
          <w:u w:val="single"/>
          <w:lang w:val="es-ES_tradnl" w:eastAsia="ja-JP"/>
        </w:rPr>
        <w:footnoteReference w:id="3"/>
      </w:r>
      <w:r w:rsidRPr="00983703">
        <w:rPr>
          <w:rFonts w:eastAsiaTheme="minorHAnsi"/>
          <w:lang w:val="es-ES_tradnl" w:eastAsia="zh-CN"/>
        </w:rPr>
        <w:t xml:space="preserve"> (</w:t>
      </w:r>
      <w:r w:rsidRPr="00983703">
        <w:rPr>
          <w:rFonts w:eastAsiaTheme="minorHAnsi"/>
          <w:lang w:val="es-ES_tradnl" w:eastAsia="ja-JP"/>
        </w:rPr>
        <w:t xml:space="preserve">ref. acción </w:t>
      </w:r>
      <w:r w:rsidRPr="00983703">
        <w:rPr>
          <w:rFonts w:eastAsiaTheme="minorHAnsi"/>
          <w:lang w:val="es-ES_tradnl" w:eastAsia="zh-CN"/>
        </w:rPr>
        <w:t>RG-WM-7)</w:t>
      </w:r>
      <w:r w:rsidRPr="00983703">
        <w:rPr>
          <w:rFonts w:eastAsiaTheme="minorHAnsi"/>
          <w:lang w:val="es-ES_tradnl" w:eastAsia="ja-JP"/>
        </w:rPr>
        <w:t>.</w:t>
      </w:r>
    </w:p>
    <w:p w14:paraId="34ABE57E" w14:textId="77777777" w:rsidR="00A74C71" w:rsidRPr="00983703" w:rsidRDefault="00A74C71" w:rsidP="00A74C71">
      <w:pPr>
        <w:rPr>
          <w:rFonts w:eastAsiaTheme="minorHAnsi"/>
          <w:lang w:val="es-ES_tradnl" w:eastAsia="ja-JP"/>
        </w:rPr>
      </w:pPr>
      <w:r w:rsidRPr="00983703">
        <w:rPr>
          <w:rFonts w:eastAsiaTheme="minorHAnsi"/>
          <w:lang w:val="es-ES_tradnl"/>
        </w:rPr>
        <w:t>17.1.10</w:t>
      </w:r>
      <w:r w:rsidRPr="00983703">
        <w:rPr>
          <w:rFonts w:eastAsiaTheme="minorHAnsi"/>
          <w:lang w:val="es-ES_tradnl"/>
        </w:rPr>
        <w:tab/>
      </w:r>
      <w:r w:rsidRPr="00983703">
        <w:rPr>
          <w:rFonts w:eastAsiaTheme="minorHAnsi"/>
          <w:lang w:val="es-ES_tradnl" w:eastAsia="ja-JP"/>
        </w:rPr>
        <w:t>El GANT convino en enviar las tres declaraciones de coordinación siguientes, elaboradas por el GT1:</w:t>
      </w:r>
    </w:p>
    <w:p w14:paraId="418FDB3B" w14:textId="1855545B" w:rsidR="00A74C71" w:rsidRPr="00983703" w:rsidRDefault="00A74C71" w:rsidP="00A74C71">
      <w:pPr>
        <w:pStyle w:val="enumlev2"/>
        <w:rPr>
          <w:rFonts w:eastAsiaTheme="minorHAnsi"/>
          <w:lang w:val="es-ES_tradnl" w:eastAsia="ja-JP"/>
        </w:rPr>
      </w:pPr>
      <w:r w:rsidRPr="00983703">
        <w:rPr>
          <w:rFonts w:eastAsiaTheme="minorHAnsi"/>
          <w:lang w:val="es-ES_tradnl" w:eastAsia="ja-JP"/>
        </w:rPr>
        <w:t>1)</w:t>
      </w:r>
      <w:r w:rsidRPr="00983703">
        <w:rPr>
          <w:rFonts w:eastAsiaTheme="minorHAnsi"/>
          <w:lang w:val="es-ES_tradnl" w:eastAsia="ja-JP"/>
        </w:rPr>
        <w:tab/>
        <w:t xml:space="preserve">DC para solicitar [a todas las CE del UIT-T] la coordinación de métodos de trabajo electrónicos </w:t>
      </w:r>
      <w:r w:rsidRPr="00983703">
        <w:rPr>
          <w:rFonts w:eastAsiaTheme="minorHAnsi"/>
          <w:lang w:val="es-ES_tradnl" w:eastAsia="zh-CN"/>
        </w:rPr>
        <w:t>(</w:t>
      </w:r>
      <w:hyperlink r:id="rId81" w:history="1">
        <w:r w:rsidRPr="00983703">
          <w:rPr>
            <w:rFonts w:eastAsiaTheme="minorHAnsi"/>
            <w:color w:val="0000FF"/>
            <w:u w:val="single"/>
            <w:lang w:val="es-ES_tradnl" w:eastAsia="ja-JP"/>
          </w:rPr>
          <w:t>GANT-LS19</w:t>
        </w:r>
      </w:hyperlink>
      <w:r w:rsidRPr="00983703">
        <w:rPr>
          <w:rFonts w:eastAsiaTheme="minorHAnsi"/>
          <w:lang w:val="es-ES_tradnl" w:eastAsia="zh-CN"/>
        </w:rPr>
        <w:t>/</w:t>
      </w:r>
      <w:hyperlink r:id="rId82" w:history="1">
        <w:r w:rsidRPr="00983703">
          <w:rPr>
            <w:rFonts w:eastAsiaTheme="minorHAnsi"/>
            <w:color w:val="0000FF"/>
            <w:u w:val="single"/>
            <w:lang w:val="es-ES_tradnl" w:eastAsia="ja-JP"/>
          </w:rPr>
          <w:t>TD297</w:t>
        </w:r>
      </w:hyperlink>
      <w:r w:rsidRPr="00983703">
        <w:rPr>
          <w:rFonts w:eastAsiaTheme="minorHAnsi"/>
          <w:lang w:val="es-ES_tradnl" w:eastAsia="zh-CN"/>
        </w:rPr>
        <w:t>) (</w:t>
      </w:r>
      <w:r w:rsidRPr="00983703">
        <w:rPr>
          <w:rFonts w:eastAsiaTheme="minorHAnsi"/>
          <w:lang w:val="es-ES_tradnl" w:eastAsia="ja-JP"/>
        </w:rPr>
        <w:t>ref. acción RG-WM-8);</w:t>
      </w:r>
    </w:p>
    <w:p w14:paraId="46DA32B6" w14:textId="0A06B927" w:rsidR="00A74C71" w:rsidRPr="00983703" w:rsidRDefault="00A74C71" w:rsidP="00A74C71">
      <w:pPr>
        <w:pStyle w:val="enumlev2"/>
        <w:rPr>
          <w:rFonts w:eastAsiaTheme="minorHAnsi"/>
          <w:lang w:val="es-ES_tradnl" w:eastAsia="ja-JP"/>
        </w:rPr>
      </w:pPr>
      <w:r w:rsidRPr="00983703">
        <w:rPr>
          <w:rFonts w:eastAsiaTheme="minorHAnsi"/>
          <w:lang w:val="es-ES_tradnl" w:eastAsia="ja-JP"/>
        </w:rPr>
        <w:t>2)</w:t>
      </w:r>
      <w:r w:rsidRPr="00983703">
        <w:rPr>
          <w:rFonts w:eastAsiaTheme="minorHAnsi"/>
          <w:lang w:val="es-ES_tradnl" w:eastAsia="ja-JP"/>
        </w:rPr>
        <w:tab/>
        <w:t xml:space="preserve">DC sobre el proyecto de análisis de las partes operacionales de las Resoluciones de la AMNT/PP/CMDT [a todas las CE del UIT-T y organizaciones regionales] </w:t>
      </w:r>
      <w:r w:rsidRPr="00983703">
        <w:rPr>
          <w:rFonts w:eastAsiaTheme="minorHAnsi"/>
          <w:lang w:val="es-ES_tradnl" w:eastAsia="zh-CN"/>
        </w:rPr>
        <w:t>(</w:t>
      </w:r>
      <w:hyperlink r:id="rId83" w:history="1">
        <w:r w:rsidRPr="00983703">
          <w:rPr>
            <w:rFonts w:eastAsiaTheme="minorHAnsi"/>
            <w:color w:val="0000FF"/>
            <w:u w:val="single"/>
            <w:lang w:val="es-ES_tradnl" w:eastAsia="ja-JP"/>
          </w:rPr>
          <w:t>TSAG</w:t>
        </w:r>
        <w:r w:rsidR="001528D3">
          <w:rPr>
            <w:rFonts w:eastAsiaTheme="minorHAnsi"/>
            <w:color w:val="0000FF"/>
            <w:u w:val="single"/>
            <w:lang w:val="es-ES_tradnl" w:eastAsia="ja-JP"/>
          </w:rPr>
          <w:noBreakHyphen/>
        </w:r>
        <w:r w:rsidRPr="00983703">
          <w:rPr>
            <w:rFonts w:eastAsiaTheme="minorHAnsi"/>
            <w:color w:val="0000FF"/>
            <w:u w:val="single"/>
            <w:lang w:val="es-ES_tradnl" w:eastAsia="ja-JP"/>
          </w:rPr>
          <w:t>LS15</w:t>
        </w:r>
      </w:hyperlink>
      <w:r w:rsidRPr="00983703">
        <w:rPr>
          <w:rFonts w:eastAsiaTheme="minorHAnsi"/>
          <w:lang w:val="es-ES_tradnl" w:eastAsia="zh-CN"/>
        </w:rPr>
        <w:t>/</w:t>
      </w:r>
      <w:hyperlink r:id="rId84" w:history="1">
        <w:r w:rsidRPr="00983703">
          <w:rPr>
            <w:rFonts w:eastAsiaTheme="minorHAnsi"/>
            <w:color w:val="0000FF"/>
            <w:u w:val="single"/>
            <w:lang w:val="es-ES_tradnl" w:eastAsia="ja-JP"/>
          </w:rPr>
          <w:t>TD286R1</w:t>
        </w:r>
      </w:hyperlink>
      <w:r w:rsidRPr="00983703">
        <w:rPr>
          <w:rFonts w:eastAsiaTheme="minorHAnsi"/>
          <w:lang w:val="es-ES_tradnl" w:eastAsia="zh-CN"/>
        </w:rPr>
        <w:t>) (</w:t>
      </w:r>
      <w:r w:rsidRPr="00983703">
        <w:rPr>
          <w:rFonts w:eastAsiaTheme="minorHAnsi"/>
          <w:lang w:val="es-ES_tradnl" w:eastAsia="ja-JP"/>
        </w:rPr>
        <w:t>ref. acción RG-WTSA-2);</w:t>
      </w:r>
    </w:p>
    <w:p w14:paraId="3BD84683" w14:textId="0CF79D75" w:rsidR="00A74C71" w:rsidRPr="00983703" w:rsidRDefault="00A74C71" w:rsidP="00A74C71">
      <w:pPr>
        <w:pStyle w:val="enumlev2"/>
        <w:rPr>
          <w:rFonts w:eastAsiaTheme="minorHAnsi"/>
          <w:lang w:val="es-ES_tradnl" w:eastAsia="ja-JP"/>
        </w:rPr>
      </w:pPr>
      <w:r w:rsidRPr="00983703">
        <w:rPr>
          <w:rFonts w:eastAsiaTheme="minorHAnsi"/>
          <w:lang w:val="es-ES_tradnl" w:eastAsia="ja-JP"/>
        </w:rPr>
        <w:t>3)</w:t>
      </w:r>
      <w:r w:rsidRPr="00983703">
        <w:rPr>
          <w:rFonts w:eastAsiaTheme="minorHAnsi"/>
          <w:lang w:val="es-ES_tradnl" w:eastAsia="ja-JP"/>
        </w:rPr>
        <w:tab/>
        <w:t>DC a la UPU sobre el debate en curso relativo a la Res.11 de la AMNT, a fin de recabar su opinión</w:t>
      </w:r>
      <w:r w:rsidRPr="00983703">
        <w:rPr>
          <w:rFonts w:eastAsiaTheme="minorHAnsi"/>
          <w:lang w:val="es-ES_tradnl" w:eastAsia="zh-CN"/>
        </w:rPr>
        <w:t>. (</w:t>
      </w:r>
      <w:hyperlink r:id="rId85" w:history="1">
        <w:r w:rsidRPr="00983703">
          <w:rPr>
            <w:rFonts w:eastAsiaTheme="minorHAnsi"/>
            <w:color w:val="0000FF"/>
            <w:u w:val="single"/>
            <w:lang w:val="es-ES_tradnl" w:eastAsia="ja-JP"/>
          </w:rPr>
          <w:t>TSAG- LS17</w:t>
        </w:r>
      </w:hyperlink>
      <w:r w:rsidRPr="00983703">
        <w:rPr>
          <w:rFonts w:eastAsiaTheme="minorHAnsi"/>
          <w:lang w:val="es-ES_tradnl" w:eastAsia="zh-CN"/>
        </w:rPr>
        <w:t>/</w:t>
      </w:r>
      <w:hyperlink r:id="rId86" w:history="1">
        <w:r w:rsidRPr="00983703">
          <w:rPr>
            <w:rFonts w:eastAsiaTheme="minorHAnsi"/>
            <w:color w:val="0000FF"/>
            <w:u w:val="single"/>
            <w:lang w:val="es-ES_tradnl" w:eastAsia="ja-JP"/>
          </w:rPr>
          <w:t>TD291</w:t>
        </w:r>
      </w:hyperlink>
      <w:r w:rsidRPr="00983703">
        <w:rPr>
          <w:rFonts w:eastAsiaTheme="minorHAnsi"/>
          <w:lang w:val="es-ES_tradnl" w:eastAsia="zh-CN"/>
        </w:rPr>
        <w:t>) (</w:t>
      </w:r>
      <w:r w:rsidRPr="00983703">
        <w:rPr>
          <w:rFonts w:eastAsiaTheme="minorHAnsi"/>
          <w:lang w:val="es-ES_tradnl" w:eastAsia="ja-JP"/>
        </w:rPr>
        <w:t>ref. acción RG-WTSA-3).</w:t>
      </w:r>
    </w:p>
    <w:p w14:paraId="7315D39F" w14:textId="6197C5FE" w:rsidR="00A74C71" w:rsidRPr="00983703" w:rsidRDefault="00A74C71" w:rsidP="00D91740">
      <w:pPr>
        <w:rPr>
          <w:rFonts w:eastAsiaTheme="minorHAnsi"/>
          <w:u w:val="single"/>
          <w:lang w:val="es-ES_tradnl" w:eastAsia="ja-JP"/>
        </w:rPr>
      </w:pPr>
      <w:r w:rsidRPr="007D0E2B">
        <w:rPr>
          <w:rFonts w:eastAsiaTheme="minorHAnsi"/>
          <w:lang w:val="es-ES_tradnl"/>
        </w:rPr>
        <w:t>17.</w:t>
      </w:r>
      <w:r w:rsidRPr="00A8501F">
        <w:rPr>
          <w:rFonts w:eastAsiaTheme="minorHAnsi"/>
          <w:lang w:val="es-ES_tradnl"/>
        </w:rPr>
        <w:t>1.11</w:t>
      </w:r>
      <w:r w:rsidRPr="00A8501F">
        <w:rPr>
          <w:rFonts w:eastAsiaTheme="minorHAnsi"/>
          <w:lang w:val="es-ES_tradnl"/>
        </w:rPr>
        <w:tab/>
      </w:r>
      <w:r w:rsidRPr="00A8501F">
        <w:rPr>
          <w:rFonts w:eastAsiaTheme="minorHAnsi"/>
          <w:lang w:val="es-ES_tradnl" w:eastAsia="ja-JP"/>
        </w:rPr>
        <w:t xml:space="preserve">El GANT convino en actualizar el programa de trabajo del GR-MT que figura en </w:t>
      </w:r>
      <w:hyperlink r:id="rId87" w:history="1">
        <w:r w:rsidRPr="00A8501F">
          <w:rPr>
            <w:rFonts w:eastAsiaTheme="minorHAnsi"/>
            <w:color w:val="0000FF"/>
            <w:u w:val="single"/>
            <w:lang w:val="es-ES_tradnl" w:eastAsia="ja-JP"/>
          </w:rPr>
          <w:t>TD298</w:t>
        </w:r>
      </w:hyperlink>
      <w:r w:rsidRPr="00A8501F">
        <w:rPr>
          <w:rFonts w:eastAsiaTheme="minorHAnsi"/>
          <w:lang w:val="es-ES_tradnl" w:eastAsia="ja-JP"/>
        </w:rPr>
        <w:t xml:space="preserve"> (</w:t>
      </w:r>
      <w:r w:rsidRPr="00A8501F">
        <w:rPr>
          <w:rFonts w:eastAsiaTheme="minorHAnsi"/>
          <w:bCs/>
          <w:lang w:val="es-ES_tradnl" w:eastAsia="zh-CN"/>
        </w:rPr>
        <w:t>RG-WM</w:t>
      </w:r>
      <w:r w:rsidRPr="00A8501F">
        <w:rPr>
          <w:rFonts w:eastAsiaTheme="minorHAnsi"/>
          <w:bCs/>
          <w:lang w:val="es-ES_tradnl" w:eastAsia="zh-CN"/>
        </w:rPr>
        <w:noBreakHyphen/>
        <w:t xml:space="preserve">9) </w:t>
      </w:r>
      <w:r w:rsidRPr="00A8501F">
        <w:rPr>
          <w:rFonts w:eastAsiaTheme="minorHAnsi"/>
          <w:bCs/>
          <w:lang w:val="es-ES_tradnl" w:eastAsia="ja-JP"/>
        </w:rPr>
        <w:t xml:space="preserve">y del GR-AMNT que figura en </w:t>
      </w:r>
      <w:hyperlink r:id="rId88" w:history="1">
        <w:r w:rsidRPr="00A8501F">
          <w:rPr>
            <w:rFonts w:eastAsiaTheme="minorHAnsi"/>
            <w:color w:val="0000FF"/>
            <w:u w:val="single"/>
            <w:lang w:val="es-ES_tradnl" w:eastAsia="ja-JP"/>
          </w:rPr>
          <w:t>TD296</w:t>
        </w:r>
      </w:hyperlink>
      <w:r w:rsidRPr="00A8501F">
        <w:rPr>
          <w:rFonts w:eastAsiaTheme="minorHAnsi"/>
          <w:lang w:val="es-ES_tradnl" w:eastAsia="zh-CN"/>
        </w:rPr>
        <w:t xml:space="preserve"> (</w:t>
      </w:r>
      <w:r w:rsidRPr="00A8501F">
        <w:rPr>
          <w:rFonts w:eastAsiaTheme="minorHAnsi"/>
          <w:lang w:val="es-ES_tradnl" w:eastAsia="ja-JP"/>
        </w:rPr>
        <w:t xml:space="preserve">ref. acción </w:t>
      </w:r>
      <w:r w:rsidRPr="00A8501F">
        <w:rPr>
          <w:rFonts w:eastAsiaTheme="minorHAnsi"/>
          <w:lang w:val="es-ES_tradnl" w:eastAsia="zh-CN"/>
        </w:rPr>
        <w:t>RG-WTSA-4)</w:t>
      </w:r>
      <w:r w:rsidRPr="00A8501F">
        <w:rPr>
          <w:rFonts w:eastAsiaTheme="minorHAnsi"/>
          <w:lang w:val="es-ES_tradnl" w:eastAsia="ja-JP"/>
        </w:rPr>
        <w:t>; véase asimismo el</w:t>
      </w:r>
      <w:r w:rsidR="00A959B2" w:rsidRPr="00A8501F">
        <w:rPr>
          <w:rFonts w:eastAsiaTheme="minorHAnsi"/>
          <w:lang w:val="es-ES_tradnl" w:eastAsia="ja-JP"/>
        </w:rPr>
        <w:t> </w:t>
      </w:r>
      <w:hyperlink w:anchor="_Annex_B_Work_1" w:history="1">
        <w:r w:rsidRPr="00A8501F">
          <w:rPr>
            <w:rFonts w:eastAsiaTheme="minorHAnsi"/>
            <w:color w:val="0000FF"/>
            <w:u w:val="single"/>
            <w:lang w:val="es-ES_tradnl" w:eastAsia="ja-JP"/>
          </w:rPr>
          <w:t>Anexo B</w:t>
        </w:r>
      </w:hyperlink>
      <w:r w:rsidRPr="00A8501F">
        <w:rPr>
          <w:rFonts w:eastAsiaTheme="minorHAnsi"/>
          <w:u w:val="single"/>
          <w:lang w:val="es-ES_tradnl" w:eastAsia="ja-JP"/>
        </w:rPr>
        <w:t>.</w:t>
      </w:r>
    </w:p>
    <w:p w14:paraId="27647845" w14:textId="738AA491" w:rsidR="00A74C71" w:rsidRPr="00983703" w:rsidRDefault="00A74C71" w:rsidP="00A74C71">
      <w:pPr>
        <w:rPr>
          <w:rFonts w:eastAsiaTheme="minorHAnsi"/>
          <w:lang w:val="es-ES_tradnl" w:eastAsia="zh-CN"/>
        </w:rPr>
      </w:pPr>
      <w:r w:rsidRPr="00983703">
        <w:rPr>
          <w:rFonts w:eastAsiaTheme="minorHAnsi"/>
          <w:lang w:val="es-ES_tradnl"/>
        </w:rPr>
        <w:t>17.1.12</w:t>
      </w:r>
      <w:r w:rsidRPr="00983703">
        <w:rPr>
          <w:rFonts w:eastAsiaTheme="minorHAnsi"/>
          <w:lang w:val="es-ES_tradnl"/>
        </w:rPr>
        <w:tab/>
      </w:r>
      <w:r w:rsidRPr="00983703">
        <w:rPr>
          <w:rFonts w:eastAsiaTheme="minorHAnsi"/>
          <w:lang w:val="es-ES_tradnl" w:eastAsia="zh-CN"/>
        </w:rPr>
        <w:t>El GANT autorizó al GR-MT y al GR-AMNT a celebrar seis y cuatro reuniones intermedias de Grupo de Relator respectivamente (todas en línea), como se indica en el §19.3 (</w:t>
      </w:r>
      <w:proofErr w:type="spellStart"/>
      <w:r w:rsidRPr="00983703">
        <w:rPr>
          <w:rFonts w:eastAsiaTheme="minorHAnsi"/>
          <w:lang w:val="es-ES_tradnl" w:eastAsia="zh-CN"/>
        </w:rPr>
        <w:t>ref</w:t>
      </w:r>
      <w:proofErr w:type="spellEnd"/>
      <w:r w:rsidRPr="00983703">
        <w:rPr>
          <w:rFonts w:eastAsiaTheme="minorHAnsi"/>
          <w:lang w:val="es-ES_tradnl" w:eastAsia="zh-CN"/>
        </w:rPr>
        <w:t>:</w:t>
      </w:r>
      <w:r w:rsidR="00A959B2" w:rsidRPr="00983703">
        <w:rPr>
          <w:rFonts w:eastAsiaTheme="minorHAnsi"/>
          <w:lang w:val="es-ES_tradnl" w:eastAsia="zh-CN"/>
        </w:rPr>
        <w:t> </w:t>
      </w:r>
      <w:hyperlink r:id="rId89" w:history="1">
        <w:r w:rsidRPr="00983703">
          <w:rPr>
            <w:rFonts w:eastAsiaTheme="minorHAnsi"/>
            <w:color w:val="0000FF"/>
            <w:u w:val="single"/>
            <w:lang w:val="es-ES_tradnl" w:eastAsia="zh-CN"/>
          </w:rPr>
          <w:t>TD177R1</w:t>
        </w:r>
      </w:hyperlink>
      <w:r w:rsidRPr="00983703">
        <w:rPr>
          <w:rFonts w:eastAsiaTheme="minorHAnsi"/>
          <w:lang w:val="es-ES_tradnl" w:eastAsia="zh-CN"/>
        </w:rPr>
        <w:t xml:space="preserve"> §6.1 y §6.2) (</w:t>
      </w:r>
      <w:r w:rsidRPr="00983703">
        <w:rPr>
          <w:rFonts w:eastAsiaTheme="minorHAnsi"/>
          <w:lang w:val="es-ES_tradnl" w:eastAsia="ja-JP"/>
        </w:rPr>
        <w:t xml:space="preserve">ref. acciones </w:t>
      </w:r>
      <w:r w:rsidRPr="00983703">
        <w:rPr>
          <w:rFonts w:eastAsiaTheme="minorHAnsi"/>
          <w:lang w:val="es-ES_tradnl" w:eastAsia="zh-CN"/>
        </w:rPr>
        <w:t>RG-WM-10 y RG-WTSA-5).</w:t>
      </w:r>
    </w:p>
    <w:p w14:paraId="7BF4DBFF" w14:textId="77777777" w:rsidR="00BE59AA" w:rsidRPr="00983703" w:rsidRDefault="00BE59AA" w:rsidP="00404869">
      <w:pPr>
        <w:pStyle w:val="Heading2"/>
        <w:rPr>
          <w:b w:val="0"/>
          <w:lang w:val="es-ES_tradnl" w:eastAsia="zh-CN"/>
        </w:rPr>
      </w:pPr>
      <w:bookmarkStart w:id="44" w:name="_Toc140261660"/>
      <w:r w:rsidRPr="00983703">
        <w:rPr>
          <w:lang w:val="es-ES_tradnl" w:eastAsia="zh-CN"/>
        </w:rPr>
        <w:t>17.2</w:t>
      </w:r>
      <w:r w:rsidRPr="00983703">
        <w:rPr>
          <w:lang w:val="es-ES_tradnl" w:eastAsia="zh-CN"/>
        </w:rPr>
        <w:tab/>
      </w:r>
      <w:bookmarkEnd w:id="42"/>
      <w:r w:rsidRPr="00983703">
        <w:rPr>
          <w:lang w:val="es-ES_tradnl"/>
        </w:rPr>
        <w:t>Grupo</w:t>
      </w:r>
      <w:r w:rsidRPr="00983703">
        <w:rPr>
          <w:lang w:val="es-ES_tradnl" w:eastAsia="zh-CN"/>
        </w:rPr>
        <w:t xml:space="preserve"> de Trabajo 2 del GANT sobre participación de la industria, programa de trabajo y reestructuración " (GT-PIPTR)</w:t>
      </w:r>
      <w:bookmarkEnd w:id="44"/>
    </w:p>
    <w:p w14:paraId="71535E03" w14:textId="494F702A" w:rsidR="00C62D2B" w:rsidRPr="00983703" w:rsidRDefault="00C62D2B" w:rsidP="00C62D2B">
      <w:pPr>
        <w:rPr>
          <w:rFonts w:eastAsiaTheme="minorHAnsi"/>
          <w:lang w:val="es-ES_tradnl" w:eastAsia="ja-JP"/>
        </w:rPr>
      </w:pPr>
      <w:r w:rsidRPr="00983703">
        <w:rPr>
          <w:rFonts w:eastAsiaTheme="minorHAnsi"/>
          <w:lang w:val="es-ES_tradnl" w:eastAsia="ja-JP"/>
        </w:rPr>
        <w:t>17.2.1</w:t>
      </w:r>
      <w:r w:rsidRPr="00983703">
        <w:rPr>
          <w:rFonts w:eastAsiaTheme="minorHAnsi"/>
          <w:lang w:val="es-ES_tradnl" w:eastAsia="ja-JP"/>
        </w:rPr>
        <w:tab/>
      </w:r>
      <w:r w:rsidRPr="00983703">
        <w:rPr>
          <w:rFonts w:eastAsiaTheme="minorHAnsi"/>
          <w:lang w:val="es-ES_tradnl"/>
        </w:rPr>
        <w:t xml:space="preserve">El Grupo de Trabajo 2 se reunió bajo la dirección de su presidenta, </w:t>
      </w:r>
      <w:r w:rsidRPr="00983703">
        <w:rPr>
          <w:rFonts w:eastAsiaTheme="minorHAnsi"/>
          <w:lang w:val="es-ES_tradnl" w:eastAsia="ja-JP"/>
        </w:rPr>
        <w:t xml:space="preserve">Sra. </w:t>
      </w:r>
      <w:proofErr w:type="spellStart"/>
      <w:r w:rsidRPr="00983703">
        <w:rPr>
          <w:rFonts w:eastAsiaTheme="minorHAnsi"/>
          <w:lang w:val="es-ES_tradnl" w:eastAsia="ja-JP"/>
        </w:rPr>
        <w:t>Gaëlle</w:t>
      </w:r>
      <w:proofErr w:type="spellEnd"/>
      <w:r w:rsidRPr="00983703">
        <w:rPr>
          <w:rFonts w:eastAsiaTheme="minorHAnsi"/>
          <w:lang w:val="es-ES_tradnl" w:eastAsia="ja-JP"/>
        </w:rPr>
        <w:t xml:space="preserve"> MARTIN</w:t>
      </w:r>
      <w:r w:rsidRPr="00983703">
        <w:rPr>
          <w:rFonts w:eastAsiaTheme="minorHAnsi"/>
          <w:lang w:val="es-ES_tradnl" w:eastAsia="ja-JP"/>
        </w:rPr>
        <w:noBreakHyphen/>
        <w:t xml:space="preserve">COCHER </w:t>
      </w:r>
      <w:r w:rsidRPr="00983703">
        <w:rPr>
          <w:rFonts w:eastAsiaTheme="minorHAnsi"/>
          <w:lang w:val="es-ES_tradnl"/>
        </w:rPr>
        <w:t>(</w:t>
      </w:r>
      <w:proofErr w:type="spellStart"/>
      <w:r w:rsidRPr="00983703">
        <w:rPr>
          <w:rFonts w:eastAsiaTheme="minorHAnsi"/>
          <w:lang w:val="es-ES_tradnl" w:eastAsia="ja-JP"/>
        </w:rPr>
        <w:t>InterDigital</w:t>
      </w:r>
      <w:proofErr w:type="spellEnd"/>
      <w:r w:rsidRPr="00983703">
        <w:rPr>
          <w:rFonts w:eastAsiaTheme="minorHAnsi"/>
          <w:lang w:val="es-ES_tradnl" w:eastAsia="ja-JP"/>
        </w:rPr>
        <w:t>, Canadá)</w:t>
      </w:r>
      <w:r w:rsidRPr="00983703">
        <w:rPr>
          <w:rFonts w:eastAsiaTheme="minorHAnsi"/>
          <w:lang w:val="es-ES_tradnl"/>
        </w:rPr>
        <w:t xml:space="preserve">, con la asistencia del </w:t>
      </w:r>
      <w:proofErr w:type="gramStart"/>
      <w:r w:rsidRPr="00983703">
        <w:rPr>
          <w:rFonts w:eastAsiaTheme="minorHAnsi"/>
          <w:lang w:val="es-ES_tradnl"/>
        </w:rPr>
        <w:t>Vicepresidente</w:t>
      </w:r>
      <w:proofErr w:type="gramEnd"/>
      <w:r w:rsidRPr="00983703">
        <w:rPr>
          <w:rFonts w:eastAsiaTheme="minorHAnsi"/>
          <w:lang w:val="es-ES_tradnl"/>
        </w:rPr>
        <w:t xml:space="preserve"> del GT2, D. Guy-Michel KOUAKOU (Costa de Marfil), y de Dña. Tatiana KURAKOVA (TSB).</w:t>
      </w:r>
    </w:p>
    <w:p w14:paraId="264A843D" w14:textId="77777777" w:rsidR="00C62D2B" w:rsidRPr="00983703" w:rsidRDefault="00C62D2B" w:rsidP="00C62D2B">
      <w:pPr>
        <w:rPr>
          <w:rFonts w:eastAsiaTheme="minorHAnsi"/>
          <w:lang w:val="es-ES_tradnl" w:eastAsia="ja-JP"/>
        </w:rPr>
      </w:pPr>
      <w:r w:rsidRPr="00983703">
        <w:rPr>
          <w:rFonts w:eastAsiaTheme="minorHAnsi"/>
          <w:lang w:val="es-ES_tradnl"/>
        </w:rPr>
        <w:t>17.2.2</w:t>
      </w:r>
      <w:r w:rsidRPr="00983703">
        <w:rPr>
          <w:rFonts w:eastAsiaTheme="minorHAnsi"/>
          <w:lang w:val="es-ES_tradnl" w:eastAsia="ja-JP"/>
        </w:rPr>
        <w:tab/>
      </w:r>
      <w:r w:rsidRPr="00983703">
        <w:rPr>
          <w:rFonts w:eastAsiaTheme="minorHAnsi"/>
          <w:lang w:val="es-ES_tradnl"/>
        </w:rPr>
        <w:t xml:space="preserve">El presidente del GT2 presentó </w:t>
      </w:r>
      <w:r w:rsidRPr="00983703">
        <w:rPr>
          <w:rFonts w:eastAsiaTheme="minorHAnsi"/>
          <w:lang w:val="es-ES_tradnl" w:eastAsia="ja-JP"/>
        </w:rPr>
        <w:t xml:space="preserve">el informe de dicho Grupo en </w:t>
      </w:r>
      <w:hyperlink r:id="rId90" w:history="1">
        <w:r w:rsidRPr="00983703">
          <w:rPr>
            <w:rFonts w:asciiTheme="majorBidi" w:eastAsiaTheme="minorHAnsi" w:hAnsiTheme="majorBidi" w:cstheme="majorBidi"/>
            <w:bCs/>
            <w:color w:val="0000FF"/>
            <w:u w:val="single"/>
            <w:lang w:val="es-ES_tradnl" w:eastAsia="ja-JP"/>
          </w:rPr>
          <w:t>TD180R1</w:t>
        </w:r>
      </w:hyperlink>
      <w:r w:rsidRPr="00983703">
        <w:rPr>
          <w:rFonts w:eastAsiaTheme="minorHAnsi"/>
          <w:lang w:val="es-ES_tradnl" w:eastAsia="ja-JP"/>
        </w:rPr>
        <w:t>.</w:t>
      </w:r>
    </w:p>
    <w:p w14:paraId="13BFE869" w14:textId="79436352" w:rsidR="00C62D2B" w:rsidRPr="00983703" w:rsidRDefault="00C62D2B" w:rsidP="00C62D2B">
      <w:pPr>
        <w:rPr>
          <w:rFonts w:eastAsiaTheme="minorHAnsi"/>
          <w:lang w:val="es-ES_tradnl" w:eastAsia="ja-JP"/>
        </w:rPr>
      </w:pPr>
      <w:r w:rsidRPr="00983703">
        <w:rPr>
          <w:rFonts w:eastAsiaTheme="minorHAnsi"/>
          <w:lang w:val="es-ES_tradnl" w:eastAsia="ja-JP"/>
        </w:rPr>
        <w:t>17.2.3</w:t>
      </w:r>
      <w:r w:rsidRPr="00983703">
        <w:rPr>
          <w:rFonts w:eastAsiaTheme="minorHAnsi"/>
          <w:lang w:val="es-ES_tradnl" w:eastAsia="ja-JP"/>
        </w:rPr>
        <w:tab/>
        <w:t xml:space="preserve">El GANT aprobó el informe de la reunión del GT2 que figura en </w:t>
      </w:r>
      <w:r w:rsidRPr="00983703">
        <w:rPr>
          <w:rFonts w:asciiTheme="majorBidi" w:eastAsiaTheme="minorHAnsi" w:hAnsiTheme="majorBidi" w:cstheme="majorBidi"/>
          <w:color w:val="0000FF"/>
          <w:u w:val="single"/>
          <w:lang w:val="es-ES_tradnl" w:eastAsia="ja-JP"/>
        </w:rPr>
        <w:t xml:space="preserve">TD180R2 </w:t>
      </w:r>
      <w:r w:rsidRPr="00983703">
        <w:rPr>
          <w:rFonts w:eastAsiaTheme="minorHAnsi"/>
          <w:lang w:val="es-ES_tradnl" w:eastAsia="ja-JP"/>
        </w:rPr>
        <w:t>(ref.</w:t>
      </w:r>
      <w:r w:rsidR="008434BD" w:rsidRPr="00983703">
        <w:rPr>
          <w:rFonts w:eastAsiaTheme="minorHAnsi"/>
          <w:lang w:val="es-ES_tradnl" w:eastAsia="ja-JP"/>
        </w:rPr>
        <w:t> </w:t>
      </w:r>
      <w:r w:rsidRPr="00983703">
        <w:rPr>
          <w:rFonts w:eastAsiaTheme="minorHAnsi"/>
          <w:lang w:val="es-ES_tradnl" w:eastAsia="ja-JP"/>
        </w:rPr>
        <w:t>acción WP2-3).</w:t>
      </w:r>
    </w:p>
    <w:p w14:paraId="4443CC3A" w14:textId="77777777" w:rsidR="00C62D2B" w:rsidRPr="00983703" w:rsidRDefault="00C62D2B" w:rsidP="00C62D2B">
      <w:pPr>
        <w:rPr>
          <w:rFonts w:eastAsia="Malgun Gothic"/>
          <w:lang w:val="es-ES_tradnl" w:eastAsia="ja-JP"/>
        </w:rPr>
      </w:pPr>
      <w:r w:rsidRPr="00983703">
        <w:rPr>
          <w:rFonts w:eastAsiaTheme="minorHAnsi"/>
          <w:lang w:val="es-ES_tradnl" w:eastAsia="ja-JP"/>
        </w:rPr>
        <w:t>17.2.4</w:t>
      </w:r>
      <w:r w:rsidRPr="00983703">
        <w:rPr>
          <w:rFonts w:eastAsiaTheme="minorHAnsi"/>
          <w:lang w:val="es-ES_tradnl" w:eastAsia="ja-JP"/>
        </w:rPr>
        <w:tab/>
      </w:r>
      <w:r w:rsidRPr="00983703">
        <w:rPr>
          <w:rFonts w:eastAsia="Malgun Gothic"/>
          <w:lang w:val="es-ES_tradnl" w:eastAsia="ja-JP"/>
        </w:rPr>
        <w:t xml:space="preserve">El GANT aprobó </w:t>
      </w:r>
      <w:r w:rsidRPr="00983703">
        <w:rPr>
          <w:rFonts w:eastAsia="Malgun Gothic"/>
          <w:i/>
          <w:iCs/>
          <w:lang w:val="es-ES_tradnl" w:eastAsia="ja-JP"/>
        </w:rPr>
        <w:t xml:space="preserve">el Plan de acción para fomentar una participación eficaz del sector industrial </w:t>
      </w:r>
      <w:r w:rsidRPr="00983703">
        <w:rPr>
          <w:rFonts w:eastAsia="Malgun Gothic"/>
          <w:lang w:val="es-ES_tradnl" w:eastAsia="ja-JP"/>
        </w:rPr>
        <w:t>(</w:t>
      </w:r>
      <w:hyperlink r:id="rId91" w:history="1">
        <w:r w:rsidRPr="00983703">
          <w:rPr>
            <w:rFonts w:eastAsia="Malgun Gothic"/>
            <w:color w:val="0000FF"/>
            <w:u w:val="single"/>
            <w:lang w:val="es-ES_tradnl" w:eastAsia="ja-JP"/>
          </w:rPr>
          <w:t>TD256</w:t>
        </w:r>
      </w:hyperlink>
      <w:r w:rsidRPr="00983703">
        <w:rPr>
          <w:rFonts w:eastAsia="Malgun Gothic"/>
          <w:lang w:val="es-ES_tradnl" w:eastAsia="ja-JP"/>
        </w:rPr>
        <w:t>) (ref. acción RG-IEM-1).</w:t>
      </w:r>
    </w:p>
    <w:p w14:paraId="77FE9CDE" w14:textId="77777777" w:rsidR="00C62D2B" w:rsidRPr="00983703" w:rsidRDefault="00C62D2B" w:rsidP="00C62D2B">
      <w:pPr>
        <w:rPr>
          <w:rFonts w:eastAsia="Malgun Gothic"/>
          <w:lang w:val="es-ES_tradnl" w:eastAsia="ja-JP"/>
        </w:rPr>
      </w:pPr>
      <w:r w:rsidRPr="00983703">
        <w:rPr>
          <w:rFonts w:eastAsiaTheme="minorHAnsi"/>
          <w:lang w:val="es-ES_tradnl" w:eastAsia="ja-JP"/>
        </w:rPr>
        <w:t>17.2.5</w:t>
      </w:r>
      <w:r w:rsidRPr="00983703">
        <w:rPr>
          <w:rFonts w:eastAsiaTheme="minorHAnsi"/>
          <w:lang w:val="es-ES_tradnl" w:eastAsia="ja-JP"/>
        </w:rPr>
        <w:tab/>
      </w:r>
      <w:r w:rsidRPr="00983703">
        <w:rPr>
          <w:rFonts w:eastAsia="Malgun Gothic"/>
          <w:lang w:val="es-ES_tradnl" w:eastAsia="ja-JP"/>
        </w:rPr>
        <w:t xml:space="preserve">El GANT acordó el plan para convocar </w:t>
      </w:r>
      <w:r w:rsidRPr="00983703">
        <w:rPr>
          <w:rFonts w:eastAsia="Malgun Gothic"/>
          <w:i/>
          <w:iCs/>
          <w:lang w:val="es-ES_tradnl" w:eastAsia="ja-JP"/>
        </w:rPr>
        <w:t xml:space="preserve">el taller sobre participación de la industria </w:t>
      </w:r>
      <w:r w:rsidRPr="00983703">
        <w:rPr>
          <w:rFonts w:eastAsia="Malgun Gothic"/>
          <w:lang w:val="es-ES_tradnl" w:eastAsia="ja-JP"/>
        </w:rPr>
        <w:t xml:space="preserve">en la primavera de 2024 y constituyó su comité directivo con arreglo al mandato que figura en </w:t>
      </w:r>
      <w:hyperlink r:id="rId92">
        <w:r w:rsidRPr="00983703">
          <w:rPr>
            <w:rFonts w:asciiTheme="majorBidi" w:eastAsiaTheme="minorHAnsi" w:hAnsiTheme="majorBidi" w:cstheme="majorBidi"/>
            <w:color w:val="0000FF"/>
            <w:u w:val="single"/>
            <w:lang w:val="es-ES_tradnl" w:eastAsia="ja-JP"/>
          </w:rPr>
          <w:t>TD257R1</w:t>
        </w:r>
      </w:hyperlink>
      <w:r w:rsidRPr="00983703">
        <w:rPr>
          <w:rFonts w:asciiTheme="majorBidi" w:eastAsiaTheme="minorHAnsi" w:hAnsiTheme="majorBidi" w:cstheme="majorBidi"/>
          <w:color w:val="0000FF"/>
          <w:u w:val="single"/>
          <w:lang w:val="es-ES_tradnl" w:eastAsia="ja-JP"/>
        </w:rPr>
        <w:t xml:space="preserve"> </w:t>
      </w:r>
      <w:r w:rsidRPr="00983703">
        <w:rPr>
          <w:rFonts w:eastAsia="Malgun Gothic"/>
          <w:lang w:val="es-ES_tradnl" w:eastAsia="ja-JP"/>
        </w:rPr>
        <w:t>y en el Anexo 1 del informe del GT2 (TD180R2) (</w:t>
      </w:r>
      <w:r w:rsidRPr="00983703">
        <w:rPr>
          <w:rFonts w:eastAsiaTheme="minorHAnsi"/>
          <w:lang w:val="es-ES_tradnl" w:eastAsia="ja-JP"/>
        </w:rPr>
        <w:t xml:space="preserve">ref. acción </w:t>
      </w:r>
      <w:r w:rsidRPr="00983703">
        <w:rPr>
          <w:rFonts w:eastAsia="Malgun Gothic"/>
          <w:lang w:val="es-ES_tradnl" w:eastAsia="ja-JP"/>
        </w:rPr>
        <w:t>RG-IEM-2).</w:t>
      </w:r>
    </w:p>
    <w:p w14:paraId="7DD4DBA5" w14:textId="0430FB1F" w:rsidR="00C62D2B" w:rsidRPr="00983703" w:rsidRDefault="00C62D2B" w:rsidP="00C62D2B">
      <w:pPr>
        <w:rPr>
          <w:rFonts w:eastAsia="Malgun Gothic"/>
          <w:lang w:val="es-ES_tradnl" w:eastAsia="ja-JP"/>
        </w:rPr>
      </w:pPr>
      <w:r w:rsidRPr="007D0E2B">
        <w:rPr>
          <w:rFonts w:eastAsiaTheme="minorHAnsi"/>
          <w:lang w:val="es-ES_tradnl" w:eastAsia="ja-JP"/>
        </w:rPr>
        <w:lastRenderedPageBreak/>
        <w:t>17.2.6</w:t>
      </w:r>
      <w:r w:rsidRPr="007D0E2B">
        <w:rPr>
          <w:rFonts w:eastAsiaTheme="minorHAnsi"/>
          <w:lang w:val="es-ES_tradnl" w:eastAsia="ja-JP"/>
        </w:rPr>
        <w:tab/>
      </w:r>
      <w:r w:rsidRPr="007D0E2B">
        <w:rPr>
          <w:rFonts w:eastAsia="Malgun Gothic"/>
          <w:lang w:val="es-ES_tradnl" w:eastAsia="ja-JP"/>
        </w:rPr>
        <w:t>El GANT tomó nota</w:t>
      </w:r>
      <w:r w:rsidRPr="00983703">
        <w:rPr>
          <w:rFonts w:eastAsia="Malgun Gothic"/>
          <w:lang w:val="es-ES_tradnl" w:eastAsia="ja-JP"/>
        </w:rPr>
        <w:t xml:space="preserve"> del nombramiento del presidente del comité directivo del taller de la</w:t>
      </w:r>
      <w:r w:rsidR="00D91740" w:rsidRPr="00983703">
        <w:rPr>
          <w:rFonts w:eastAsia="Malgun Gothic"/>
          <w:lang w:val="es-ES_tradnl" w:eastAsia="ja-JP"/>
        </w:rPr>
        <w:t> </w:t>
      </w:r>
      <w:r w:rsidRPr="00983703">
        <w:rPr>
          <w:rFonts w:eastAsia="Malgun Gothic"/>
          <w:lang w:val="es-ES_tradnl" w:eastAsia="ja-JP"/>
        </w:rPr>
        <w:t>UIT sobre participación de la industria, Sr. Didier BERTHOUMIEUX (Nokia, Finlandia). (</w:t>
      </w:r>
      <w:r w:rsidRPr="00983703">
        <w:rPr>
          <w:rFonts w:eastAsiaTheme="minorHAnsi"/>
          <w:lang w:val="es-ES_tradnl" w:eastAsia="ja-JP"/>
        </w:rPr>
        <w:t>ref.</w:t>
      </w:r>
      <w:r w:rsidR="00D91740" w:rsidRPr="00983703">
        <w:rPr>
          <w:rFonts w:eastAsiaTheme="minorHAnsi"/>
          <w:lang w:val="es-ES_tradnl" w:eastAsia="ja-JP"/>
        </w:rPr>
        <w:t> </w:t>
      </w:r>
      <w:r w:rsidRPr="00983703">
        <w:rPr>
          <w:rFonts w:eastAsiaTheme="minorHAnsi"/>
          <w:lang w:val="es-ES_tradnl" w:eastAsia="ja-JP"/>
        </w:rPr>
        <w:t xml:space="preserve">acción </w:t>
      </w:r>
      <w:r w:rsidRPr="00983703">
        <w:rPr>
          <w:rFonts w:eastAsia="Malgun Gothic"/>
          <w:lang w:val="es-ES_tradnl" w:eastAsia="ja-JP"/>
        </w:rPr>
        <w:t>WP2-1)</w:t>
      </w:r>
    </w:p>
    <w:p w14:paraId="69FB3177" w14:textId="3F8BA030" w:rsidR="00C62D2B" w:rsidRPr="00983703" w:rsidRDefault="00C62D2B" w:rsidP="00C62D2B">
      <w:pPr>
        <w:tabs>
          <w:tab w:val="clear" w:pos="794"/>
          <w:tab w:val="clear" w:pos="1191"/>
          <w:tab w:val="clear" w:pos="1588"/>
          <w:tab w:val="clear" w:pos="1985"/>
          <w:tab w:val="left" w:pos="957"/>
        </w:tabs>
        <w:ind w:left="-40"/>
        <w:rPr>
          <w:rFonts w:eastAsia="Malgun Gothic"/>
          <w:lang w:val="es-ES_tradnl" w:eastAsia="ja-JP"/>
        </w:rPr>
      </w:pPr>
      <w:r w:rsidRPr="00983703">
        <w:rPr>
          <w:rFonts w:eastAsiaTheme="minorHAnsi"/>
          <w:lang w:val="es-ES_tradnl" w:eastAsia="ja-JP"/>
        </w:rPr>
        <w:t>17.2.7</w:t>
      </w:r>
      <w:r w:rsidRPr="00983703">
        <w:rPr>
          <w:rFonts w:eastAsiaTheme="minorHAnsi"/>
          <w:lang w:val="es-ES_tradnl" w:eastAsia="ja-JP"/>
        </w:rPr>
        <w:tab/>
      </w:r>
      <w:r w:rsidRPr="00983703">
        <w:rPr>
          <w:rFonts w:eastAsia="Malgun Gothic"/>
          <w:lang w:val="es-ES_tradnl" w:eastAsia="ja-JP"/>
        </w:rPr>
        <w:t xml:space="preserve">El GANT acordó </w:t>
      </w:r>
      <w:r w:rsidRPr="00983703">
        <w:rPr>
          <w:rFonts w:eastAsia="Malgun Gothic"/>
          <w:i/>
          <w:iCs/>
          <w:lang w:val="es-ES_tradnl" w:eastAsia="ja-JP"/>
        </w:rPr>
        <w:t xml:space="preserve">el texto de referencia relativo al informe sobre el análisis de las alternativas de reestructuración de las Comisiones de Estudio del UIT-T </w:t>
      </w:r>
      <w:r w:rsidRPr="00983703">
        <w:rPr>
          <w:rFonts w:eastAsia="Malgun Gothic"/>
          <w:lang w:val="es-ES_tradnl" w:eastAsia="ja-JP"/>
        </w:rPr>
        <w:t>(</w:t>
      </w:r>
      <w:hyperlink r:id="rId93">
        <w:r w:rsidRPr="00983703">
          <w:rPr>
            <w:rFonts w:eastAsia="Malgun Gothic"/>
            <w:color w:val="0000FF"/>
            <w:u w:val="single"/>
            <w:lang w:val="es-ES_tradnl" w:eastAsia="ja-JP"/>
          </w:rPr>
          <w:t>TD214R1</w:t>
        </w:r>
      </w:hyperlink>
      <w:r w:rsidRPr="00983703">
        <w:rPr>
          <w:rFonts w:eastAsia="Malgun Gothic"/>
          <w:lang w:val="es-ES_tradnl" w:eastAsia="ja-JP"/>
        </w:rPr>
        <w:t>) (</w:t>
      </w:r>
      <w:r w:rsidRPr="00983703">
        <w:rPr>
          <w:rFonts w:eastAsiaTheme="minorHAnsi"/>
          <w:lang w:val="es-ES_tradnl" w:eastAsia="ja-JP"/>
        </w:rPr>
        <w:t>ref.</w:t>
      </w:r>
      <w:r w:rsidR="00D91740" w:rsidRPr="00983703">
        <w:rPr>
          <w:rFonts w:eastAsiaTheme="minorHAnsi"/>
          <w:lang w:val="es-ES_tradnl" w:eastAsia="ja-JP"/>
        </w:rPr>
        <w:t> </w:t>
      </w:r>
      <w:r w:rsidRPr="00983703">
        <w:rPr>
          <w:rFonts w:eastAsiaTheme="minorHAnsi"/>
          <w:lang w:val="es-ES_tradnl" w:eastAsia="ja-JP"/>
        </w:rPr>
        <w:t>acción</w:t>
      </w:r>
      <w:r w:rsidR="00D91740" w:rsidRPr="00983703">
        <w:rPr>
          <w:rFonts w:eastAsiaTheme="minorHAnsi"/>
          <w:lang w:val="es-ES_tradnl" w:eastAsia="ja-JP"/>
        </w:rPr>
        <w:t> </w:t>
      </w:r>
      <w:r w:rsidRPr="00983703">
        <w:rPr>
          <w:rFonts w:eastAsia="Malgun Gothic"/>
          <w:lang w:val="es-ES_tradnl" w:eastAsia="ja-JP"/>
        </w:rPr>
        <w:t>RG-WPR-1).</w:t>
      </w:r>
    </w:p>
    <w:p w14:paraId="64A58B0E" w14:textId="77777777" w:rsidR="00C62D2B" w:rsidRPr="00983703" w:rsidRDefault="00C62D2B" w:rsidP="00C62D2B">
      <w:pPr>
        <w:rPr>
          <w:rFonts w:eastAsia="Malgun Gothic"/>
          <w:u w:val="single"/>
          <w:lang w:val="es-ES_tradnl" w:eastAsia="ja-JP"/>
        </w:rPr>
      </w:pPr>
      <w:r w:rsidRPr="00983703">
        <w:rPr>
          <w:rFonts w:eastAsiaTheme="minorHAnsi"/>
          <w:lang w:val="es-ES_tradnl" w:eastAsia="ja-JP"/>
        </w:rPr>
        <w:t>17.2.8</w:t>
      </w:r>
      <w:r w:rsidRPr="00983703">
        <w:rPr>
          <w:rFonts w:eastAsiaTheme="minorHAnsi"/>
          <w:lang w:val="es-ES_tradnl" w:eastAsia="ja-JP"/>
        </w:rPr>
        <w:tab/>
      </w:r>
      <w:r w:rsidRPr="00983703">
        <w:rPr>
          <w:rFonts w:eastAsia="Malgun Gothic"/>
          <w:lang w:val="es-ES_tradnl" w:eastAsia="ja-JP"/>
        </w:rPr>
        <w:t>El GANT tomó nota del informe sobre aplicación del plan de acción para el análisis de las alternativas estructurales del UIT-T (</w:t>
      </w:r>
      <w:hyperlink r:id="rId94" w:history="1">
        <w:r w:rsidRPr="00983703">
          <w:rPr>
            <w:rFonts w:eastAsia="Malgun Gothic"/>
            <w:color w:val="0000FF"/>
            <w:u w:val="single"/>
            <w:lang w:val="es-ES_tradnl" w:eastAsia="ja-JP"/>
          </w:rPr>
          <w:t>TD234R1</w:t>
        </w:r>
      </w:hyperlink>
      <w:r w:rsidRPr="00983703">
        <w:rPr>
          <w:rFonts w:eastAsia="Malgun Gothic"/>
          <w:lang w:val="es-ES_tradnl" w:eastAsia="ja-JP"/>
        </w:rPr>
        <w:t>) (</w:t>
      </w:r>
      <w:r w:rsidRPr="00983703">
        <w:rPr>
          <w:rFonts w:eastAsiaTheme="minorHAnsi"/>
          <w:lang w:val="es-ES_tradnl" w:eastAsia="ja-JP"/>
        </w:rPr>
        <w:t xml:space="preserve">ref. acción </w:t>
      </w:r>
      <w:r w:rsidRPr="00983703">
        <w:rPr>
          <w:rFonts w:eastAsia="Malgun Gothic"/>
          <w:lang w:val="es-ES_tradnl" w:eastAsia="ja-JP"/>
        </w:rPr>
        <w:t>RG-WPR-2).</w:t>
      </w:r>
    </w:p>
    <w:p w14:paraId="3DD47659" w14:textId="77777777" w:rsidR="00C62D2B" w:rsidRPr="00983703" w:rsidRDefault="00C62D2B" w:rsidP="00D91740">
      <w:pPr>
        <w:keepNext/>
        <w:rPr>
          <w:rFonts w:eastAsia="Malgun Gothic"/>
          <w:u w:val="single"/>
          <w:lang w:val="es-ES_tradnl" w:eastAsia="ja-JP"/>
        </w:rPr>
      </w:pPr>
      <w:r w:rsidRPr="00983703">
        <w:rPr>
          <w:rFonts w:eastAsiaTheme="minorHAnsi"/>
          <w:lang w:val="es-ES_tradnl" w:eastAsia="ja-JP"/>
        </w:rPr>
        <w:t>17.2.9</w:t>
      </w:r>
      <w:r w:rsidRPr="00983703">
        <w:rPr>
          <w:rFonts w:eastAsiaTheme="minorHAnsi"/>
          <w:lang w:val="es-ES_tradnl" w:eastAsia="ja-JP"/>
        </w:rPr>
        <w:tab/>
      </w:r>
      <w:r w:rsidRPr="00983703">
        <w:rPr>
          <w:rFonts w:eastAsia="Malgun Gothic"/>
          <w:lang w:val="es-ES_tradnl" w:eastAsia="ja-JP"/>
        </w:rPr>
        <w:t xml:space="preserve">El GANT tomó nota de la actualización de la matriz de esferas de trabajo para las Comisiones de Estudio del UIT-T </w:t>
      </w:r>
      <w:r w:rsidRPr="00983703">
        <w:rPr>
          <w:rFonts w:eastAsiaTheme="minorHAnsi"/>
          <w:lang w:val="es-ES_tradnl" w:eastAsia="ja-JP"/>
        </w:rPr>
        <w:t>(</w:t>
      </w:r>
      <w:hyperlink r:id="rId95" w:history="1">
        <w:r w:rsidRPr="00983703">
          <w:rPr>
            <w:rFonts w:eastAsiaTheme="minorHAnsi"/>
            <w:color w:val="0000FF"/>
            <w:u w:val="single"/>
            <w:lang w:val="es-ES_tradnl" w:eastAsia="ja-JP"/>
          </w:rPr>
          <w:t>TD277</w:t>
        </w:r>
      </w:hyperlink>
      <w:r w:rsidRPr="00983703">
        <w:rPr>
          <w:rFonts w:eastAsia="Malgun Gothic"/>
          <w:lang w:val="es-ES_tradnl" w:eastAsia="ja-JP"/>
        </w:rPr>
        <w:t>) (</w:t>
      </w:r>
      <w:r w:rsidRPr="00983703">
        <w:rPr>
          <w:rFonts w:eastAsiaTheme="minorHAnsi"/>
          <w:lang w:val="es-ES_tradnl" w:eastAsia="ja-JP"/>
        </w:rPr>
        <w:t xml:space="preserve">ref. acción </w:t>
      </w:r>
      <w:r w:rsidRPr="00983703">
        <w:rPr>
          <w:rFonts w:eastAsia="Malgun Gothic"/>
          <w:lang w:val="es-ES_tradnl" w:eastAsia="ja-JP"/>
        </w:rPr>
        <w:t>RG-WPR-3</w:t>
      </w:r>
      <w:r w:rsidRPr="00983703">
        <w:rPr>
          <w:rFonts w:eastAsiaTheme="minorHAnsi"/>
          <w:lang w:val="es-ES_tradnl" w:eastAsia="ja-JP"/>
        </w:rPr>
        <w:t>).</w:t>
      </w:r>
    </w:p>
    <w:p w14:paraId="1ACCFB24" w14:textId="77777777" w:rsidR="00C62D2B" w:rsidRPr="00983703" w:rsidRDefault="00C62D2B" w:rsidP="00C62D2B">
      <w:pPr>
        <w:rPr>
          <w:rFonts w:eastAsia="Malgun Gothic"/>
          <w:lang w:val="es-ES_tradnl" w:eastAsia="ja-JP"/>
        </w:rPr>
      </w:pPr>
      <w:r w:rsidRPr="00983703">
        <w:rPr>
          <w:rFonts w:eastAsiaTheme="minorHAnsi"/>
          <w:lang w:val="es-ES_tradnl" w:eastAsia="ja-JP"/>
        </w:rPr>
        <w:t>17.2.10</w:t>
      </w:r>
      <w:r w:rsidRPr="00983703">
        <w:rPr>
          <w:rFonts w:eastAsiaTheme="minorHAnsi"/>
          <w:lang w:val="es-ES_tradnl" w:eastAsia="ja-JP"/>
        </w:rPr>
        <w:tab/>
      </w:r>
      <w:r w:rsidRPr="00983703">
        <w:rPr>
          <w:rFonts w:eastAsia="Malgun Gothic"/>
          <w:lang w:val="es-ES_tradnl" w:eastAsia="ja-JP"/>
        </w:rPr>
        <w:t>El GANT aprobó el plan provisional de actividades, cláusula 7 del informe del GT2, TD180R2 (</w:t>
      </w:r>
      <w:r w:rsidRPr="00983703">
        <w:rPr>
          <w:rFonts w:eastAsiaTheme="minorHAnsi"/>
          <w:lang w:val="es-ES_tradnl" w:eastAsia="ja-JP"/>
        </w:rPr>
        <w:t xml:space="preserve">ref. acción </w:t>
      </w:r>
      <w:r w:rsidRPr="00983703">
        <w:rPr>
          <w:rFonts w:eastAsia="Malgun Gothic"/>
          <w:lang w:val="es-ES_tradnl" w:eastAsia="ja-JP"/>
        </w:rPr>
        <w:t>WP2-2).</w:t>
      </w:r>
    </w:p>
    <w:p w14:paraId="44CB6081" w14:textId="0A8603F5" w:rsidR="00C62D2B" w:rsidRPr="00983703" w:rsidRDefault="00C62D2B" w:rsidP="00C62D2B">
      <w:pPr>
        <w:rPr>
          <w:rFonts w:eastAsia="Malgun Gothic"/>
          <w:lang w:val="es-ES_tradnl" w:eastAsia="ja-JP"/>
        </w:rPr>
      </w:pPr>
      <w:r w:rsidRPr="00983703">
        <w:rPr>
          <w:rFonts w:eastAsiaTheme="minorHAnsi"/>
          <w:lang w:val="es-ES_tradnl" w:eastAsia="ja-JP"/>
        </w:rPr>
        <w:t>17.2.11</w:t>
      </w:r>
      <w:r w:rsidRPr="00983703">
        <w:rPr>
          <w:rFonts w:eastAsiaTheme="minorHAnsi"/>
          <w:lang w:val="es-ES_tradnl" w:eastAsia="ja-JP"/>
        </w:rPr>
        <w:tab/>
      </w:r>
      <w:r w:rsidRPr="00983703">
        <w:rPr>
          <w:rFonts w:eastAsia="Malgun Gothic"/>
          <w:lang w:val="es-ES_tradnl" w:eastAsia="ja-JP"/>
        </w:rPr>
        <w:t xml:space="preserve">El GANT convino en enviar una declaración de coordinación </w:t>
      </w:r>
      <w:r w:rsidRPr="00983703">
        <w:rPr>
          <w:rFonts w:eastAsiaTheme="minorHAnsi"/>
          <w:lang w:val="es-ES_tradnl" w:eastAsia="ja-JP"/>
        </w:rPr>
        <w:t xml:space="preserve">sobre el mecanismo de incubación </w:t>
      </w:r>
      <w:r w:rsidRPr="00983703">
        <w:rPr>
          <w:rFonts w:eastAsia="Malgun Gothic"/>
          <w:lang w:val="es-ES_tradnl" w:eastAsia="ja-JP"/>
        </w:rPr>
        <w:t>a todas las Comisiones de Estudio del UIT-T (</w:t>
      </w:r>
      <w:hyperlink r:id="rId96" w:history="1">
        <w:r w:rsidRPr="00983703">
          <w:rPr>
            <w:rFonts w:eastAsiaTheme="minorHAnsi"/>
            <w:color w:val="0000FF"/>
            <w:u w:val="single"/>
            <w:lang w:val="es-ES_tradnl" w:eastAsia="ja-JP"/>
          </w:rPr>
          <w:t>TSAG-LS16</w:t>
        </w:r>
      </w:hyperlink>
      <w:r w:rsidRPr="00983703">
        <w:rPr>
          <w:rFonts w:eastAsiaTheme="minorHAnsi"/>
          <w:lang w:val="es-ES_tradnl" w:eastAsia="ja-JP"/>
        </w:rPr>
        <w:t>/</w:t>
      </w:r>
      <w:hyperlink r:id="rId97" w:history="1">
        <w:r w:rsidRPr="00983703">
          <w:rPr>
            <w:rFonts w:eastAsia="Malgun Gothic"/>
            <w:color w:val="0000FF"/>
            <w:u w:val="single"/>
            <w:lang w:val="es-ES_tradnl" w:eastAsia="ja-JP"/>
          </w:rPr>
          <w:t>TD290R1</w:t>
        </w:r>
      </w:hyperlink>
      <w:r w:rsidRPr="00983703">
        <w:rPr>
          <w:rFonts w:eastAsia="Malgun Gothic"/>
          <w:lang w:val="es-ES_tradnl" w:eastAsia="ja-JP"/>
        </w:rPr>
        <w:t>) (</w:t>
      </w:r>
      <w:r w:rsidRPr="00983703">
        <w:rPr>
          <w:rFonts w:eastAsiaTheme="minorHAnsi"/>
          <w:lang w:val="es-ES_tradnl" w:eastAsia="ja-JP"/>
        </w:rPr>
        <w:t>ref.</w:t>
      </w:r>
      <w:r w:rsidR="00EF4942">
        <w:rPr>
          <w:rFonts w:eastAsiaTheme="minorHAnsi"/>
          <w:lang w:val="es-ES_tradnl" w:eastAsia="ja-JP"/>
        </w:rPr>
        <w:t> </w:t>
      </w:r>
      <w:r w:rsidRPr="00983703">
        <w:rPr>
          <w:rFonts w:eastAsiaTheme="minorHAnsi"/>
          <w:lang w:val="es-ES_tradnl" w:eastAsia="ja-JP"/>
        </w:rPr>
        <w:t>acción</w:t>
      </w:r>
      <w:r w:rsidR="00D91740" w:rsidRPr="00983703">
        <w:rPr>
          <w:rFonts w:eastAsiaTheme="minorHAnsi"/>
          <w:lang w:val="es-ES_tradnl" w:eastAsia="ja-JP"/>
        </w:rPr>
        <w:t> </w:t>
      </w:r>
      <w:r w:rsidRPr="00983703">
        <w:rPr>
          <w:rFonts w:eastAsia="Malgun Gothic"/>
          <w:lang w:val="es-ES_tradnl" w:eastAsia="ja-JP"/>
        </w:rPr>
        <w:t>RG-IEM-3).</w:t>
      </w:r>
    </w:p>
    <w:p w14:paraId="49421931" w14:textId="70221280" w:rsidR="00C62D2B" w:rsidRPr="00983703" w:rsidRDefault="00C62D2B" w:rsidP="00C62D2B">
      <w:pPr>
        <w:rPr>
          <w:rFonts w:eastAsia="Malgun Gothic"/>
          <w:u w:val="single"/>
          <w:lang w:val="es-ES_tradnl" w:eastAsia="ja-JP"/>
        </w:rPr>
      </w:pPr>
      <w:r w:rsidRPr="00983703">
        <w:rPr>
          <w:rFonts w:eastAsiaTheme="minorHAnsi"/>
          <w:lang w:val="es-ES_tradnl" w:eastAsia="ja-JP"/>
        </w:rPr>
        <w:t>17.2.12</w:t>
      </w:r>
      <w:r w:rsidRPr="00983703">
        <w:rPr>
          <w:rFonts w:eastAsiaTheme="minorHAnsi"/>
          <w:lang w:val="es-ES_tradnl" w:eastAsia="ja-JP"/>
        </w:rPr>
        <w:tab/>
      </w:r>
      <w:r w:rsidRPr="00983703">
        <w:rPr>
          <w:rFonts w:asciiTheme="majorBidi" w:eastAsiaTheme="minorHAnsi" w:hAnsiTheme="majorBidi" w:cstheme="majorBidi"/>
          <w:lang w:val="es-ES_tradnl" w:eastAsia="ja-JP"/>
        </w:rPr>
        <w:t xml:space="preserve">El GANT acordó enviar a todas las Comisiones de Estudio del UIT-T una declaración de coordinación sobre el </w:t>
      </w:r>
      <w:r w:rsidRPr="00983703">
        <w:rPr>
          <w:lang w:val="es-ES_tradnl" w:eastAsia="ja-JP"/>
        </w:rPr>
        <w:t>grado de aplicación del plan de acción para el análisis de alternativas estructurales del UIT-T</w:t>
      </w:r>
      <w:r w:rsidRPr="00983703">
        <w:rPr>
          <w:rFonts w:asciiTheme="majorBidi" w:eastAsiaTheme="minorHAnsi" w:hAnsiTheme="majorBidi" w:cstheme="majorBidi"/>
          <w:lang w:val="es-ES_tradnl" w:eastAsia="ja-JP"/>
        </w:rPr>
        <w:t xml:space="preserve"> (</w:t>
      </w:r>
      <w:hyperlink r:id="rId98" w:history="1">
        <w:r w:rsidRPr="00983703">
          <w:rPr>
            <w:rFonts w:eastAsiaTheme="minorHAnsi"/>
            <w:color w:val="0000FF"/>
            <w:u w:val="single"/>
            <w:lang w:val="es-ES_tradnl" w:eastAsia="ja-JP"/>
          </w:rPr>
          <w:t>TSAG- LS18</w:t>
        </w:r>
      </w:hyperlink>
      <w:r w:rsidRPr="00983703">
        <w:rPr>
          <w:rFonts w:eastAsiaTheme="minorHAnsi"/>
          <w:lang w:val="es-ES_tradnl" w:eastAsia="ja-JP"/>
        </w:rPr>
        <w:t>/</w:t>
      </w:r>
      <w:hyperlink r:id="rId99" w:history="1">
        <w:r w:rsidRPr="00983703">
          <w:rPr>
            <w:rFonts w:asciiTheme="majorBidi" w:eastAsiaTheme="minorHAnsi" w:hAnsiTheme="majorBidi" w:cstheme="majorBidi"/>
            <w:color w:val="0000FF"/>
            <w:u w:val="single"/>
            <w:lang w:val="es-ES_tradnl" w:eastAsia="ja-JP"/>
          </w:rPr>
          <w:t>TD292R1</w:t>
        </w:r>
      </w:hyperlink>
      <w:r w:rsidRPr="00983703">
        <w:rPr>
          <w:rFonts w:eastAsia="Malgun Gothic"/>
          <w:lang w:val="es-ES_tradnl" w:eastAsia="ja-JP"/>
        </w:rPr>
        <w:t>) (</w:t>
      </w:r>
      <w:r w:rsidRPr="00983703">
        <w:rPr>
          <w:rFonts w:eastAsiaTheme="minorHAnsi"/>
          <w:lang w:val="es-ES_tradnl" w:eastAsia="ja-JP"/>
        </w:rPr>
        <w:t xml:space="preserve">ref. acción </w:t>
      </w:r>
      <w:r w:rsidRPr="00983703">
        <w:rPr>
          <w:rFonts w:asciiTheme="majorBidi" w:eastAsiaTheme="minorHAnsi" w:hAnsiTheme="majorBidi" w:cstheme="majorBidi"/>
          <w:lang w:val="es-ES_tradnl" w:eastAsia="ja-JP"/>
        </w:rPr>
        <w:t>RG-WPR-4</w:t>
      </w:r>
      <w:r w:rsidRPr="00983703">
        <w:rPr>
          <w:rFonts w:eastAsia="Malgun Gothic"/>
          <w:lang w:val="es-ES_tradnl" w:eastAsia="ja-JP"/>
        </w:rPr>
        <w:t>).</w:t>
      </w:r>
    </w:p>
    <w:p w14:paraId="07CD4EF6" w14:textId="0E0A17EF" w:rsidR="00C62D2B" w:rsidRPr="00983703" w:rsidRDefault="00C62D2B" w:rsidP="00C62D2B">
      <w:pPr>
        <w:rPr>
          <w:rFonts w:eastAsia="Malgun Gothic"/>
          <w:lang w:val="es-ES_tradnl" w:eastAsia="ja-JP"/>
        </w:rPr>
      </w:pPr>
      <w:r w:rsidRPr="00983703">
        <w:rPr>
          <w:rFonts w:eastAsiaTheme="minorHAnsi"/>
          <w:lang w:val="es-ES_tradnl" w:eastAsia="ja-JP"/>
        </w:rPr>
        <w:t>17.2.13</w:t>
      </w:r>
      <w:r w:rsidRPr="00983703">
        <w:rPr>
          <w:rFonts w:eastAsiaTheme="minorHAnsi"/>
          <w:lang w:val="es-ES_tradnl" w:eastAsia="ja-JP"/>
        </w:rPr>
        <w:tab/>
        <w:t>El GANT acordó solicitar a la TSB que incluyera, en su caso, la información facilitada en</w:t>
      </w:r>
      <w:r w:rsidR="00D91740" w:rsidRPr="00983703">
        <w:rPr>
          <w:rFonts w:eastAsiaTheme="minorHAnsi"/>
          <w:lang w:val="es-ES_tradnl" w:eastAsia="ja-JP"/>
        </w:rPr>
        <w:t> </w:t>
      </w:r>
      <w:hyperlink r:id="rId100" w:history="1">
        <w:r w:rsidRPr="00983703">
          <w:rPr>
            <w:rFonts w:eastAsiaTheme="minorHAnsi"/>
            <w:color w:val="0000FF"/>
            <w:u w:val="single"/>
            <w:lang w:val="es-ES_tradnl" w:eastAsia="ja-JP"/>
          </w:rPr>
          <w:t>C022</w:t>
        </w:r>
      </w:hyperlink>
      <w:r w:rsidRPr="00983703">
        <w:rPr>
          <w:rFonts w:eastAsiaTheme="minorHAnsi"/>
          <w:lang w:val="es-ES_tradnl" w:eastAsia="ja-JP"/>
        </w:rPr>
        <w:t xml:space="preserve"> en una carta colectiva para anunciar la próxima reunión del GANT, o en una circular específica de la TSB (ref. acción RG-IEM-4).</w:t>
      </w:r>
    </w:p>
    <w:p w14:paraId="5D420E3D" w14:textId="77777777" w:rsidR="00BE59AA" w:rsidRPr="00983703" w:rsidRDefault="00BE59AA" w:rsidP="00996BD7">
      <w:pPr>
        <w:pStyle w:val="Heading1"/>
        <w:rPr>
          <w:lang w:val="es-ES_tradnl"/>
        </w:rPr>
      </w:pPr>
      <w:bookmarkStart w:id="45" w:name="_TSAG_Rapporteur_Group"/>
      <w:bookmarkStart w:id="46" w:name="_Toc140261661"/>
      <w:bookmarkEnd w:id="43"/>
      <w:bookmarkEnd w:id="45"/>
      <w:r w:rsidRPr="00983703">
        <w:rPr>
          <w:lang w:val="es-ES_tradnl"/>
        </w:rPr>
        <w:t>18</w:t>
      </w:r>
      <w:r w:rsidRPr="00983703">
        <w:rPr>
          <w:lang w:val="es-ES_tradnl"/>
        </w:rPr>
        <w:tab/>
      </w:r>
      <w:proofErr w:type="gramStart"/>
      <w:r w:rsidRPr="00983703">
        <w:rPr>
          <w:lang w:val="es-ES_tradnl"/>
        </w:rPr>
        <w:t>Cables</w:t>
      </w:r>
      <w:proofErr w:type="gramEnd"/>
      <w:r w:rsidRPr="00983703">
        <w:rPr>
          <w:lang w:val="es-ES_tradnl"/>
        </w:rPr>
        <w:t xml:space="preserve"> submarinos SMART</w:t>
      </w:r>
      <w:bookmarkEnd w:id="46"/>
    </w:p>
    <w:p w14:paraId="7E54D72A" w14:textId="44A1C47C" w:rsidR="00C62D2B" w:rsidRPr="00983703" w:rsidRDefault="00C62D2B" w:rsidP="00C62D2B">
      <w:pPr>
        <w:rPr>
          <w:rFonts w:eastAsiaTheme="minorHAnsi"/>
          <w:lang w:val="es-ES_tradnl" w:eastAsia="ja-JP"/>
        </w:rPr>
      </w:pPr>
      <w:r w:rsidRPr="00983703">
        <w:rPr>
          <w:rFonts w:eastAsiaTheme="minorHAnsi"/>
          <w:lang w:val="es-ES_tradnl"/>
        </w:rPr>
        <w:t>18.1</w:t>
      </w:r>
      <w:r w:rsidRPr="00983703">
        <w:rPr>
          <w:rFonts w:eastAsiaTheme="minorHAnsi"/>
          <w:lang w:val="es-ES_tradnl"/>
        </w:rPr>
        <w:tab/>
      </w:r>
      <w:r w:rsidRPr="00983703">
        <w:rPr>
          <w:rFonts w:eastAsiaTheme="minorHAnsi"/>
          <w:lang w:val="es-ES_tradnl" w:eastAsia="ja-JP"/>
        </w:rPr>
        <w:t xml:space="preserve">El presidente del Grupo Especial Mixto UIT-OMM-COI de la UNESCO sobre cables submarinos SMART, Sr. Bruce M. Howe (Universidad de </w:t>
      </w:r>
      <w:proofErr w:type="spellStart"/>
      <w:r w:rsidRPr="00983703">
        <w:rPr>
          <w:rFonts w:eastAsiaTheme="minorHAnsi"/>
          <w:lang w:val="es-ES_tradnl" w:eastAsia="ja-JP"/>
        </w:rPr>
        <w:t>Hawai</w:t>
      </w:r>
      <w:proofErr w:type="spellEnd"/>
      <w:r w:rsidRPr="00983703">
        <w:rPr>
          <w:rFonts w:eastAsiaTheme="minorHAnsi"/>
          <w:lang w:val="es-ES_tradnl" w:eastAsia="ja-JP"/>
        </w:rPr>
        <w:t>, Estados Unidos), presentó en </w:t>
      </w:r>
      <w:hyperlink r:id="rId101" w:history="1">
        <w:r w:rsidRPr="00983703">
          <w:rPr>
            <w:rFonts w:eastAsiaTheme="minorHAnsi"/>
            <w:color w:val="0000FF"/>
            <w:u w:val="single"/>
            <w:lang w:val="es-ES_tradnl" w:eastAsia="ja-JP"/>
          </w:rPr>
          <w:t>TD272R1</w:t>
        </w:r>
      </w:hyperlink>
      <w:r w:rsidRPr="00983703">
        <w:rPr>
          <w:rFonts w:eastAsiaTheme="minorHAnsi"/>
          <w:lang w:val="es-ES_tradnl" w:eastAsia="ja-JP"/>
        </w:rPr>
        <w:t xml:space="preserve"> una declaración de coordinación de dicho Grupo Especial Mixto sobre cables submarinos SMART, en la que se destacan las actividades del Grupo Especial Mixto sobre cables submarinos SMART, seguimiento científico y telecomunicaciones eficaces.</w:t>
      </w:r>
    </w:p>
    <w:p w14:paraId="17CF6E08" w14:textId="0E984BBD" w:rsidR="00C62D2B" w:rsidRPr="00983703" w:rsidRDefault="00C62D2B" w:rsidP="00C62D2B">
      <w:pPr>
        <w:rPr>
          <w:rFonts w:eastAsia="SimSun"/>
          <w:lang w:val="es-ES_tradnl" w:eastAsia="ja-JP"/>
        </w:rPr>
      </w:pPr>
      <w:r w:rsidRPr="00983703">
        <w:rPr>
          <w:rFonts w:eastAsiaTheme="minorHAnsi"/>
          <w:lang w:val="es-ES_tradnl"/>
        </w:rPr>
        <w:t>18.2</w:t>
      </w:r>
      <w:r w:rsidRPr="00983703">
        <w:rPr>
          <w:rFonts w:eastAsiaTheme="minorHAnsi"/>
          <w:lang w:val="es-ES_tradnl"/>
        </w:rPr>
        <w:tab/>
      </w:r>
      <w:r w:rsidRPr="00983703">
        <w:rPr>
          <w:rFonts w:eastAsia="SimSun"/>
          <w:lang w:val="es-ES_tradnl" w:eastAsia="ja-JP"/>
        </w:rPr>
        <w:t xml:space="preserve">La reunión tomó nota del </w:t>
      </w:r>
      <w:r w:rsidR="00FE165F">
        <w:rPr>
          <w:rFonts w:eastAsia="SimSun"/>
          <w:lang w:val="es-ES_tradnl" w:eastAsia="ja-JP"/>
        </w:rPr>
        <w:t>D</w:t>
      </w:r>
      <w:r w:rsidRPr="00983703">
        <w:rPr>
          <w:rFonts w:eastAsia="SimSun"/>
          <w:lang w:val="es-ES_tradnl" w:eastAsia="ja-JP"/>
        </w:rPr>
        <w:t>ocumento TD272R1 y acordó compartir su contenido con todas las Comisiones de Estudio del UIT-T (</w:t>
      </w:r>
      <w:hyperlink r:id="rId102" w:history="1">
        <w:r w:rsidRPr="00983703">
          <w:rPr>
            <w:rFonts w:eastAsia="SimSun"/>
            <w:color w:val="0000FF"/>
            <w:u w:val="single"/>
            <w:lang w:val="es-ES_tradnl" w:eastAsia="ja-JP"/>
          </w:rPr>
          <w:t>TSAG-LS14R1</w:t>
        </w:r>
      </w:hyperlink>
      <w:r w:rsidRPr="00983703">
        <w:rPr>
          <w:rFonts w:eastAsiaTheme="minorHAnsi"/>
          <w:lang w:val="es-ES_tradnl" w:eastAsia="ja-JP"/>
        </w:rPr>
        <w:t>/</w:t>
      </w:r>
      <w:hyperlink r:id="rId103" w:history="1">
        <w:r w:rsidRPr="00983703">
          <w:rPr>
            <w:rFonts w:eastAsiaTheme="minorHAnsi"/>
            <w:color w:val="0000FF"/>
            <w:u w:val="single"/>
            <w:lang w:val="es-ES_tradnl" w:eastAsia="ja-JP"/>
          </w:rPr>
          <w:t>TD287</w:t>
        </w:r>
      </w:hyperlink>
      <w:r w:rsidRPr="00983703">
        <w:rPr>
          <w:rFonts w:eastAsia="SimSun"/>
          <w:lang w:val="es-ES_tradnl" w:eastAsia="ja-JP"/>
        </w:rPr>
        <w:t>).</w:t>
      </w:r>
    </w:p>
    <w:p w14:paraId="253720B3" w14:textId="166BAAB8" w:rsidR="00BE59AA" w:rsidRPr="00983703" w:rsidRDefault="00BE59AA" w:rsidP="00996BD7">
      <w:pPr>
        <w:pStyle w:val="Heading1"/>
        <w:rPr>
          <w:lang w:val="es-ES_tradnl"/>
        </w:rPr>
      </w:pPr>
      <w:bookmarkStart w:id="47" w:name="_Ref136882441"/>
      <w:bookmarkStart w:id="48" w:name="_Toc140261662"/>
      <w:r w:rsidRPr="00983703">
        <w:rPr>
          <w:lang w:val="es-ES_tradnl"/>
        </w:rPr>
        <w:t>19</w:t>
      </w:r>
      <w:bookmarkEnd w:id="47"/>
      <w:r w:rsidR="00996BD7" w:rsidRPr="00983703">
        <w:rPr>
          <w:lang w:val="es-ES_tradnl"/>
        </w:rPr>
        <w:tab/>
      </w:r>
      <w:proofErr w:type="gramStart"/>
      <w:r w:rsidRPr="00983703">
        <w:rPr>
          <w:lang w:val="es-ES_tradnl"/>
        </w:rPr>
        <w:t>Calendario</w:t>
      </w:r>
      <w:proofErr w:type="gramEnd"/>
      <w:r w:rsidRPr="00983703">
        <w:rPr>
          <w:lang w:val="es-ES_tradnl"/>
        </w:rPr>
        <w:t xml:space="preserve"> de reuniones del UIT-T, incluida la fecha de la próxima reunión del</w:t>
      </w:r>
      <w:r w:rsidR="006F6F91">
        <w:rPr>
          <w:lang w:val="es-ES_tradnl"/>
        </w:rPr>
        <w:t> </w:t>
      </w:r>
      <w:r w:rsidRPr="00983703">
        <w:rPr>
          <w:lang w:val="es-ES_tradnl"/>
        </w:rPr>
        <w:t>GANT</w:t>
      </w:r>
      <w:bookmarkEnd w:id="48"/>
    </w:p>
    <w:p w14:paraId="1A0DFA5F" w14:textId="36E1D5E7" w:rsidR="00C62D2B" w:rsidRPr="00983703" w:rsidRDefault="00C62D2B" w:rsidP="00C62D2B">
      <w:pPr>
        <w:rPr>
          <w:rFonts w:eastAsiaTheme="minorHAnsi"/>
          <w:lang w:val="es-ES_tradnl" w:eastAsia="ja-JP"/>
        </w:rPr>
      </w:pPr>
      <w:r w:rsidRPr="00983703">
        <w:rPr>
          <w:rFonts w:eastAsiaTheme="minorHAnsi"/>
          <w:lang w:val="es-ES_tradnl"/>
        </w:rPr>
        <w:t>19.1</w:t>
      </w:r>
      <w:r w:rsidRPr="00983703">
        <w:rPr>
          <w:rFonts w:eastAsiaTheme="minorHAnsi"/>
          <w:lang w:val="es-ES_tradnl"/>
        </w:rPr>
        <w:tab/>
      </w:r>
      <w:r w:rsidRPr="00983703">
        <w:rPr>
          <w:rFonts w:eastAsiaTheme="minorHAnsi"/>
          <w:lang w:val="es-ES_tradnl" w:eastAsia="ja-JP"/>
        </w:rPr>
        <w:t xml:space="preserve">El GANT tomó nota del </w:t>
      </w:r>
      <w:r w:rsidR="006F6F91">
        <w:rPr>
          <w:rFonts w:eastAsiaTheme="minorHAnsi"/>
          <w:lang w:val="es-ES_tradnl" w:eastAsia="ja-JP"/>
        </w:rPr>
        <w:t>D</w:t>
      </w:r>
      <w:r w:rsidRPr="00983703">
        <w:rPr>
          <w:rFonts w:eastAsiaTheme="minorHAnsi"/>
          <w:lang w:val="es-ES_tradnl" w:eastAsia="ja-JP"/>
        </w:rPr>
        <w:t xml:space="preserve">ocumento </w:t>
      </w:r>
      <w:hyperlink r:id="rId104" w:history="1">
        <w:r w:rsidRPr="00983703">
          <w:rPr>
            <w:rFonts w:asciiTheme="majorBidi" w:eastAsiaTheme="minorHAnsi" w:hAnsiTheme="majorBidi" w:cstheme="majorBidi"/>
            <w:bCs/>
            <w:color w:val="0000FF"/>
            <w:u w:val="single"/>
            <w:lang w:val="es-ES_tradnl" w:eastAsia="ja-JP"/>
          </w:rPr>
          <w:t>TD194R1</w:t>
        </w:r>
      </w:hyperlink>
      <w:r w:rsidRPr="00983703">
        <w:rPr>
          <w:rFonts w:eastAsiaTheme="minorHAnsi"/>
          <w:lang w:val="es-ES_tradnl" w:eastAsia="ja-JP"/>
        </w:rPr>
        <w:t>, incluido el calendario de reuniones del</w:t>
      </w:r>
      <w:r w:rsidR="00D91740" w:rsidRPr="00983703">
        <w:rPr>
          <w:rFonts w:eastAsiaTheme="minorHAnsi"/>
          <w:lang w:val="es-ES_tradnl" w:eastAsia="ja-JP"/>
        </w:rPr>
        <w:t> </w:t>
      </w:r>
      <w:r w:rsidRPr="00983703">
        <w:rPr>
          <w:rFonts w:eastAsiaTheme="minorHAnsi"/>
          <w:lang w:val="es-ES_tradnl" w:eastAsia="ja-JP"/>
        </w:rPr>
        <w:t>UIT</w:t>
      </w:r>
      <w:r w:rsidR="00D91740" w:rsidRPr="00983703">
        <w:rPr>
          <w:rFonts w:eastAsiaTheme="minorHAnsi"/>
          <w:lang w:val="es-ES_tradnl" w:eastAsia="ja-JP"/>
        </w:rPr>
        <w:noBreakHyphen/>
      </w:r>
      <w:r w:rsidRPr="00983703">
        <w:rPr>
          <w:rFonts w:eastAsiaTheme="minorHAnsi"/>
          <w:lang w:val="es-ES_tradnl" w:eastAsia="ja-JP"/>
        </w:rPr>
        <w:t>T para 2023 y 2024.</w:t>
      </w:r>
    </w:p>
    <w:p w14:paraId="3BBDDA21" w14:textId="77777777" w:rsidR="008434BD" w:rsidRPr="00983703" w:rsidRDefault="008434BD">
      <w:pPr>
        <w:tabs>
          <w:tab w:val="clear" w:pos="794"/>
          <w:tab w:val="clear" w:pos="1191"/>
          <w:tab w:val="clear" w:pos="1588"/>
          <w:tab w:val="clear" w:pos="1985"/>
        </w:tabs>
        <w:overflowPunct/>
        <w:autoSpaceDE/>
        <w:autoSpaceDN/>
        <w:adjustRightInd/>
        <w:spacing w:before="0"/>
        <w:textAlignment w:val="auto"/>
        <w:rPr>
          <w:rFonts w:eastAsiaTheme="minorHAnsi"/>
          <w:lang w:val="es-ES_tradnl"/>
        </w:rPr>
      </w:pPr>
      <w:r w:rsidRPr="00983703">
        <w:rPr>
          <w:rFonts w:eastAsiaTheme="minorHAnsi"/>
          <w:lang w:val="es-ES_tradnl"/>
        </w:rPr>
        <w:br w:type="page"/>
      </w:r>
    </w:p>
    <w:p w14:paraId="66F43D87" w14:textId="3C30EB40" w:rsidR="00A959B2" w:rsidRPr="00983703" w:rsidRDefault="000D243F" w:rsidP="00A959B2">
      <w:pPr>
        <w:spacing w:after="240"/>
        <w:rPr>
          <w:rFonts w:eastAsia="SimSun"/>
          <w:lang w:val="es-ES_tradnl" w:eastAsia="ja-JP"/>
        </w:rPr>
      </w:pPr>
      <w:r w:rsidRPr="00983703">
        <w:rPr>
          <w:rFonts w:eastAsiaTheme="minorHAnsi"/>
          <w:lang w:val="es-ES_tradnl"/>
        </w:rPr>
        <w:lastRenderedPageBreak/>
        <w:t>19.2</w:t>
      </w:r>
      <w:r w:rsidRPr="00983703">
        <w:rPr>
          <w:rFonts w:eastAsiaTheme="minorHAnsi"/>
          <w:lang w:val="es-ES_tradnl"/>
        </w:rPr>
        <w:tab/>
      </w:r>
      <w:r w:rsidRPr="00983703">
        <w:rPr>
          <w:rFonts w:eastAsiaTheme="minorHAnsi"/>
          <w:lang w:val="es-ES_tradnl" w:eastAsia="ja-JP"/>
        </w:rPr>
        <w:t xml:space="preserve">El </w:t>
      </w:r>
      <w:r w:rsidRPr="00983703">
        <w:rPr>
          <w:rFonts w:eastAsia="SimSun"/>
          <w:lang w:val="es-ES_tradnl" w:eastAsia="ja-JP"/>
        </w:rPr>
        <w:t>GANT</w:t>
      </w:r>
      <w:r w:rsidRPr="00983703">
        <w:rPr>
          <w:rFonts w:eastAsiaTheme="minorHAnsi"/>
          <w:lang w:val="es-ES_tradnl" w:eastAsia="ja-JP"/>
        </w:rPr>
        <w:t xml:space="preserve"> tomó nota de los planes para la </w:t>
      </w:r>
      <w:r w:rsidRPr="00983703">
        <w:rPr>
          <w:rFonts w:eastAsia="SimSun"/>
          <w:lang w:val="es-ES_tradnl" w:eastAsia="ja-JP"/>
        </w:rPr>
        <w:t>tercera y cuarta reuniones del GANT y la primera y segunda reuniones interregionales en el periodo de estudios 2022-2024, como se especifica a continuación:</w:t>
      </w:r>
    </w:p>
    <w:tbl>
      <w:tblPr>
        <w:tblStyle w:val="TableGrid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BE59AA" w:rsidRPr="005B66C3" w14:paraId="127D3E42" w14:textId="77777777" w:rsidTr="000D5A2A">
        <w:tc>
          <w:tcPr>
            <w:tcW w:w="816" w:type="dxa"/>
          </w:tcPr>
          <w:p w14:paraId="48CE8C49" w14:textId="063A9FB0" w:rsidR="00BE59AA" w:rsidRPr="00983703" w:rsidRDefault="00BE59AA" w:rsidP="00BE59AA">
            <w:pPr>
              <w:spacing w:before="60" w:after="60"/>
              <w:jc w:val="left"/>
              <w:rPr>
                <w:rFonts w:eastAsiaTheme="minorHAnsi"/>
                <w:lang w:val="es-ES_tradnl"/>
              </w:rPr>
            </w:pPr>
          </w:p>
        </w:tc>
        <w:tc>
          <w:tcPr>
            <w:tcW w:w="9112" w:type="dxa"/>
            <w:tcMar>
              <w:left w:w="57" w:type="dxa"/>
              <w:right w:w="57" w:type="dxa"/>
            </w:tcMar>
          </w:tcPr>
          <w:tbl>
            <w:tblPr>
              <w:tblStyle w:val="TableGrid"/>
              <w:tblW w:w="8610" w:type="dxa"/>
              <w:tblLayout w:type="fixed"/>
              <w:tblLook w:val="04A0" w:firstRow="1" w:lastRow="0" w:firstColumn="1" w:lastColumn="0" w:noHBand="0" w:noVBand="1"/>
            </w:tblPr>
            <w:tblGrid>
              <w:gridCol w:w="3160"/>
              <w:gridCol w:w="5450"/>
            </w:tblGrid>
            <w:tr w:rsidR="00BE59AA" w:rsidRPr="005B66C3" w14:paraId="72D140AF" w14:textId="77777777" w:rsidTr="00D91740">
              <w:tc>
                <w:tcPr>
                  <w:tcW w:w="3160" w:type="dxa"/>
                </w:tcPr>
                <w:p w14:paraId="1770BB84" w14:textId="77777777" w:rsidR="00BE59AA" w:rsidRPr="00993C3E" w:rsidRDefault="00BE59AA" w:rsidP="00993C3E">
                  <w:pPr>
                    <w:pStyle w:val="Tablehead"/>
                    <w:rPr>
                      <w:lang w:val="es-ES_tradnl"/>
                    </w:rPr>
                  </w:pPr>
                  <w:r w:rsidRPr="00993C3E">
                    <w:rPr>
                      <w:lang w:val="es-ES_tradnl"/>
                    </w:rPr>
                    <w:t>Evento</w:t>
                  </w:r>
                </w:p>
              </w:tc>
              <w:tc>
                <w:tcPr>
                  <w:tcW w:w="5450" w:type="dxa"/>
                </w:tcPr>
                <w:p w14:paraId="5AD685A0" w14:textId="77777777" w:rsidR="00BE59AA" w:rsidRPr="00993C3E" w:rsidRDefault="00BE59AA" w:rsidP="00993C3E">
                  <w:pPr>
                    <w:pStyle w:val="Tablehead"/>
                    <w:rPr>
                      <w:lang w:val="es-ES_tradnl"/>
                    </w:rPr>
                  </w:pPr>
                  <w:r w:rsidRPr="00993C3E">
                    <w:rPr>
                      <w:lang w:val="es-ES_tradnl"/>
                    </w:rPr>
                    <w:t>Lugar y fecha provisionales (por confirmar)</w:t>
                  </w:r>
                </w:p>
              </w:tc>
            </w:tr>
            <w:tr w:rsidR="00BE59AA" w:rsidRPr="005B66C3" w14:paraId="4904D773" w14:textId="77777777" w:rsidTr="00D91740">
              <w:tc>
                <w:tcPr>
                  <w:tcW w:w="3160" w:type="dxa"/>
                </w:tcPr>
                <w:p w14:paraId="60AB798D" w14:textId="57ACCC1D" w:rsidR="00BE59AA" w:rsidRPr="00993C3E" w:rsidRDefault="00BE59AA" w:rsidP="00993C3E">
                  <w:pPr>
                    <w:pStyle w:val="TableText0"/>
                    <w:rPr>
                      <w:lang w:val="es-ES_tradnl"/>
                    </w:rPr>
                  </w:pPr>
                  <w:r w:rsidRPr="00993C3E">
                    <w:rPr>
                      <w:lang w:val="es-ES_tradnl"/>
                    </w:rPr>
                    <w:t>1ª Reunión Interregional (RIR)*</w:t>
                  </w:r>
                </w:p>
              </w:tc>
              <w:tc>
                <w:tcPr>
                  <w:tcW w:w="5450" w:type="dxa"/>
                </w:tcPr>
                <w:p w14:paraId="2D62F95B" w14:textId="77777777" w:rsidR="00BE59AA" w:rsidRPr="00993C3E" w:rsidRDefault="00BE59AA" w:rsidP="00993C3E">
                  <w:pPr>
                    <w:pStyle w:val="TableText0"/>
                    <w:rPr>
                      <w:lang w:val="es-ES_tradnl"/>
                    </w:rPr>
                  </w:pPr>
                  <w:r w:rsidRPr="00993C3E">
                    <w:rPr>
                      <w:lang w:val="es-ES_tradnl"/>
                    </w:rPr>
                    <w:t>A distancia, jueves 22 de febrero de 2024</w:t>
                  </w:r>
                </w:p>
              </w:tc>
            </w:tr>
            <w:tr w:rsidR="00BE59AA" w:rsidRPr="005B66C3" w14:paraId="3C990D84" w14:textId="77777777" w:rsidTr="00D91740">
              <w:tc>
                <w:tcPr>
                  <w:tcW w:w="3160" w:type="dxa"/>
                </w:tcPr>
                <w:p w14:paraId="59CA23E1" w14:textId="77777777" w:rsidR="00BE59AA" w:rsidRPr="00993C3E" w:rsidRDefault="00BE59AA" w:rsidP="00993C3E">
                  <w:pPr>
                    <w:pStyle w:val="TableText0"/>
                    <w:rPr>
                      <w:lang w:val="es-ES_tradnl"/>
                    </w:rPr>
                  </w:pPr>
                  <w:r w:rsidRPr="00993C3E">
                    <w:rPr>
                      <w:lang w:val="es-ES_tradnl"/>
                    </w:rPr>
                    <w:t>3ª reunión del GANT*.</w:t>
                  </w:r>
                </w:p>
              </w:tc>
              <w:tc>
                <w:tcPr>
                  <w:tcW w:w="5450" w:type="dxa"/>
                </w:tcPr>
                <w:p w14:paraId="3ACF450E" w14:textId="09258920" w:rsidR="00BE59AA" w:rsidRPr="00993C3E" w:rsidRDefault="00BE59AA" w:rsidP="00993C3E">
                  <w:pPr>
                    <w:pStyle w:val="TableText0"/>
                    <w:rPr>
                      <w:lang w:val="es-ES_tradnl"/>
                    </w:rPr>
                  </w:pPr>
                  <w:r w:rsidRPr="00993C3E">
                    <w:rPr>
                      <w:lang w:val="es-ES_tradnl"/>
                    </w:rPr>
                    <w:t xml:space="preserve">Ginebra, lunes 26 de febrero </w:t>
                  </w:r>
                  <w:r w:rsidR="00D91740" w:rsidRPr="00993C3E">
                    <w:rPr>
                      <w:lang w:val="es-ES_tradnl"/>
                    </w:rPr>
                    <w:t>–</w:t>
                  </w:r>
                  <w:r w:rsidRPr="00993C3E">
                    <w:rPr>
                      <w:lang w:val="es-ES_tradnl"/>
                    </w:rPr>
                    <w:t xml:space="preserve"> </w:t>
                  </w:r>
                  <w:proofErr w:type="gramStart"/>
                  <w:r w:rsidRPr="00993C3E">
                    <w:rPr>
                      <w:lang w:val="es-ES_tradnl"/>
                    </w:rPr>
                    <w:t>Viernes</w:t>
                  </w:r>
                  <w:proofErr w:type="gramEnd"/>
                  <w:r w:rsidRPr="00993C3E">
                    <w:rPr>
                      <w:lang w:val="es-ES_tradnl"/>
                    </w:rPr>
                    <w:t xml:space="preserve"> 1 de marzo de 2024</w:t>
                  </w:r>
                </w:p>
              </w:tc>
            </w:tr>
            <w:tr w:rsidR="00BE59AA" w:rsidRPr="005B66C3" w14:paraId="0EBA9130" w14:textId="77777777" w:rsidTr="00D91740">
              <w:tc>
                <w:tcPr>
                  <w:tcW w:w="3160" w:type="dxa"/>
                </w:tcPr>
                <w:p w14:paraId="56A85C37" w14:textId="77777777" w:rsidR="00BE59AA" w:rsidRPr="00993C3E" w:rsidRDefault="00BE59AA" w:rsidP="00993C3E">
                  <w:pPr>
                    <w:pStyle w:val="TableText0"/>
                    <w:rPr>
                      <w:lang w:val="es-ES_tradnl"/>
                    </w:rPr>
                  </w:pPr>
                  <w:r w:rsidRPr="00993C3E">
                    <w:rPr>
                      <w:lang w:val="es-ES_tradnl"/>
                    </w:rPr>
                    <w:t>2ª Reunión Interregional</w:t>
                  </w:r>
                </w:p>
              </w:tc>
              <w:tc>
                <w:tcPr>
                  <w:tcW w:w="5450" w:type="dxa"/>
                </w:tcPr>
                <w:p w14:paraId="13E68CF7" w14:textId="77777777" w:rsidR="00BE59AA" w:rsidRPr="00993C3E" w:rsidRDefault="00BE59AA" w:rsidP="00993C3E">
                  <w:pPr>
                    <w:pStyle w:val="TableText0"/>
                    <w:rPr>
                      <w:lang w:val="es-ES_tradnl"/>
                    </w:rPr>
                  </w:pPr>
                  <w:r w:rsidRPr="00993C3E">
                    <w:rPr>
                      <w:lang w:val="es-ES_tradnl"/>
                    </w:rPr>
                    <w:t>A distancia, jueves 25 de julio de 2024</w:t>
                  </w:r>
                </w:p>
              </w:tc>
            </w:tr>
            <w:tr w:rsidR="00BE59AA" w:rsidRPr="005B66C3" w14:paraId="5A760E29" w14:textId="77777777" w:rsidTr="00D91740">
              <w:tc>
                <w:tcPr>
                  <w:tcW w:w="3160" w:type="dxa"/>
                </w:tcPr>
                <w:p w14:paraId="26608D6B" w14:textId="77777777" w:rsidR="00BE59AA" w:rsidRPr="00993C3E" w:rsidRDefault="00BE59AA" w:rsidP="00993C3E">
                  <w:pPr>
                    <w:pStyle w:val="TableText0"/>
                    <w:rPr>
                      <w:lang w:val="es-ES_tradnl"/>
                    </w:rPr>
                  </w:pPr>
                  <w:r w:rsidRPr="00993C3E">
                    <w:rPr>
                      <w:lang w:val="es-ES_tradnl"/>
                    </w:rPr>
                    <w:t>4ª reunión del GANT</w:t>
                  </w:r>
                </w:p>
              </w:tc>
              <w:tc>
                <w:tcPr>
                  <w:tcW w:w="5450" w:type="dxa"/>
                </w:tcPr>
                <w:p w14:paraId="611E1770" w14:textId="77777777" w:rsidR="00BE59AA" w:rsidRPr="00993C3E" w:rsidRDefault="00BE59AA" w:rsidP="00993C3E">
                  <w:pPr>
                    <w:pStyle w:val="TableText0"/>
                    <w:rPr>
                      <w:lang w:val="es-ES_tradnl"/>
                    </w:rPr>
                  </w:pPr>
                  <w:r w:rsidRPr="00993C3E">
                    <w:rPr>
                      <w:lang w:val="es-ES_tradnl"/>
                    </w:rPr>
                    <w:t>Ginebra (Suiza), del lunes 29 de julio al viernes 2 de agosto de 2024</w:t>
                  </w:r>
                </w:p>
              </w:tc>
            </w:tr>
          </w:tbl>
          <w:p w14:paraId="7E0A1900" w14:textId="77777777" w:rsidR="00BE59AA" w:rsidRPr="00983703" w:rsidRDefault="00BE59AA" w:rsidP="00A959B2">
            <w:pPr>
              <w:pStyle w:val="Note"/>
              <w:rPr>
                <w:sz w:val="22"/>
                <w:szCs w:val="22"/>
                <w:lang w:val="es-ES_tradnl"/>
              </w:rPr>
            </w:pPr>
            <w:r w:rsidRPr="00983703">
              <w:rPr>
                <w:sz w:val="22"/>
                <w:szCs w:val="22"/>
                <w:lang w:val="es-ES_tradnl"/>
              </w:rPr>
              <w:t>NOTA:</w:t>
            </w:r>
          </w:p>
          <w:p w14:paraId="646E1A98" w14:textId="77777777" w:rsidR="00BE59AA" w:rsidRPr="00983703" w:rsidRDefault="00BE59AA" w:rsidP="00D91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ajorBidi" w:eastAsia="SimSun" w:hAnsiTheme="majorBidi" w:cstheme="majorBidi"/>
                <w:bCs/>
                <w:sz w:val="22"/>
                <w:szCs w:val="22"/>
                <w:lang w:val="es-ES_tradnl"/>
              </w:rPr>
            </w:pPr>
            <w:r w:rsidRPr="00983703">
              <w:rPr>
                <w:rFonts w:asciiTheme="majorBidi" w:eastAsia="SimSun" w:hAnsiTheme="majorBidi" w:cstheme="majorBidi"/>
                <w:bCs/>
                <w:sz w:val="22"/>
                <w:szCs w:val="22"/>
                <w:lang w:val="es-ES_tradnl"/>
              </w:rPr>
              <w:t>*Se puso en conocimiento del GANT la posibilidad de modificar la fecha o el lugar de celebración de la tercera reunión del GANT; por ejemplo, podría adelantarse la tercera reunión del GANT (si la organiza la UIT en Ginebra), debido a la posible celebración del Salón del Automóvil de Ginebra en las fechas previstas, a fin de evitar tarifas de hotel demasiado caras, o la posibilidad de recibir una invitación de un país anfitrión que no sea Suiza.</w:t>
            </w:r>
          </w:p>
          <w:p w14:paraId="6EFF3453" w14:textId="321473A1" w:rsidR="00BE59AA" w:rsidRPr="00983703" w:rsidRDefault="00BE59AA" w:rsidP="00D9174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ajorBidi" w:eastAsia="SimSun" w:hAnsiTheme="majorBidi" w:cstheme="majorBidi"/>
                <w:bCs/>
                <w:sz w:val="22"/>
                <w:szCs w:val="22"/>
                <w:lang w:val="es-ES_tradnl" w:eastAsia="ja-JP"/>
              </w:rPr>
            </w:pPr>
            <w:r w:rsidRPr="00983703">
              <w:rPr>
                <w:rFonts w:asciiTheme="majorBidi" w:eastAsia="SimSun" w:hAnsiTheme="majorBidi" w:cstheme="majorBidi"/>
                <w:bCs/>
                <w:sz w:val="22"/>
                <w:szCs w:val="22"/>
                <w:lang w:val="es-ES_tradnl" w:eastAsia="ja-JP"/>
              </w:rPr>
              <w:t>También se pidió evitar coincidencia de fechas con el periodo del Año Nuevo chino en 2024 (del</w:t>
            </w:r>
            <w:r w:rsidR="002E42DE">
              <w:rPr>
                <w:rFonts w:asciiTheme="majorBidi" w:eastAsia="SimSun" w:hAnsiTheme="majorBidi" w:cstheme="majorBidi"/>
                <w:bCs/>
                <w:sz w:val="22"/>
                <w:szCs w:val="22"/>
                <w:lang w:val="es-ES_tradnl" w:eastAsia="ja-JP"/>
              </w:rPr>
              <w:t> </w:t>
            </w:r>
            <w:r w:rsidRPr="00983703">
              <w:rPr>
                <w:rFonts w:asciiTheme="majorBidi" w:eastAsia="SimSun" w:hAnsiTheme="majorBidi" w:cstheme="majorBidi"/>
                <w:bCs/>
                <w:sz w:val="22"/>
                <w:szCs w:val="22"/>
                <w:lang w:val="es-ES_tradnl" w:eastAsia="ja-JP"/>
              </w:rPr>
              <w:t>9</w:t>
            </w:r>
            <w:r w:rsidR="002E42DE">
              <w:rPr>
                <w:rFonts w:asciiTheme="majorBidi" w:eastAsia="SimSun" w:hAnsiTheme="majorBidi" w:cstheme="majorBidi"/>
                <w:bCs/>
                <w:sz w:val="22"/>
                <w:szCs w:val="22"/>
                <w:lang w:val="es-ES_tradnl" w:eastAsia="ja-JP"/>
              </w:rPr>
              <w:t> </w:t>
            </w:r>
            <w:r w:rsidRPr="00983703">
              <w:rPr>
                <w:rFonts w:asciiTheme="majorBidi" w:eastAsia="SimSun" w:hAnsiTheme="majorBidi" w:cstheme="majorBidi"/>
                <w:bCs/>
                <w:sz w:val="22"/>
                <w:szCs w:val="22"/>
                <w:lang w:val="es-ES_tradnl" w:eastAsia="ja-JP"/>
              </w:rPr>
              <w:t>al</w:t>
            </w:r>
            <w:r w:rsidR="00996888">
              <w:rPr>
                <w:rFonts w:asciiTheme="majorBidi" w:eastAsia="SimSun" w:hAnsiTheme="majorBidi" w:cstheme="majorBidi"/>
                <w:bCs/>
                <w:sz w:val="22"/>
                <w:szCs w:val="22"/>
                <w:lang w:val="es-ES_tradnl" w:eastAsia="ja-JP"/>
              </w:rPr>
              <w:t> </w:t>
            </w:r>
            <w:r w:rsidRPr="00983703">
              <w:rPr>
                <w:rFonts w:asciiTheme="majorBidi" w:eastAsia="SimSun" w:hAnsiTheme="majorBidi" w:cstheme="majorBidi"/>
                <w:bCs/>
                <w:sz w:val="22"/>
                <w:szCs w:val="22"/>
                <w:lang w:val="es-ES_tradnl" w:eastAsia="ja-JP"/>
              </w:rPr>
              <w:t>15 de febrero) y tener en cuenta ese requisito a los efectos de planificación.</w:t>
            </w:r>
          </w:p>
          <w:p w14:paraId="4F873EB3" w14:textId="77777777" w:rsidR="00BE59AA" w:rsidRPr="00983703" w:rsidRDefault="00BE59AA" w:rsidP="00BE59AA">
            <w:pPr>
              <w:spacing w:before="60" w:after="60"/>
              <w:jc w:val="left"/>
              <w:rPr>
                <w:rFonts w:asciiTheme="majorBidi" w:eastAsia="SimSun" w:hAnsiTheme="majorBidi" w:cstheme="majorBidi"/>
                <w:bCs/>
                <w:lang w:val="es-ES_tradnl" w:eastAsia="ja-JP"/>
              </w:rPr>
            </w:pPr>
            <w:r w:rsidRPr="00983703">
              <w:rPr>
                <w:rFonts w:asciiTheme="majorBidi" w:eastAsia="SimSun" w:hAnsiTheme="majorBidi" w:cstheme="majorBidi"/>
                <w:bCs/>
                <w:sz w:val="22"/>
                <w:szCs w:val="22"/>
                <w:lang w:val="es-ES_tradnl" w:eastAsia="ja-JP"/>
              </w:rPr>
              <w:t>En todo caso, se convino en que la primera reunión del RIR tuviera lugar únicamente a distancia y en que se celebrara en jueves de la semana anterior a la reunión del GANT.</w:t>
            </w:r>
          </w:p>
        </w:tc>
      </w:tr>
    </w:tbl>
    <w:p w14:paraId="501D49B9" w14:textId="7AE3D56E" w:rsidR="000D243F" w:rsidRPr="00983703" w:rsidRDefault="000D243F" w:rsidP="000D243F">
      <w:pPr>
        <w:rPr>
          <w:rFonts w:asciiTheme="majorBidi" w:eastAsia="SimSun" w:hAnsiTheme="majorBidi" w:cstheme="majorBidi"/>
          <w:bCs/>
          <w:lang w:val="es-ES_tradnl" w:eastAsia="ja-JP"/>
        </w:rPr>
      </w:pPr>
      <w:r w:rsidRPr="00983703">
        <w:rPr>
          <w:rFonts w:eastAsiaTheme="minorHAnsi"/>
          <w:lang w:val="es-ES_tradnl"/>
        </w:rPr>
        <w:t>19.3</w:t>
      </w:r>
      <w:r w:rsidRPr="00983703">
        <w:rPr>
          <w:rFonts w:eastAsiaTheme="minorHAnsi"/>
          <w:lang w:val="es-ES_tradnl"/>
        </w:rPr>
        <w:tab/>
      </w:r>
      <w:r w:rsidRPr="00983703">
        <w:rPr>
          <w:rFonts w:eastAsiaTheme="minorHAnsi"/>
          <w:lang w:val="es-ES_tradnl" w:eastAsia="ja-JP"/>
        </w:rPr>
        <w:t xml:space="preserve">El </w:t>
      </w:r>
      <w:r w:rsidRPr="00983703">
        <w:rPr>
          <w:rFonts w:asciiTheme="majorBidi" w:eastAsia="SimSun" w:hAnsiTheme="majorBidi" w:cstheme="majorBidi"/>
          <w:bCs/>
          <w:lang w:val="es-ES_tradnl" w:eastAsia="ja-JP"/>
        </w:rPr>
        <w:t>GANT</w:t>
      </w:r>
      <w:r w:rsidRPr="00983703">
        <w:rPr>
          <w:rFonts w:eastAsiaTheme="minorHAnsi"/>
          <w:lang w:val="es-ES_tradnl" w:eastAsia="ja-JP"/>
        </w:rPr>
        <w:t xml:space="preserve"> tomó nota del </w:t>
      </w:r>
      <w:r w:rsidR="006F6F91">
        <w:rPr>
          <w:rFonts w:eastAsiaTheme="minorHAnsi"/>
          <w:lang w:val="es-ES_tradnl" w:eastAsia="ja-JP"/>
        </w:rPr>
        <w:t>D</w:t>
      </w:r>
      <w:r w:rsidRPr="00983703">
        <w:rPr>
          <w:rFonts w:eastAsiaTheme="minorHAnsi"/>
          <w:lang w:val="es-ES_tradnl" w:eastAsia="ja-JP"/>
        </w:rPr>
        <w:t xml:space="preserve">ocumento </w:t>
      </w:r>
      <w:hyperlink r:id="rId105" w:history="1">
        <w:r w:rsidRPr="00983703">
          <w:rPr>
            <w:rFonts w:eastAsiaTheme="minorHAnsi"/>
            <w:color w:val="0000FF"/>
            <w:u w:val="single"/>
            <w:lang w:val="es-ES_tradnl" w:eastAsia="ja-JP"/>
          </w:rPr>
          <w:t>TD283R1</w:t>
        </w:r>
      </w:hyperlink>
      <w:r w:rsidRPr="00983703">
        <w:rPr>
          <w:rFonts w:eastAsiaTheme="minorHAnsi"/>
          <w:lang w:val="es-ES_tradnl" w:eastAsia="ja-JP"/>
        </w:rPr>
        <w:t xml:space="preserve">, en el que se refunde la información relativa a todas las </w:t>
      </w:r>
      <w:r w:rsidRPr="00983703">
        <w:rPr>
          <w:rFonts w:asciiTheme="majorBidi" w:eastAsia="SimSun" w:hAnsiTheme="majorBidi" w:cstheme="majorBidi"/>
          <w:bCs/>
          <w:lang w:val="es-ES_tradnl" w:eastAsia="ja-JP"/>
        </w:rPr>
        <w:t xml:space="preserve">reuniones provisionales del GANT </w:t>
      </w:r>
      <w:r w:rsidRPr="00983703">
        <w:rPr>
          <w:rFonts w:eastAsiaTheme="minorHAnsi"/>
          <w:lang w:val="es-ES_tradnl" w:eastAsia="ja-JP"/>
        </w:rPr>
        <w:t>previstas, según se señala a continuación</w:t>
      </w:r>
      <w:r w:rsidRPr="00983703">
        <w:rPr>
          <w:rFonts w:asciiTheme="majorBidi" w:eastAsia="SimSun" w:hAnsiTheme="majorBidi" w:cstheme="majorBidi"/>
          <w:bCs/>
          <w:lang w:val="es-ES_tradnl" w:eastAsia="ja-JP"/>
        </w:rPr>
        <w:t>:</w:t>
      </w:r>
    </w:p>
    <w:p w14:paraId="22420808"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pPr>
    </w:p>
    <w:p w14:paraId="5A3ACE4E"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sectPr w:rsidR="00BE59AA" w:rsidRPr="00983703" w:rsidSect="00B95F6F">
          <w:headerReference w:type="even" r:id="rId106"/>
          <w:headerReference w:type="default" r:id="rId107"/>
          <w:footerReference w:type="even" r:id="rId108"/>
          <w:footerReference w:type="default" r:id="rId109"/>
          <w:headerReference w:type="first" r:id="rId110"/>
          <w:footerReference w:type="first" r:id="rId111"/>
          <w:pgSz w:w="11907" w:h="16840" w:code="9"/>
          <w:pgMar w:top="1134" w:right="1134" w:bottom="1134" w:left="1134" w:header="425" w:footer="709" w:gutter="0"/>
          <w:cols w:space="720"/>
          <w:titlePg/>
          <w:docGrid w:linePitch="326"/>
        </w:sectPr>
      </w:pP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1965"/>
        <w:gridCol w:w="1833"/>
        <w:gridCol w:w="988"/>
        <w:gridCol w:w="1261"/>
        <w:gridCol w:w="6078"/>
        <w:gridCol w:w="1618"/>
      </w:tblGrid>
      <w:tr w:rsidR="00BE59AA" w:rsidRPr="008B6BB8" w14:paraId="50DE5A42" w14:textId="77777777" w:rsidTr="000D243F">
        <w:trPr>
          <w:tblHeader/>
          <w:jc w:val="center"/>
        </w:trPr>
        <w:tc>
          <w:tcPr>
            <w:tcW w:w="409" w:type="dxa"/>
            <w:tcBorders>
              <w:top w:val="single" w:sz="12" w:space="0" w:color="auto"/>
              <w:bottom w:val="single" w:sz="12" w:space="0" w:color="auto"/>
            </w:tcBorders>
            <w:shd w:val="clear" w:color="auto" w:fill="auto"/>
            <w:tcMar>
              <w:top w:w="0" w:type="dxa"/>
              <w:left w:w="108" w:type="dxa"/>
              <w:bottom w:w="0" w:type="dxa"/>
              <w:right w:w="108" w:type="dxa"/>
            </w:tcMar>
            <w:hideMark/>
          </w:tcPr>
          <w:p w14:paraId="1D097768" w14:textId="77777777" w:rsidR="00BE59AA" w:rsidRPr="008B6BB8" w:rsidRDefault="00BE59AA" w:rsidP="000D243F">
            <w:pPr>
              <w:pStyle w:val="Tablehead"/>
              <w:rPr>
                <w:sz w:val="20"/>
                <w:lang w:val="es-ES_tradnl"/>
              </w:rPr>
            </w:pPr>
            <w:r w:rsidRPr="008B6BB8">
              <w:rPr>
                <w:sz w:val="20"/>
                <w:lang w:val="es-ES_tradnl"/>
              </w:rPr>
              <w:lastRenderedPageBreak/>
              <w:t>#</w:t>
            </w:r>
          </w:p>
        </w:tc>
        <w:tc>
          <w:tcPr>
            <w:tcW w:w="1966" w:type="dxa"/>
            <w:tcBorders>
              <w:top w:val="single" w:sz="12" w:space="0" w:color="auto"/>
              <w:bottom w:val="single" w:sz="12" w:space="0" w:color="auto"/>
            </w:tcBorders>
            <w:shd w:val="clear" w:color="auto" w:fill="auto"/>
            <w:tcMar>
              <w:top w:w="0" w:type="dxa"/>
              <w:left w:w="108" w:type="dxa"/>
              <w:bottom w:w="0" w:type="dxa"/>
              <w:right w:w="108" w:type="dxa"/>
            </w:tcMar>
            <w:hideMark/>
          </w:tcPr>
          <w:p w14:paraId="0F3687EF" w14:textId="77777777" w:rsidR="00BE59AA" w:rsidRPr="008B6BB8" w:rsidRDefault="00BE59AA" w:rsidP="000D243F">
            <w:pPr>
              <w:pStyle w:val="Tablehead"/>
              <w:rPr>
                <w:sz w:val="20"/>
                <w:lang w:val="es-ES_tradnl"/>
              </w:rPr>
            </w:pPr>
            <w:r w:rsidRPr="008B6BB8">
              <w:rPr>
                <w:sz w:val="20"/>
                <w:lang w:val="es-ES_tradnl"/>
              </w:rPr>
              <w:t>Fecha</w:t>
            </w:r>
          </w:p>
        </w:tc>
        <w:tc>
          <w:tcPr>
            <w:tcW w:w="1834" w:type="dxa"/>
            <w:tcBorders>
              <w:top w:val="single" w:sz="12" w:space="0" w:color="auto"/>
              <w:bottom w:val="single" w:sz="12" w:space="0" w:color="auto"/>
            </w:tcBorders>
            <w:shd w:val="clear" w:color="auto" w:fill="auto"/>
            <w:tcMar>
              <w:top w:w="0" w:type="dxa"/>
              <w:left w:w="108" w:type="dxa"/>
              <w:bottom w:w="0" w:type="dxa"/>
              <w:right w:w="108" w:type="dxa"/>
            </w:tcMar>
            <w:hideMark/>
          </w:tcPr>
          <w:p w14:paraId="3A098350" w14:textId="77777777" w:rsidR="00BE59AA" w:rsidRPr="008B6BB8" w:rsidRDefault="00BE59AA" w:rsidP="000D243F">
            <w:pPr>
              <w:pStyle w:val="Tablehead"/>
              <w:rPr>
                <w:sz w:val="20"/>
                <w:lang w:val="es-ES_tradnl"/>
              </w:rPr>
            </w:pPr>
            <w:r w:rsidRPr="008B6BB8">
              <w:rPr>
                <w:sz w:val="20"/>
                <w:lang w:val="es-ES_tradnl"/>
              </w:rPr>
              <w:t>Hora</w:t>
            </w:r>
            <w:r w:rsidRPr="008B6BB8">
              <w:rPr>
                <w:position w:val="6"/>
                <w:sz w:val="20"/>
                <w:lang w:val="es-ES_tradnl"/>
              </w:rPr>
              <w:footnoteReference w:id="4"/>
            </w:r>
          </w:p>
        </w:tc>
        <w:tc>
          <w:tcPr>
            <w:tcW w:w="988" w:type="dxa"/>
            <w:tcBorders>
              <w:top w:val="single" w:sz="12" w:space="0" w:color="auto"/>
              <w:bottom w:val="single" w:sz="12" w:space="0" w:color="auto"/>
            </w:tcBorders>
            <w:shd w:val="clear" w:color="auto" w:fill="auto"/>
          </w:tcPr>
          <w:p w14:paraId="19FF6357" w14:textId="77777777" w:rsidR="00BE59AA" w:rsidRPr="008B6BB8" w:rsidRDefault="00BE59AA" w:rsidP="000D243F">
            <w:pPr>
              <w:pStyle w:val="Tablehead"/>
              <w:rPr>
                <w:sz w:val="20"/>
                <w:lang w:val="es-ES_tradnl"/>
              </w:rPr>
            </w:pPr>
            <w:r w:rsidRPr="008B6BB8">
              <w:rPr>
                <w:sz w:val="20"/>
                <w:lang w:val="es-ES_tradnl"/>
              </w:rPr>
              <w:t>Formato</w:t>
            </w:r>
            <w:r w:rsidRPr="008B6BB8">
              <w:rPr>
                <w:position w:val="6"/>
                <w:sz w:val="20"/>
                <w:lang w:val="es-ES_tradnl" w:eastAsia="zh-CN"/>
              </w:rPr>
              <w:footnoteReference w:id="5"/>
            </w:r>
          </w:p>
        </w:tc>
        <w:tc>
          <w:tcPr>
            <w:tcW w:w="1262" w:type="dxa"/>
            <w:tcBorders>
              <w:top w:val="single" w:sz="12" w:space="0" w:color="auto"/>
              <w:bottom w:val="single" w:sz="12" w:space="0" w:color="auto"/>
            </w:tcBorders>
            <w:shd w:val="clear" w:color="auto" w:fill="auto"/>
          </w:tcPr>
          <w:p w14:paraId="7592BAD2" w14:textId="77777777" w:rsidR="00BE59AA" w:rsidRPr="008B6BB8" w:rsidRDefault="00BE59AA" w:rsidP="000D243F">
            <w:pPr>
              <w:pStyle w:val="Tablehead"/>
              <w:rPr>
                <w:sz w:val="20"/>
                <w:lang w:val="es-ES_tradnl"/>
              </w:rPr>
            </w:pPr>
            <w:r w:rsidRPr="008B6BB8">
              <w:rPr>
                <w:sz w:val="20"/>
                <w:lang w:val="es-ES_tradnl"/>
              </w:rPr>
              <w:t>Grupo GANT</w:t>
            </w:r>
          </w:p>
        </w:tc>
        <w:tc>
          <w:tcPr>
            <w:tcW w:w="6082" w:type="dxa"/>
            <w:tcBorders>
              <w:top w:val="single" w:sz="12" w:space="0" w:color="auto"/>
              <w:bottom w:val="single" w:sz="12" w:space="0" w:color="auto"/>
            </w:tcBorders>
            <w:shd w:val="clear" w:color="auto" w:fill="auto"/>
            <w:tcMar>
              <w:top w:w="0" w:type="dxa"/>
              <w:left w:w="108" w:type="dxa"/>
              <w:bottom w:w="0" w:type="dxa"/>
              <w:right w:w="108" w:type="dxa"/>
            </w:tcMar>
            <w:hideMark/>
          </w:tcPr>
          <w:p w14:paraId="19160FAA" w14:textId="77777777" w:rsidR="00BE59AA" w:rsidRPr="008B6BB8" w:rsidRDefault="00BE59AA" w:rsidP="000D243F">
            <w:pPr>
              <w:pStyle w:val="Tablehead"/>
              <w:rPr>
                <w:sz w:val="20"/>
                <w:lang w:val="es-ES_tradnl"/>
              </w:rPr>
            </w:pPr>
            <w:r w:rsidRPr="008B6BB8">
              <w:rPr>
                <w:sz w:val="20"/>
                <w:lang w:val="es-ES_tradnl"/>
              </w:rPr>
              <w:t xml:space="preserve">Información </w:t>
            </w:r>
            <w:r w:rsidRPr="008B6BB8">
              <w:rPr>
                <w:sz w:val="20"/>
                <w:lang w:val="es-ES_tradnl"/>
              </w:rPr>
              <w:br/>
              <w:t>(mandato/alcance/tema principal)</w:t>
            </w:r>
          </w:p>
        </w:tc>
        <w:tc>
          <w:tcPr>
            <w:tcW w:w="1619" w:type="dxa"/>
            <w:tcBorders>
              <w:top w:val="single" w:sz="12" w:space="0" w:color="auto"/>
              <w:bottom w:val="single" w:sz="12" w:space="0" w:color="auto"/>
            </w:tcBorders>
          </w:tcPr>
          <w:p w14:paraId="7E63AC85" w14:textId="49298391" w:rsidR="00BE59AA" w:rsidRPr="008B6BB8" w:rsidRDefault="00BE59AA" w:rsidP="000D243F">
            <w:pPr>
              <w:pStyle w:val="Tablehead"/>
              <w:rPr>
                <w:sz w:val="20"/>
                <w:lang w:val="es-ES_tradnl"/>
              </w:rPr>
            </w:pPr>
            <w:r w:rsidRPr="008B6BB8">
              <w:rPr>
                <w:sz w:val="20"/>
                <w:lang w:val="es-ES_tradnl"/>
              </w:rPr>
              <w:t>Plazo de presentación</w:t>
            </w:r>
          </w:p>
        </w:tc>
      </w:tr>
      <w:tr w:rsidR="00BE59AA" w:rsidRPr="00983703" w14:paraId="17360F9A" w14:textId="77777777" w:rsidTr="000D243F">
        <w:trPr>
          <w:cantSplit/>
          <w:jc w:val="center"/>
        </w:trPr>
        <w:tc>
          <w:tcPr>
            <w:tcW w:w="409" w:type="dxa"/>
            <w:shd w:val="clear" w:color="auto" w:fill="auto"/>
            <w:tcMar>
              <w:top w:w="0" w:type="dxa"/>
              <w:left w:w="108" w:type="dxa"/>
              <w:bottom w:w="0" w:type="dxa"/>
              <w:right w:w="108" w:type="dxa"/>
            </w:tcMar>
          </w:tcPr>
          <w:p w14:paraId="7D397E33" w14:textId="1E2CE109"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w:t>
            </w:r>
          </w:p>
        </w:tc>
        <w:tc>
          <w:tcPr>
            <w:tcW w:w="1966" w:type="dxa"/>
            <w:shd w:val="clear" w:color="auto" w:fill="auto"/>
            <w:tcMar>
              <w:top w:w="0" w:type="dxa"/>
              <w:left w:w="108" w:type="dxa"/>
              <w:bottom w:w="0" w:type="dxa"/>
              <w:right w:w="108" w:type="dxa"/>
            </w:tcMar>
          </w:tcPr>
          <w:p w14:paraId="21AB5DC5" w14:textId="77777777" w:rsidR="00BE59AA" w:rsidRPr="008B6BB8" w:rsidRDefault="00BE59AA" w:rsidP="003C7885">
            <w:pPr>
              <w:pStyle w:val="Tabletext"/>
              <w:jc w:val="center"/>
              <w:rPr>
                <w:sz w:val="20"/>
                <w:lang w:val="es-ES_tradnl"/>
              </w:rPr>
            </w:pPr>
            <w:r w:rsidRPr="008B6BB8">
              <w:rPr>
                <w:rFonts w:eastAsia="SimSun"/>
                <w:sz w:val="20"/>
                <w:lang w:val="es-ES_tradnl"/>
              </w:rPr>
              <w:t>27 de junio de 2023</w:t>
            </w:r>
          </w:p>
        </w:tc>
        <w:tc>
          <w:tcPr>
            <w:tcW w:w="1834" w:type="dxa"/>
            <w:shd w:val="clear" w:color="auto" w:fill="auto"/>
            <w:tcMar>
              <w:top w:w="0" w:type="dxa"/>
              <w:left w:w="108" w:type="dxa"/>
              <w:bottom w:w="0" w:type="dxa"/>
              <w:right w:w="108" w:type="dxa"/>
            </w:tcMar>
          </w:tcPr>
          <w:p w14:paraId="46391021" w14:textId="28F73AE2" w:rsidR="00BE59AA" w:rsidRPr="008B6BB8" w:rsidRDefault="00BE59AA" w:rsidP="005C78DB">
            <w:pPr>
              <w:pStyle w:val="Tabletext"/>
              <w:jc w:val="center"/>
              <w:rPr>
                <w:sz w:val="20"/>
                <w:lang w:val="es-ES_tradnl"/>
              </w:rPr>
            </w:pPr>
            <w:r w:rsidRPr="008B6BB8">
              <w:rPr>
                <w:rFonts w:eastAsia="SimSun"/>
                <w:sz w:val="20"/>
                <w:lang w:val="es-ES_tradnl"/>
              </w:rPr>
              <w:t>12</w:t>
            </w:r>
            <w:r w:rsidR="003C7885" w:rsidRPr="008B6BB8">
              <w:rPr>
                <w:rFonts w:eastAsia="SimSun"/>
                <w:sz w:val="20"/>
                <w:lang w:val="es-ES_tradnl"/>
              </w:rPr>
              <w:t>.</w:t>
            </w:r>
            <w:r w:rsidRPr="008B6BB8">
              <w:rPr>
                <w:rFonts w:eastAsia="SimSun"/>
                <w:sz w:val="20"/>
                <w:lang w:val="es-ES_tradnl"/>
              </w:rPr>
              <w:t>00-15</w:t>
            </w:r>
            <w:r w:rsidR="003C7885" w:rsidRPr="008B6BB8">
              <w:rPr>
                <w:rFonts w:eastAsia="SimSun"/>
                <w:sz w:val="20"/>
                <w:lang w:val="es-ES_tradnl"/>
              </w:rPr>
              <w:t>.</w:t>
            </w:r>
            <w:r w:rsidRPr="008B6BB8">
              <w:rPr>
                <w:rFonts w:eastAsia="SimSun"/>
                <w:sz w:val="20"/>
                <w:lang w:val="es-ES_tradnl"/>
              </w:rPr>
              <w:t xml:space="preserve">00 </w:t>
            </w:r>
            <w:r w:rsidRPr="008B6BB8">
              <w:rPr>
                <w:sz w:val="20"/>
                <w:lang w:val="es-ES_tradnl"/>
              </w:rPr>
              <w:t>horas (UTC+02</w:t>
            </w:r>
            <w:r w:rsidR="005C78DB" w:rsidRPr="008B6BB8">
              <w:rPr>
                <w:sz w:val="20"/>
                <w:lang w:val="es-ES_tradnl"/>
              </w:rPr>
              <w:t>.</w:t>
            </w:r>
            <w:r w:rsidRPr="008B6BB8">
              <w:rPr>
                <w:sz w:val="20"/>
                <w:lang w:val="es-ES_tradnl"/>
              </w:rPr>
              <w:t>00)</w:t>
            </w:r>
          </w:p>
        </w:tc>
        <w:tc>
          <w:tcPr>
            <w:tcW w:w="988" w:type="dxa"/>
            <w:shd w:val="clear" w:color="auto" w:fill="auto"/>
          </w:tcPr>
          <w:p w14:paraId="162C995C"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480409F4"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GR-MT</w:t>
            </w:r>
          </w:p>
        </w:tc>
        <w:tc>
          <w:tcPr>
            <w:tcW w:w="6082" w:type="dxa"/>
            <w:shd w:val="clear" w:color="auto" w:fill="auto"/>
            <w:tcMar>
              <w:top w:w="0" w:type="dxa"/>
              <w:left w:w="108" w:type="dxa"/>
              <w:bottom w:w="0" w:type="dxa"/>
              <w:right w:w="108" w:type="dxa"/>
            </w:tcMar>
          </w:tcPr>
          <w:p w14:paraId="5DFEC3EF" w14:textId="77777777" w:rsidR="00BE59AA" w:rsidRPr="008B6BB8" w:rsidRDefault="00BE59AA" w:rsidP="00564695">
            <w:pPr>
              <w:pStyle w:val="Tabletext"/>
              <w:ind w:left="57"/>
              <w:rPr>
                <w:sz w:val="20"/>
                <w:lang w:val="es-ES_tradnl"/>
              </w:rPr>
            </w:pPr>
            <w:r w:rsidRPr="008B6BB8">
              <w:rPr>
                <w:sz w:val="20"/>
                <w:lang w:val="es-ES_tradnl"/>
              </w:rPr>
              <w:t>Avances</w:t>
            </w:r>
            <w:r w:rsidRPr="008B6BB8">
              <w:rPr>
                <w:rFonts w:eastAsia="SimSun"/>
                <w:sz w:val="20"/>
                <w:lang w:val="es-ES_tradnl"/>
              </w:rPr>
              <w:t xml:space="preserve"> en relación con la Rec. UIT-T A.1</w:t>
            </w:r>
          </w:p>
        </w:tc>
        <w:tc>
          <w:tcPr>
            <w:tcW w:w="1619" w:type="dxa"/>
          </w:tcPr>
          <w:p w14:paraId="11AF900D" w14:textId="541068CB" w:rsidR="00BE59AA" w:rsidRPr="008B6BB8" w:rsidRDefault="00BE59AA" w:rsidP="00564695">
            <w:pPr>
              <w:pStyle w:val="Tabletext"/>
              <w:ind w:left="113"/>
              <w:jc w:val="center"/>
              <w:rPr>
                <w:sz w:val="20"/>
                <w:lang w:val="es-ES_tradnl"/>
              </w:rPr>
            </w:pPr>
            <w:r w:rsidRPr="008B6BB8">
              <w:rPr>
                <w:rFonts w:eastAsia="SimSun"/>
                <w:sz w:val="20"/>
                <w:lang w:val="es-ES_tradnl"/>
              </w:rPr>
              <w:t>17 de junio de</w:t>
            </w:r>
            <w:r w:rsidR="00F47FAC">
              <w:rPr>
                <w:rFonts w:eastAsia="SimSun"/>
                <w:sz w:val="20"/>
                <w:lang w:val="es-ES_tradnl"/>
              </w:rPr>
              <w:t> </w:t>
            </w:r>
            <w:r w:rsidRPr="008B6BB8">
              <w:rPr>
                <w:rFonts w:eastAsia="SimSun"/>
                <w:sz w:val="20"/>
                <w:lang w:val="es-ES_tradnl"/>
              </w:rPr>
              <w:t>2023</w:t>
            </w:r>
          </w:p>
        </w:tc>
      </w:tr>
      <w:tr w:rsidR="00BE59AA" w:rsidRPr="00983703" w14:paraId="1674EFF7" w14:textId="77777777" w:rsidTr="000D243F">
        <w:trPr>
          <w:cantSplit/>
          <w:jc w:val="center"/>
        </w:trPr>
        <w:tc>
          <w:tcPr>
            <w:tcW w:w="409" w:type="dxa"/>
            <w:shd w:val="clear" w:color="auto" w:fill="auto"/>
            <w:tcMar>
              <w:top w:w="0" w:type="dxa"/>
              <w:left w:w="108" w:type="dxa"/>
              <w:bottom w:w="0" w:type="dxa"/>
              <w:right w:w="108" w:type="dxa"/>
            </w:tcMar>
          </w:tcPr>
          <w:p w14:paraId="1001485C" w14:textId="73CB0FDA"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w:t>
            </w:r>
          </w:p>
        </w:tc>
        <w:tc>
          <w:tcPr>
            <w:tcW w:w="1966" w:type="dxa"/>
            <w:shd w:val="clear" w:color="auto" w:fill="auto"/>
            <w:tcMar>
              <w:top w:w="0" w:type="dxa"/>
              <w:left w:w="108" w:type="dxa"/>
              <w:bottom w:w="0" w:type="dxa"/>
              <w:right w:w="108" w:type="dxa"/>
            </w:tcMar>
          </w:tcPr>
          <w:p w14:paraId="1C41BADB" w14:textId="77777777" w:rsidR="00BE59AA" w:rsidRPr="008B6BB8" w:rsidRDefault="00BE59AA" w:rsidP="003C7885">
            <w:pPr>
              <w:pStyle w:val="Tabletext"/>
              <w:jc w:val="center"/>
              <w:rPr>
                <w:rFonts w:eastAsia="SimSun"/>
                <w:sz w:val="20"/>
                <w:lang w:val="es-ES_tradnl"/>
              </w:rPr>
            </w:pPr>
            <w:r w:rsidRPr="008B6BB8">
              <w:rPr>
                <w:rFonts w:eastAsia="SimSun"/>
                <w:sz w:val="20"/>
                <w:lang w:val="es-ES_tradnl"/>
              </w:rPr>
              <w:t>4 de julio de 2023</w:t>
            </w:r>
          </w:p>
        </w:tc>
        <w:tc>
          <w:tcPr>
            <w:tcW w:w="1834" w:type="dxa"/>
            <w:shd w:val="clear" w:color="auto" w:fill="auto"/>
            <w:tcMar>
              <w:top w:w="0" w:type="dxa"/>
              <w:left w:w="108" w:type="dxa"/>
              <w:bottom w:w="0" w:type="dxa"/>
              <w:right w:w="108" w:type="dxa"/>
            </w:tcMar>
          </w:tcPr>
          <w:p w14:paraId="20AA1756" w14:textId="4959204B" w:rsidR="00BE59AA" w:rsidRPr="008B6BB8" w:rsidRDefault="00BE59AA" w:rsidP="005C78DB">
            <w:pPr>
              <w:pStyle w:val="Tabletext"/>
              <w:jc w:val="center"/>
              <w:rPr>
                <w:rFonts w:eastAsia="SimSun"/>
                <w:sz w:val="20"/>
                <w:lang w:val="es-ES_tradnl"/>
              </w:rPr>
            </w:pPr>
            <w:r w:rsidRPr="008B6BB8">
              <w:rPr>
                <w:rFonts w:eastAsia="SimSun"/>
                <w:sz w:val="20"/>
                <w:lang w:val="es-ES_tradnl"/>
              </w:rPr>
              <w:t>12</w:t>
            </w:r>
            <w:r w:rsidR="003C7885" w:rsidRPr="008B6BB8">
              <w:rPr>
                <w:rFonts w:eastAsia="SimSun"/>
                <w:sz w:val="20"/>
                <w:lang w:val="es-ES_tradnl"/>
              </w:rPr>
              <w:t>.</w:t>
            </w:r>
            <w:r w:rsidRPr="008B6BB8">
              <w:rPr>
                <w:rFonts w:eastAsia="SimSun"/>
                <w:sz w:val="20"/>
                <w:lang w:val="es-ES_tradnl"/>
              </w:rPr>
              <w:t>00-15</w:t>
            </w:r>
            <w:r w:rsidR="003C7885" w:rsidRPr="008B6BB8">
              <w:rPr>
                <w:rFonts w:eastAsia="SimSun"/>
                <w:sz w:val="20"/>
                <w:lang w:val="es-ES_tradnl"/>
              </w:rPr>
              <w:t>.</w:t>
            </w:r>
            <w:r w:rsidRPr="008B6BB8">
              <w:rPr>
                <w:rFonts w:eastAsia="SimSun"/>
                <w:sz w:val="20"/>
                <w:lang w:val="es-ES_tradnl"/>
              </w:rPr>
              <w:t xml:space="preserve">00 </w:t>
            </w:r>
            <w:r w:rsidRPr="008B6BB8">
              <w:rPr>
                <w:sz w:val="20"/>
                <w:lang w:val="es-ES_tradnl"/>
              </w:rPr>
              <w:t>horas (UTC+02</w:t>
            </w:r>
            <w:r w:rsidR="005C78DB" w:rsidRPr="008B6BB8">
              <w:rPr>
                <w:sz w:val="20"/>
                <w:lang w:val="es-ES_tradnl"/>
              </w:rPr>
              <w:t>.</w:t>
            </w:r>
            <w:r w:rsidRPr="008B6BB8">
              <w:rPr>
                <w:sz w:val="20"/>
                <w:lang w:val="es-ES_tradnl"/>
              </w:rPr>
              <w:t>00)</w:t>
            </w:r>
          </w:p>
        </w:tc>
        <w:tc>
          <w:tcPr>
            <w:tcW w:w="988" w:type="dxa"/>
            <w:shd w:val="clear" w:color="auto" w:fill="auto"/>
          </w:tcPr>
          <w:p w14:paraId="384E056D"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2432EF81"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GR-MT</w:t>
            </w:r>
          </w:p>
        </w:tc>
        <w:tc>
          <w:tcPr>
            <w:tcW w:w="6082" w:type="dxa"/>
            <w:shd w:val="clear" w:color="auto" w:fill="auto"/>
            <w:tcMar>
              <w:top w:w="0" w:type="dxa"/>
              <w:left w:w="108" w:type="dxa"/>
              <w:bottom w:w="0" w:type="dxa"/>
              <w:right w:w="108" w:type="dxa"/>
            </w:tcMar>
          </w:tcPr>
          <w:p w14:paraId="511AF796" w14:textId="35DE3C8F" w:rsidR="00BE59AA" w:rsidRPr="008B6BB8" w:rsidRDefault="00BE59AA" w:rsidP="00564695">
            <w:pPr>
              <w:pStyle w:val="Tabletext"/>
              <w:ind w:left="57"/>
              <w:rPr>
                <w:rFonts w:eastAsia="SimSun"/>
                <w:sz w:val="20"/>
                <w:lang w:val="es-ES_tradnl"/>
              </w:rPr>
            </w:pPr>
            <w:r w:rsidRPr="008B6BB8">
              <w:rPr>
                <w:sz w:val="20"/>
                <w:lang w:val="es-ES_tradnl"/>
              </w:rPr>
              <w:t>Avances</w:t>
            </w:r>
            <w:r w:rsidRPr="008B6BB8">
              <w:rPr>
                <w:rFonts w:eastAsia="SimSun"/>
                <w:sz w:val="20"/>
                <w:lang w:val="es-ES_tradnl"/>
              </w:rPr>
              <w:t xml:space="preserve"> en relación con la Rec</w:t>
            </w:r>
            <w:r w:rsidR="005C78DB" w:rsidRPr="008B6BB8">
              <w:rPr>
                <w:rFonts w:eastAsia="SimSun"/>
                <w:sz w:val="20"/>
                <w:lang w:val="es-ES_tradnl"/>
              </w:rPr>
              <w:t>.</w:t>
            </w:r>
            <w:r w:rsidRPr="008B6BB8">
              <w:rPr>
                <w:rFonts w:eastAsia="SimSun"/>
                <w:sz w:val="20"/>
                <w:lang w:val="es-ES_tradnl"/>
              </w:rPr>
              <w:t xml:space="preserve"> UIT-T A.7</w:t>
            </w:r>
          </w:p>
        </w:tc>
        <w:tc>
          <w:tcPr>
            <w:tcW w:w="1619" w:type="dxa"/>
          </w:tcPr>
          <w:p w14:paraId="12991986" w14:textId="56A379E2"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24 de junio de</w:t>
            </w:r>
            <w:r w:rsidR="00F47FAC">
              <w:rPr>
                <w:rFonts w:eastAsia="SimSun"/>
                <w:sz w:val="20"/>
                <w:lang w:val="es-ES_tradnl"/>
              </w:rPr>
              <w:t> </w:t>
            </w:r>
            <w:r w:rsidRPr="008B6BB8">
              <w:rPr>
                <w:rFonts w:eastAsia="SimSun"/>
                <w:sz w:val="20"/>
                <w:lang w:val="es-ES_tradnl"/>
              </w:rPr>
              <w:t>2023</w:t>
            </w:r>
          </w:p>
        </w:tc>
      </w:tr>
      <w:tr w:rsidR="00BE59AA" w:rsidRPr="00983703" w14:paraId="6407E88B" w14:textId="77777777" w:rsidTr="000D243F">
        <w:trPr>
          <w:cantSplit/>
          <w:jc w:val="center"/>
        </w:trPr>
        <w:tc>
          <w:tcPr>
            <w:tcW w:w="409" w:type="dxa"/>
            <w:shd w:val="clear" w:color="auto" w:fill="auto"/>
            <w:tcMar>
              <w:top w:w="0" w:type="dxa"/>
              <w:left w:w="108" w:type="dxa"/>
              <w:bottom w:w="0" w:type="dxa"/>
              <w:right w:w="108" w:type="dxa"/>
            </w:tcMar>
            <w:hideMark/>
          </w:tcPr>
          <w:p w14:paraId="1F2698BF" w14:textId="5342EE5B"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3</w:t>
            </w:r>
          </w:p>
        </w:tc>
        <w:tc>
          <w:tcPr>
            <w:tcW w:w="1966" w:type="dxa"/>
            <w:shd w:val="clear" w:color="auto" w:fill="auto"/>
            <w:tcMar>
              <w:top w:w="0" w:type="dxa"/>
              <w:left w:w="108" w:type="dxa"/>
              <w:bottom w:w="0" w:type="dxa"/>
              <w:right w:w="108" w:type="dxa"/>
            </w:tcMar>
          </w:tcPr>
          <w:p w14:paraId="26BE8BD7" w14:textId="77777777" w:rsidR="00BE59AA" w:rsidRPr="008B6BB8" w:rsidRDefault="00BE59AA" w:rsidP="003C7885">
            <w:pPr>
              <w:pStyle w:val="Tabletext"/>
              <w:jc w:val="center"/>
              <w:rPr>
                <w:sz w:val="20"/>
                <w:lang w:val="es-ES_tradnl"/>
              </w:rPr>
            </w:pPr>
            <w:r w:rsidRPr="008B6BB8">
              <w:rPr>
                <w:sz w:val="20"/>
                <w:lang w:val="es-ES_tradnl"/>
              </w:rPr>
              <w:t>5 de julio de 2023</w:t>
            </w:r>
          </w:p>
        </w:tc>
        <w:tc>
          <w:tcPr>
            <w:tcW w:w="1834" w:type="dxa"/>
            <w:shd w:val="clear" w:color="auto" w:fill="auto"/>
            <w:tcMar>
              <w:top w:w="0" w:type="dxa"/>
              <w:left w:w="108" w:type="dxa"/>
              <w:bottom w:w="0" w:type="dxa"/>
              <w:right w:w="108" w:type="dxa"/>
            </w:tcMar>
          </w:tcPr>
          <w:p w14:paraId="77077046" w14:textId="77777777" w:rsidR="00BE59AA" w:rsidRPr="008B6BB8" w:rsidRDefault="00BE59AA" w:rsidP="005C78DB">
            <w:pPr>
              <w:pStyle w:val="Tabletext"/>
              <w:jc w:val="center"/>
              <w:rPr>
                <w:sz w:val="20"/>
                <w:lang w:val="es-ES_tradnl"/>
              </w:rPr>
            </w:pPr>
            <w:r w:rsidRPr="008B6BB8">
              <w:rPr>
                <w:sz w:val="20"/>
                <w:lang w:val="es-ES_tradnl"/>
              </w:rPr>
              <w:t>13.00-14.30 horas</w:t>
            </w:r>
          </w:p>
          <w:p w14:paraId="736B1DF8" w14:textId="15BFAC21" w:rsidR="00BE59AA" w:rsidRPr="008B6BB8" w:rsidRDefault="00BE59AA" w:rsidP="005C78DB">
            <w:pPr>
              <w:pStyle w:val="Tabletext"/>
              <w:jc w:val="center"/>
              <w:rPr>
                <w:sz w:val="20"/>
                <w:lang w:val="es-ES_tradnl"/>
              </w:rPr>
            </w:pPr>
            <w:r w:rsidRPr="008B6BB8">
              <w:rPr>
                <w:sz w:val="20"/>
                <w:lang w:val="es-ES_tradnl"/>
              </w:rPr>
              <w:t>(UTC+02</w:t>
            </w:r>
            <w:r w:rsidR="005C78DB" w:rsidRPr="008B6BB8">
              <w:rPr>
                <w:sz w:val="20"/>
                <w:lang w:val="es-ES_tradnl"/>
              </w:rPr>
              <w:t>.</w:t>
            </w:r>
            <w:r w:rsidRPr="008B6BB8">
              <w:rPr>
                <w:sz w:val="20"/>
                <w:lang w:val="es-ES_tradnl"/>
              </w:rPr>
              <w:t>00)</w:t>
            </w:r>
          </w:p>
        </w:tc>
        <w:tc>
          <w:tcPr>
            <w:tcW w:w="988" w:type="dxa"/>
            <w:shd w:val="clear" w:color="auto" w:fill="auto"/>
          </w:tcPr>
          <w:p w14:paraId="6F69ACB3"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441347BD"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GR-WPR</w:t>
            </w:r>
          </w:p>
        </w:tc>
        <w:tc>
          <w:tcPr>
            <w:tcW w:w="6082" w:type="dxa"/>
            <w:shd w:val="clear" w:color="auto" w:fill="auto"/>
            <w:tcMar>
              <w:top w:w="0" w:type="dxa"/>
              <w:left w:w="108" w:type="dxa"/>
              <w:bottom w:w="0" w:type="dxa"/>
              <w:right w:w="108" w:type="dxa"/>
            </w:tcMar>
          </w:tcPr>
          <w:p w14:paraId="32B3E91D" w14:textId="77777777" w:rsidR="00BE59AA" w:rsidRPr="008B6BB8" w:rsidRDefault="00BE59AA" w:rsidP="00564695">
            <w:pPr>
              <w:pStyle w:val="Tabletext"/>
              <w:ind w:left="57"/>
              <w:rPr>
                <w:sz w:val="20"/>
                <w:lang w:val="es-ES_tradnl"/>
              </w:rPr>
            </w:pPr>
            <w:r w:rsidRPr="008B6BB8">
              <w:rPr>
                <w:sz w:val="20"/>
                <w:lang w:val="es-ES_tradnl"/>
              </w:rPr>
              <w:t>Revisión del texto de referencia (TD214R1) sobre:</w:t>
            </w:r>
          </w:p>
          <w:p w14:paraId="3B02D401" w14:textId="0BC20AAF" w:rsidR="00BE59AA" w:rsidRPr="008B6BB8" w:rsidRDefault="005C78DB" w:rsidP="005C78DB">
            <w:pPr>
              <w:pStyle w:val="enumlev1"/>
              <w:tabs>
                <w:tab w:val="clear" w:pos="794"/>
                <w:tab w:val="left" w:pos="246"/>
              </w:tabs>
              <w:rPr>
                <w:sz w:val="20"/>
                <w:lang w:val="es-ES_tradnl"/>
              </w:rPr>
            </w:pPr>
            <w:r w:rsidRPr="008B6BB8">
              <w:rPr>
                <w:sz w:val="20"/>
                <w:lang w:val="es-ES_tradnl"/>
              </w:rPr>
              <w:t>•</w:t>
            </w:r>
            <w:r w:rsidRPr="008B6BB8">
              <w:rPr>
                <w:sz w:val="20"/>
                <w:lang w:val="es-ES_tradnl"/>
              </w:rPr>
              <w:tab/>
            </w:r>
            <w:r w:rsidR="00BE59AA" w:rsidRPr="008B6BB8">
              <w:rPr>
                <w:sz w:val="20"/>
                <w:lang w:val="es-ES_tradnl"/>
              </w:rPr>
              <w:t>definición de IFR</w:t>
            </w:r>
          </w:p>
          <w:p w14:paraId="768BF55D" w14:textId="4116D912" w:rsidR="00BE59AA" w:rsidRPr="008B6BB8" w:rsidRDefault="005C78DB" w:rsidP="005C78DB">
            <w:pPr>
              <w:pStyle w:val="enumlev1"/>
              <w:tabs>
                <w:tab w:val="clear" w:pos="794"/>
                <w:tab w:val="left" w:pos="246"/>
              </w:tabs>
              <w:rPr>
                <w:sz w:val="20"/>
                <w:lang w:val="es-ES_tradnl"/>
              </w:rPr>
            </w:pPr>
            <w:r w:rsidRPr="008B6BB8">
              <w:rPr>
                <w:sz w:val="20"/>
                <w:lang w:val="es-ES_tradnl"/>
              </w:rPr>
              <w:t>•</w:t>
            </w:r>
            <w:r w:rsidRPr="008B6BB8">
              <w:rPr>
                <w:sz w:val="20"/>
                <w:lang w:val="es-ES_tradnl"/>
              </w:rPr>
              <w:tab/>
            </w:r>
            <w:r w:rsidR="00BE59AA" w:rsidRPr="008B6BB8">
              <w:rPr>
                <w:sz w:val="20"/>
                <w:lang w:val="es-ES_tradnl"/>
              </w:rPr>
              <w:t>prioridades relativas de los IFR</w:t>
            </w:r>
          </w:p>
          <w:p w14:paraId="7250EA2B" w14:textId="21BE6A54" w:rsidR="00BE59AA" w:rsidRPr="008B6BB8" w:rsidRDefault="005C78DB" w:rsidP="005C78DB">
            <w:pPr>
              <w:pStyle w:val="enumlev1"/>
              <w:tabs>
                <w:tab w:val="clear" w:pos="794"/>
                <w:tab w:val="left" w:pos="246"/>
              </w:tabs>
              <w:rPr>
                <w:sz w:val="20"/>
                <w:lang w:val="es-ES_tradnl"/>
              </w:rPr>
            </w:pPr>
            <w:r w:rsidRPr="008B6BB8">
              <w:rPr>
                <w:sz w:val="20"/>
                <w:lang w:val="es-ES_tradnl"/>
              </w:rPr>
              <w:t>•</w:t>
            </w:r>
            <w:r w:rsidRPr="008B6BB8">
              <w:rPr>
                <w:sz w:val="20"/>
                <w:lang w:val="es-ES_tradnl"/>
              </w:rPr>
              <w:tab/>
            </w:r>
            <w:r w:rsidR="00BE59AA" w:rsidRPr="008B6BB8">
              <w:rPr>
                <w:sz w:val="20"/>
                <w:lang w:val="es-ES_tradnl"/>
              </w:rPr>
              <w:t>posibles nuevas estructuras</w:t>
            </w:r>
          </w:p>
        </w:tc>
        <w:tc>
          <w:tcPr>
            <w:tcW w:w="1619" w:type="dxa"/>
          </w:tcPr>
          <w:p w14:paraId="2534575A" w14:textId="217DB899"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28 de junio de</w:t>
            </w:r>
            <w:r w:rsidR="00F47FAC">
              <w:rPr>
                <w:rFonts w:eastAsia="SimSun"/>
                <w:sz w:val="20"/>
                <w:lang w:val="es-ES_tradnl"/>
              </w:rPr>
              <w:t> </w:t>
            </w:r>
            <w:r w:rsidRPr="008B6BB8">
              <w:rPr>
                <w:rFonts w:eastAsia="SimSun"/>
                <w:sz w:val="20"/>
                <w:lang w:val="es-ES_tradnl"/>
              </w:rPr>
              <w:t>2023</w:t>
            </w:r>
          </w:p>
        </w:tc>
      </w:tr>
      <w:tr w:rsidR="00BE59AA" w:rsidRPr="00983703" w14:paraId="2ED6F133" w14:textId="77777777" w:rsidTr="000D243F">
        <w:trPr>
          <w:cantSplit/>
          <w:jc w:val="center"/>
        </w:trPr>
        <w:tc>
          <w:tcPr>
            <w:tcW w:w="409" w:type="dxa"/>
            <w:shd w:val="clear" w:color="auto" w:fill="auto"/>
            <w:tcMar>
              <w:top w:w="0" w:type="dxa"/>
              <w:left w:w="108" w:type="dxa"/>
              <w:bottom w:w="0" w:type="dxa"/>
              <w:right w:w="108" w:type="dxa"/>
            </w:tcMar>
          </w:tcPr>
          <w:p w14:paraId="1E70F5F6" w14:textId="392196D2"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4</w:t>
            </w:r>
          </w:p>
        </w:tc>
        <w:tc>
          <w:tcPr>
            <w:tcW w:w="1966" w:type="dxa"/>
            <w:shd w:val="clear" w:color="auto" w:fill="auto"/>
            <w:tcMar>
              <w:top w:w="0" w:type="dxa"/>
              <w:left w:w="108" w:type="dxa"/>
              <w:bottom w:w="0" w:type="dxa"/>
              <w:right w:w="108" w:type="dxa"/>
            </w:tcMar>
          </w:tcPr>
          <w:p w14:paraId="6E98B38F" w14:textId="77777777" w:rsidR="00BE59AA" w:rsidRPr="008B6BB8" w:rsidRDefault="00BE59AA" w:rsidP="003C7885">
            <w:pPr>
              <w:pStyle w:val="Tabletext"/>
              <w:jc w:val="center"/>
              <w:rPr>
                <w:sz w:val="20"/>
                <w:lang w:val="es-ES_tradnl"/>
              </w:rPr>
            </w:pPr>
            <w:r w:rsidRPr="008B6BB8">
              <w:rPr>
                <w:rFonts w:eastAsia="SimSun"/>
                <w:sz w:val="20"/>
                <w:lang w:val="es-ES_tradnl"/>
              </w:rPr>
              <w:t>24 de julio de 2023</w:t>
            </w:r>
          </w:p>
        </w:tc>
        <w:tc>
          <w:tcPr>
            <w:tcW w:w="1834" w:type="dxa"/>
            <w:shd w:val="clear" w:color="auto" w:fill="auto"/>
            <w:tcMar>
              <w:top w:w="0" w:type="dxa"/>
              <w:left w:w="108" w:type="dxa"/>
              <w:bottom w:w="0" w:type="dxa"/>
              <w:right w:w="108" w:type="dxa"/>
            </w:tcMar>
          </w:tcPr>
          <w:p w14:paraId="732D62F1"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2F39AA44"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5245D023"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GR-TD</w:t>
            </w:r>
          </w:p>
        </w:tc>
        <w:tc>
          <w:tcPr>
            <w:tcW w:w="6082" w:type="dxa"/>
            <w:shd w:val="clear" w:color="auto" w:fill="auto"/>
            <w:tcMar>
              <w:top w:w="0" w:type="dxa"/>
              <w:left w:w="108" w:type="dxa"/>
              <w:bottom w:w="0" w:type="dxa"/>
              <w:right w:w="108" w:type="dxa"/>
            </w:tcMar>
          </w:tcPr>
          <w:p w14:paraId="5B4EBBF5" w14:textId="11995AEF" w:rsidR="00BE59AA" w:rsidRPr="008B6BB8" w:rsidRDefault="005C78DB"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Recopilar datos para realizar un análisis de deficiencias en las actividades y los estudios sobre transformación digital en el</w:t>
            </w:r>
            <w:r w:rsidR="00996888" w:rsidRPr="008B6BB8">
              <w:rPr>
                <w:sz w:val="20"/>
                <w:lang w:val="es-ES_tradnl" w:eastAsia="en-GB"/>
              </w:rPr>
              <w:t> </w:t>
            </w:r>
            <w:r w:rsidR="00BE59AA" w:rsidRPr="008B6BB8">
              <w:rPr>
                <w:sz w:val="20"/>
                <w:lang w:val="es-ES_tradnl" w:eastAsia="en-GB"/>
              </w:rPr>
              <w:t>UIT</w:t>
            </w:r>
            <w:r w:rsidR="006F6F91" w:rsidRPr="008B6BB8">
              <w:rPr>
                <w:sz w:val="20"/>
                <w:lang w:val="es-ES_tradnl" w:eastAsia="en-GB"/>
              </w:rPr>
              <w:noBreakHyphen/>
            </w:r>
            <w:r w:rsidR="00BE59AA" w:rsidRPr="008B6BB8">
              <w:rPr>
                <w:sz w:val="20"/>
                <w:lang w:val="es-ES_tradnl" w:eastAsia="en-GB"/>
              </w:rPr>
              <w:t xml:space="preserve">T, </w:t>
            </w:r>
            <w:r w:rsidR="00BE59AA" w:rsidRPr="008B6BB8">
              <w:rPr>
                <w:sz w:val="20"/>
                <w:lang w:val="es-ES_tradnl"/>
              </w:rPr>
              <w:t>el</w:t>
            </w:r>
            <w:r w:rsidR="00BE59AA" w:rsidRPr="008B6BB8">
              <w:rPr>
                <w:sz w:val="20"/>
                <w:lang w:val="es-ES_tradnl" w:eastAsia="en-GB"/>
              </w:rPr>
              <w:t xml:space="preserve"> UIT-D y el UIT-R, así como en otros organismos de normalización;</w:t>
            </w:r>
          </w:p>
          <w:p w14:paraId="768D9FC2" w14:textId="7BE73FDE"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examinar la definición, los conceptos, las arquitecturas de sistemas, los casos de utilización, las tecnologías subyacentes fundamentales, la interoperabilidad y el sistema de transformación digital;</w:t>
            </w:r>
          </w:p>
          <w:p w14:paraId="3236DC0D" w14:textId="1FAA845B"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elaborar un proyecto de nueva Resolución de la AMNT sobre transformación digital.</w:t>
            </w:r>
          </w:p>
        </w:tc>
        <w:tc>
          <w:tcPr>
            <w:tcW w:w="1619" w:type="dxa"/>
          </w:tcPr>
          <w:p w14:paraId="7DA49AE3" w14:textId="51853290"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16 de julio de</w:t>
            </w:r>
            <w:r w:rsidR="00F47FAC">
              <w:rPr>
                <w:rFonts w:eastAsia="SimSun"/>
                <w:sz w:val="20"/>
                <w:lang w:val="es-ES_tradnl"/>
              </w:rPr>
              <w:t> </w:t>
            </w:r>
            <w:r w:rsidRPr="008B6BB8">
              <w:rPr>
                <w:rFonts w:eastAsia="SimSun"/>
                <w:sz w:val="20"/>
                <w:lang w:val="es-ES_tradnl"/>
              </w:rPr>
              <w:t>2023</w:t>
            </w:r>
          </w:p>
        </w:tc>
      </w:tr>
      <w:tr w:rsidR="00BE59AA" w:rsidRPr="00983703" w14:paraId="5D710092" w14:textId="77777777" w:rsidTr="000D243F">
        <w:trPr>
          <w:cantSplit/>
          <w:jc w:val="center"/>
        </w:trPr>
        <w:tc>
          <w:tcPr>
            <w:tcW w:w="409" w:type="dxa"/>
            <w:shd w:val="clear" w:color="auto" w:fill="auto"/>
            <w:tcMar>
              <w:top w:w="0" w:type="dxa"/>
              <w:left w:w="108" w:type="dxa"/>
              <w:bottom w:w="0" w:type="dxa"/>
              <w:right w:w="108" w:type="dxa"/>
            </w:tcMar>
            <w:hideMark/>
          </w:tcPr>
          <w:p w14:paraId="06EFF963" w14:textId="2432DF24"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5</w:t>
            </w:r>
          </w:p>
        </w:tc>
        <w:tc>
          <w:tcPr>
            <w:tcW w:w="1966" w:type="dxa"/>
            <w:shd w:val="clear" w:color="auto" w:fill="auto"/>
            <w:tcMar>
              <w:top w:w="0" w:type="dxa"/>
              <w:left w:w="108" w:type="dxa"/>
              <w:bottom w:w="0" w:type="dxa"/>
              <w:right w:w="108" w:type="dxa"/>
            </w:tcMar>
          </w:tcPr>
          <w:p w14:paraId="3F3F05DC" w14:textId="77777777" w:rsidR="00BE59AA" w:rsidRPr="008B6BB8" w:rsidRDefault="00BE59AA" w:rsidP="003C7885">
            <w:pPr>
              <w:pStyle w:val="Tabletext"/>
              <w:jc w:val="center"/>
              <w:rPr>
                <w:sz w:val="20"/>
                <w:lang w:val="es-ES_tradnl"/>
              </w:rPr>
            </w:pPr>
            <w:r w:rsidRPr="008B6BB8">
              <w:rPr>
                <w:sz w:val="20"/>
                <w:lang w:val="es-ES_tradnl"/>
              </w:rPr>
              <w:t>27 de julio de 2023</w:t>
            </w:r>
          </w:p>
        </w:tc>
        <w:tc>
          <w:tcPr>
            <w:tcW w:w="1834" w:type="dxa"/>
            <w:shd w:val="clear" w:color="auto" w:fill="auto"/>
            <w:tcMar>
              <w:top w:w="0" w:type="dxa"/>
              <w:left w:w="108" w:type="dxa"/>
              <w:bottom w:w="0" w:type="dxa"/>
              <w:right w:w="108" w:type="dxa"/>
            </w:tcMar>
          </w:tcPr>
          <w:p w14:paraId="6FD099EB" w14:textId="77777777" w:rsidR="00BE59AA" w:rsidRPr="008B6BB8" w:rsidRDefault="00BE59AA" w:rsidP="005C78DB">
            <w:pPr>
              <w:pStyle w:val="Tabletext"/>
              <w:jc w:val="center"/>
              <w:rPr>
                <w:sz w:val="20"/>
                <w:lang w:val="es-ES_tradnl"/>
              </w:rPr>
            </w:pPr>
            <w:r w:rsidRPr="008B6BB8">
              <w:rPr>
                <w:sz w:val="20"/>
                <w:lang w:val="es-ES_tradnl"/>
              </w:rPr>
              <w:t>13.00-15.00 horas (UTC+02.00)</w:t>
            </w:r>
          </w:p>
        </w:tc>
        <w:tc>
          <w:tcPr>
            <w:tcW w:w="988" w:type="dxa"/>
            <w:shd w:val="clear" w:color="auto" w:fill="auto"/>
          </w:tcPr>
          <w:p w14:paraId="30ADB3C6"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12D67FE2"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GR-PIP</w:t>
            </w:r>
          </w:p>
        </w:tc>
        <w:tc>
          <w:tcPr>
            <w:tcW w:w="6082" w:type="dxa"/>
            <w:shd w:val="clear" w:color="auto" w:fill="auto"/>
            <w:tcMar>
              <w:top w:w="0" w:type="dxa"/>
              <w:left w:w="108" w:type="dxa"/>
              <w:bottom w:w="0" w:type="dxa"/>
              <w:right w:w="108" w:type="dxa"/>
            </w:tcMar>
          </w:tcPr>
          <w:p w14:paraId="49F4C97B" w14:textId="77777777" w:rsidR="00BE59AA" w:rsidRPr="008B6BB8" w:rsidRDefault="00BE59AA" w:rsidP="00564695">
            <w:pPr>
              <w:pStyle w:val="Tabletext"/>
              <w:ind w:left="57"/>
              <w:rPr>
                <w:sz w:val="20"/>
                <w:lang w:val="es-ES_tradnl"/>
              </w:rPr>
            </w:pPr>
            <w:r w:rsidRPr="008B6BB8">
              <w:rPr>
                <w:sz w:val="20"/>
                <w:lang w:val="es-ES_tradnl"/>
              </w:rPr>
              <w:t>Examen de directores técnicos o ejecutivos</w:t>
            </w:r>
          </w:p>
        </w:tc>
        <w:tc>
          <w:tcPr>
            <w:tcW w:w="1619" w:type="dxa"/>
          </w:tcPr>
          <w:p w14:paraId="4EE25F5B" w14:textId="19618C21"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19 de julio de</w:t>
            </w:r>
            <w:r w:rsidR="00F47FAC">
              <w:rPr>
                <w:rFonts w:eastAsia="SimSun"/>
                <w:sz w:val="20"/>
                <w:lang w:val="es-ES_tradnl"/>
              </w:rPr>
              <w:t> </w:t>
            </w:r>
            <w:r w:rsidRPr="008B6BB8">
              <w:rPr>
                <w:rFonts w:eastAsia="SimSun"/>
                <w:sz w:val="20"/>
                <w:lang w:val="es-ES_tradnl"/>
              </w:rPr>
              <w:t>2023</w:t>
            </w:r>
          </w:p>
        </w:tc>
      </w:tr>
      <w:tr w:rsidR="00BE59AA" w:rsidRPr="00983703" w14:paraId="3CE0AF9F" w14:textId="77777777" w:rsidTr="000D243F">
        <w:trPr>
          <w:cantSplit/>
          <w:jc w:val="center"/>
        </w:trPr>
        <w:tc>
          <w:tcPr>
            <w:tcW w:w="409" w:type="dxa"/>
            <w:shd w:val="clear" w:color="auto" w:fill="auto"/>
            <w:tcMar>
              <w:top w:w="0" w:type="dxa"/>
              <w:left w:w="108" w:type="dxa"/>
              <w:bottom w:w="0" w:type="dxa"/>
              <w:right w:w="108" w:type="dxa"/>
            </w:tcMar>
          </w:tcPr>
          <w:p w14:paraId="532FCB10" w14:textId="5518CA1C"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6</w:t>
            </w:r>
          </w:p>
        </w:tc>
        <w:tc>
          <w:tcPr>
            <w:tcW w:w="1966" w:type="dxa"/>
            <w:shd w:val="clear" w:color="auto" w:fill="auto"/>
            <w:tcMar>
              <w:top w:w="0" w:type="dxa"/>
              <w:left w:w="108" w:type="dxa"/>
              <w:bottom w:w="0" w:type="dxa"/>
              <w:right w:w="108" w:type="dxa"/>
            </w:tcMar>
          </w:tcPr>
          <w:p w14:paraId="6B8DFF79" w14:textId="0D2AF284" w:rsidR="00BE59AA" w:rsidRPr="008B6BB8" w:rsidRDefault="00BE59AA" w:rsidP="003C7885">
            <w:pPr>
              <w:pStyle w:val="Tabletext"/>
              <w:jc w:val="center"/>
              <w:rPr>
                <w:sz w:val="20"/>
                <w:lang w:val="es-ES_tradnl"/>
              </w:rPr>
            </w:pPr>
            <w:r w:rsidRPr="008B6BB8">
              <w:rPr>
                <w:sz w:val="20"/>
                <w:lang w:val="es-ES_tradnl"/>
              </w:rPr>
              <w:t>5 de septiembre de</w:t>
            </w:r>
            <w:r w:rsidR="003C7885" w:rsidRPr="008B6BB8">
              <w:rPr>
                <w:sz w:val="20"/>
                <w:lang w:val="es-ES_tradnl"/>
              </w:rPr>
              <w:t> </w:t>
            </w:r>
            <w:r w:rsidRPr="008B6BB8">
              <w:rPr>
                <w:sz w:val="20"/>
                <w:lang w:val="es-ES_tradnl"/>
              </w:rPr>
              <w:t>2023</w:t>
            </w:r>
          </w:p>
        </w:tc>
        <w:tc>
          <w:tcPr>
            <w:tcW w:w="1834" w:type="dxa"/>
            <w:shd w:val="clear" w:color="auto" w:fill="auto"/>
            <w:tcMar>
              <w:top w:w="0" w:type="dxa"/>
              <w:left w:w="108" w:type="dxa"/>
              <w:bottom w:w="0" w:type="dxa"/>
              <w:right w:w="108" w:type="dxa"/>
            </w:tcMar>
          </w:tcPr>
          <w:p w14:paraId="418EBCEB" w14:textId="77777777" w:rsidR="00BE59AA" w:rsidRPr="008B6BB8" w:rsidRDefault="00BE59AA" w:rsidP="005C78DB">
            <w:pPr>
              <w:pStyle w:val="Tabletext"/>
              <w:jc w:val="center"/>
              <w:rPr>
                <w:sz w:val="20"/>
                <w:lang w:val="es-ES_tradnl"/>
              </w:rPr>
            </w:pPr>
            <w:r w:rsidRPr="008B6BB8">
              <w:rPr>
                <w:sz w:val="20"/>
                <w:lang w:val="es-ES_tradnl"/>
              </w:rPr>
              <w:t>13.00-15.00 horas (UTC+02.00)</w:t>
            </w:r>
          </w:p>
        </w:tc>
        <w:tc>
          <w:tcPr>
            <w:tcW w:w="988" w:type="dxa"/>
            <w:shd w:val="clear" w:color="auto" w:fill="auto"/>
          </w:tcPr>
          <w:p w14:paraId="1BF255DF"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3AD4FEF7"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GR-PIP</w:t>
            </w:r>
          </w:p>
        </w:tc>
        <w:tc>
          <w:tcPr>
            <w:tcW w:w="6082" w:type="dxa"/>
            <w:shd w:val="clear" w:color="auto" w:fill="auto"/>
            <w:tcMar>
              <w:top w:w="0" w:type="dxa"/>
              <w:left w:w="108" w:type="dxa"/>
              <w:bottom w:w="0" w:type="dxa"/>
              <w:right w:w="108" w:type="dxa"/>
            </w:tcMar>
          </w:tcPr>
          <w:p w14:paraId="184610FD" w14:textId="77777777" w:rsidR="00BE59AA" w:rsidRPr="008B6BB8" w:rsidRDefault="00BE59AA" w:rsidP="00564695">
            <w:pPr>
              <w:pStyle w:val="Tabletext"/>
              <w:ind w:left="57"/>
              <w:rPr>
                <w:sz w:val="20"/>
                <w:lang w:val="es-ES_tradnl"/>
              </w:rPr>
            </w:pPr>
            <w:r w:rsidRPr="008B6BB8">
              <w:rPr>
                <w:sz w:val="20"/>
                <w:lang w:val="es-ES_tradnl"/>
              </w:rPr>
              <w:t>Preparativos para el taller de participación del sector industrial</w:t>
            </w:r>
          </w:p>
        </w:tc>
        <w:tc>
          <w:tcPr>
            <w:tcW w:w="1619" w:type="dxa"/>
          </w:tcPr>
          <w:p w14:paraId="530689C8" w14:textId="11B822DD"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28 de agosto de</w:t>
            </w:r>
            <w:r w:rsidR="00F47FAC">
              <w:rPr>
                <w:rFonts w:eastAsia="SimSun"/>
                <w:sz w:val="20"/>
                <w:lang w:val="es-ES_tradnl"/>
              </w:rPr>
              <w:t> </w:t>
            </w:r>
            <w:r w:rsidRPr="008B6BB8">
              <w:rPr>
                <w:rFonts w:eastAsia="SimSun"/>
                <w:sz w:val="20"/>
                <w:lang w:val="es-ES_tradnl"/>
              </w:rPr>
              <w:t>2023</w:t>
            </w:r>
          </w:p>
        </w:tc>
      </w:tr>
      <w:tr w:rsidR="00BE59AA" w:rsidRPr="00983703" w14:paraId="6B698E66" w14:textId="77777777" w:rsidTr="000D243F">
        <w:trPr>
          <w:cantSplit/>
          <w:jc w:val="center"/>
        </w:trPr>
        <w:tc>
          <w:tcPr>
            <w:tcW w:w="409" w:type="dxa"/>
            <w:shd w:val="clear" w:color="auto" w:fill="auto"/>
            <w:tcMar>
              <w:top w:w="0" w:type="dxa"/>
              <w:left w:w="108" w:type="dxa"/>
              <w:bottom w:w="0" w:type="dxa"/>
              <w:right w:w="108" w:type="dxa"/>
            </w:tcMar>
          </w:tcPr>
          <w:p w14:paraId="12BE4B2B" w14:textId="32AFCC79"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7</w:t>
            </w:r>
          </w:p>
        </w:tc>
        <w:tc>
          <w:tcPr>
            <w:tcW w:w="1966" w:type="dxa"/>
            <w:shd w:val="clear" w:color="auto" w:fill="auto"/>
            <w:tcMar>
              <w:top w:w="0" w:type="dxa"/>
              <w:left w:w="108" w:type="dxa"/>
              <w:bottom w:w="0" w:type="dxa"/>
              <w:right w:w="108" w:type="dxa"/>
            </w:tcMar>
          </w:tcPr>
          <w:p w14:paraId="29567362" w14:textId="77777777" w:rsidR="00BE59AA" w:rsidRPr="008B6BB8" w:rsidRDefault="00BE59AA" w:rsidP="003C7885">
            <w:pPr>
              <w:pStyle w:val="Tabletext"/>
              <w:jc w:val="center"/>
              <w:rPr>
                <w:sz w:val="20"/>
                <w:lang w:val="es-ES_tradnl"/>
              </w:rPr>
            </w:pPr>
            <w:r w:rsidRPr="008B6BB8">
              <w:rPr>
                <w:rFonts w:eastAsia="Batang"/>
                <w:sz w:val="20"/>
                <w:lang w:val="es-ES_tradnl"/>
              </w:rPr>
              <w:t>12 de septiembre de 2023</w:t>
            </w:r>
          </w:p>
        </w:tc>
        <w:tc>
          <w:tcPr>
            <w:tcW w:w="1834" w:type="dxa"/>
            <w:shd w:val="clear" w:color="auto" w:fill="auto"/>
            <w:tcMar>
              <w:top w:w="0" w:type="dxa"/>
              <w:left w:w="108" w:type="dxa"/>
              <w:bottom w:w="0" w:type="dxa"/>
              <w:right w:w="108" w:type="dxa"/>
            </w:tcMar>
          </w:tcPr>
          <w:p w14:paraId="74954A5E" w14:textId="77777777" w:rsidR="00BE59AA" w:rsidRPr="008B6BB8" w:rsidRDefault="00BE59AA" w:rsidP="005C78DB">
            <w:pPr>
              <w:pStyle w:val="Tabletext"/>
              <w:jc w:val="center"/>
              <w:rPr>
                <w:sz w:val="20"/>
                <w:lang w:val="es-ES_tradnl"/>
              </w:rPr>
            </w:pPr>
            <w:r w:rsidRPr="008B6BB8">
              <w:rPr>
                <w:rFonts w:eastAsia="SimSun"/>
                <w:sz w:val="20"/>
                <w:lang w:val="es-ES_tradnl"/>
              </w:rPr>
              <w:t xml:space="preserve">13.00-15.00 </w:t>
            </w:r>
            <w:r w:rsidRPr="008B6BB8">
              <w:rPr>
                <w:sz w:val="20"/>
                <w:lang w:val="es-ES_tradnl"/>
              </w:rPr>
              <w:t>horas (UTC+02.00)</w:t>
            </w:r>
          </w:p>
        </w:tc>
        <w:tc>
          <w:tcPr>
            <w:tcW w:w="988" w:type="dxa"/>
            <w:shd w:val="clear" w:color="auto" w:fill="auto"/>
          </w:tcPr>
          <w:p w14:paraId="1E52FB33"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707BA186"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GR-PIP</w:t>
            </w:r>
          </w:p>
        </w:tc>
        <w:tc>
          <w:tcPr>
            <w:tcW w:w="6082" w:type="dxa"/>
            <w:shd w:val="clear" w:color="auto" w:fill="auto"/>
            <w:tcMar>
              <w:top w:w="0" w:type="dxa"/>
              <w:left w:w="108" w:type="dxa"/>
              <w:bottom w:w="0" w:type="dxa"/>
              <w:right w:w="108" w:type="dxa"/>
            </w:tcMar>
          </w:tcPr>
          <w:p w14:paraId="51F09541" w14:textId="77777777" w:rsidR="00BE59AA" w:rsidRPr="008B6BB8" w:rsidRDefault="00BE59AA" w:rsidP="00564695">
            <w:pPr>
              <w:pStyle w:val="Tabletext"/>
              <w:ind w:left="57"/>
              <w:rPr>
                <w:sz w:val="20"/>
                <w:lang w:val="es-ES_tradnl"/>
              </w:rPr>
            </w:pPr>
            <w:r w:rsidRPr="008B6BB8">
              <w:rPr>
                <w:rFonts w:eastAsia="SimSun"/>
                <w:sz w:val="20"/>
                <w:lang w:val="es-ES_tradnl"/>
              </w:rPr>
              <w:t xml:space="preserve">Avances en </w:t>
            </w:r>
            <w:r w:rsidRPr="008B6BB8">
              <w:rPr>
                <w:sz w:val="20"/>
                <w:lang w:val="es-ES_tradnl"/>
              </w:rPr>
              <w:t>el</w:t>
            </w:r>
            <w:r w:rsidRPr="008B6BB8">
              <w:rPr>
                <w:rFonts w:eastAsia="SimSun"/>
                <w:sz w:val="20"/>
                <w:lang w:val="es-ES_tradnl"/>
              </w:rPr>
              <w:t xml:space="preserve"> proyecto de nuevo Suplemento </w:t>
            </w:r>
            <w:proofErr w:type="spellStart"/>
            <w:proofErr w:type="gramStart"/>
            <w:r w:rsidRPr="008B6BB8">
              <w:rPr>
                <w:rFonts w:eastAsia="SimSun"/>
                <w:sz w:val="20"/>
                <w:lang w:val="es-ES_tradnl"/>
              </w:rPr>
              <w:t>A.SupRA</w:t>
            </w:r>
            <w:proofErr w:type="spellEnd"/>
            <w:proofErr w:type="gramEnd"/>
            <w:r w:rsidRPr="008B6BB8">
              <w:rPr>
                <w:rFonts w:eastAsia="SimSun"/>
                <w:sz w:val="20"/>
                <w:lang w:val="es-ES_tradnl"/>
              </w:rPr>
              <w:t xml:space="preserve"> y posibles medidas en relación con las Recomendaciones UIT-T A.4 y A.6</w:t>
            </w:r>
          </w:p>
        </w:tc>
        <w:tc>
          <w:tcPr>
            <w:tcW w:w="1619" w:type="dxa"/>
          </w:tcPr>
          <w:p w14:paraId="159AB6F5" w14:textId="77777777" w:rsidR="00BE59AA" w:rsidRPr="008B6BB8" w:rsidRDefault="00BE59AA" w:rsidP="00564695">
            <w:pPr>
              <w:pStyle w:val="Tabletext"/>
              <w:ind w:left="113"/>
              <w:jc w:val="center"/>
              <w:rPr>
                <w:rFonts w:eastAsia="SimSun"/>
                <w:sz w:val="20"/>
                <w:lang w:val="es-ES_tradnl"/>
              </w:rPr>
            </w:pPr>
            <w:r w:rsidRPr="008B6BB8">
              <w:rPr>
                <w:rFonts w:eastAsia="SimSun"/>
                <w:sz w:val="20"/>
                <w:lang w:val="es-ES_tradnl"/>
              </w:rPr>
              <w:t>2 de septiembre de 2023</w:t>
            </w:r>
          </w:p>
        </w:tc>
      </w:tr>
      <w:tr w:rsidR="00BE59AA" w:rsidRPr="00983703" w14:paraId="5D6B50A9" w14:textId="77777777" w:rsidTr="000D243F">
        <w:trPr>
          <w:cantSplit/>
          <w:trHeight w:val="300"/>
          <w:jc w:val="center"/>
        </w:trPr>
        <w:tc>
          <w:tcPr>
            <w:tcW w:w="409" w:type="dxa"/>
            <w:shd w:val="clear" w:color="auto" w:fill="auto"/>
            <w:tcMar>
              <w:top w:w="0" w:type="dxa"/>
              <w:left w:w="108" w:type="dxa"/>
              <w:bottom w:w="0" w:type="dxa"/>
              <w:right w:w="108" w:type="dxa"/>
            </w:tcMar>
          </w:tcPr>
          <w:p w14:paraId="4B88BE23" w14:textId="17A8C49D"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8</w:t>
            </w:r>
          </w:p>
        </w:tc>
        <w:tc>
          <w:tcPr>
            <w:tcW w:w="1966" w:type="dxa"/>
            <w:shd w:val="clear" w:color="auto" w:fill="auto"/>
            <w:tcMar>
              <w:top w:w="0" w:type="dxa"/>
              <w:left w:w="108" w:type="dxa"/>
              <w:bottom w:w="0" w:type="dxa"/>
              <w:right w:w="108" w:type="dxa"/>
            </w:tcMar>
          </w:tcPr>
          <w:p w14:paraId="57F331E2" w14:textId="77777777" w:rsidR="00BE59AA" w:rsidRPr="008B6BB8" w:rsidRDefault="00BE59AA" w:rsidP="003C7885">
            <w:pPr>
              <w:pStyle w:val="Tabletext"/>
              <w:jc w:val="center"/>
              <w:rPr>
                <w:sz w:val="20"/>
                <w:lang w:val="es-ES_tradnl"/>
              </w:rPr>
            </w:pPr>
            <w:r w:rsidRPr="008B6BB8">
              <w:rPr>
                <w:sz w:val="20"/>
                <w:lang w:val="es-ES_tradnl"/>
              </w:rPr>
              <w:t>13 de septiembre de 2023</w:t>
            </w:r>
          </w:p>
        </w:tc>
        <w:tc>
          <w:tcPr>
            <w:tcW w:w="1834" w:type="dxa"/>
            <w:shd w:val="clear" w:color="auto" w:fill="auto"/>
            <w:tcMar>
              <w:top w:w="0" w:type="dxa"/>
              <w:left w:w="108" w:type="dxa"/>
              <w:bottom w:w="0" w:type="dxa"/>
              <w:right w:w="108" w:type="dxa"/>
            </w:tcMar>
          </w:tcPr>
          <w:p w14:paraId="27CD9DE5" w14:textId="5823078C" w:rsidR="00BE59AA" w:rsidRPr="008B6BB8" w:rsidRDefault="00BE59AA" w:rsidP="005C78DB">
            <w:pPr>
              <w:pStyle w:val="Tabletext"/>
              <w:jc w:val="center"/>
              <w:rPr>
                <w:sz w:val="20"/>
                <w:lang w:val="es-ES_tradnl"/>
              </w:rPr>
            </w:pPr>
            <w:r w:rsidRPr="008B6BB8">
              <w:rPr>
                <w:sz w:val="20"/>
                <w:lang w:val="es-ES_tradnl"/>
              </w:rPr>
              <w:t>12</w:t>
            </w:r>
            <w:r w:rsidR="003C7885" w:rsidRPr="008B6BB8">
              <w:rPr>
                <w:sz w:val="20"/>
                <w:lang w:val="es-ES_tradnl"/>
              </w:rPr>
              <w:t>.</w:t>
            </w:r>
            <w:r w:rsidRPr="008B6BB8">
              <w:rPr>
                <w:sz w:val="20"/>
                <w:lang w:val="es-ES_tradnl"/>
              </w:rPr>
              <w:t>00-14</w:t>
            </w:r>
            <w:r w:rsidR="003C7885" w:rsidRPr="008B6BB8">
              <w:rPr>
                <w:sz w:val="20"/>
                <w:lang w:val="es-ES_tradnl"/>
              </w:rPr>
              <w:t>.</w:t>
            </w:r>
            <w:r w:rsidRPr="008B6BB8">
              <w:rPr>
                <w:sz w:val="20"/>
                <w:lang w:val="es-ES_tradnl"/>
              </w:rPr>
              <w:t>00 horas</w:t>
            </w:r>
          </w:p>
          <w:p w14:paraId="162F1829" w14:textId="7E092FC1" w:rsidR="00BE59AA" w:rsidRPr="008B6BB8" w:rsidRDefault="00BE59AA" w:rsidP="005C78DB">
            <w:pPr>
              <w:pStyle w:val="Tabletext"/>
              <w:jc w:val="center"/>
              <w:rPr>
                <w:sz w:val="20"/>
                <w:lang w:val="es-ES_tradnl"/>
              </w:rPr>
            </w:pPr>
            <w:r w:rsidRPr="008B6BB8">
              <w:rPr>
                <w:sz w:val="20"/>
                <w:lang w:val="es-ES_tradnl"/>
              </w:rPr>
              <w:t>(UTC+02</w:t>
            </w:r>
            <w:r w:rsidR="005C78DB" w:rsidRPr="008B6BB8">
              <w:rPr>
                <w:sz w:val="20"/>
                <w:lang w:val="es-ES_tradnl"/>
              </w:rPr>
              <w:t>.</w:t>
            </w:r>
            <w:r w:rsidRPr="008B6BB8">
              <w:rPr>
                <w:sz w:val="20"/>
                <w:lang w:val="es-ES_tradnl"/>
              </w:rPr>
              <w:t>00)</w:t>
            </w:r>
          </w:p>
        </w:tc>
        <w:tc>
          <w:tcPr>
            <w:tcW w:w="988" w:type="dxa"/>
            <w:shd w:val="clear" w:color="auto" w:fill="auto"/>
          </w:tcPr>
          <w:p w14:paraId="27BE98B0"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55F46FD4" w14:textId="77777777" w:rsidR="00BE59AA" w:rsidRPr="008B6BB8" w:rsidRDefault="00BE59AA" w:rsidP="00564695">
            <w:pPr>
              <w:pStyle w:val="Tabletext"/>
              <w:jc w:val="center"/>
              <w:rPr>
                <w:sz w:val="20"/>
                <w:lang w:val="es-ES_tradnl"/>
              </w:rPr>
            </w:pPr>
            <w:r w:rsidRPr="008B6BB8">
              <w:rPr>
                <w:sz w:val="20"/>
                <w:lang w:val="es-ES_tradnl"/>
              </w:rPr>
              <w:t>GR-WPR</w:t>
            </w:r>
          </w:p>
        </w:tc>
        <w:tc>
          <w:tcPr>
            <w:tcW w:w="6082" w:type="dxa"/>
            <w:shd w:val="clear" w:color="auto" w:fill="auto"/>
            <w:tcMar>
              <w:top w:w="0" w:type="dxa"/>
              <w:left w:w="108" w:type="dxa"/>
              <w:bottom w:w="0" w:type="dxa"/>
              <w:right w:w="108" w:type="dxa"/>
            </w:tcMar>
          </w:tcPr>
          <w:p w14:paraId="1D72F454" w14:textId="77777777" w:rsidR="00BE59AA" w:rsidRPr="008B6BB8" w:rsidRDefault="00BE59AA" w:rsidP="000D243F">
            <w:pPr>
              <w:pStyle w:val="Tabletext"/>
              <w:rPr>
                <w:sz w:val="20"/>
                <w:lang w:val="es-ES_tradnl"/>
              </w:rPr>
            </w:pPr>
            <w:r w:rsidRPr="008B6BB8">
              <w:rPr>
                <w:sz w:val="20"/>
                <w:lang w:val="es-ES_tradnl"/>
              </w:rPr>
              <w:t>Revisión del texto de referencia (TD214R1) sobre:</w:t>
            </w:r>
          </w:p>
          <w:p w14:paraId="5E140BF6" w14:textId="2089461A"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rPr>
              <w:t>•</w:t>
            </w:r>
            <w:r w:rsidRPr="008B6BB8">
              <w:rPr>
                <w:sz w:val="20"/>
                <w:lang w:val="es-ES_tradnl"/>
              </w:rPr>
              <w:tab/>
            </w:r>
            <w:r w:rsidR="00BE59AA" w:rsidRPr="008B6BB8">
              <w:rPr>
                <w:sz w:val="20"/>
                <w:lang w:val="es-ES_tradnl"/>
              </w:rPr>
              <w:t>definición de IFR</w:t>
            </w:r>
          </w:p>
          <w:p w14:paraId="421BC737" w14:textId="34A440FC"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eastAsia="en-GB"/>
              </w:rPr>
              <w:t>•</w:t>
            </w:r>
            <w:r w:rsidRPr="008B6BB8">
              <w:rPr>
                <w:sz w:val="20"/>
                <w:lang w:val="es-ES_tradnl" w:eastAsia="en-GB"/>
              </w:rPr>
              <w:tab/>
            </w:r>
            <w:r w:rsidR="00BE59AA" w:rsidRPr="008B6BB8">
              <w:rPr>
                <w:sz w:val="20"/>
                <w:lang w:val="es-ES_tradnl" w:eastAsia="en-GB"/>
              </w:rPr>
              <w:t>prioridades</w:t>
            </w:r>
            <w:r w:rsidR="00BE59AA" w:rsidRPr="008B6BB8">
              <w:rPr>
                <w:sz w:val="20"/>
                <w:lang w:val="es-ES_tradnl"/>
              </w:rPr>
              <w:t xml:space="preserve"> relativas de los IFR</w:t>
            </w:r>
          </w:p>
          <w:p w14:paraId="3EB66392" w14:textId="2A61573C"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eastAsia="en-GB"/>
              </w:rPr>
              <w:t>•</w:t>
            </w:r>
            <w:r w:rsidRPr="008B6BB8">
              <w:rPr>
                <w:sz w:val="20"/>
                <w:lang w:val="es-ES_tradnl" w:eastAsia="en-GB"/>
              </w:rPr>
              <w:tab/>
            </w:r>
            <w:r w:rsidR="00BE59AA" w:rsidRPr="008B6BB8">
              <w:rPr>
                <w:sz w:val="20"/>
                <w:lang w:val="es-ES_tradnl" w:eastAsia="en-GB"/>
              </w:rPr>
              <w:t>posibles</w:t>
            </w:r>
            <w:r w:rsidR="00BE59AA" w:rsidRPr="008B6BB8">
              <w:rPr>
                <w:sz w:val="20"/>
                <w:lang w:val="es-ES_tradnl"/>
              </w:rPr>
              <w:t xml:space="preserve"> nuevas estructuras</w:t>
            </w:r>
          </w:p>
        </w:tc>
        <w:tc>
          <w:tcPr>
            <w:tcW w:w="1619" w:type="dxa"/>
          </w:tcPr>
          <w:p w14:paraId="7616A2AA" w14:textId="51FD2671" w:rsidR="00BE59AA" w:rsidRPr="008B6BB8" w:rsidRDefault="00BE59AA" w:rsidP="00564695">
            <w:pPr>
              <w:pStyle w:val="Tabletext"/>
              <w:jc w:val="center"/>
              <w:rPr>
                <w:sz w:val="20"/>
                <w:lang w:val="es-ES_tradnl"/>
              </w:rPr>
            </w:pPr>
            <w:r w:rsidRPr="008B6BB8">
              <w:rPr>
                <w:sz w:val="20"/>
                <w:lang w:val="es-ES_tradnl"/>
              </w:rPr>
              <w:t>6 de septiembre de</w:t>
            </w:r>
            <w:r w:rsidR="00F47FAC">
              <w:rPr>
                <w:sz w:val="20"/>
                <w:lang w:val="es-ES_tradnl"/>
              </w:rPr>
              <w:t> </w:t>
            </w:r>
            <w:r w:rsidRPr="008B6BB8">
              <w:rPr>
                <w:sz w:val="20"/>
                <w:lang w:val="es-ES_tradnl"/>
              </w:rPr>
              <w:t>2023</w:t>
            </w:r>
          </w:p>
        </w:tc>
      </w:tr>
      <w:tr w:rsidR="00BE59AA" w:rsidRPr="00983703" w14:paraId="52133FA8" w14:textId="77777777" w:rsidTr="000D243F">
        <w:trPr>
          <w:cantSplit/>
          <w:trHeight w:val="300"/>
          <w:jc w:val="center"/>
        </w:trPr>
        <w:tc>
          <w:tcPr>
            <w:tcW w:w="409" w:type="dxa"/>
            <w:shd w:val="clear" w:color="auto" w:fill="auto"/>
            <w:tcMar>
              <w:top w:w="0" w:type="dxa"/>
              <w:left w:w="108" w:type="dxa"/>
              <w:bottom w:w="0" w:type="dxa"/>
              <w:right w:w="108" w:type="dxa"/>
            </w:tcMar>
          </w:tcPr>
          <w:p w14:paraId="79025BCD" w14:textId="2646CAB1"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lastRenderedPageBreak/>
              <w:t>9</w:t>
            </w:r>
          </w:p>
        </w:tc>
        <w:tc>
          <w:tcPr>
            <w:tcW w:w="1966" w:type="dxa"/>
            <w:shd w:val="clear" w:color="auto" w:fill="auto"/>
            <w:tcMar>
              <w:top w:w="0" w:type="dxa"/>
              <w:left w:w="108" w:type="dxa"/>
              <w:bottom w:w="0" w:type="dxa"/>
              <w:right w:w="108" w:type="dxa"/>
            </w:tcMar>
          </w:tcPr>
          <w:p w14:paraId="6A88C3B4" w14:textId="77777777" w:rsidR="00BE59AA" w:rsidRPr="008B6BB8" w:rsidRDefault="00BE59AA" w:rsidP="003C7885">
            <w:pPr>
              <w:pStyle w:val="Tabletext"/>
              <w:jc w:val="center"/>
              <w:rPr>
                <w:sz w:val="20"/>
                <w:lang w:val="es-ES_tradnl"/>
              </w:rPr>
            </w:pPr>
            <w:r w:rsidRPr="008B6BB8">
              <w:rPr>
                <w:sz w:val="20"/>
                <w:lang w:val="es-ES_tradnl"/>
              </w:rPr>
              <w:t>21 de septiembre de 2023</w:t>
            </w:r>
          </w:p>
        </w:tc>
        <w:tc>
          <w:tcPr>
            <w:tcW w:w="1834" w:type="dxa"/>
            <w:shd w:val="clear" w:color="auto" w:fill="auto"/>
            <w:tcMar>
              <w:top w:w="0" w:type="dxa"/>
              <w:left w:w="108" w:type="dxa"/>
              <w:bottom w:w="0" w:type="dxa"/>
              <w:right w:w="108" w:type="dxa"/>
            </w:tcMar>
          </w:tcPr>
          <w:p w14:paraId="1BC8B087" w14:textId="77777777" w:rsidR="00BE59AA" w:rsidRPr="008B6BB8" w:rsidRDefault="00BE59AA" w:rsidP="005C78DB">
            <w:pPr>
              <w:pStyle w:val="Tabletext"/>
              <w:jc w:val="center"/>
              <w:rPr>
                <w:sz w:val="20"/>
                <w:lang w:val="es-ES_tradnl"/>
              </w:rPr>
            </w:pPr>
            <w:r w:rsidRPr="008B6BB8">
              <w:rPr>
                <w:sz w:val="20"/>
                <w:lang w:val="es-ES_tradnl"/>
              </w:rPr>
              <w:t>13.00-15.00 horas (UTC+02.00)</w:t>
            </w:r>
          </w:p>
        </w:tc>
        <w:tc>
          <w:tcPr>
            <w:tcW w:w="988" w:type="dxa"/>
            <w:shd w:val="clear" w:color="auto" w:fill="auto"/>
          </w:tcPr>
          <w:p w14:paraId="7D28E03D"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242F8304" w14:textId="77777777" w:rsidR="00BE59AA" w:rsidRPr="008B6BB8" w:rsidRDefault="00BE59AA" w:rsidP="00564695">
            <w:pPr>
              <w:pStyle w:val="Tabletext"/>
              <w:jc w:val="center"/>
              <w:rPr>
                <w:sz w:val="20"/>
                <w:lang w:val="es-ES_tradnl"/>
              </w:rPr>
            </w:pPr>
            <w:r w:rsidRPr="008B6BB8">
              <w:rPr>
                <w:sz w:val="20"/>
                <w:lang w:val="es-ES_tradnl"/>
              </w:rPr>
              <w:t>GR-AMNT</w:t>
            </w:r>
          </w:p>
        </w:tc>
        <w:tc>
          <w:tcPr>
            <w:tcW w:w="6082" w:type="dxa"/>
            <w:shd w:val="clear" w:color="auto" w:fill="auto"/>
            <w:tcMar>
              <w:top w:w="0" w:type="dxa"/>
              <w:left w:w="108" w:type="dxa"/>
              <w:bottom w:w="0" w:type="dxa"/>
              <w:right w:w="108" w:type="dxa"/>
            </w:tcMar>
          </w:tcPr>
          <w:p w14:paraId="4DC1F7DC" w14:textId="77777777" w:rsidR="00BE59AA" w:rsidRPr="008B6BB8" w:rsidRDefault="00BE59AA" w:rsidP="000D243F">
            <w:pPr>
              <w:pStyle w:val="Tabletext"/>
              <w:rPr>
                <w:sz w:val="20"/>
                <w:lang w:val="es-ES_tradnl"/>
              </w:rPr>
            </w:pPr>
            <w:r w:rsidRPr="008B6BB8">
              <w:rPr>
                <w:sz w:val="20"/>
                <w:lang w:val="es-ES_tradnl"/>
              </w:rPr>
              <w:t xml:space="preserve">Avances en el proyecto de nuevos documentos </w:t>
            </w:r>
            <w:proofErr w:type="spellStart"/>
            <w:proofErr w:type="gramStart"/>
            <w:r w:rsidRPr="008B6BB8">
              <w:rPr>
                <w:sz w:val="20"/>
                <w:lang w:val="es-ES_tradnl"/>
              </w:rPr>
              <w:t>A.SupWTSAGL</w:t>
            </w:r>
            <w:proofErr w:type="spellEnd"/>
            <w:proofErr w:type="gramEnd"/>
            <w:r w:rsidRPr="008B6BB8">
              <w:rPr>
                <w:sz w:val="20"/>
                <w:lang w:val="es-ES_tradnl"/>
              </w:rPr>
              <w:t xml:space="preserve"> y A.BN; revisión de propuestas sobre aplicación específica de la racionalización de Resoluciones y opinión de la AMNT.</w:t>
            </w:r>
          </w:p>
        </w:tc>
        <w:tc>
          <w:tcPr>
            <w:tcW w:w="1619" w:type="dxa"/>
          </w:tcPr>
          <w:p w14:paraId="254E90BC" w14:textId="77777777" w:rsidR="00BE59AA" w:rsidRPr="008B6BB8" w:rsidRDefault="00BE59AA" w:rsidP="00564695">
            <w:pPr>
              <w:pStyle w:val="Tabletext"/>
              <w:jc w:val="center"/>
              <w:rPr>
                <w:sz w:val="20"/>
                <w:lang w:val="es-ES_tradnl"/>
              </w:rPr>
            </w:pPr>
            <w:r w:rsidRPr="008B6BB8">
              <w:rPr>
                <w:sz w:val="20"/>
                <w:lang w:val="es-ES_tradnl"/>
              </w:rPr>
              <w:t>13 de septiembre de 2023</w:t>
            </w:r>
          </w:p>
        </w:tc>
      </w:tr>
      <w:tr w:rsidR="00BE59AA" w:rsidRPr="00983703" w14:paraId="1AF08A80" w14:textId="77777777" w:rsidTr="000D243F">
        <w:trPr>
          <w:cantSplit/>
          <w:trHeight w:val="1130"/>
          <w:jc w:val="center"/>
        </w:trPr>
        <w:tc>
          <w:tcPr>
            <w:tcW w:w="409" w:type="dxa"/>
            <w:shd w:val="clear" w:color="auto" w:fill="auto"/>
            <w:tcMar>
              <w:top w:w="0" w:type="dxa"/>
              <w:left w:w="108" w:type="dxa"/>
              <w:bottom w:w="0" w:type="dxa"/>
              <w:right w:w="108" w:type="dxa"/>
            </w:tcMar>
          </w:tcPr>
          <w:p w14:paraId="477DF52F" w14:textId="10275A43"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10</w:t>
            </w:r>
          </w:p>
        </w:tc>
        <w:tc>
          <w:tcPr>
            <w:tcW w:w="1966" w:type="dxa"/>
            <w:shd w:val="clear" w:color="auto" w:fill="auto"/>
            <w:tcMar>
              <w:top w:w="0" w:type="dxa"/>
              <w:left w:w="108" w:type="dxa"/>
              <w:bottom w:w="0" w:type="dxa"/>
              <w:right w:w="108" w:type="dxa"/>
            </w:tcMar>
          </w:tcPr>
          <w:p w14:paraId="4633EE28" w14:textId="77777777" w:rsidR="00BE59AA" w:rsidRPr="008B6BB8" w:rsidRDefault="00BE59AA" w:rsidP="003C7885">
            <w:pPr>
              <w:pStyle w:val="Tabletext"/>
              <w:jc w:val="center"/>
              <w:rPr>
                <w:sz w:val="20"/>
                <w:lang w:val="es-ES_tradnl"/>
              </w:rPr>
            </w:pPr>
            <w:r w:rsidRPr="008B6BB8">
              <w:rPr>
                <w:sz w:val="20"/>
                <w:lang w:val="es-ES_tradnl"/>
              </w:rPr>
              <w:t>27 de septiembre de 2023</w:t>
            </w:r>
          </w:p>
        </w:tc>
        <w:tc>
          <w:tcPr>
            <w:tcW w:w="1834" w:type="dxa"/>
            <w:shd w:val="clear" w:color="auto" w:fill="auto"/>
            <w:tcMar>
              <w:top w:w="0" w:type="dxa"/>
              <w:left w:w="108" w:type="dxa"/>
              <w:bottom w:w="0" w:type="dxa"/>
              <w:right w:w="108" w:type="dxa"/>
            </w:tcMar>
          </w:tcPr>
          <w:p w14:paraId="51444574"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43295393"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2377FF7A" w14:textId="77777777" w:rsidR="00BE59AA" w:rsidRPr="008B6BB8" w:rsidRDefault="00BE59AA" w:rsidP="00564695">
            <w:pPr>
              <w:pStyle w:val="Tabletext"/>
              <w:jc w:val="center"/>
              <w:rPr>
                <w:sz w:val="20"/>
                <w:lang w:val="es-ES_tradnl"/>
              </w:rPr>
            </w:pPr>
            <w:r w:rsidRPr="008B6BB8">
              <w:rPr>
                <w:sz w:val="20"/>
                <w:lang w:val="es-ES_tradnl"/>
              </w:rPr>
              <w:t>GR-TD</w:t>
            </w:r>
          </w:p>
        </w:tc>
        <w:tc>
          <w:tcPr>
            <w:tcW w:w="6082" w:type="dxa"/>
            <w:shd w:val="clear" w:color="auto" w:fill="auto"/>
            <w:tcMar>
              <w:top w:w="0" w:type="dxa"/>
              <w:left w:w="108" w:type="dxa"/>
              <w:bottom w:w="0" w:type="dxa"/>
              <w:right w:w="108" w:type="dxa"/>
            </w:tcMar>
          </w:tcPr>
          <w:p w14:paraId="4D90B353" w14:textId="0469B87D"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Avances en el análisis de deficiencias de las actividades y los estudios sobre transformación digital;</w:t>
            </w:r>
          </w:p>
          <w:p w14:paraId="433C6659" w14:textId="0567E4E9"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Examen de la definición, los conceptos, las arquitecturas de sistema, los casos de utilización, las tecnologías subyacentes fundamentales, la interoperabilidad y el sistema de transformación digital sostenible, entre otras cuestiones;</w:t>
            </w:r>
          </w:p>
          <w:p w14:paraId="7F2F2D15" w14:textId="470BA8C9" w:rsidR="00BE59AA" w:rsidRPr="008B6BB8" w:rsidRDefault="004724A4" w:rsidP="004724A4">
            <w:pPr>
              <w:pStyle w:val="enumlev1"/>
              <w:tabs>
                <w:tab w:val="clear" w:pos="794"/>
                <w:tab w:val="left" w:pos="247"/>
              </w:tabs>
              <w:ind w:left="247" w:hanging="247"/>
              <w:rPr>
                <w:rFonts w:ascii="Calibri" w:hAnsi="Calibri" w:cs="Calibri"/>
                <w:sz w:val="20"/>
                <w:lang w:val="es-ES_tradnl" w:eastAsia="en-GB"/>
              </w:rPr>
            </w:pPr>
            <w:r w:rsidRPr="008B6BB8">
              <w:rPr>
                <w:sz w:val="20"/>
                <w:lang w:val="es-ES_tradnl" w:eastAsia="en-GB"/>
              </w:rPr>
              <w:t>•</w:t>
            </w:r>
            <w:r w:rsidRPr="008B6BB8">
              <w:rPr>
                <w:sz w:val="20"/>
                <w:lang w:val="es-ES_tradnl" w:eastAsia="en-GB"/>
              </w:rPr>
              <w:tab/>
            </w:r>
            <w:r w:rsidR="00BE59AA" w:rsidRPr="008B6BB8">
              <w:rPr>
                <w:rFonts w:eastAsiaTheme="minorHAnsi"/>
                <w:sz w:val="20"/>
                <w:lang w:val="es-ES_tradnl" w:eastAsia="en-GB"/>
              </w:rPr>
              <w:t>Avances en el proyecto de nueva Resolución de la AMNT sobre transformación digital.</w:t>
            </w:r>
          </w:p>
        </w:tc>
        <w:tc>
          <w:tcPr>
            <w:tcW w:w="1619" w:type="dxa"/>
          </w:tcPr>
          <w:p w14:paraId="4FE18D24" w14:textId="77777777" w:rsidR="00BE59AA" w:rsidRPr="008B6BB8" w:rsidRDefault="00BE59AA" w:rsidP="00564695">
            <w:pPr>
              <w:pStyle w:val="Tabletext"/>
              <w:jc w:val="center"/>
              <w:rPr>
                <w:sz w:val="20"/>
                <w:lang w:val="es-ES_tradnl"/>
              </w:rPr>
            </w:pPr>
            <w:r w:rsidRPr="008B6BB8">
              <w:rPr>
                <w:sz w:val="20"/>
                <w:lang w:val="es-ES_tradnl"/>
              </w:rPr>
              <w:t>19 de septiembre de 2023</w:t>
            </w:r>
          </w:p>
        </w:tc>
      </w:tr>
      <w:tr w:rsidR="00BE59AA" w:rsidRPr="00983703" w14:paraId="04261515" w14:textId="77777777" w:rsidTr="000D243F">
        <w:trPr>
          <w:cantSplit/>
          <w:jc w:val="center"/>
        </w:trPr>
        <w:tc>
          <w:tcPr>
            <w:tcW w:w="409" w:type="dxa"/>
            <w:shd w:val="clear" w:color="auto" w:fill="auto"/>
            <w:tcMar>
              <w:top w:w="0" w:type="dxa"/>
              <w:left w:w="108" w:type="dxa"/>
              <w:bottom w:w="0" w:type="dxa"/>
              <w:right w:w="108" w:type="dxa"/>
            </w:tcMar>
            <w:hideMark/>
          </w:tcPr>
          <w:p w14:paraId="18FE23F9" w14:textId="52FDBA1D"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11</w:t>
            </w:r>
          </w:p>
        </w:tc>
        <w:tc>
          <w:tcPr>
            <w:tcW w:w="1966" w:type="dxa"/>
            <w:shd w:val="clear" w:color="auto" w:fill="auto"/>
            <w:tcMar>
              <w:top w:w="0" w:type="dxa"/>
              <w:left w:w="108" w:type="dxa"/>
              <w:bottom w:w="0" w:type="dxa"/>
              <w:right w:w="108" w:type="dxa"/>
            </w:tcMar>
          </w:tcPr>
          <w:p w14:paraId="68B6C845" w14:textId="0E6DA1F3" w:rsidR="00BE59AA" w:rsidRPr="008B6BB8" w:rsidRDefault="00BE59AA" w:rsidP="003C7885">
            <w:pPr>
              <w:pStyle w:val="Tabletext"/>
              <w:jc w:val="center"/>
              <w:rPr>
                <w:sz w:val="20"/>
                <w:lang w:val="es-ES_tradnl"/>
              </w:rPr>
            </w:pPr>
            <w:r w:rsidRPr="008B6BB8">
              <w:rPr>
                <w:sz w:val="20"/>
                <w:lang w:val="es-ES_tradnl"/>
              </w:rPr>
              <w:t>9 de octubre de</w:t>
            </w:r>
            <w:r w:rsidR="003C7885" w:rsidRPr="008B6BB8">
              <w:rPr>
                <w:sz w:val="20"/>
                <w:lang w:val="es-ES_tradnl"/>
              </w:rPr>
              <w:t> </w:t>
            </w:r>
            <w:r w:rsidRPr="008B6BB8">
              <w:rPr>
                <w:sz w:val="20"/>
                <w:lang w:val="es-ES_tradnl"/>
              </w:rPr>
              <w:t>2023</w:t>
            </w:r>
          </w:p>
        </w:tc>
        <w:tc>
          <w:tcPr>
            <w:tcW w:w="1834" w:type="dxa"/>
            <w:shd w:val="clear" w:color="auto" w:fill="auto"/>
            <w:tcMar>
              <w:top w:w="0" w:type="dxa"/>
              <w:left w:w="108" w:type="dxa"/>
              <w:bottom w:w="0" w:type="dxa"/>
              <w:right w:w="108" w:type="dxa"/>
            </w:tcMar>
          </w:tcPr>
          <w:p w14:paraId="472DDD7A" w14:textId="77777777" w:rsidR="00BE59AA" w:rsidRPr="008B6BB8" w:rsidRDefault="00BE59AA" w:rsidP="005C78DB">
            <w:pPr>
              <w:pStyle w:val="Tabletext"/>
              <w:jc w:val="center"/>
              <w:rPr>
                <w:sz w:val="20"/>
                <w:lang w:val="es-ES_tradnl"/>
              </w:rPr>
            </w:pPr>
            <w:r w:rsidRPr="008B6BB8">
              <w:rPr>
                <w:sz w:val="20"/>
                <w:lang w:val="es-ES_tradnl"/>
              </w:rPr>
              <w:t>13.00-15.00 horas (UTC+02.00)</w:t>
            </w:r>
          </w:p>
        </w:tc>
        <w:tc>
          <w:tcPr>
            <w:tcW w:w="988" w:type="dxa"/>
            <w:shd w:val="clear" w:color="auto" w:fill="auto"/>
          </w:tcPr>
          <w:p w14:paraId="45966610"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35D65E5D" w14:textId="77777777" w:rsidR="00BE59AA" w:rsidRPr="008B6BB8" w:rsidRDefault="00BE59AA" w:rsidP="00564695">
            <w:pPr>
              <w:pStyle w:val="Tabletext"/>
              <w:jc w:val="center"/>
              <w:rPr>
                <w:sz w:val="20"/>
                <w:lang w:val="es-ES_tradnl"/>
              </w:rPr>
            </w:pPr>
            <w:r w:rsidRPr="008B6BB8">
              <w:rPr>
                <w:sz w:val="20"/>
                <w:lang w:val="es-ES_tradnl"/>
              </w:rPr>
              <w:t>GR-IEM</w:t>
            </w:r>
          </w:p>
        </w:tc>
        <w:tc>
          <w:tcPr>
            <w:tcW w:w="6082" w:type="dxa"/>
            <w:shd w:val="clear" w:color="auto" w:fill="auto"/>
            <w:tcMar>
              <w:top w:w="0" w:type="dxa"/>
              <w:left w:w="108" w:type="dxa"/>
              <w:bottom w:w="0" w:type="dxa"/>
              <w:right w:w="108" w:type="dxa"/>
            </w:tcMar>
          </w:tcPr>
          <w:p w14:paraId="7BEED47F" w14:textId="77777777" w:rsidR="00BE59AA" w:rsidRPr="008B6BB8" w:rsidRDefault="00BE59AA" w:rsidP="000D243F">
            <w:pPr>
              <w:pStyle w:val="Tabletext"/>
              <w:rPr>
                <w:sz w:val="20"/>
                <w:lang w:val="es-ES_tradnl"/>
              </w:rPr>
            </w:pPr>
            <w:r w:rsidRPr="008B6BB8">
              <w:rPr>
                <w:sz w:val="20"/>
                <w:lang w:val="es-ES_tradnl"/>
              </w:rPr>
              <w:t>Resolución 68 de la AMNT</w:t>
            </w:r>
          </w:p>
        </w:tc>
        <w:tc>
          <w:tcPr>
            <w:tcW w:w="1619" w:type="dxa"/>
          </w:tcPr>
          <w:p w14:paraId="145B0D9E" w14:textId="6C4F8427" w:rsidR="00BE59AA" w:rsidRPr="008B6BB8" w:rsidRDefault="00BE59AA" w:rsidP="00564695">
            <w:pPr>
              <w:pStyle w:val="Tabletext"/>
              <w:jc w:val="center"/>
              <w:rPr>
                <w:sz w:val="20"/>
                <w:lang w:val="es-ES_tradnl"/>
              </w:rPr>
            </w:pPr>
            <w:r w:rsidRPr="008B6BB8">
              <w:rPr>
                <w:sz w:val="20"/>
                <w:lang w:val="es-ES_tradnl"/>
              </w:rPr>
              <w:t>1 de octubre de</w:t>
            </w:r>
            <w:r w:rsidR="00564695" w:rsidRPr="008B6BB8">
              <w:rPr>
                <w:sz w:val="20"/>
                <w:lang w:val="es-ES_tradnl"/>
              </w:rPr>
              <w:t> </w:t>
            </w:r>
            <w:r w:rsidRPr="008B6BB8">
              <w:rPr>
                <w:sz w:val="20"/>
                <w:lang w:val="es-ES_tradnl"/>
              </w:rPr>
              <w:t>2023</w:t>
            </w:r>
          </w:p>
        </w:tc>
      </w:tr>
      <w:tr w:rsidR="00BE59AA" w:rsidRPr="00983703" w14:paraId="377C973D" w14:textId="77777777" w:rsidTr="000D243F">
        <w:trPr>
          <w:cantSplit/>
          <w:trHeight w:val="300"/>
          <w:jc w:val="center"/>
        </w:trPr>
        <w:tc>
          <w:tcPr>
            <w:tcW w:w="409" w:type="dxa"/>
            <w:shd w:val="clear" w:color="auto" w:fill="auto"/>
            <w:tcMar>
              <w:top w:w="0" w:type="dxa"/>
              <w:left w:w="108" w:type="dxa"/>
              <w:bottom w:w="0" w:type="dxa"/>
              <w:right w:w="108" w:type="dxa"/>
            </w:tcMar>
            <w:hideMark/>
          </w:tcPr>
          <w:p w14:paraId="44038053" w14:textId="626817C9"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12</w:t>
            </w:r>
          </w:p>
        </w:tc>
        <w:tc>
          <w:tcPr>
            <w:tcW w:w="1966" w:type="dxa"/>
            <w:shd w:val="clear" w:color="auto" w:fill="auto"/>
            <w:tcMar>
              <w:top w:w="0" w:type="dxa"/>
              <w:left w:w="108" w:type="dxa"/>
              <w:bottom w:w="0" w:type="dxa"/>
              <w:right w:w="108" w:type="dxa"/>
            </w:tcMar>
          </w:tcPr>
          <w:p w14:paraId="555EC4BF" w14:textId="77777777" w:rsidR="00BE59AA" w:rsidRPr="008B6BB8" w:rsidRDefault="00BE59AA" w:rsidP="003C7885">
            <w:pPr>
              <w:pStyle w:val="Tabletext"/>
              <w:jc w:val="center"/>
              <w:rPr>
                <w:sz w:val="20"/>
                <w:lang w:val="es-ES_tradnl"/>
              </w:rPr>
            </w:pPr>
            <w:r w:rsidRPr="008B6BB8">
              <w:rPr>
                <w:sz w:val="20"/>
                <w:lang w:val="es-ES_tradnl"/>
              </w:rPr>
              <w:t>19 de octubre de 2023</w:t>
            </w:r>
          </w:p>
        </w:tc>
        <w:tc>
          <w:tcPr>
            <w:tcW w:w="1834" w:type="dxa"/>
            <w:shd w:val="clear" w:color="auto" w:fill="auto"/>
            <w:tcMar>
              <w:top w:w="0" w:type="dxa"/>
              <w:left w:w="108" w:type="dxa"/>
              <w:bottom w:w="0" w:type="dxa"/>
              <w:right w:w="108" w:type="dxa"/>
            </w:tcMar>
          </w:tcPr>
          <w:p w14:paraId="2FAEB000" w14:textId="77777777" w:rsidR="00BE59AA" w:rsidRPr="008B6BB8" w:rsidRDefault="00BE59AA" w:rsidP="005C78DB">
            <w:pPr>
              <w:pStyle w:val="Tabletext"/>
              <w:jc w:val="center"/>
              <w:rPr>
                <w:sz w:val="20"/>
                <w:lang w:val="es-ES_tradnl"/>
              </w:rPr>
            </w:pPr>
            <w:r w:rsidRPr="008B6BB8">
              <w:rPr>
                <w:sz w:val="20"/>
                <w:lang w:val="es-ES_tradnl"/>
              </w:rPr>
              <w:t>13.00-15.00 horas (UTC+02.00)</w:t>
            </w:r>
          </w:p>
        </w:tc>
        <w:tc>
          <w:tcPr>
            <w:tcW w:w="988" w:type="dxa"/>
            <w:shd w:val="clear" w:color="auto" w:fill="auto"/>
          </w:tcPr>
          <w:p w14:paraId="5BA2B6F5"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0C51AF5F" w14:textId="77777777" w:rsidR="00BE59AA" w:rsidRPr="008B6BB8" w:rsidRDefault="00BE59AA" w:rsidP="00564695">
            <w:pPr>
              <w:pStyle w:val="Tabletext"/>
              <w:jc w:val="center"/>
              <w:rPr>
                <w:sz w:val="20"/>
                <w:lang w:val="es-ES_tradnl"/>
              </w:rPr>
            </w:pPr>
            <w:r w:rsidRPr="008B6BB8">
              <w:rPr>
                <w:sz w:val="20"/>
                <w:lang w:val="es-ES_tradnl"/>
              </w:rPr>
              <w:t>GR-AMNT</w:t>
            </w:r>
          </w:p>
        </w:tc>
        <w:tc>
          <w:tcPr>
            <w:tcW w:w="6082" w:type="dxa"/>
            <w:shd w:val="clear" w:color="auto" w:fill="auto"/>
            <w:tcMar>
              <w:top w:w="0" w:type="dxa"/>
              <w:left w:w="108" w:type="dxa"/>
              <w:bottom w:w="0" w:type="dxa"/>
              <w:right w:w="108" w:type="dxa"/>
            </w:tcMar>
          </w:tcPr>
          <w:p w14:paraId="34C1853C" w14:textId="77777777" w:rsidR="00BE59AA" w:rsidRPr="008B6BB8" w:rsidRDefault="00BE59AA" w:rsidP="000D243F">
            <w:pPr>
              <w:pStyle w:val="Tabletext"/>
              <w:rPr>
                <w:sz w:val="20"/>
                <w:lang w:val="es-ES_tradnl"/>
              </w:rPr>
            </w:pPr>
            <w:r w:rsidRPr="008B6BB8">
              <w:rPr>
                <w:sz w:val="20"/>
                <w:lang w:val="es-ES_tradnl"/>
              </w:rPr>
              <w:t xml:space="preserve">Avances en el proyecto de nuevos documentos </w:t>
            </w:r>
            <w:proofErr w:type="spellStart"/>
            <w:proofErr w:type="gramStart"/>
            <w:r w:rsidRPr="008B6BB8">
              <w:rPr>
                <w:sz w:val="20"/>
                <w:lang w:val="es-ES_tradnl"/>
              </w:rPr>
              <w:t>A.SupWTSAGL</w:t>
            </w:r>
            <w:proofErr w:type="spellEnd"/>
            <w:proofErr w:type="gramEnd"/>
            <w:r w:rsidRPr="008B6BB8">
              <w:rPr>
                <w:sz w:val="20"/>
                <w:lang w:val="es-ES_tradnl"/>
              </w:rPr>
              <w:t xml:space="preserve"> y A.BN; revisión de propuestas sobre aplicación específica de la racionalización de Resoluciones y opinión de la AMNT.</w:t>
            </w:r>
          </w:p>
        </w:tc>
        <w:tc>
          <w:tcPr>
            <w:tcW w:w="1619" w:type="dxa"/>
          </w:tcPr>
          <w:p w14:paraId="7F2131B3" w14:textId="2736D411" w:rsidR="00BE59AA" w:rsidRPr="008B6BB8" w:rsidRDefault="00BE59AA" w:rsidP="00564695">
            <w:pPr>
              <w:pStyle w:val="Tabletext"/>
              <w:jc w:val="center"/>
              <w:rPr>
                <w:sz w:val="20"/>
                <w:lang w:val="es-ES_tradnl"/>
              </w:rPr>
            </w:pPr>
            <w:r w:rsidRPr="008B6BB8">
              <w:rPr>
                <w:sz w:val="20"/>
                <w:lang w:val="es-ES_tradnl"/>
              </w:rPr>
              <w:t>11 de octubre de</w:t>
            </w:r>
            <w:r w:rsidR="00564695" w:rsidRPr="008B6BB8">
              <w:rPr>
                <w:sz w:val="20"/>
                <w:lang w:val="es-ES_tradnl"/>
              </w:rPr>
              <w:t> </w:t>
            </w:r>
            <w:r w:rsidRPr="008B6BB8">
              <w:rPr>
                <w:sz w:val="20"/>
                <w:lang w:val="es-ES_tradnl"/>
              </w:rPr>
              <w:t>2023</w:t>
            </w:r>
          </w:p>
        </w:tc>
      </w:tr>
      <w:tr w:rsidR="00BE59AA" w:rsidRPr="00983703" w14:paraId="3D916E49" w14:textId="77777777" w:rsidTr="000D243F">
        <w:trPr>
          <w:cantSplit/>
          <w:trHeight w:val="300"/>
          <w:jc w:val="center"/>
        </w:trPr>
        <w:tc>
          <w:tcPr>
            <w:tcW w:w="409" w:type="dxa"/>
            <w:shd w:val="clear" w:color="auto" w:fill="auto"/>
            <w:tcMar>
              <w:top w:w="0" w:type="dxa"/>
              <w:left w:w="108" w:type="dxa"/>
              <w:bottom w:w="0" w:type="dxa"/>
              <w:right w:w="108" w:type="dxa"/>
            </w:tcMar>
          </w:tcPr>
          <w:p w14:paraId="41C2D8B3" w14:textId="12428848"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13</w:t>
            </w:r>
          </w:p>
        </w:tc>
        <w:tc>
          <w:tcPr>
            <w:tcW w:w="1966" w:type="dxa"/>
            <w:shd w:val="clear" w:color="auto" w:fill="auto"/>
            <w:tcMar>
              <w:top w:w="0" w:type="dxa"/>
              <w:left w:w="108" w:type="dxa"/>
              <w:bottom w:w="0" w:type="dxa"/>
              <w:right w:w="108" w:type="dxa"/>
            </w:tcMar>
          </w:tcPr>
          <w:p w14:paraId="6B002730" w14:textId="77777777" w:rsidR="00BE59AA" w:rsidRPr="008B6BB8" w:rsidRDefault="00BE59AA" w:rsidP="003C7885">
            <w:pPr>
              <w:pStyle w:val="Tabletext"/>
              <w:jc w:val="center"/>
              <w:rPr>
                <w:sz w:val="20"/>
                <w:lang w:val="es-ES_tradnl"/>
              </w:rPr>
            </w:pPr>
            <w:r w:rsidRPr="008B6BB8">
              <w:rPr>
                <w:rFonts w:eastAsia="SimSun"/>
                <w:sz w:val="20"/>
                <w:lang w:val="es-ES_tradnl"/>
              </w:rPr>
              <w:t>24 de octubre de 2023</w:t>
            </w:r>
          </w:p>
        </w:tc>
        <w:tc>
          <w:tcPr>
            <w:tcW w:w="1834" w:type="dxa"/>
            <w:shd w:val="clear" w:color="auto" w:fill="auto"/>
            <w:tcMar>
              <w:top w:w="0" w:type="dxa"/>
              <w:left w:w="108" w:type="dxa"/>
              <w:bottom w:w="0" w:type="dxa"/>
              <w:right w:w="108" w:type="dxa"/>
            </w:tcMar>
          </w:tcPr>
          <w:p w14:paraId="7FEC464F" w14:textId="67BC89F5" w:rsidR="00BE59AA" w:rsidRPr="008B6BB8" w:rsidRDefault="00BE59AA" w:rsidP="005C78DB">
            <w:pPr>
              <w:pStyle w:val="Tabletext"/>
              <w:jc w:val="center"/>
              <w:rPr>
                <w:sz w:val="20"/>
                <w:lang w:val="es-ES_tradnl"/>
              </w:rPr>
            </w:pPr>
            <w:r w:rsidRPr="008B6BB8">
              <w:rPr>
                <w:rFonts w:eastAsia="SimSun"/>
                <w:sz w:val="20"/>
                <w:lang w:val="es-ES_tradnl"/>
              </w:rPr>
              <w:t>12</w:t>
            </w:r>
            <w:r w:rsidR="003C7885" w:rsidRPr="008B6BB8">
              <w:rPr>
                <w:rFonts w:eastAsia="SimSun"/>
                <w:sz w:val="20"/>
                <w:lang w:val="es-ES_tradnl"/>
              </w:rPr>
              <w:t>.</w:t>
            </w:r>
            <w:r w:rsidRPr="008B6BB8">
              <w:rPr>
                <w:rFonts w:eastAsia="SimSun"/>
                <w:sz w:val="20"/>
                <w:lang w:val="es-ES_tradnl"/>
              </w:rPr>
              <w:t>00-15</w:t>
            </w:r>
            <w:r w:rsidR="003C7885" w:rsidRPr="008B6BB8">
              <w:rPr>
                <w:rFonts w:eastAsia="SimSun"/>
                <w:sz w:val="20"/>
                <w:lang w:val="es-ES_tradnl"/>
              </w:rPr>
              <w:t>.</w:t>
            </w:r>
            <w:r w:rsidRPr="008B6BB8">
              <w:rPr>
                <w:rFonts w:eastAsia="SimSun"/>
                <w:sz w:val="20"/>
                <w:lang w:val="es-ES_tradnl"/>
              </w:rPr>
              <w:t xml:space="preserve">00 </w:t>
            </w:r>
            <w:r w:rsidRPr="008B6BB8">
              <w:rPr>
                <w:sz w:val="20"/>
                <w:lang w:val="es-ES_tradnl"/>
              </w:rPr>
              <w:t>horas (UTC+02</w:t>
            </w:r>
            <w:r w:rsidR="005C78DB" w:rsidRPr="008B6BB8">
              <w:rPr>
                <w:sz w:val="20"/>
                <w:lang w:val="es-ES_tradnl"/>
              </w:rPr>
              <w:t>.</w:t>
            </w:r>
            <w:r w:rsidRPr="008B6BB8">
              <w:rPr>
                <w:sz w:val="20"/>
                <w:lang w:val="es-ES_tradnl"/>
              </w:rPr>
              <w:t>00)</w:t>
            </w:r>
          </w:p>
        </w:tc>
        <w:tc>
          <w:tcPr>
            <w:tcW w:w="988" w:type="dxa"/>
            <w:shd w:val="clear" w:color="auto" w:fill="auto"/>
          </w:tcPr>
          <w:p w14:paraId="265237DE"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3B35FA2B" w14:textId="77777777" w:rsidR="00BE59AA" w:rsidRPr="008B6BB8" w:rsidRDefault="00BE59AA" w:rsidP="00564695">
            <w:pPr>
              <w:pStyle w:val="Tabletext"/>
              <w:jc w:val="center"/>
              <w:rPr>
                <w:sz w:val="20"/>
                <w:lang w:val="es-ES_tradnl"/>
              </w:rPr>
            </w:pPr>
            <w:r w:rsidRPr="008B6BB8">
              <w:rPr>
                <w:sz w:val="20"/>
                <w:lang w:val="es-ES_tradnl"/>
              </w:rPr>
              <w:t>GR-MT</w:t>
            </w:r>
          </w:p>
        </w:tc>
        <w:tc>
          <w:tcPr>
            <w:tcW w:w="6082" w:type="dxa"/>
            <w:shd w:val="clear" w:color="auto" w:fill="auto"/>
            <w:tcMar>
              <w:top w:w="0" w:type="dxa"/>
              <w:left w:w="108" w:type="dxa"/>
              <w:bottom w:w="0" w:type="dxa"/>
              <w:right w:w="108" w:type="dxa"/>
            </w:tcMar>
          </w:tcPr>
          <w:p w14:paraId="20CB1824" w14:textId="77777777" w:rsidR="00BE59AA" w:rsidRPr="008B6BB8" w:rsidRDefault="00BE59AA" w:rsidP="000D243F">
            <w:pPr>
              <w:pStyle w:val="Tabletext"/>
              <w:rPr>
                <w:sz w:val="20"/>
                <w:lang w:val="fr-FR"/>
              </w:rPr>
            </w:pPr>
            <w:r w:rsidRPr="008B6BB8">
              <w:rPr>
                <w:rFonts w:eastAsia="SimSun"/>
                <w:sz w:val="20"/>
                <w:lang w:val="fr-FR"/>
              </w:rPr>
              <w:t>Avances en la Rec. UIT-T A.1</w:t>
            </w:r>
          </w:p>
        </w:tc>
        <w:tc>
          <w:tcPr>
            <w:tcW w:w="1619" w:type="dxa"/>
          </w:tcPr>
          <w:p w14:paraId="2A69F2B9" w14:textId="23DC4C5E" w:rsidR="00BE59AA" w:rsidRPr="008B6BB8" w:rsidRDefault="00BE59AA" w:rsidP="00564695">
            <w:pPr>
              <w:pStyle w:val="Tabletext"/>
              <w:jc w:val="center"/>
              <w:rPr>
                <w:sz w:val="20"/>
                <w:lang w:val="es-ES_tradnl"/>
              </w:rPr>
            </w:pPr>
            <w:r w:rsidRPr="008B6BB8">
              <w:rPr>
                <w:rFonts w:eastAsia="SimSun"/>
                <w:sz w:val="20"/>
                <w:lang w:val="es-ES_tradnl"/>
              </w:rPr>
              <w:t>14 de octubre de</w:t>
            </w:r>
            <w:r w:rsidR="00564695" w:rsidRPr="008B6BB8">
              <w:rPr>
                <w:rFonts w:eastAsia="SimSun"/>
                <w:sz w:val="20"/>
                <w:lang w:val="es-ES_tradnl"/>
              </w:rPr>
              <w:t> </w:t>
            </w:r>
            <w:r w:rsidRPr="008B6BB8">
              <w:rPr>
                <w:rFonts w:eastAsia="SimSun"/>
                <w:sz w:val="20"/>
                <w:lang w:val="es-ES_tradnl"/>
              </w:rPr>
              <w:t>2023</w:t>
            </w:r>
          </w:p>
        </w:tc>
      </w:tr>
      <w:tr w:rsidR="00BE59AA" w:rsidRPr="00983703" w14:paraId="15BBB2CD" w14:textId="77777777" w:rsidTr="000D243F">
        <w:trPr>
          <w:cantSplit/>
          <w:jc w:val="center"/>
        </w:trPr>
        <w:tc>
          <w:tcPr>
            <w:tcW w:w="409" w:type="dxa"/>
            <w:shd w:val="clear" w:color="auto" w:fill="auto"/>
            <w:tcMar>
              <w:top w:w="0" w:type="dxa"/>
              <w:left w:w="108" w:type="dxa"/>
              <w:bottom w:w="0" w:type="dxa"/>
              <w:right w:w="108" w:type="dxa"/>
            </w:tcMar>
          </w:tcPr>
          <w:p w14:paraId="0F40C083" w14:textId="4571FF4E"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14</w:t>
            </w:r>
          </w:p>
        </w:tc>
        <w:tc>
          <w:tcPr>
            <w:tcW w:w="1966" w:type="dxa"/>
            <w:shd w:val="clear" w:color="auto" w:fill="auto"/>
            <w:tcMar>
              <w:top w:w="0" w:type="dxa"/>
              <w:left w:w="108" w:type="dxa"/>
              <w:bottom w:w="0" w:type="dxa"/>
              <w:right w:w="108" w:type="dxa"/>
            </w:tcMar>
          </w:tcPr>
          <w:p w14:paraId="42261AD6" w14:textId="77777777" w:rsidR="00BE59AA" w:rsidRPr="008B6BB8" w:rsidRDefault="00BE59AA" w:rsidP="003C7885">
            <w:pPr>
              <w:pStyle w:val="Tabletext"/>
              <w:jc w:val="center"/>
              <w:rPr>
                <w:sz w:val="20"/>
                <w:lang w:val="es-ES_tradnl"/>
              </w:rPr>
            </w:pPr>
            <w:r w:rsidRPr="008B6BB8">
              <w:rPr>
                <w:sz w:val="20"/>
                <w:lang w:val="es-ES_tradnl"/>
              </w:rPr>
              <w:t>7 de noviembre de 2023</w:t>
            </w:r>
          </w:p>
        </w:tc>
        <w:tc>
          <w:tcPr>
            <w:tcW w:w="1834" w:type="dxa"/>
            <w:shd w:val="clear" w:color="auto" w:fill="auto"/>
            <w:tcMar>
              <w:top w:w="0" w:type="dxa"/>
              <w:left w:w="108" w:type="dxa"/>
              <w:bottom w:w="0" w:type="dxa"/>
              <w:right w:w="108" w:type="dxa"/>
            </w:tcMar>
          </w:tcPr>
          <w:p w14:paraId="4AE054E4"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1B257DCE"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08580C8D" w14:textId="77777777" w:rsidR="00BE59AA" w:rsidRPr="008B6BB8" w:rsidRDefault="00BE59AA" w:rsidP="00564695">
            <w:pPr>
              <w:pStyle w:val="Tabletext"/>
              <w:jc w:val="center"/>
              <w:rPr>
                <w:sz w:val="20"/>
                <w:lang w:val="es-ES_tradnl"/>
              </w:rPr>
            </w:pPr>
            <w:r w:rsidRPr="008B6BB8">
              <w:rPr>
                <w:sz w:val="20"/>
                <w:lang w:val="es-ES_tradnl"/>
              </w:rPr>
              <w:t>GR-IEM</w:t>
            </w:r>
          </w:p>
        </w:tc>
        <w:tc>
          <w:tcPr>
            <w:tcW w:w="6082" w:type="dxa"/>
            <w:shd w:val="clear" w:color="auto" w:fill="auto"/>
            <w:tcMar>
              <w:top w:w="0" w:type="dxa"/>
              <w:left w:w="108" w:type="dxa"/>
              <w:bottom w:w="0" w:type="dxa"/>
              <w:right w:w="108" w:type="dxa"/>
            </w:tcMar>
          </w:tcPr>
          <w:p w14:paraId="34E61FFE" w14:textId="5A3DB9BA" w:rsidR="00BE59AA" w:rsidRPr="008B6BB8" w:rsidRDefault="00BE59AA" w:rsidP="000D243F">
            <w:pPr>
              <w:pStyle w:val="Tabletext"/>
              <w:rPr>
                <w:sz w:val="20"/>
                <w:lang w:val="es-ES_tradnl"/>
              </w:rPr>
            </w:pPr>
            <w:r w:rsidRPr="008B6BB8">
              <w:rPr>
                <w:sz w:val="20"/>
                <w:lang w:val="es-ES_tradnl"/>
              </w:rPr>
              <w:t xml:space="preserve">Mecanismo sobre tecnologías </w:t>
            </w:r>
            <w:r w:rsidR="003C7885" w:rsidRPr="008B6BB8">
              <w:rPr>
                <w:sz w:val="20"/>
                <w:lang w:val="es-ES_tradnl"/>
              </w:rPr>
              <w:t>incipientes</w:t>
            </w:r>
          </w:p>
        </w:tc>
        <w:tc>
          <w:tcPr>
            <w:tcW w:w="1619" w:type="dxa"/>
          </w:tcPr>
          <w:p w14:paraId="7B661189" w14:textId="5C5CAAED" w:rsidR="00BE59AA" w:rsidRPr="008B6BB8" w:rsidRDefault="00BE59AA" w:rsidP="00564695">
            <w:pPr>
              <w:pStyle w:val="Tabletext"/>
              <w:jc w:val="center"/>
              <w:rPr>
                <w:sz w:val="20"/>
                <w:lang w:val="es-ES_tradnl"/>
              </w:rPr>
            </w:pPr>
            <w:r w:rsidRPr="008B6BB8">
              <w:rPr>
                <w:sz w:val="20"/>
                <w:lang w:val="es-ES_tradnl"/>
              </w:rPr>
              <w:t>30 de octubre de</w:t>
            </w:r>
            <w:r w:rsidR="00564695" w:rsidRPr="008B6BB8">
              <w:rPr>
                <w:sz w:val="20"/>
                <w:lang w:val="es-ES_tradnl"/>
              </w:rPr>
              <w:t> </w:t>
            </w:r>
            <w:r w:rsidRPr="008B6BB8">
              <w:rPr>
                <w:sz w:val="20"/>
                <w:lang w:val="es-ES_tradnl"/>
              </w:rPr>
              <w:t>2023</w:t>
            </w:r>
          </w:p>
        </w:tc>
      </w:tr>
      <w:tr w:rsidR="00BE59AA" w:rsidRPr="00983703" w14:paraId="2B2A2227" w14:textId="77777777" w:rsidTr="000D243F">
        <w:trPr>
          <w:cantSplit/>
          <w:trHeight w:val="300"/>
          <w:jc w:val="center"/>
        </w:trPr>
        <w:tc>
          <w:tcPr>
            <w:tcW w:w="409" w:type="dxa"/>
            <w:shd w:val="clear" w:color="auto" w:fill="auto"/>
            <w:tcMar>
              <w:top w:w="0" w:type="dxa"/>
              <w:left w:w="108" w:type="dxa"/>
              <w:bottom w:w="0" w:type="dxa"/>
              <w:right w:w="108" w:type="dxa"/>
            </w:tcMar>
          </w:tcPr>
          <w:p w14:paraId="5CC72A07" w14:textId="13CC29E4"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15</w:t>
            </w:r>
          </w:p>
        </w:tc>
        <w:tc>
          <w:tcPr>
            <w:tcW w:w="1966" w:type="dxa"/>
            <w:shd w:val="clear" w:color="auto" w:fill="auto"/>
            <w:tcMar>
              <w:top w:w="0" w:type="dxa"/>
              <w:left w:w="108" w:type="dxa"/>
              <w:bottom w:w="0" w:type="dxa"/>
              <w:right w:w="108" w:type="dxa"/>
            </w:tcMar>
          </w:tcPr>
          <w:p w14:paraId="5FA43A4A" w14:textId="77777777" w:rsidR="00BE59AA" w:rsidRPr="008B6BB8" w:rsidRDefault="00BE59AA" w:rsidP="003C7885">
            <w:pPr>
              <w:pStyle w:val="Tabletext"/>
              <w:jc w:val="center"/>
              <w:rPr>
                <w:sz w:val="20"/>
                <w:lang w:val="es-ES_tradnl"/>
              </w:rPr>
            </w:pPr>
            <w:r w:rsidRPr="008B6BB8">
              <w:rPr>
                <w:sz w:val="20"/>
                <w:lang w:val="es-ES_tradnl"/>
              </w:rPr>
              <w:t>15 de noviembre de 2023</w:t>
            </w:r>
          </w:p>
        </w:tc>
        <w:tc>
          <w:tcPr>
            <w:tcW w:w="1834" w:type="dxa"/>
            <w:shd w:val="clear" w:color="auto" w:fill="auto"/>
            <w:tcMar>
              <w:top w:w="0" w:type="dxa"/>
              <w:left w:w="108" w:type="dxa"/>
              <w:bottom w:w="0" w:type="dxa"/>
              <w:right w:w="108" w:type="dxa"/>
            </w:tcMar>
          </w:tcPr>
          <w:p w14:paraId="3A5D0A5D" w14:textId="77777777" w:rsidR="00BE59AA" w:rsidRPr="008B6BB8" w:rsidRDefault="00BE59AA" w:rsidP="005C78DB">
            <w:pPr>
              <w:pStyle w:val="Tabletext"/>
              <w:jc w:val="center"/>
              <w:rPr>
                <w:sz w:val="20"/>
                <w:lang w:val="es-ES_tradnl"/>
              </w:rPr>
            </w:pPr>
            <w:r w:rsidRPr="008B6BB8">
              <w:rPr>
                <w:sz w:val="20"/>
                <w:lang w:val="es-ES_tradnl"/>
              </w:rPr>
              <w:t>12.30-14.00 horas (UTC+01.00)</w:t>
            </w:r>
          </w:p>
        </w:tc>
        <w:tc>
          <w:tcPr>
            <w:tcW w:w="988" w:type="dxa"/>
            <w:shd w:val="clear" w:color="auto" w:fill="auto"/>
          </w:tcPr>
          <w:p w14:paraId="1E6377B1"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68F375F9" w14:textId="77777777" w:rsidR="00BE59AA" w:rsidRPr="008B6BB8" w:rsidRDefault="00BE59AA" w:rsidP="00564695">
            <w:pPr>
              <w:pStyle w:val="Tabletext"/>
              <w:jc w:val="center"/>
              <w:rPr>
                <w:sz w:val="20"/>
                <w:lang w:val="es-ES_tradnl"/>
              </w:rPr>
            </w:pPr>
            <w:r w:rsidRPr="008B6BB8">
              <w:rPr>
                <w:sz w:val="20"/>
                <w:lang w:val="es-ES_tradnl"/>
              </w:rPr>
              <w:t>GR-WPR</w:t>
            </w:r>
          </w:p>
        </w:tc>
        <w:tc>
          <w:tcPr>
            <w:tcW w:w="6082" w:type="dxa"/>
            <w:shd w:val="clear" w:color="auto" w:fill="auto"/>
            <w:tcMar>
              <w:top w:w="0" w:type="dxa"/>
              <w:left w:w="108" w:type="dxa"/>
              <w:bottom w:w="0" w:type="dxa"/>
              <w:right w:w="108" w:type="dxa"/>
            </w:tcMar>
          </w:tcPr>
          <w:p w14:paraId="5F01C5E5" w14:textId="77777777" w:rsidR="00BE59AA" w:rsidRPr="008B6BB8" w:rsidRDefault="00BE59AA" w:rsidP="000D243F">
            <w:pPr>
              <w:pStyle w:val="Tabletext"/>
              <w:rPr>
                <w:sz w:val="20"/>
                <w:lang w:val="es-ES_tradnl"/>
              </w:rPr>
            </w:pPr>
            <w:r w:rsidRPr="008B6BB8">
              <w:rPr>
                <w:sz w:val="20"/>
                <w:lang w:val="es-ES_tradnl"/>
              </w:rPr>
              <w:t>Revisión del texto de referencia (TD214R1) sobre:</w:t>
            </w:r>
          </w:p>
          <w:p w14:paraId="6211C65E" w14:textId="0FED4471" w:rsidR="00BE59AA" w:rsidRDefault="008B6BB8" w:rsidP="008B6BB8">
            <w:pPr>
              <w:pStyle w:val="enumlev1"/>
              <w:tabs>
                <w:tab w:val="clear" w:pos="794"/>
                <w:tab w:val="left" w:pos="247"/>
              </w:tabs>
              <w:ind w:left="247" w:hanging="247"/>
              <w:rPr>
                <w:sz w:val="20"/>
                <w:lang w:val="es-ES_tradnl"/>
              </w:rPr>
            </w:pPr>
            <w:r w:rsidRPr="008B6BB8">
              <w:rPr>
                <w:sz w:val="20"/>
                <w:lang w:val="es-ES_tradnl"/>
              </w:rPr>
              <w:t>•</w:t>
            </w:r>
            <w:r>
              <w:rPr>
                <w:sz w:val="20"/>
                <w:lang w:val="es-ES_tradnl"/>
              </w:rPr>
              <w:tab/>
            </w:r>
            <w:r w:rsidR="00BE59AA" w:rsidRPr="008B6BB8">
              <w:rPr>
                <w:sz w:val="20"/>
                <w:lang w:val="es-ES_tradnl"/>
              </w:rPr>
              <w:t>definición de IFR</w:t>
            </w:r>
          </w:p>
          <w:p w14:paraId="5EF3FEBB" w14:textId="72109C2F" w:rsidR="00BE59AA" w:rsidRDefault="008B6BB8" w:rsidP="008B6BB8">
            <w:pPr>
              <w:pStyle w:val="enumlev1"/>
              <w:tabs>
                <w:tab w:val="clear" w:pos="794"/>
                <w:tab w:val="left" w:pos="247"/>
              </w:tabs>
              <w:ind w:left="247" w:hanging="247"/>
              <w:rPr>
                <w:sz w:val="20"/>
                <w:lang w:val="es-ES_tradnl"/>
              </w:rPr>
            </w:pPr>
            <w:r w:rsidRPr="008B6BB8">
              <w:rPr>
                <w:sz w:val="20"/>
                <w:lang w:val="es-ES_tradnl"/>
              </w:rPr>
              <w:t>•</w:t>
            </w:r>
            <w:r>
              <w:rPr>
                <w:sz w:val="20"/>
                <w:lang w:val="es-ES_tradnl"/>
              </w:rPr>
              <w:tab/>
            </w:r>
            <w:r w:rsidR="00BE59AA" w:rsidRPr="008B6BB8">
              <w:rPr>
                <w:sz w:val="20"/>
                <w:lang w:val="es-ES_tradnl"/>
              </w:rPr>
              <w:t>prioridades relativas de los IFR</w:t>
            </w:r>
          </w:p>
          <w:p w14:paraId="51802C11" w14:textId="0AB39B7D" w:rsidR="00BE59AA" w:rsidRPr="008B6BB8" w:rsidRDefault="008B6BB8" w:rsidP="008B6BB8">
            <w:pPr>
              <w:pStyle w:val="enumlev1"/>
              <w:tabs>
                <w:tab w:val="clear" w:pos="794"/>
                <w:tab w:val="left" w:pos="247"/>
              </w:tabs>
              <w:ind w:left="247" w:hanging="247"/>
              <w:rPr>
                <w:sz w:val="20"/>
                <w:lang w:val="es-ES_tradnl"/>
              </w:rPr>
            </w:pPr>
            <w:r w:rsidRPr="008B6BB8">
              <w:rPr>
                <w:sz w:val="20"/>
                <w:lang w:val="es-ES_tradnl"/>
              </w:rPr>
              <w:t>•</w:t>
            </w:r>
            <w:r>
              <w:rPr>
                <w:sz w:val="20"/>
                <w:lang w:val="es-ES_tradnl"/>
              </w:rPr>
              <w:tab/>
            </w:r>
            <w:r w:rsidR="00BE59AA" w:rsidRPr="008B6BB8">
              <w:rPr>
                <w:sz w:val="20"/>
                <w:lang w:val="es-ES_tradnl"/>
              </w:rPr>
              <w:t>posibles nuevas estructuras</w:t>
            </w:r>
          </w:p>
        </w:tc>
        <w:tc>
          <w:tcPr>
            <w:tcW w:w="1619" w:type="dxa"/>
          </w:tcPr>
          <w:p w14:paraId="3D2763BD" w14:textId="7FA42644" w:rsidR="00BE59AA" w:rsidRPr="008B6BB8" w:rsidRDefault="00BE59AA" w:rsidP="00564695">
            <w:pPr>
              <w:pStyle w:val="Tabletext"/>
              <w:jc w:val="center"/>
              <w:rPr>
                <w:sz w:val="20"/>
                <w:lang w:val="es-ES_tradnl"/>
              </w:rPr>
            </w:pPr>
            <w:r w:rsidRPr="008B6BB8">
              <w:rPr>
                <w:sz w:val="20"/>
                <w:lang w:val="es-ES_tradnl"/>
              </w:rPr>
              <w:t>8 de noviembre de</w:t>
            </w:r>
            <w:r w:rsidR="00F47FAC">
              <w:rPr>
                <w:sz w:val="20"/>
                <w:lang w:val="es-ES_tradnl"/>
              </w:rPr>
              <w:t> </w:t>
            </w:r>
            <w:r w:rsidRPr="008B6BB8">
              <w:rPr>
                <w:sz w:val="20"/>
                <w:lang w:val="es-ES_tradnl"/>
              </w:rPr>
              <w:t>2023</w:t>
            </w:r>
          </w:p>
        </w:tc>
      </w:tr>
      <w:tr w:rsidR="00BE59AA" w:rsidRPr="00983703" w14:paraId="4276EF90" w14:textId="77777777" w:rsidTr="000D243F">
        <w:trPr>
          <w:cantSplit/>
          <w:trHeight w:val="300"/>
          <w:jc w:val="center"/>
        </w:trPr>
        <w:tc>
          <w:tcPr>
            <w:tcW w:w="409" w:type="dxa"/>
            <w:shd w:val="clear" w:color="auto" w:fill="auto"/>
            <w:tcMar>
              <w:top w:w="0" w:type="dxa"/>
              <w:left w:w="108" w:type="dxa"/>
              <w:bottom w:w="0" w:type="dxa"/>
              <w:right w:w="108" w:type="dxa"/>
            </w:tcMar>
          </w:tcPr>
          <w:p w14:paraId="0A6CF981" w14:textId="51DD5872"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16</w:t>
            </w:r>
          </w:p>
        </w:tc>
        <w:tc>
          <w:tcPr>
            <w:tcW w:w="1966" w:type="dxa"/>
            <w:shd w:val="clear" w:color="auto" w:fill="auto"/>
            <w:tcMar>
              <w:top w:w="0" w:type="dxa"/>
              <w:left w:w="108" w:type="dxa"/>
              <w:bottom w:w="0" w:type="dxa"/>
              <w:right w:w="108" w:type="dxa"/>
            </w:tcMar>
          </w:tcPr>
          <w:p w14:paraId="11AC7A58" w14:textId="00E9DC8B" w:rsidR="00BE59AA" w:rsidRPr="008B6BB8" w:rsidRDefault="00BE59AA" w:rsidP="003C7885">
            <w:pPr>
              <w:pStyle w:val="Tabletext"/>
              <w:jc w:val="center"/>
              <w:rPr>
                <w:sz w:val="20"/>
                <w:lang w:val="es-ES_tradnl"/>
              </w:rPr>
            </w:pPr>
            <w:r w:rsidRPr="008B6BB8">
              <w:rPr>
                <w:sz w:val="20"/>
                <w:lang w:val="es-ES_tradnl"/>
              </w:rPr>
              <w:t>16 de noviembre de</w:t>
            </w:r>
            <w:r w:rsidR="003C7885" w:rsidRPr="008B6BB8">
              <w:rPr>
                <w:sz w:val="20"/>
                <w:lang w:val="es-ES_tradnl"/>
              </w:rPr>
              <w:t> </w:t>
            </w:r>
            <w:r w:rsidRPr="008B6BB8">
              <w:rPr>
                <w:sz w:val="20"/>
                <w:lang w:val="es-ES_tradnl"/>
              </w:rPr>
              <w:t>2023</w:t>
            </w:r>
          </w:p>
        </w:tc>
        <w:tc>
          <w:tcPr>
            <w:tcW w:w="1834" w:type="dxa"/>
            <w:shd w:val="clear" w:color="auto" w:fill="auto"/>
            <w:tcMar>
              <w:top w:w="0" w:type="dxa"/>
              <w:left w:w="108" w:type="dxa"/>
              <w:bottom w:w="0" w:type="dxa"/>
              <w:right w:w="108" w:type="dxa"/>
            </w:tcMar>
          </w:tcPr>
          <w:p w14:paraId="20DE4974"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0AB4A58F"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4F401E30" w14:textId="77777777" w:rsidR="00BE59AA" w:rsidRPr="008B6BB8" w:rsidRDefault="00BE59AA" w:rsidP="00564695">
            <w:pPr>
              <w:pStyle w:val="Tabletext"/>
              <w:jc w:val="center"/>
              <w:rPr>
                <w:sz w:val="20"/>
                <w:lang w:val="es-ES_tradnl"/>
              </w:rPr>
            </w:pPr>
            <w:r w:rsidRPr="008B6BB8">
              <w:rPr>
                <w:sz w:val="20"/>
                <w:lang w:val="es-ES_tradnl"/>
              </w:rPr>
              <w:t>GR-AMNT</w:t>
            </w:r>
          </w:p>
        </w:tc>
        <w:tc>
          <w:tcPr>
            <w:tcW w:w="6082" w:type="dxa"/>
            <w:shd w:val="clear" w:color="auto" w:fill="auto"/>
            <w:tcMar>
              <w:top w:w="0" w:type="dxa"/>
              <w:left w:w="108" w:type="dxa"/>
              <w:bottom w:w="0" w:type="dxa"/>
              <w:right w:w="108" w:type="dxa"/>
            </w:tcMar>
          </w:tcPr>
          <w:p w14:paraId="69D2FCF7" w14:textId="77777777" w:rsidR="00BE59AA" w:rsidRPr="008B6BB8" w:rsidRDefault="00BE59AA" w:rsidP="000D243F">
            <w:pPr>
              <w:pStyle w:val="Tabletext"/>
              <w:rPr>
                <w:sz w:val="20"/>
                <w:lang w:val="es-ES_tradnl"/>
              </w:rPr>
            </w:pPr>
            <w:r w:rsidRPr="008B6BB8">
              <w:rPr>
                <w:sz w:val="20"/>
                <w:lang w:val="es-ES_tradnl"/>
              </w:rPr>
              <w:t xml:space="preserve">Avances en el proyecto de nuevos documentos </w:t>
            </w:r>
            <w:proofErr w:type="spellStart"/>
            <w:proofErr w:type="gramStart"/>
            <w:r w:rsidRPr="008B6BB8">
              <w:rPr>
                <w:sz w:val="20"/>
                <w:lang w:val="es-ES_tradnl"/>
              </w:rPr>
              <w:t>A.SupWTSAGL</w:t>
            </w:r>
            <w:proofErr w:type="spellEnd"/>
            <w:proofErr w:type="gramEnd"/>
            <w:r w:rsidRPr="008B6BB8">
              <w:rPr>
                <w:sz w:val="20"/>
                <w:lang w:val="es-ES_tradnl"/>
              </w:rPr>
              <w:t xml:space="preserve"> y A.BN; revisión de propuestas sobre aplicación específica de la racionalización de Resoluciones y opinión de la AMNT.</w:t>
            </w:r>
          </w:p>
        </w:tc>
        <w:tc>
          <w:tcPr>
            <w:tcW w:w="1619" w:type="dxa"/>
          </w:tcPr>
          <w:p w14:paraId="5E3F6E4A" w14:textId="384FD4FB" w:rsidR="00BE59AA" w:rsidRPr="008B6BB8" w:rsidRDefault="00BE59AA" w:rsidP="00564695">
            <w:pPr>
              <w:pStyle w:val="Tabletext"/>
              <w:jc w:val="center"/>
              <w:rPr>
                <w:sz w:val="20"/>
                <w:lang w:val="es-ES_tradnl"/>
              </w:rPr>
            </w:pPr>
            <w:r w:rsidRPr="008B6BB8">
              <w:rPr>
                <w:sz w:val="20"/>
                <w:lang w:val="es-ES_tradnl"/>
              </w:rPr>
              <w:t>8 de noviembre de</w:t>
            </w:r>
            <w:r w:rsidR="00F47FAC">
              <w:rPr>
                <w:sz w:val="20"/>
                <w:lang w:val="es-ES_tradnl"/>
              </w:rPr>
              <w:t> </w:t>
            </w:r>
            <w:r w:rsidRPr="008B6BB8">
              <w:rPr>
                <w:sz w:val="20"/>
                <w:lang w:val="es-ES_tradnl"/>
              </w:rPr>
              <w:t>2023</w:t>
            </w:r>
          </w:p>
        </w:tc>
      </w:tr>
      <w:tr w:rsidR="00BE59AA" w:rsidRPr="00983703" w14:paraId="70215286" w14:textId="77777777" w:rsidTr="000D243F">
        <w:trPr>
          <w:cantSplit/>
          <w:trHeight w:val="300"/>
          <w:jc w:val="center"/>
        </w:trPr>
        <w:tc>
          <w:tcPr>
            <w:tcW w:w="409" w:type="dxa"/>
            <w:shd w:val="clear" w:color="auto" w:fill="auto"/>
            <w:tcMar>
              <w:top w:w="0" w:type="dxa"/>
              <w:left w:w="108" w:type="dxa"/>
              <w:bottom w:w="0" w:type="dxa"/>
              <w:right w:w="108" w:type="dxa"/>
            </w:tcMar>
          </w:tcPr>
          <w:p w14:paraId="67D1499E" w14:textId="1F3B8BED"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lastRenderedPageBreak/>
              <w:t>17</w:t>
            </w:r>
          </w:p>
        </w:tc>
        <w:tc>
          <w:tcPr>
            <w:tcW w:w="1966" w:type="dxa"/>
            <w:shd w:val="clear" w:color="auto" w:fill="auto"/>
            <w:tcMar>
              <w:top w:w="0" w:type="dxa"/>
              <w:left w:w="108" w:type="dxa"/>
              <w:bottom w:w="0" w:type="dxa"/>
              <w:right w:w="108" w:type="dxa"/>
            </w:tcMar>
          </w:tcPr>
          <w:p w14:paraId="63021839" w14:textId="316CB772" w:rsidR="00BE59AA" w:rsidRPr="008B6BB8" w:rsidRDefault="00BE59AA" w:rsidP="003C7885">
            <w:pPr>
              <w:pStyle w:val="Tabletext"/>
              <w:jc w:val="center"/>
              <w:rPr>
                <w:sz w:val="20"/>
                <w:lang w:val="es-ES_tradnl"/>
              </w:rPr>
            </w:pPr>
            <w:r w:rsidRPr="008B6BB8">
              <w:rPr>
                <w:sz w:val="20"/>
                <w:lang w:val="es-ES_tradnl"/>
              </w:rPr>
              <w:t>17 de noviembre de</w:t>
            </w:r>
            <w:r w:rsidR="003C7885" w:rsidRPr="008B6BB8">
              <w:rPr>
                <w:sz w:val="20"/>
                <w:lang w:val="es-ES_tradnl"/>
              </w:rPr>
              <w:t> </w:t>
            </w:r>
            <w:r w:rsidRPr="008B6BB8">
              <w:rPr>
                <w:sz w:val="20"/>
                <w:lang w:val="es-ES_tradnl"/>
              </w:rPr>
              <w:t>2023</w:t>
            </w:r>
          </w:p>
        </w:tc>
        <w:tc>
          <w:tcPr>
            <w:tcW w:w="1834" w:type="dxa"/>
            <w:shd w:val="clear" w:color="auto" w:fill="auto"/>
            <w:tcMar>
              <w:top w:w="0" w:type="dxa"/>
              <w:left w:w="108" w:type="dxa"/>
              <w:bottom w:w="0" w:type="dxa"/>
              <w:right w:w="108" w:type="dxa"/>
            </w:tcMar>
          </w:tcPr>
          <w:p w14:paraId="62683D23"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53FE6046"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60C0413C" w14:textId="77777777" w:rsidR="00BE59AA" w:rsidRPr="008B6BB8" w:rsidRDefault="00BE59AA" w:rsidP="00564695">
            <w:pPr>
              <w:pStyle w:val="Tabletext"/>
              <w:jc w:val="center"/>
              <w:rPr>
                <w:sz w:val="20"/>
                <w:lang w:val="es-ES_tradnl"/>
              </w:rPr>
            </w:pPr>
            <w:r w:rsidRPr="008B6BB8">
              <w:rPr>
                <w:sz w:val="20"/>
                <w:lang w:val="es-ES_tradnl"/>
              </w:rPr>
              <w:t>GR-TD</w:t>
            </w:r>
          </w:p>
        </w:tc>
        <w:tc>
          <w:tcPr>
            <w:tcW w:w="6082" w:type="dxa"/>
            <w:shd w:val="clear" w:color="auto" w:fill="auto"/>
            <w:tcMar>
              <w:top w:w="0" w:type="dxa"/>
              <w:left w:w="108" w:type="dxa"/>
              <w:bottom w:w="0" w:type="dxa"/>
              <w:right w:w="108" w:type="dxa"/>
            </w:tcMar>
          </w:tcPr>
          <w:p w14:paraId="4A93728A" w14:textId="430473F4"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Avances en el análisis de deficiencias de las actividades y los estudios sobre transformación digital;</w:t>
            </w:r>
          </w:p>
          <w:p w14:paraId="159DE683" w14:textId="5657301A" w:rsidR="00BE59AA" w:rsidRPr="008B6BB8" w:rsidRDefault="004724A4" w:rsidP="004724A4">
            <w:pPr>
              <w:pStyle w:val="enumlev1"/>
              <w:tabs>
                <w:tab w:val="clear" w:pos="794"/>
                <w:tab w:val="left" w:pos="247"/>
              </w:tabs>
              <w:ind w:left="247" w:hanging="247"/>
              <w:rPr>
                <w:sz w:val="20"/>
                <w:lang w:val="es-ES_tradnl" w:eastAsia="en-GB"/>
              </w:rPr>
            </w:pPr>
            <w:r w:rsidRPr="008B6BB8">
              <w:rPr>
                <w:sz w:val="20"/>
                <w:lang w:val="es-ES_tradnl" w:eastAsia="en-GB"/>
              </w:rPr>
              <w:t>•</w:t>
            </w:r>
            <w:r w:rsidRPr="008B6BB8">
              <w:rPr>
                <w:sz w:val="20"/>
                <w:lang w:val="es-ES_tradnl" w:eastAsia="en-GB"/>
              </w:rPr>
              <w:tab/>
            </w:r>
            <w:r w:rsidR="00BE59AA" w:rsidRPr="008B6BB8">
              <w:rPr>
                <w:sz w:val="20"/>
                <w:lang w:val="es-ES_tradnl" w:eastAsia="en-GB"/>
              </w:rPr>
              <w:t>Examen de la definición, los conceptos, las arquitecturas de sistema, los casos de utilización, las tecnologías subyacentes fundamentales, la interoperabilidad y el sistema de transformación digital sostenible, entre otras cuestiones;</w:t>
            </w:r>
          </w:p>
          <w:p w14:paraId="65A0E2EA" w14:textId="4D83FED1" w:rsidR="00BE59AA" w:rsidRPr="008B6BB8" w:rsidRDefault="004724A4" w:rsidP="004724A4">
            <w:pPr>
              <w:pStyle w:val="enumlev1"/>
              <w:tabs>
                <w:tab w:val="clear" w:pos="794"/>
                <w:tab w:val="left" w:pos="247"/>
              </w:tabs>
              <w:ind w:left="247" w:hanging="247"/>
              <w:rPr>
                <w:rFonts w:eastAsiaTheme="minorHAnsi"/>
                <w:sz w:val="20"/>
                <w:lang w:val="es-ES_tradnl" w:eastAsia="en-GB"/>
              </w:rPr>
            </w:pPr>
            <w:r w:rsidRPr="008B6BB8">
              <w:rPr>
                <w:sz w:val="20"/>
                <w:lang w:val="es-ES_tradnl" w:eastAsia="en-GB"/>
              </w:rPr>
              <w:t>•</w:t>
            </w:r>
            <w:r w:rsidRPr="008B6BB8">
              <w:rPr>
                <w:sz w:val="20"/>
                <w:lang w:val="es-ES_tradnl" w:eastAsia="en-GB"/>
              </w:rPr>
              <w:tab/>
            </w:r>
            <w:r w:rsidR="00BE59AA" w:rsidRPr="008B6BB8">
              <w:rPr>
                <w:rFonts w:eastAsiaTheme="minorHAnsi"/>
                <w:sz w:val="20"/>
                <w:lang w:val="es-ES_tradnl" w:eastAsia="en-GB"/>
              </w:rPr>
              <w:t>Avances en el proyecto de nueva Resolución de la AMNT sobre transformación digital</w:t>
            </w:r>
          </w:p>
          <w:p w14:paraId="682E151B" w14:textId="73CE160A" w:rsidR="00BE59AA" w:rsidRPr="008B6BB8" w:rsidRDefault="004724A4" w:rsidP="004724A4">
            <w:pPr>
              <w:pStyle w:val="enumlev1"/>
              <w:tabs>
                <w:tab w:val="clear" w:pos="794"/>
                <w:tab w:val="left" w:pos="247"/>
              </w:tabs>
              <w:ind w:left="247" w:hanging="247"/>
              <w:rPr>
                <w:rFonts w:ascii="Calibri" w:eastAsiaTheme="minorHAnsi" w:hAnsi="Calibri" w:cs="Calibri"/>
                <w:sz w:val="20"/>
                <w:lang w:val="es-ES_tradnl" w:eastAsia="en-GB"/>
              </w:rPr>
            </w:pPr>
            <w:r w:rsidRPr="008B6BB8">
              <w:rPr>
                <w:sz w:val="20"/>
                <w:lang w:val="es-ES_tradnl" w:eastAsia="en-GB"/>
              </w:rPr>
              <w:t>•</w:t>
            </w:r>
            <w:r w:rsidRPr="008B6BB8">
              <w:rPr>
                <w:sz w:val="20"/>
                <w:lang w:val="es-ES_tradnl" w:eastAsia="en-GB"/>
              </w:rPr>
              <w:tab/>
            </w:r>
            <w:r w:rsidR="00BE59AA" w:rsidRPr="008B6BB8">
              <w:rPr>
                <w:rFonts w:eastAsiaTheme="minorHAnsi"/>
                <w:sz w:val="20"/>
                <w:lang w:val="es-ES_tradnl" w:eastAsia="en-GB"/>
              </w:rPr>
              <w:t>Presentación del informe del GR-MT al GANT.</w:t>
            </w:r>
          </w:p>
        </w:tc>
        <w:tc>
          <w:tcPr>
            <w:tcW w:w="1619" w:type="dxa"/>
          </w:tcPr>
          <w:p w14:paraId="4AEC8E71" w14:textId="7DFFF16E" w:rsidR="00BE59AA" w:rsidRPr="008B6BB8" w:rsidRDefault="00BE59AA" w:rsidP="00564695">
            <w:pPr>
              <w:pStyle w:val="Tabletext"/>
              <w:jc w:val="center"/>
              <w:rPr>
                <w:sz w:val="20"/>
                <w:lang w:val="es-ES_tradnl"/>
              </w:rPr>
            </w:pPr>
            <w:r w:rsidRPr="008B6BB8">
              <w:rPr>
                <w:sz w:val="20"/>
                <w:lang w:val="es-ES_tradnl"/>
              </w:rPr>
              <w:t>9 de noviembre de</w:t>
            </w:r>
            <w:r w:rsidR="00F47FAC">
              <w:rPr>
                <w:sz w:val="20"/>
                <w:lang w:val="es-ES_tradnl"/>
              </w:rPr>
              <w:t> </w:t>
            </w:r>
            <w:r w:rsidRPr="008B6BB8">
              <w:rPr>
                <w:sz w:val="20"/>
                <w:lang w:val="es-ES_tradnl"/>
              </w:rPr>
              <w:t>2023</w:t>
            </w:r>
          </w:p>
        </w:tc>
      </w:tr>
      <w:tr w:rsidR="00BE59AA" w:rsidRPr="00983703" w14:paraId="581D4942" w14:textId="77777777" w:rsidTr="000D243F">
        <w:trPr>
          <w:cantSplit/>
          <w:trHeight w:val="300"/>
          <w:jc w:val="center"/>
        </w:trPr>
        <w:tc>
          <w:tcPr>
            <w:tcW w:w="409" w:type="dxa"/>
            <w:shd w:val="clear" w:color="auto" w:fill="auto"/>
            <w:tcMar>
              <w:top w:w="0" w:type="dxa"/>
              <w:left w:w="108" w:type="dxa"/>
              <w:bottom w:w="0" w:type="dxa"/>
              <w:right w:w="108" w:type="dxa"/>
            </w:tcMar>
          </w:tcPr>
          <w:p w14:paraId="4967D7D7" w14:textId="19561D4C"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18</w:t>
            </w:r>
          </w:p>
        </w:tc>
        <w:tc>
          <w:tcPr>
            <w:tcW w:w="1966" w:type="dxa"/>
            <w:shd w:val="clear" w:color="auto" w:fill="auto"/>
            <w:tcMar>
              <w:top w:w="0" w:type="dxa"/>
              <w:left w:w="108" w:type="dxa"/>
              <w:bottom w:w="0" w:type="dxa"/>
              <w:right w:w="108" w:type="dxa"/>
            </w:tcMar>
          </w:tcPr>
          <w:p w14:paraId="2FD02202" w14:textId="6C38841B" w:rsidR="00BE59AA" w:rsidRPr="008B6BB8" w:rsidRDefault="00BE59AA" w:rsidP="003C7885">
            <w:pPr>
              <w:pStyle w:val="Tabletext"/>
              <w:jc w:val="center"/>
              <w:rPr>
                <w:sz w:val="20"/>
                <w:lang w:val="es-ES_tradnl"/>
              </w:rPr>
            </w:pPr>
            <w:r w:rsidRPr="008B6BB8">
              <w:rPr>
                <w:rFonts w:eastAsia="SimSun"/>
                <w:sz w:val="20"/>
                <w:lang w:val="es-ES_tradnl"/>
              </w:rPr>
              <w:t>21 de noviembre de</w:t>
            </w:r>
            <w:r w:rsidR="003C7885" w:rsidRPr="008B6BB8">
              <w:rPr>
                <w:rFonts w:eastAsia="SimSun"/>
                <w:sz w:val="20"/>
                <w:lang w:val="es-ES_tradnl"/>
              </w:rPr>
              <w:t> </w:t>
            </w:r>
            <w:r w:rsidRPr="008B6BB8">
              <w:rPr>
                <w:rFonts w:eastAsia="SimSun"/>
                <w:sz w:val="20"/>
                <w:lang w:val="es-ES_tradnl"/>
              </w:rPr>
              <w:t>2023</w:t>
            </w:r>
          </w:p>
        </w:tc>
        <w:tc>
          <w:tcPr>
            <w:tcW w:w="1834" w:type="dxa"/>
            <w:shd w:val="clear" w:color="auto" w:fill="auto"/>
            <w:tcMar>
              <w:top w:w="0" w:type="dxa"/>
              <w:left w:w="108" w:type="dxa"/>
              <w:bottom w:w="0" w:type="dxa"/>
              <w:right w:w="108" w:type="dxa"/>
            </w:tcMar>
          </w:tcPr>
          <w:p w14:paraId="5EB56477" w14:textId="3DEF23F7" w:rsidR="00BE59AA" w:rsidRPr="008B6BB8" w:rsidRDefault="00BE59AA" w:rsidP="005C78DB">
            <w:pPr>
              <w:pStyle w:val="Tabletext"/>
              <w:jc w:val="center"/>
              <w:rPr>
                <w:sz w:val="20"/>
                <w:lang w:val="es-ES_tradnl"/>
              </w:rPr>
            </w:pPr>
            <w:r w:rsidRPr="008B6BB8">
              <w:rPr>
                <w:rFonts w:eastAsia="SimSun"/>
                <w:sz w:val="20"/>
                <w:lang w:val="es-ES_tradnl"/>
              </w:rPr>
              <w:t>12</w:t>
            </w:r>
            <w:r w:rsidR="003C7885" w:rsidRPr="008B6BB8">
              <w:rPr>
                <w:rFonts w:eastAsia="SimSun"/>
                <w:sz w:val="20"/>
                <w:lang w:val="es-ES_tradnl"/>
              </w:rPr>
              <w:t>.</w:t>
            </w:r>
            <w:r w:rsidRPr="008B6BB8">
              <w:rPr>
                <w:rFonts w:eastAsia="SimSun"/>
                <w:sz w:val="20"/>
                <w:lang w:val="es-ES_tradnl"/>
              </w:rPr>
              <w:t>00-15</w:t>
            </w:r>
            <w:r w:rsidR="003C7885" w:rsidRPr="008B6BB8">
              <w:rPr>
                <w:rFonts w:eastAsia="SimSun"/>
                <w:sz w:val="20"/>
                <w:lang w:val="es-ES_tradnl"/>
              </w:rPr>
              <w:t>.</w:t>
            </w:r>
            <w:r w:rsidRPr="008B6BB8">
              <w:rPr>
                <w:rFonts w:eastAsia="SimSun"/>
                <w:sz w:val="20"/>
                <w:lang w:val="es-ES_tradnl"/>
              </w:rPr>
              <w:t xml:space="preserve">00 </w:t>
            </w:r>
            <w:r w:rsidRPr="008B6BB8">
              <w:rPr>
                <w:sz w:val="20"/>
                <w:lang w:val="es-ES_tradnl"/>
              </w:rPr>
              <w:t>horas (UTC+01</w:t>
            </w:r>
            <w:r w:rsidR="005C78DB" w:rsidRPr="008B6BB8">
              <w:rPr>
                <w:sz w:val="20"/>
                <w:lang w:val="es-ES_tradnl"/>
              </w:rPr>
              <w:t>.</w:t>
            </w:r>
            <w:r w:rsidRPr="008B6BB8">
              <w:rPr>
                <w:sz w:val="20"/>
                <w:lang w:val="es-ES_tradnl"/>
              </w:rPr>
              <w:t>00)</w:t>
            </w:r>
          </w:p>
        </w:tc>
        <w:tc>
          <w:tcPr>
            <w:tcW w:w="988" w:type="dxa"/>
            <w:shd w:val="clear" w:color="auto" w:fill="auto"/>
          </w:tcPr>
          <w:p w14:paraId="6FDC1CD8"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6A4B6EB8" w14:textId="77777777" w:rsidR="00BE59AA" w:rsidRPr="008B6BB8" w:rsidRDefault="00BE59AA" w:rsidP="00564695">
            <w:pPr>
              <w:pStyle w:val="Tabletext"/>
              <w:jc w:val="center"/>
              <w:rPr>
                <w:sz w:val="20"/>
                <w:lang w:val="es-ES_tradnl"/>
              </w:rPr>
            </w:pPr>
            <w:r w:rsidRPr="008B6BB8">
              <w:rPr>
                <w:sz w:val="20"/>
                <w:lang w:val="es-ES_tradnl"/>
              </w:rPr>
              <w:t>GR-MT</w:t>
            </w:r>
          </w:p>
        </w:tc>
        <w:tc>
          <w:tcPr>
            <w:tcW w:w="6082" w:type="dxa"/>
            <w:shd w:val="clear" w:color="auto" w:fill="auto"/>
            <w:tcMar>
              <w:top w:w="0" w:type="dxa"/>
              <w:left w:w="108" w:type="dxa"/>
              <w:bottom w:w="0" w:type="dxa"/>
              <w:right w:w="108" w:type="dxa"/>
            </w:tcMar>
          </w:tcPr>
          <w:p w14:paraId="6AE38A8B" w14:textId="77777777" w:rsidR="00BE59AA" w:rsidRPr="008B6BB8" w:rsidRDefault="00BE59AA" w:rsidP="000D243F">
            <w:pPr>
              <w:pStyle w:val="Tabletext"/>
              <w:rPr>
                <w:sz w:val="20"/>
                <w:lang w:val="es-ES_tradnl"/>
              </w:rPr>
            </w:pPr>
            <w:r w:rsidRPr="008B6BB8">
              <w:rPr>
                <w:rFonts w:eastAsia="SimSun"/>
                <w:sz w:val="20"/>
                <w:lang w:val="es-ES_tradnl"/>
              </w:rPr>
              <w:t>Debate de temas pendientes de reuniones anteriores del Grupo de Relator</w:t>
            </w:r>
          </w:p>
        </w:tc>
        <w:tc>
          <w:tcPr>
            <w:tcW w:w="1619" w:type="dxa"/>
          </w:tcPr>
          <w:p w14:paraId="3646E072" w14:textId="6B52E343" w:rsidR="00BE59AA" w:rsidRPr="008B6BB8" w:rsidRDefault="00BE59AA" w:rsidP="00564695">
            <w:pPr>
              <w:pStyle w:val="Tabletext"/>
              <w:jc w:val="center"/>
              <w:rPr>
                <w:sz w:val="20"/>
                <w:lang w:val="es-ES_tradnl"/>
              </w:rPr>
            </w:pPr>
            <w:r w:rsidRPr="008B6BB8">
              <w:rPr>
                <w:rFonts w:eastAsia="SimSun"/>
                <w:sz w:val="20"/>
                <w:lang w:val="es-ES_tradnl"/>
              </w:rPr>
              <w:t>11 de noviembre de</w:t>
            </w:r>
            <w:r w:rsidR="00F47FAC">
              <w:rPr>
                <w:rFonts w:eastAsia="SimSun"/>
                <w:sz w:val="20"/>
                <w:lang w:val="es-ES_tradnl"/>
              </w:rPr>
              <w:t> </w:t>
            </w:r>
            <w:r w:rsidRPr="008B6BB8">
              <w:rPr>
                <w:rFonts w:eastAsia="SimSun"/>
                <w:sz w:val="20"/>
                <w:lang w:val="es-ES_tradnl"/>
              </w:rPr>
              <w:t>2023</w:t>
            </w:r>
          </w:p>
        </w:tc>
      </w:tr>
      <w:tr w:rsidR="00BE59AA" w:rsidRPr="00983703" w14:paraId="2B4FE763" w14:textId="77777777" w:rsidTr="000D243F">
        <w:trPr>
          <w:cantSplit/>
          <w:trHeight w:val="300"/>
          <w:jc w:val="center"/>
        </w:trPr>
        <w:tc>
          <w:tcPr>
            <w:tcW w:w="409" w:type="dxa"/>
            <w:shd w:val="clear" w:color="auto" w:fill="auto"/>
            <w:tcMar>
              <w:top w:w="0" w:type="dxa"/>
              <w:left w:w="108" w:type="dxa"/>
              <w:bottom w:w="0" w:type="dxa"/>
              <w:right w:w="108" w:type="dxa"/>
            </w:tcMar>
          </w:tcPr>
          <w:p w14:paraId="76904CA1" w14:textId="23D8FCA6"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19</w:t>
            </w:r>
          </w:p>
        </w:tc>
        <w:tc>
          <w:tcPr>
            <w:tcW w:w="1966" w:type="dxa"/>
            <w:shd w:val="clear" w:color="auto" w:fill="auto"/>
            <w:tcMar>
              <w:top w:w="0" w:type="dxa"/>
              <w:left w:w="108" w:type="dxa"/>
              <w:bottom w:w="0" w:type="dxa"/>
              <w:right w:w="108" w:type="dxa"/>
            </w:tcMar>
          </w:tcPr>
          <w:p w14:paraId="18D8ACA9" w14:textId="559247B3" w:rsidR="00BE59AA" w:rsidRPr="008B6BB8" w:rsidRDefault="00BE59AA" w:rsidP="003C7885">
            <w:pPr>
              <w:pStyle w:val="Tabletext"/>
              <w:jc w:val="center"/>
              <w:rPr>
                <w:rFonts w:eastAsia="SimSun"/>
                <w:sz w:val="20"/>
                <w:lang w:val="es-ES_tradnl"/>
              </w:rPr>
            </w:pPr>
            <w:r w:rsidRPr="008B6BB8">
              <w:rPr>
                <w:rFonts w:eastAsia="SimSun"/>
                <w:sz w:val="20"/>
                <w:lang w:val="es-ES_tradnl"/>
              </w:rPr>
              <w:t>5 de diciembre de</w:t>
            </w:r>
            <w:r w:rsidR="003C7885" w:rsidRPr="008B6BB8">
              <w:rPr>
                <w:rFonts w:eastAsia="SimSun"/>
                <w:sz w:val="20"/>
                <w:lang w:val="es-ES_tradnl"/>
              </w:rPr>
              <w:t> </w:t>
            </w:r>
            <w:r w:rsidRPr="008B6BB8">
              <w:rPr>
                <w:rFonts w:eastAsia="SimSun"/>
                <w:sz w:val="20"/>
                <w:lang w:val="es-ES_tradnl"/>
              </w:rPr>
              <w:t>2023</w:t>
            </w:r>
          </w:p>
        </w:tc>
        <w:tc>
          <w:tcPr>
            <w:tcW w:w="1834" w:type="dxa"/>
            <w:shd w:val="clear" w:color="auto" w:fill="auto"/>
            <w:tcMar>
              <w:top w:w="0" w:type="dxa"/>
              <w:left w:w="108" w:type="dxa"/>
              <w:bottom w:w="0" w:type="dxa"/>
              <w:right w:w="108" w:type="dxa"/>
            </w:tcMar>
          </w:tcPr>
          <w:p w14:paraId="4B647FB9" w14:textId="4D29AE3B" w:rsidR="00BE59AA" w:rsidRPr="008B6BB8" w:rsidRDefault="00BE59AA" w:rsidP="005C78DB">
            <w:pPr>
              <w:pStyle w:val="Tabletext"/>
              <w:jc w:val="center"/>
              <w:rPr>
                <w:rFonts w:eastAsia="SimSun"/>
                <w:sz w:val="20"/>
                <w:lang w:val="es-ES_tradnl"/>
              </w:rPr>
            </w:pPr>
            <w:r w:rsidRPr="008B6BB8">
              <w:rPr>
                <w:rFonts w:eastAsia="SimSun"/>
                <w:sz w:val="20"/>
                <w:lang w:val="es-ES_tradnl"/>
              </w:rPr>
              <w:t>12</w:t>
            </w:r>
            <w:r w:rsidR="003C7885" w:rsidRPr="008B6BB8">
              <w:rPr>
                <w:rFonts w:eastAsia="SimSun"/>
                <w:sz w:val="20"/>
                <w:lang w:val="es-ES_tradnl"/>
              </w:rPr>
              <w:t>.</w:t>
            </w:r>
            <w:r w:rsidRPr="008B6BB8">
              <w:rPr>
                <w:rFonts w:eastAsia="SimSun"/>
                <w:sz w:val="20"/>
                <w:lang w:val="es-ES_tradnl"/>
              </w:rPr>
              <w:t>00-15</w:t>
            </w:r>
            <w:r w:rsidR="003C7885" w:rsidRPr="008B6BB8">
              <w:rPr>
                <w:rFonts w:eastAsia="SimSun"/>
                <w:sz w:val="20"/>
                <w:lang w:val="es-ES_tradnl"/>
              </w:rPr>
              <w:t>.</w:t>
            </w:r>
            <w:r w:rsidRPr="008B6BB8">
              <w:rPr>
                <w:rFonts w:eastAsia="SimSun"/>
                <w:sz w:val="20"/>
                <w:lang w:val="es-ES_tradnl"/>
              </w:rPr>
              <w:t xml:space="preserve">00 </w:t>
            </w:r>
            <w:r w:rsidRPr="008B6BB8">
              <w:rPr>
                <w:sz w:val="20"/>
                <w:lang w:val="es-ES_tradnl"/>
              </w:rPr>
              <w:t>horas (UTC+01</w:t>
            </w:r>
            <w:r w:rsidR="005C78DB" w:rsidRPr="008B6BB8">
              <w:rPr>
                <w:sz w:val="20"/>
                <w:lang w:val="es-ES_tradnl"/>
              </w:rPr>
              <w:t>.</w:t>
            </w:r>
            <w:r w:rsidRPr="008B6BB8">
              <w:rPr>
                <w:sz w:val="20"/>
                <w:lang w:val="es-ES_tradnl"/>
              </w:rPr>
              <w:t>00)</w:t>
            </w:r>
          </w:p>
        </w:tc>
        <w:tc>
          <w:tcPr>
            <w:tcW w:w="988" w:type="dxa"/>
            <w:shd w:val="clear" w:color="auto" w:fill="auto"/>
          </w:tcPr>
          <w:p w14:paraId="6984BC1D"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2431918F" w14:textId="77777777" w:rsidR="00BE59AA" w:rsidRPr="008B6BB8" w:rsidRDefault="00BE59AA" w:rsidP="00564695">
            <w:pPr>
              <w:pStyle w:val="Tabletext"/>
              <w:jc w:val="center"/>
              <w:rPr>
                <w:sz w:val="20"/>
                <w:lang w:val="es-ES_tradnl"/>
              </w:rPr>
            </w:pPr>
            <w:r w:rsidRPr="008B6BB8">
              <w:rPr>
                <w:sz w:val="20"/>
                <w:lang w:val="es-ES_tradnl"/>
              </w:rPr>
              <w:t>GR-MT</w:t>
            </w:r>
          </w:p>
        </w:tc>
        <w:tc>
          <w:tcPr>
            <w:tcW w:w="6082" w:type="dxa"/>
            <w:shd w:val="clear" w:color="auto" w:fill="auto"/>
            <w:tcMar>
              <w:top w:w="0" w:type="dxa"/>
              <w:left w:w="108" w:type="dxa"/>
              <w:bottom w:w="0" w:type="dxa"/>
              <w:right w:w="108" w:type="dxa"/>
            </w:tcMar>
          </w:tcPr>
          <w:p w14:paraId="1CA9D971" w14:textId="77777777" w:rsidR="00BE59AA" w:rsidRPr="008B6BB8" w:rsidRDefault="00BE59AA" w:rsidP="000D243F">
            <w:pPr>
              <w:pStyle w:val="Tabletext"/>
              <w:rPr>
                <w:rFonts w:eastAsia="SimSun"/>
                <w:sz w:val="20"/>
                <w:lang w:val="es-ES_tradnl"/>
              </w:rPr>
            </w:pPr>
            <w:r w:rsidRPr="008B6BB8">
              <w:rPr>
                <w:rFonts w:eastAsia="SimSun"/>
                <w:sz w:val="20"/>
                <w:lang w:val="es-ES_tradnl"/>
              </w:rPr>
              <w:t>Debate de temas pendientes de reuniones anteriores del Grupo de Relator</w:t>
            </w:r>
          </w:p>
        </w:tc>
        <w:tc>
          <w:tcPr>
            <w:tcW w:w="1619" w:type="dxa"/>
          </w:tcPr>
          <w:p w14:paraId="3B078A42" w14:textId="30E0FD27" w:rsidR="00BE59AA" w:rsidRPr="008B6BB8" w:rsidRDefault="00BE59AA" w:rsidP="00564695">
            <w:pPr>
              <w:pStyle w:val="Tabletext"/>
              <w:jc w:val="center"/>
              <w:rPr>
                <w:rFonts w:eastAsia="SimSun"/>
                <w:sz w:val="20"/>
                <w:lang w:val="es-ES_tradnl"/>
              </w:rPr>
            </w:pPr>
            <w:r w:rsidRPr="008B6BB8">
              <w:rPr>
                <w:rFonts w:eastAsia="SimSun"/>
                <w:sz w:val="20"/>
                <w:lang w:val="es-ES_tradnl"/>
              </w:rPr>
              <w:t>25 de noviembre de</w:t>
            </w:r>
            <w:r w:rsidR="00F47FAC">
              <w:rPr>
                <w:rFonts w:eastAsia="SimSun"/>
                <w:sz w:val="20"/>
                <w:lang w:val="es-ES_tradnl"/>
              </w:rPr>
              <w:t> </w:t>
            </w:r>
            <w:r w:rsidRPr="008B6BB8">
              <w:rPr>
                <w:rFonts w:eastAsia="SimSun"/>
                <w:sz w:val="20"/>
                <w:lang w:val="es-ES_tradnl"/>
              </w:rPr>
              <w:t>2023</w:t>
            </w:r>
          </w:p>
        </w:tc>
      </w:tr>
      <w:tr w:rsidR="00BE59AA" w:rsidRPr="00983703" w14:paraId="4B6E8872" w14:textId="77777777" w:rsidTr="000D243F">
        <w:trPr>
          <w:cantSplit/>
          <w:jc w:val="center"/>
        </w:trPr>
        <w:tc>
          <w:tcPr>
            <w:tcW w:w="409" w:type="dxa"/>
            <w:shd w:val="clear" w:color="auto" w:fill="auto"/>
            <w:tcMar>
              <w:top w:w="0" w:type="dxa"/>
              <w:left w:w="108" w:type="dxa"/>
              <w:bottom w:w="0" w:type="dxa"/>
              <w:right w:w="108" w:type="dxa"/>
            </w:tcMar>
          </w:tcPr>
          <w:p w14:paraId="336C7989" w14:textId="68B3E251"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20</w:t>
            </w:r>
          </w:p>
        </w:tc>
        <w:tc>
          <w:tcPr>
            <w:tcW w:w="1966" w:type="dxa"/>
            <w:shd w:val="clear" w:color="auto" w:fill="auto"/>
            <w:tcMar>
              <w:top w:w="0" w:type="dxa"/>
              <w:left w:w="108" w:type="dxa"/>
              <w:bottom w:w="0" w:type="dxa"/>
              <w:right w:w="108" w:type="dxa"/>
            </w:tcMar>
          </w:tcPr>
          <w:p w14:paraId="637F5BED" w14:textId="77777777" w:rsidR="00BE59AA" w:rsidRPr="008B6BB8" w:rsidRDefault="00BE59AA" w:rsidP="003C7885">
            <w:pPr>
              <w:pStyle w:val="Tabletext"/>
              <w:jc w:val="center"/>
              <w:rPr>
                <w:sz w:val="20"/>
                <w:lang w:val="es-ES_tradnl"/>
              </w:rPr>
            </w:pPr>
            <w:r w:rsidRPr="008B6BB8">
              <w:rPr>
                <w:sz w:val="20"/>
                <w:lang w:val="es-ES_tradnl"/>
              </w:rPr>
              <w:t>12 de diciembre de 2023</w:t>
            </w:r>
          </w:p>
        </w:tc>
        <w:tc>
          <w:tcPr>
            <w:tcW w:w="1834" w:type="dxa"/>
            <w:shd w:val="clear" w:color="auto" w:fill="auto"/>
            <w:tcMar>
              <w:top w:w="0" w:type="dxa"/>
              <w:left w:w="108" w:type="dxa"/>
              <w:bottom w:w="0" w:type="dxa"/>
              <w:right w:w="108" w:type="dxa"/>
            </w:tcMar>
          </w:tcPr>
          <w:p w14:paraId="27F6872A"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37AC1799"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60120B0B" w14:textId="77777777" w:rsidR="00BE59AA" w:rsidRPr="008B6BB8" w:rsidRDefault="00BE59AA" w:rsidP="00564695">
            <w:pPr>
              <w:pStyle w:val="Tabletext"/>
              <w:jc w:val="center"/>
              <w:rPr>
                <w:sz w:val="20"/>
                <w:lang w:val="es-ES_tradnl"/>
              </w:rPr>
            </w:pPr>
            <w:r w:rsidRPr="008B6BB8">
              <w:rPr>
                <w:sz w:val="20"/>
                <w:lang w:val="es-ES_tradnl"/>
              </w:rPr>
              <w:t>GR-IEM</w:t>
            </w:r>
          </w:p>
        </w:tc>
        <w:tc>
          <w:tcPr>
            <w:tcW w:w="6082" w:type="dxa"/>
            <w:shd w:val="clear" w:color="auto" w:fill="auto"/>
            <w:tcMar>
              <w:top w:w="0" w:type="dxa"/>
              <w:left w:w="108" w:type="dxa"/>
              <w:bottom w:w="0" w:type="dxa"/>
              <w:right w:w="108" w:type="dxa"/>
            </w:tcMar>
          </w:tcPr>
          <w:p w14:paraId="2F3E8342" w14:textId="77777777" w:rsidR="00BE59AA" w:rsidRPr="008B6BB8" w:rsidRDefault="00BE59AA" w:rsidP="000D243F">
            <w:pPr>
              <w:pStyle w:val="Tabletext"/>
              <w:rPr>
                <w:sz w:val="20"/>
                <w:lang w:val="es-ES_tradnl"/>
              </w:rPr>
            </w:pPr>
            <w:r w:rsidRPr="008B6BB8">
              <w:rPr>
                <w:sz w:val="20"/>
                <w:lang w:val="es-ES_tradnl"/>
              </w:rPr>
              <w:t>Parámetros</w:t>
            </w:r>
          </w:p>
        </w:tc>
        <w:tc>
          <w:tcPr>
            <w:tcW w:w="1619" w:type="dxa"/>
          </w:tcPr>
          <w:p w14:paraId="0C3E41CA" w14:textId="715271D6" w:rsidR="00BE59AA" w:rsidRPr="008B6BB8" w:rsidRDefault="00BE59AA" w:rsidP="00564695">
            <w:pPr>
              <w:pStyle w:val="Tabletext"/>
              <w:jc w:val="center"/>
              <w:rPr>
                <w:sz w:val="20"/>
                <w:lang w:val="es-ES_tradnl"/>
              </w:rPr>
            </w:pPr>
            <w:r w:rsidRPr="008B6BB8">
              <w:rPr>
                <w:sz w:val="20"/>
                <w:lang w:val="es-ES_tradnl"/>
              </w:rPr>
              <w:t>4 de diciembre de</w:t>
            </w:r>
            <w:r w:rsidR="00564695" w:rsidRPr="008B6BB8">
              <w:rPr>
                <w:sz w:val="20"/>
                <w:lang w:val="es-ES_tradnl"/>
              </w:rPr>
              <w:t> </w:t>
            </w:r>
            <w:r w:rsidRPr="008B6BB8">
              <w:rPr>
                <w:sz w:val="20"/>
                <w:lang w:val="es-ES_tradnl"/>
              </w:rPr>
              <w:t>2023</w:t>
            </w:r>
          </w:p>
        </w:tc>
      </w:tr>
      <w:tr w:rsidR="00BE59AA" w:rsidRPr="00983703" w14:paraId="1D7803DD" w14:textId="77777777" w:rsidTr="000D243F">
        <w:trPr>
          <w:cantSplit/>
          <w:jc w:val="center"/>
        </w:trPr>
        <w:tc>
          <w:tcPr>
            <w:tcW w:w="409" w:type="dxa"/>
            <w:shd w:val="clear" w:color="auto" w:fill="auto"/>
            <w:tcMar>
              <w:top w:w="0" w:type="dxa"/>
              <w:left w:w="108" w:type="dxa"/>
              <w:bottom w:w="0" w:type="dxa"/>
              <w:right w:w="108" w:type="dxa"/>
            </w:tcMar>
          </w:tcPr>
          <w:p w14:paraId="6A7561BE" w14:textId="040E5B2B"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21</w:t>
            </w:r>
          </w:p>
        </w:tc>
        <w:tc>
          <w:tcPr>
            <w:tcW w:w="1966" w:type="dxa"/>
            <w:shd w:val="clear" w:color="auto" w:fill="auto"/>
            <w:tcMar>
              <w:top w:w="0" w:type="dxa"/>
              <w:left w:w="108" w:type="dxa"/>
              <w:bottom w:w="0" w:type="dxa"/>
              <w:right w:w="108" w:type="dxa"/>
            </w:tcMar>
          </w:tcPr>
          <w:p w14:paraId="3433982E" w14:textId="2384AA22" w:rsidR="00BE59AA" w:rsidRPr="008B6BB8" w:rsidRDefault="00BE59AA" w:rsidP="003C7885">
            <w:pPr>
              <w:pStyle w:val="Tabletext"/>
              <w:jc w:val="center"/>
              <w:rPr>
                <w:sz w:val="20"/>
                <w:lang w:val="es-ES_tradnl"/>
              </w:rPr>
            </w:pPr>
            <w:r w:rsidRPr="008B6BB8">
              <w:rPr>
                <w:sz w:val="20"/>
                <w:lang w:val="es-ES_tradnl"/>
              </w:rPr>
              <w:t>10 de enero de</w:t>
            </w:r>
            <w:r w:rsidR="003C7885" w:rsidRPr="008B6BB8">
              <w:rPr>
                <w:sz w:val="20"/>
                <w:lang w:val="es-ES_tradnl"/>
              </w:rPr>
              <w:t> </w:t>
            </w:r>
            <w:r w:rsidRPr="008B6BB8">
              <w:rPr>
                <w:sz w:val="20"/>
                <w:lang w:val="es-ES_tradnl"/>
              </w:rPr>
              <w:t>2024</w:t>
            </w:r>
          </w:p>
        </w:tc>
        <w:tc>
          <w:tcPr>
            <w:tcW w:w="1834" w:type="dxa"/>
            <w:shd w:val="clear" w:color="auto" w:fill="auto"/>
            <w:tcMar>
              <w:top w:w="0" w:type="dxa"/>
              <w:left w:w="108" w:type="dxa"/>
              <w:bottom w:w="0" w:type="dxa"/>
              <w:right w:w="108" w:type="dxa"/>
            </w:tcMar>
          </w:tcPr>
          <w:p w14:paraId="3A61F49A"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5AF19441"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00D1796E" w14:textId="77777777" w:rsidR="00BE59AA" w:rsidRPr="008B6BB8" w:rsidRDefault="00BE59AA" w:rsidP="00564695">
            <w:pPr>
              <w:pStyle w:val="Tabletext"/>
              <w:jc w:val="center"/>
              <w:rPr>
                <w:sz w:val="20"/>
                <w:lang w:val="es-ES_tradnl"/>
              </w:rPr>
            </w:pPr>
            <w:r w:rsidRPr="008B6BB8">
              <w:rPr>
                <w:sz w:val="20"/>
                <w:lang w:val="es-ES_tradnl"/>
              </w:rPr>
              <w:t>GR-WPR</w:t>
            </w:r>
          </w:p>
        </w:tc>
        <w:tc>
          <w:tcPr>
            <w:tcW w:w="6082" w:type="dxa"/>
            <w:shd w:val="clear" w:color="auto" w:fill="auto"/>
            <w:tcMar>
              <w:top w:w="0" w:type="dxa"/>
              <w:left w:w="108" w:type="dxa"/>
              <w:bottom w:w="0" w:type="dxa"/>
              <w:right w:w="108" w:type="dxa"/>
            </w:tcMar>
          </w:tcPr>
          <w:p w14:paraId="7F2C0F14" w14:textId="77777777" w:rsidR="00BE59AA" w:rsidRPr="008B6BB8" w:rsidRDefault="00BE59AA" w:rsidP="000D243F">
            <w:pPr>
              <w:pStyle w:val="Tabletext"/>
              <w:rPr>
                <w:sz w:val="20"/>
                <w:lang w:val="es-ES_tradnl"/>
              </w:rPr>
            </w:pPr>
            <w:r w:rsidRPr="008B6BB8">
              <w:rPr>
                <w:sz w:val="20"/>
                <w:lang w:val="es-ES_tradnl"/>
              </w:rPr>
              <w:t>Revisión del texto de referencia (TD214R1) sobre:</w:t>
            </w:r>
          </w:p>
          <w:p w14:paraId="584B7338" w14:textId="46876272"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rPr>
              <w:t>•</w:t>
            </w:r>
            <w:r w:rsidRPr="008B6BB8">
              <w:rPr>
                <w:sz w:val="20"/>
                <w:lang w:val="es-ES_tradnl"/>
              </w:rPr>
              <w:tab/>
            </w:r>
            <w:r w:rsidR="00BE59AA" w:rsidRPr="008B6BB8">
              <w:rPr>
                <w:sz w:val="20"/>
                <w:lang w:val="es-ES_tradnl"/>
              </w:rPr>
              <w:t>definición de IFR</w:t>
            </w:r>
          </w:p>
          <w:p w14:paraId="61900196" w14:textId="0CB22DC9"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rPr>
              <w:t>•</w:t>
            </w:r>
            <w:r w:rsidRPr="008B6BB8">
              <w:rPr>
                <w:sz w:val="20"/>
                <w:lang w:val="es-ES_tradnl"/>
              </w:rPr>
              <w:tab/>
            </w:r>
            <w:r w:rsidR="00BE59AA" w:rsidRPr="008B6BB8">
              <w:rPr>
                <w:sz w:val="20"/>
                <w:lang w:val="es-ES_tradnl"/>
              </w:rPr>
              <w:t>prioridades relativas de los IFR</w:t>
            </w:r>
          </w:p>
          <w:p w14:paraId="6C99B3F4" w14:textId="1F39D20C" w:rsidR="00BE59AA" w:rsidRPr="008B6BB8" w:rsidRDefault="004724A4" w:rsidP="004724A4">
            <w:pPr>
              <w:pStyle w:val="enumlev1"/>
              <w:tabs>
                <w:tab w:val="clear" w:pos="794"/>
                <w:tab w:val="left" w:pos="247"/>
              </w:tabs>
              <w:ind w:left="247" w:hanging="247"/>
              <w:rPr>
                <w:sz w:val="20"/>
                <w:lang w:val="es-ES_tradnl"/>
              </w:rPr>
            </w:pPr>
            <w:r w:rsidRPr="008B6BB8">
              <w:rPr>
                <w:sz w:val="20"/>
                <w:lang w:val="es-ES_tradnl"/>
              </w:rPr>
              <w:t>•</w:t>
            </w:r>
            <w:r w:rsidRPr="008B6BB8">
              <w:rPr>
                <w:sz w:val="20"/>
                <w:lang w:val="es-ES_tradnl"/>
              </w:rPr>
              <w:tab/>
            </w:r>
            <w:r w:rsidR="00BE59AA" w:rsidRPr="008B6BB8">
              <w:rPr>
                <w:sz w:val="20"/>
                <w:lang w:val="es-ES_tradnl"/>
              </w:rPr>
              <w:t>posibles nuevas estructuras</w:t>
            </w:r>
          </w:p>
        </w:tc>
        <w:tc>
          <w:tcPr>
            <w:tcW w:w="1619" w:type="dxa"/>
          </w:tcPr>
          <w:p w14:paraId="5F997706" w14:textId="20C0D1C1" w:rsidR="00BE59AA" w:rsidRPr="008B6BB8" w:rsidRDefault="00BE59AA" w:rsidP="00564695">
            <w:pPr>
              <w:pStyle w:val="Tabletext"/>
              <w:jc w:val="center"/>
              <w:rPr>
                <w:sz w:val="20"/>
                <w:lang w:val="es-ES_tradnl"/>
              </w:rPr>
            </w:pPr>
            <w:r w:rsidRPr="008B6BB8">
              <w:rPr>
                <w:sz w:val="20"/>
                <w:lang w:val="es-ES_tradnl"/>
              </w:rPr>
              <w:t xml:space="preserve">5 de enero </w:t>
            </w:r>
            <w:r w:rsidR="00F47FAC">
              <w:rPr>
                <w:sz w:val="20"/>
                <w:lang w:val="es-ES_tradnl"/>
              </w:rPr>
              <w:br/>
            </w:r>
            <w:r w:rsidRPr="008B6BB8">
              <w:rPr>
                <w:sz w:val="20"/>
                <w:lang w:val="es-ES_tradnl"/>
              </w:rPr>
              <w:t>de</w:t>
            </w:r>
            <w:r w:rsidR="00F47FAC">
              <w:rPr>
                <w:sz w:val="20"/>
                <w:lang w:val="es-ES_tradnl"/>
              </w:rPr>
              <w:t xml:space="preserve"> </w:t>
            </w:r>
            <w:r w:rsidRPr="008B6BB8">
              <w:rPr>
                <w:sz w:val="20"/>
                <w:lang w:val="es-ES_tradnl"/>
              </w:rPr>
              <w:t>2024</w:t>
            </w:r>
          </w:p>
        </w:tc>
      </w:tr>
      <w:tr w:rsidR="00BE59AA" w:rsidRPr="00983703" w14:paraId="4CDADDB7" w14:textId="77777777" w:rsidTr="000D243F">
        <w:trPr>
          <w:cantSplit/>
          <w:jc w:val="center"/>
        </w:trPr>
        <w:tc>
          <w:tcPr>
            <w:tcW w:w="409" w:type="dxa"/>
            <w:shd w:val="clear" w:color="auto" w:fill="auto"/>
            <w:tcMar>
              <w:top w:w="0" w:type="dxa"/>
              <w:left w:w="108" w:type="dxa"/>
              <w:bottom w:w="0" w:type="dxa"/>
              <w:right w:w="108" w:type="dxa"/>
            </w:tcMar>
          </w:tcPr>
          <w:p w14:paraId="2038F13B" w14:textId="49E2BCE9"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22</w:t>
            </w:r>
          </w:p>
        </w:tc>
        <w:tc>
          <w:tcPr>
            <w:tcW w:w="1966" w:type="dxa"/>
            <w:shd w:val="clear" w:color="auto" w:fill="auto"/>
            <w:tcMar>
              <w:top w:w="0" w:type="dxa"/>
              <w:left w:w="108" w:type="dxa"/>
              <w:bottom w:w="0" w:type="dxa"/>
              <w:right w:w="108" w:type="dxa"/>
            </w:tcMar>
          </w:tcPr>
          <w:p w14:paraId="438B23E6" w14:textId="0D188A38" w:rsidR="00BE59AA" w:rsidRPr="008B6BB8" w:rsidRDefault="00BE59AA" w:rsidP="003C7885">
            <w:pPr>
              <w:pStyle w:val="Tabletext"/>
              <w:jc w:val="center"/>
              <w:rPr>
                <w:sz w:val="20"/>
                <w:lang w:val="es-ES_tradnl"/>
              </w:rPr>
            </w:pPr>
            <w:r w:rsidRPr="008B6BB8">
              <w:rPr>
                <w:sz w:val="20"/>
                <w:lang w:val="es-ES_tradnl"/>
              </w:rPr>
              <w:t>18 de enero de</w:t>
            </w:r>
            <w:r w:rsidR="003C7885" w:rsidRPr="008B6BB8">
              <w:rPr>
                <w:sz w:val="20"/>
                <w:lang w:val="es-ES_tradnl"/>
              </w:rPr>
              <w:t> </w:t>
            </w:r>
            <w:r w:rsidRPr="008B6BB8">
              <w:rPr>
                <w:sz w:val="20"/>
                <w:lang w:val="es-ES_tradnl"/>
              </w:rPr>
              <w:t>2024</w:t>
            </w:r>
          </w:p>
        </w:tc>
        <w:tc>
          <w:tcPr>
            <w:tcW w:w="1834" w:type="dxa"/>
            <w:shd w:val="clear" w:color="auto" w:fill="auto"/>
            <w:tcMar>
              <w:top w:w="0" w:type="dxa"/>
              <w:left w:w="108" w:type="dxa"/>
              <w:bottom w:w="0" w:type="dxa"/>
              <w:right w:w="108" w:type="dxa"/>
            </w:tcMar>
          </w:tcPr>
          <w:p w14:paraId="4BED02A0"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5E8A8652"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034FDB99" w14:textId="77777777" w:rsidR="00BE59AA" w:rsidRPr="008B6BB8" w:rsidRDefault="00BE59AA" w:rsidP="00564695">
            <w:pPr>
              <w:pStyle w:val="Tabletext"/>
              <w:jc w:val="center"/>
              <w:rPr>
                <w:sz w:val="20"/>
                <w:lang w:val="es-ES_tradnl"/>
              </w:rPr>
            </w:pPr>
            <w:r w:rsidRPr="008B6BB8">
              <w:rPr>
                <w:sz w:val="20"/>
                <w:lang w:val="es-ES_tradnl"/>
              </w:rPr>
              <w:t>GR-AMNT</w:t>
            </w:r>
          </w:p>
        </w:tc>
        <w:tc>
          <w:tcPr>
            <w:tcW w:w="6082" w:type="dxa"/>
            <w:shd w:val="clear" w:color="auto" w:fill="auto"/>
            <w:tcMar>
              <w:top w:w="0" w:type="dxa"/>
              <w:left w:w="108" w:type="dxa"/>
              <w:bottom w:w="0" w:type="dxa"/>
              <w:right w:w="108" w:type="dxa"/>
            </w:tcMar>
          </w:tcPr>
          <w:p w14:paraId="29A82DF6" w14:textId="77777777" w:rsidR="00BE59AA" w:rsidRPr="008B6BB8" w:rsidRDefault="00BE59AA" w:rsidP="000D243F">
            <w:pPr>
              <w:pStyle w:val="Tabletext"/>
              <w:rPr>
                <w:sz w:val="20"/>
                <w:lang w:val="es-ES_tradnl"/>
              </w:rPr>
            </w:pPr>
            <w:r w:rsidRPr="008B6BB8">
              <w:rPr>
                <w:sz w:val="20"/>
                <w:lang w:val="es-ES_tradnl"/>
              </w:rPr>
              <w:t xml:space="preserve">Avances en el proyecto de nuevos documentos </w:t>
            </w:r>
            <w:proofErr w:type="spellStart"/>
            <w:proofErr w:type="gramStart"/>
            <w:r w:rsidRPr="008B6BB8">
              <w:rPr>
                <w:sz w:val="20"/>
                <w:lang w:val="es-ES_tradnl"/>
              </w:rPr>
              <w:t>A.SupWTSAGL</w:t>
            </w:r>
            <w:proofErr w:type="spellEnd"/>
            <w:proofErr w:type="gramEnd"/>
            <w:r w:rsidRPr="008B6BB8">
              <w:rPr>
                <w:sz w:val="20"/>
                <w:lang w:val="es-ES_tradnl"/>
              </w:rPr>
              <w:t xml:space="preserve"> y A.BN; revisión de propuestas sobre aplicación específica de la racionalización de Resoluciones y opinión de la AMNT.</w:t>
            </w:r>
          </w:p>
        </w:tc>
        <w:tc>
          <w:tcPr>
            <w:tcW w:w="1619" w:type="dxa"/>
          </w:tcPr>
          <w:p w14:paraId="33F804BF" w14:textId="35655C91" w:rsidR="00BE59AA" w:rsidRPr="008B6BB8" w:rsidRDefault="00BE59AA" w:rsidP="00564695">
            <w:pPr>
              <w:pStyle w:val="Tabletext"/>
              <w:jc w:val="center"/>
              <w:rPr>
                <w:sz w:val="20"/>
                <w:lang w:val="es-ES_tradnl"/>
              </w:rPr>
            </w:pPr>
            <w:r w:rsidRPr="008B6BB8">
              <w:rPr>
                <w:sz w:val="20"/>
                <w:lang w:val="es-ES_tradnl"/>
              </w:rPr>
              <w:t>10 de enero de</w:t>
            </w:r>
            <w:r w:rsidR="00564695" w:rsidRPr="008B6BB8">
              <w:rPr>
                <w:sz w:val="20"/>
                <w:lang w:val="es-ES_tradnl"/>
              </w:rPr>
              <w:t> </w:t>
            </w:r>
            <w:r w:rsidRPr="008B6BB8">
              <w:rPr>
                <w:sz w:val="20"/>
                <w:lang w:val="es-ES_tradnl"/>
              </w:rPr>
              <w:t>2024</w:t>
            </w:r>
          </w:p>
        </w:tc>
      </w:tr>
      <w:tr w:rsidR="00BE59AA" w:rsidRPr="00983703" w14:paraId="47EF15D3" w14:textId="77777777" w:rsidTr="000D243F">
        <w:trPr>
          <w:cantSplit/>
          <w:jc w:val="center"/>
        </w:trPr>
        <w:tc>
          <w:tcPr>
            <w:tcW w:w="409" w:type="dxa"/>
            <w:shd w:val="clear" w:color="auto" w:fill="auto"/>
            <w:tcMar>
              <w:top w:w="0" w:type="dxa"/>
              <w:left w:w="108" w:type="dxa"/>
              <w:bottom w:w="0" w:type="dxa"/>
              <w:right w:w="108" w:type="dxa"/>
            </w:tcMar>
          </w:tcPr>
          <w:p w14:paraId="03789684" w14:textId="501487B8"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23</w:t>
            </w:r>
          </w:p>
        </w:tc>
        <w:tc>
          <w:tcPr>
            <w:tcW w:w="1966" w:type="dxa"/>
            <w:shd w:val="clear" w:color="auto" w:fill="auto"/>
            <w:tcMar>
              <w:top w:w="0" w:type="dxa"/>
              <w:left w:w="108" w:type="dxa"/>
              <w:bottom w:w="0" w:type="dxa"/>
              <w:right w:w="108" w:type="dxa"/>
            </w:tcMar>
          </w:tcPr>
          <w:p w14:paraId="4433020C" w14:textId="2BAB9279" w:rsidR="00BE59AA" w:rsidRPr="008B6BB8" w:rsidRDefault="00BE59AA" w:rsidP="003C7885">
            <w:pPr>
              <w:pStyle w:val="Tabletext"/>
              <w:jc w:val="center"/>
              <w:rPr>
                <w:sz w:val="20"/>
                <w:lang w:val="es-ES_tradnl"/>
              </w:rPr>
            </w:pPr>
            <w:r w:rsidRPr="008B6BB8">
              <w:rPr>
                <w:sz w:val="20"/>
                <w:lang w:val="es-ES_tradnl"/>
              </w:rPr>
              <w:t>30 de enero de</w:t>
            </w:r>
            <w:r w:rsidR="003C7885" w:rsidRPr="008B6BB8">
              <w:rPr>
                <w:sz w:val="20"/>
                <w:lang w:val="es-ES_tradnl"/>
              </w:rPr>
              <w:t> </w:t>
            </w:r>
            <w:r w:rsidRPr="008B6BB8">
              <w:rPr>
                <w:sz w:val="20"/>
                <w:lang w:val="es-ES_tradnl"/>
              </w:rPr>
              <w:t>2024</w:t>
            </w:r>
          </w:p>
        </w:tc>
        <w:tc>
          <w:tcPr>
            <w:tcW w:w="1834" w:type="dxa"/>
            <w:shd w:val="clear" w:color="auto" w:fill="auto"/>
            <w:tcMar>
              <w:top w:w="0" w:type="dxa"/>
              <w:left w:w="108" w:type="dxa"/>
              <w:bottom w:w="0" w:type="dxa"/>
              <w:right w:w="108" w:type="dxa"/>
            </w:tcMar>
          </w:tcPr>
          <w:p w14:paraId="73E253C2" w14:textId="77777777" w:rsidR="00BE59AA" w:rsidRPr="008B6BB8" w:rsidRDefault="00BE59AA" w:rsidP="005C78DB">
            <w:pPr>
              <w:pStyle w:val="Tabletext"/>
              <w:jc w:val="center"/>
              <w:rPr>
                <w:sz w:val="20"/>
                <w:lang w:val="es-ES_tradnl"/>
              </w:rPr>
            </w:pPr>
            <w:r w:rsidRPr="008B6BB8">
              <w:rPr>
                <w:sz w:val="20"/>
                <w:lang w:val="es-ES_tradnl"/>
              </w:rPr>
              <w:t>13.00-15.00 horas (UTC+01.00)</w:t>
            </w:r>
          </w:p>
        </w:tc>
        <w:tc>
          <w:tcPr>
            <w:tcW w:w="988" w:type="dxa"/>
            <w:shd w:val="clear" w:color="auto" w:fill="auto"/>
          </w:tcPr>
          <w:p w14:paraId="4CB42BAB" w14:textId="77777777" w:rsidR="00BE59AA" w:rsidRPr="008B6BB8" w:rsidRDefault="00BE59AA" w:rsidP="00564695">
            <w:pPr>
              <w:pStyle w:val="Tabletext"/>
              <w:jc w:val="center"/>
              <w:rPr>
                <w:sz w:val="20"/>
                <w:lang w:val="es-ES_tradnl"/>
              </w:rPr>
            </w:pPr>
            <w:r w:rsidRPr="008B6BB8">
              <w:rPr>
                <w:sz w:val="20"/>
                <w:lang w:val="es-ES_tradnl"/>
              </w:rPr>
              <w:t>V</w:t>
            </w:r>
          </w:p>
        </w:tc>
        <w:tc>
          <w:tcPr>
            <w:tcW w:w="1262" w:type="dxa"/>
            <w:shd w:val="clear" w:color="auto" w:fill="auto"/>
          </w:tcPr>
          <w:p w14:paraId="36FC1211" w14:textId="77777777" w:rsidR="00BE59AA" w:rsidRPr="008B6BB8" w:rsidRDefault="00BE59AA" w:rsidP="00564695">
            <w:pPr>
              <w:pStyle w:val="Tabletext"/>
              <w:jc w:val="center"/>
              <w:rPr>
                <w:sz w:val="20"/>
                <w:lang w:val="es-ES_tradnl"/>
              </w:rPr>
            </w:pPr>
            <w:r w:rsidRPr="008B6BB8">
              <w:rPr>
                <w:sz w:val="20"/>
                <w:lang w:val="es-ES_tradnl"/>
              </w:rPr>
              <w:t>GR-IEM</w:t>
            </w:r>
          </w:p>
        </w:tc>
        <w:tc>
          <w:tcPr>
            <w:tcW w:w="6082" w:type="dxa"/>
            <w:shd w:val="clear" w:color="auto" w:fill="auto"/>
            <w:tcMar>
              <w:top w:w="0" w:type="dxa"/>
              <w:left w:w="108" w:type="dxa"/>
              <w:bottom w:w="0" w:type="dxa"/>
              <w:right w:w="108" w:type="dxa"/>
            </w:tcMar>
          </w:tcPr>
          <w:p w14:paraId="7F4DF2EF" w14:textId="77777777" w:rsidR="00BE59AA" w:rsidRPr="008B6BB8" w:rsidRDefault="00BE59AA" w:rsidP="000D243F">
            <w:pPr>
              <w:pStyle w:val="Tabletext"/>
              <w:rPr>
                <w:sz w:val="20"/>
                <w:lang w:val="es-ES_tradnl"/>
              </w:rPr>
            </w:pPr>
            <w:r w:rsidRPr="008B6BB8">
              <w:rPr>
                <w:sz w:val="20"/>
                <w:lang w:val="es-ES_tradnl"/>
              </w:rPr>
              <w:t>Participación del sector industrial</w:t>
            </w:r>
          </w:p>
        </w:tc>
        <w:tc>
          <w:tcPr>
            <w:tcW w:w="1619" w:type="dxa"/>
          </w:tcPr>
          <w:p w14:paraId="6C6DB614" w14:textId="6B8547D0" w:rsidR="00BE59AA" w:rsidRPr="008B6BB8" w:rsidRDefault="00BE59AA" w:rsidP="00564695">
            <w:pPr>
              <w:pStyle w:val="Tabletext"/>
              <w:jc w:val="center"/>
              <w:rPr>
                <w:sz w:val="20"/>
                <w:lang w:val="es-ES_tradnl"/>
              </w:rPr>
            </w:pPr>
            <w:r w:rsidRPr="008B6BB8">
              <w:rPr>
                <w:sz w:val="20"/>
                <w:lang w:val="es-ES_tradnl"/>
              </w:rPr>
              <w:t>22 de enero de</w:t>
            </w:r>
            <w:r w:rsidR="00564695" w:rsidRPr="008B6BB8">
              <w:rPr>
                <w:sz w:val="20"/>
                <w:lang w:val="es-ES_tradnl"/>
              </w:rPr>
              <w:t> </w:t>
            </w:r>
            <w:r w:rsidRPr="008B6BB8">
              <w:rPr>
                <w:sz w:val="20"/>
                <w:lang w:val="es-ES_tradnl"/>
              </w:rPr>
              <w:t>2024</w:t>
            </w:r>
          </w:p>
        </w:tc>
      </w:tr>
      <w:tr w:rsidR="00BE59AA" w:rsidRPr="00983703" w14:paraId="490DAA70" w14:textId="77777777" w:rsidTr="000D243F">
        <w:trPr>
          <w:cantSplit/>
          <w:jc w:val="center"/>
        </w:trPr>
        <w:tc>
          <w:tcPr>
            <w:tcW w:w="409" w:type="dxa"/>
            <w:shd w:val="clear" w:color="auto" w:fill="auto"/>
            <w:tcMar>
              <w:top w:w="0" w:type="dxa"/>
              <w:left w:w="108" w:type="dxa"/>
              <w:bottom w:w="0" w:type="dxa"/>
              <w:right w:w="108" w:type="dxa"/>
            </w:tcMar>
          </w:tcPr>
          <w:p w14:paraId="3A252388" w14:textId="0341467B" w:rsidR="00BE59AA" w:rsidRPr="008B6BB8" w:rsidRDefault="00564695" w:rsidP="00564695">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val="es-ES_tradnl"/>
              </w:rPr>
            </w:pPr>
            <w:r w:rsidRPr="008B6BB8">
              <w:rPr>
                <w:sz w:val="20"/>
                <w:lang w:val="es-ES_tradnl"/>
              </w:rPr>
              <w:t>24</w:t>
            </w:r>
          </w:p>
        </w:tc>
        <w:tc>
          <w:tcPr>
            <w:tcW w:w="1966" w:type="dxa"/>
            <w:shd w:val="clear" w:color="auto" w:fill="auto"/>
            <w:tcMar>
              <w:top w:w="0" w:type="dxa"/>
              <w:left w:w="108" w:type="dxa"/>
              <w:bottom w:w="0" w:type="dxa"/>
              <w:right w:w="108" w:type="dxa"/>
            </w:tcMar>
          </w:tcPr>
          <w:p w14:paraId="3DD0F71E" w14:textId="77777777" w:rsidR="00BE59AA" w:rsidRPr="008B6BB8" w:rsidRDefault="00BE59AA" w:rsidP="003C7885">
            <w:pPr>
              <w:pStyle w:val="Tabletext"/>
              <w:jc w:val="center"/>
              <w:rPr>
                <w:sz w:val="20"/>
                <w:lang w:val="es-ES_tradnl"/>
              </w:rPr>
            </w:pPr>
            <w:r w:rsidRPr="008B6BB8">
              <w:rPr>
                <w:sz w:val="20"/>
                <w:lang w:val="es-ES_tradnl"/>
              </w:rPr>
              <w:t>Primavera de 2024</w:t>
            </w:r>
          </w:p>
        </w:tc>
        <w:tc>
          <w:tcPr>
            <w:tcW w:w="1834" w:type="dxa"/>
            <w:shd w:val="clear" w:color="auto" w:fill="auto"/>
            <w:tcMar>
              <w:top w:w="0" w:type="dxa"/>
              <w:left w:w="108" w:type="dxa"/>
              <w:bottom w:w="0" w:type="dxa"/>
              <w:right w:w="108" w:type="dxa"/>
            </w:tcMar>
          </w:tcPr>
          <w:p w14:paraId="14A50428" w14:textId="77777777" w:rsidR="00BE59AA" w:rsidRPr="008B6BB8" w:rsidRDefault="00BE59AA" w:rsidP="005C78DB">
            <w:pPr>
              <w:pStyle w:val="Tabletext"/>
              <w:jc w:val="center"/>
              <w:rPr>
                <w:sz w:val="20"/>
                <w:lang w:val="es-ES_tradnl"/>
              </w:rPr>
            </w:pPr>
            <w:r w:rsidRPr="008B6BB8">
              <w:rPr>
                <w:sz w:val="20"/>
                <w:lang w:val="es-ES_tradnl"/>
              </w:rPr>
              <w:t>TBD</w:t>
            </w:r>
          </w:p>
        </w:tc>
        <w:tc>
          <w:tcPr>
            <w:tcW w:w="988" w:type="dxa"/>
            <w:shd w:val="clear" w:color="auto" w:fill="auto"/>
          </w:tcPr>
          <w:p w14:paraId="199D263C" w14:textId="77777777" w:rsidR="00BE59AA" w:rsidRPr="008B6BB8" w:rsidRDefault="00BE59AA" w:rsidP="00564695">
            <w:pPr>
              <w:pStyle w:val="Tabletext"/>
              <w:jc w:val="center"/>
              <w:rPr>
                <w:sz w:val="20"/>
                <w:lang w:val="es-ES_tradnl"/>
              </w:rPr>
            </w:pPr>
            <w:r w:rsidRPr="008B6BB8">
              <w:rPr>
                <w:sz w:val="20"/>
                <w:lang w:val="es-ES_tradnl"/>
              </w:rPr>
              <w:t>¿Anfitrión/ GE?</w:t>
            </w:r>
          </w:p>
        </w:tc>
        <w:tc>
          <w:tcPr>
            <w:tcW w:w="1262" w:type="dxa"/>
            <w:shd w:val="clear" w:color="auto" w:fill="auto"/>
          </w:tcPr>
          <w:p w14:paraId="3CD08C03" w14:textId="1227BE6E" w:rsidR="00BE59AA" w:rsidRPr="008B6BB8" w:rsidRDefault="005C78DB" w:rsidP="00564695">
            <w:pPr>
              <w:pStyle w:val="Tabletext"/>
              <w:jc w:val="center"/>
              <w:rPr>
                <w:sz w:val="20"/>
                <w:lang w:val="es-ES_tradnl"/>
              </w:rPr>
            </w:pPr>
            <w:r w:rsidRPr="008B6BB8">
              <w:rPr>
                <w:sz w:val="20"/>
                <w:lang w:val="es-ES_tradnl"/>
              </w:rPr>
              <w:t>–</w:t>
            </w:r>
          </w:p>
        </w:tc>
        <w:tc>
          <w:tcPr>
            <w:tcW w:w="6082" w:type="dxa"/>
            <w:shd w:val="clear" w:color="auto" w:fill="auto"/>
            <w:tcMar>
              <w:top w:w="0" w:type="dxa"/>
              <w:left w:w="108" w:type="dxa"/>
              <w:bottom w:w="0" w:type="dxa"/>
              <w:right w:w="108" w:type="dxa"/>
            </w:tcMar>
          </w:tcPr>
          <w:p w14:paraId="27981C1E" w14:textId="77777777" w:rsidR="00BE59AA" w:rsidRPr="008B6BB8" w:rsidRDefault="00BE59AA" w:rsidP="000D243F">
            <w:pPr>
              <w:pStyle w:val="Tabletext"/>
              <w:rPr>
                <w:sz w:val="20"/>
                <w:lang w:val="es-ES_tradnl"/>
              </w:rPr>
            </w:pPr>
            <w:r w:rsidRPr="008B6BB8">
              <w:rPr>
                <w:sz w:val="20"/>
                <w:lang w:val="es-ES_tradnl"/>
              </w:rPr>
              <w:t>Taller sobre participación del sector industrial</w:t>
            </w:r>
          </w:p>
        </w:tc>
        <w:tc>
          <w:tcPr>
            <w:tcW w:w="1619" w:type="dxa"/>
          </w:tcPr>
          <w:p w14:paraId="117B7A40" w14:textId="3F95E5C3" w:rsidR="00BE59AA" w:rsidRPr="008B6BB8" w:rsidRDefault="000D243F" w:rsidP="00564695">
            <w:pPr>
              <w:pStyle w:val="Tabletext"/>
              <w:jc w:val="center"/>
              <w:rPr>
                <w:sz w:val="20"/>
                <w:lang w:val="es-ES_tradnl"/>
              </w:rPr>
            </w:pPr>
            <w:r w:rsidRPr="008B6BB8">
              <w:rPr>
                <w:sz w:val="20"/>
                <w:lang w:val="es-ES_tradnl"/>
              </w:rPr>
              <w:t>–</w:t>
            </w:r>
          </w:p>
        </w:tc>
      </w:tr>
    </w:tbl>
    <w:p w14:paraId="23559EE8"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sectPr w:rsidR="00BE59AA" w:rsidRPr="00983703" w:rsidSect="00081FFC">
          <w:headerReference w:type="default" r:id="rId112"/>
          <w:footerReference w:type="first" r:id="rId113"/>
          <w:pgSz w:w="16840" w:h="11907" w:orient="landscape" w:code="9"/>
          <w:pgMar w:top="1134" w:right="1134" w:bottom="1134" w:left="1134" w:header="425" w:footer="709" w:gutter="0"/>
          <w:cols w:space="720"/>
          <w:docGrid w:linePitch="326"/>
        </w:sectPr>
      </w:pPr>
    </w:p>
    <w:p w14:paraId="26BDF057" w14:textId="6B2A2495" w:rsidR="00BE59AA" w:rsidRPr="00DD4F73" w:rsidRDefault="00BE59AA" w:rsidP="00CE425B">
      <w:pPr>
        <w:pStyle w:val="Heading1"/>
        <w:rPr>
          <w:lang w:val="es-ES_tradnl"/>
        </w:rPr>
      </w:pPr>
      <w:bookmarkStart w:id="49" w:name="_Toc140261663"/>
      <w:r w:rsidRPr="00983703">
        <w:rPr>
          <w:lang w:val="es-ES_tradnl"/>
        </w:rPr>
        <w:lastRenderedPageBreak/>
        <w:t>20</w:t>
      </w:r>
      <w:r w:rsidRPr="00983703">
        <w:rPr>
          <w:lang w:val="es-ES_tradnl"/>
        </w:rPr>
        <w:tab/>
      </w:r>
      <w:proofErr w:type="gramStart"/>
      <w:r w:rsidRPr="00DD4F73">
        <w:rPr>
          <w:lang w:val="es-ES_tradnl"/>
        </w:rPr>
        <w:t>Examen</w:t>
      </w:r>
      <w:proofErr w:type="gramEnd"/>
      <w:r w:rsidRPr="00DD4F73">
        <w:rPr>
          <w:lang w:val="es-ES_tradnl"/>
        </w:rPr>
        <w:t xml:space="preserve"> del proyecto de informe de la reunión</w:t>
      </w:r>
      <w:bookmarkEnd w:id="49"/>
    </w:p>
    <w:p w14:paraId="724D854F" w14:textId="77777777" w:rsidR="00CE425B" w:rsidRPr="00983703" w:rsidRDefault="00CE425B" w:rsidP="00CE425B">
      <w:pPr>
        <w:rPr>
          <w:rFonts w:eastAsiaTheme="minorHAnsi"/>
          <w:lang w:val="es-ES_tradnl" w:eastAsia="ja-JP"/>
        </w:rPr>
      </w:pPr>
      <w:r w:rsidRPr="00DD4F73">
        <w:rPr>
          <w:rFonts w:eastAsiaTheme="minorHAnsi"/>
          <w:lang w:val="es-ES_tradnl"/>
        </w:rPr>
        <w:t>20.1</w:t>
      </w:r>
      <w:r w:rsidRPr="00DD4F73">
        <w:rPr>
          <w:rFonts w:eastAsiaTheme="minorHAnsi"/>
          <w:lang w:val="es-ES_tradnl"/>
        </w:rPr>
        <w:tab/>
      </w:r>
      <w:r w:rsidRPr="00DD4F73">
        <w:rPr>
          <w:rFonts w:eastAsiaTheme="minorHAnsi"/>
          <w:lang w:val="es-ES_tradnl" w:eastAsia="ja-JP"/>
        </w:rPr>
        <w:t xml:space="preserve">El </w:t>
      </w:r>
      <w:proofErr w:type="gramStart"/>
      <w:r w:rsidRPr="00DD4F73">
        <w:rPr>
          <w:rFonts w:eastAsiaTheme="minorHAnsi"/>
          <w:lang w:val="es-ES_tradnl" w:eastAsia="ja-JP"/>
        </w:rPr>
        <w:t>Presidente</w:t>
      </w:r>
      <w:proofErr w:type="gramEnd"/>
      <w:r w:rsidRPr="00DD4F73">
        <w:rPr>
          <w:rFonts w:eastAsiaTheme="minorHAnsi"/>
          <w:lang w:val="es-ES_tradnl" w:eastAsia="ja-JP"/>
        </w:rPr>
        <w:t xml:space="preserve"> anunció que, como había sido costumbre en anteriores reuniones del GANT, el proyecto de informe de la reunión que figura en </w:t>
      </w:r>
      <w:hyperlink r:id="rId114" w:history="1">
        <w:r w:rsidRPr="00DD4F73">
          <w:rPr>
            <w:rFonts w:eastAsiaTheme="minorHAnsi"/>
            <w:color w:val="0000FF"/>
            <w:u w:val="single"/>
            <w:lang w:val="es-ES_tradnl" w:eastAsia="ja-JP"/>
          </w:rPr>
          <w:t>TD173</w:t>
        </w:r>
      </w:hyperlink>
      <w:r w:rsidRPr="00DD4F73">
        <w:rPr>
          <w:rFonts w:eastAsiaTheme="minorHAnsi"/>
          <w:color w:val="0000FF"/>
          <w:u w:val="single"/>
          <w:lang w:val="es-ES_tradnl" w:eastAsia="ja-JP"/>
        </w:rPr>
        <w:t xml:space="preserve"> </w:t>
      </w:r>
      <w:r w:rsidRPr="00DD4F73">
        <w:rPr>
          <w:rFonts w:eastAsiaTheme="minorHAnsi"/>
          <w:lang w:val="es-ES_tradnl" w:eastAsia="ja-JP"/>
        </w:rPr>
        <w:t>se elaboraría a su debido tiempo y quedaría abierto a examen y formulación de observaciones por un periodo de dos semanas.</w:t>
      </w:r>
    </w:p>
    <w:p w14:paraId="5AA00B97" w14:textId="77A0F494" w:rsidR="00BE59AA" w:rsidRPr="00983703" w:rsidRDefault="00BE59AA" w:rsidP="00CE425B">
      <w:pPr>
        <w:pStyle w:val="Heading1"/>
        <w:rPr>
          <w:lang w:val="es-ES_tradnl"/>
        </w:rPr>
      </w:pPr>
      <w:bookmarkStart w:id="50" w:name="_Toc140261664"/>
      <w:r w:rsidRPr="00983703">
        <w:rPr>
          <w:lang w:val="es-ES_tradnl"/>
        </w:rPr>
        <w:t>21</w:t>
      </w:r>
      <w:r w:rsidRPr="00983703">
        <w:rPr>
          <w:lang w:val="es-ES_tradnl"/>
        </w:rPr>
        <w:tab/>
      </w:r>
      <w:proofErr w:type="gramStart"/>
      <w:r w:rsidRPr="00983703">
        <w:rPr>
          <w:lang w:val="es-ES_tradnl"/>
        </w:rPr>
        <w:t>Clausura</w:t>
      </w:r>
      <w:proofErr w:type="gramEnd"/>
      <w:r w:rsidRPr="00983703">
        <w:rPr>
          <w:lang w:val="es-ES_tradnl"/>
        </w:rPr>
        <w:t xml:space="preserve"> de la reunión</w:t>
      </w:r>
      <w:bookmarkEnd w:id="50"/>
    </w:p>
    <w:p w14:paraId="7496184B" w14:textId="77777777" w:rsidR="008434BD" w:rsidRPr="00983703" w:rsidRDefault="008434BD" w:rsidP="00CE425B">
      <w:pPr>
        <w:rPr>
          <w:rFonts w:eastAsiaTheme="minorHAnsi"/>
          <w:lang w:val="es-ES_tradnl" w:eastAsia="ja-JP"/>
        </w:rPr>
      </w:pPr>
      <w:r w:rsidRPr="00983703">
        <w:rPr>
          <w:rFonts w:eastAsiaTheme="minorHAnsi"/>
          <w:lang w:val="es-ES_tradnl"/>
        </w:rPr>
        <w:t>21.1</w:t>
      </w:r>
      <w:r w:rsidRPr="00983703">
        <w:rPr>
          <w:rFonts w:eastAsiaTheme="minorHAnsi"/>
          <w:lang w:val="es-ES_tradnl"/>
        </w:rPr>
        <w:tab/>
      </w:r>
      <w:r w:rsidRPr="00983703">
        <w:rPr>
          <w:rFonts w:eastAsiaTheme="minorHAnsi"/>
          <w:lang w:val="es-ES_tradnl" w:eastAsia="ja-JP"/>
        </w:rPr>
        <w:t xml:space="preserve">La </w:t>
      </w:r>
      <w:proofErr w:type="gramStart"/>
      <w:r w:rsidRPr="00983703">
        <w:rPr>
          <w:rFonts w:eastAsiaTheme="minorHAnsi"/>
          <w:lang w:val="es-ES_tradnl" w:eastAsia="ja-JP"/>
        </w:rPr>
        <w:t>Secretaria General</w:t>
      </w:r>
      <w:proofErr w:type="gramEnd"/>
      <w:r w:rsidRPr="00983703">
        <w:rPr>
          <w:rFonts w:eastAsiaTheme="minorHAnsi"/>
          <w:lang w:val="es-ES_tradnl" w:eastAsia="ja-JP"/>
        </w:rPr>
        <w:t xml:space="preserve"> de la UIT, Sra. Doreen BOGDAN-MARTIN, en su alocución de clausura elogió la satisfactoria labor llevada a cabo en la reunión del GANT. Destacó que dicha reunión del GANT había contribuido a hacer de la UIT la plataforma de normalización más inclusiva y accesible del mundo. Los debates basados en el consenso sobre temas clave, en particular el metaverso y la transformación e innovación digitales, con arreglo a los dos objetivos estratégicos de la UIT, la conectividad universal y la transformación digital sostenible, aportan gran utilidad y visibilidad a la labor de la UIT. Reconoció una mayor participación del sector industrial, incluidos líderes </w:t>
      </w:r>
      <w:proofErr w:type="gramStart"/>
      <w:r w:rsidRPr="00983703">
        <w:rPr>
          <w:rFonts w:eastAsiaTheme="minorHAnsi"/>
          <w:lang w:val="es-ES_tradnl" w:eastAsia="ja-JP"/>
        </w:rPr>
        <w:t>del mismo</w:t>
      </w:r>
      <w:proofErr w:type="gramEnd"/>
      <w:r w:rsidRPr="00983703">
        <w:rPr>
          <w:rFonts w:eastAsiaTheme="minorHAnsi"/>
          <w:lang w:val="es-ES_tradnl" w:eastAsia="ja-JP"/>
        </w:rPr>
        <w:t xml:space="preserve">, a tenor de iniciativas sin precedentes como IA para el bien, la Iniciativa mundial sobre divisas digitales y la Iniciativa </w:t>
      </w:r>
      <w:r w:rsidRPr="00983703">
        <w:rPr>
          <w:rFonts w:eastAsiaTheme="minorHAnsi"/>
          <w:i/>
          <w:iCs/>
          <w:lang w:val="es-ES_tradnl" w:eastAsia="ja-JP"/>
        </w:rPr>
        <w:t>Unidos por las ciudades inteligentes y sostenibles</w:t>
      </w:r>
      <w:r w:rsidRPr="00983703">
        <w:rPr>
          <w:rFonts w:eastAsiaTheme="minorHAnsi"/>
          <w:lang w:val="es-ES_tradnl" w:eastAsia="ja-JP"/>
        </w:rPr>
        <w:t>. Señaló que el mundo se basa en la labor de la UIT para elaborar normas técnicas y fomentar la confianza en la IA, entre otras tecnologías, y que el mundo espera que la UIT adopte medidas de referencia en esferas como el clima y que garantice la salvaguardia de los derechos humanos. La Sra. BOGDAN-MARTIN espera con interés la celebración de Día Digital de los ODS el 17 de septiembre de 2023 en Nueva York, justo antes de la Cumbre de los ODS, en la que el objetivo de la UIT es promover las tecnologías digitales para facilitar el cumplimiento de los objetivos digitales sostenibles.</w:t>
      </w:r>
    </w:p>
    <w:p w14:paraId="3D2EE171" w14:textId="7225C713" w:rsidR="008434BD" w:rsidRPr="00983703" w:rsidRDefault="008434BD" w:rsidP="00CE425B">
      <w:pPr>
        <w:rPr>
          <w:rFonts w:eastAsiaTheme="minorHAnsi"/>
          <w:lang w:val="es-ES_tradnl" w:eastAsia="ja-JP"/>
        </w:rPr>
      </w:pPr>
      <w:r w:rsidRPr="00983703">
        <w:rPr>
          <w:rFonts w:eastAsiaTheme="minorHAnsi"/>
          <w:lang w:val="es-ES_tradnl"/>
        </w:rPr>
        <w:t>21.2</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Director</w:t>
      </w:r>
      <w:proofErr w:type="gramEnd"/>
      <w:r w:rsidRPr="00983703">
        <w:rPr>
          <w:rFonts w:eastAsiaTheme="minorHAnsi"/>
          <w:lang w:val="es-ES_tradnl" w:eastAsia="ja-JP"/>
        </w:rPr>
        <w:t xml:space="preserve"> de la TSB, Sr. Seizo ONOE, reconoció en su alocución de clausura que esta reunión del GANT ha propiciado debates destacados sobre la estrategia y el funcionamiento del</w:t>
      </w:r>
      <w:r w:rsidR="00CE425B" w:rsidRPr="00983703">
        <w:rPr>
          <w:rFonts w:eastAsiaTheme="minorHAnsi"/>
          <w:lang w:val="es-ES_tradnl" w:eastAsia="ja-JP"/>
        </w:rPr>
        <w:t> </w:t>
      </w:r>
      <w:r w:rsidRPr="00983703">
        <w:rPr>
          <w:rFonts w:eastAsiaTheme="minorHAnsi"/>
          <w:lang w:val="es-ES_tradnl" w:eastAsia="ja-JP"/>
        </w:rPr>
        <w:t xml:space="preserve">UIT-T, así como avances eficaces en su gran carga de trabajo. Esos debates han sido complejos, si bien ha prevalecido en todo momento la cooperación y respeto mutuo, valores por los que la UIT es reconocida, y muy necesarios para que la AMNT-24 tenga una repercusión amplia y eficaz. Dio la bienvenida a expertos y comunidades para que fomenten la innovación y la labor normativa </w:t>
      </w:r>
      <w:r w:rsidR="004A5E82">
        <w:rPr>
          <w:rFonts w:eastAsiaTheme="minorHAnsi"/>
          <w:lang w:val="es-ES_tradnl" w:eastAsia="ja-JP"/>
        </w:rPr>
        <w:t xml:space="preserve">de </w:t>
      </w:r>
      <w:r w:rsidRPr="004A5E82">
        <w:rPr>
          <w:rFonts w:eastAsiaTheme="minorHAnsi"/>
          <w:lang w:val="es-ES_tradnl" w:eastAsia="ja-JP"/>
        </w:rPr>
        <w:t>la</w:t>
      </w:r>
      <w:r w:rsidR="00F20109" w:rsidRPr="004A5E82">
        <w:rPr>
          <w:rFonts w:eastAsiaTheme="minorHAnsi"/>
          <w:lang w:val="es-ES_tradnl" w:eastAsia="ja-JP"/>
        </w:rPr>
        <w:t> </w:t>
      </w:r>
      <w:r w:rsidRPr="004A5E82">
        <w:rPr>
          <w:rFonts w:eastAsiaTheme="minorHAnsi"/>
          <w:lang w:val="es-ES_tradnl" w:eastAsia="ja-JP"/>
        </w:rPr>
        <w:t>UIT</w:t>
      </w:r>
      <w:r w:rsidRPr="00983703">
        <w:rPr>
          <w:rFonts w:eastAsiaTheme="minorHAnsi"/>
          <w:lang w:val="es-ES_tradnl" w:eastAsia="ja-JP"/>
        </w:rPr>
        <w:t xml:space="preserve"> en diversas esferas de innovación, en particular la energía, la movilidad y la atención sanitaria, los servicios financieros, la agricultura, las ciudades inteligentes y la adopción de la IA. Los derechos humanos respecto de las normas del UIT-T constituyen un ejemplo de la influencia de las partes interesadas, y la experiencia técnica del UIT-T en la formulación de requisitos técnicos es de gran utilidad, si bien la participación de la sociedad civil es fundamental para lograr resultados satisfactorios. La aplicación de las normas reviste suma importancia y justifica la labor de normalización, así como su utilidad, y la participación del sector industrial puede propiciar una situación que redunde en beneficio de todos.</w:t>
      </w:r>
    </w:p>
    <w:p w14:paraId="2EC05614" w14:textId="77777777" w:rsidR="00CE425B" w:rsidRPr="00983703" w:rsidRDefault="00CE425B">
      <w:pPr>
        <w:tabs>
          <w:tab w:val="clear" w:pos="794"/>
          <w:tab w:val="clear" w:pos="1191"/>
          <w:tab w:val="clear" w:pos="1588"/>
          <w:tab w:val="clear" w:pos="1985"/>
        </w:tabs>
        <w:overflowPunct/>
        <w:autoSpaceDE/>
        <w:autoSpaceDN/>
        <w:adjustRightInd/>
        <w:spacing w:before="0"/>
        <w:textAlignment w:val="auto"/>
        <w:rPr>
          <w:rFonts w:eastAsiaTheme="minorHAnsi"/>
          <w:lang w:val="es-ES_tradnl"/>
        </w:rPr>
      </w:pPr>
      <w:r w:rsidRPr="00983703">
        <w:rPr>
          <w:rFonts w:eastAsiaTheme="minorHAnsi"/>
          <w:lang w:val="es-ES_tradnl"/>
        </w:rPr>
        <w:br w:type="page"/>
      </w:r>
    </w:p>
    <w:p w14:paraId="4A8B90FB" w14:textId="7C539D24" w:rsidR="008434BD" w:rsidRPr="00983703" w:rsidRDefault="008434BD" w:rsidP="00CE425B">
      <w:pPr>
        <w:rPr>
          <w:color w:val="000000" w:themeColor="text1"/>
          <w:lang w:val="es-ES_tradnl" w:eastAsia="ja-JP"/>
        </w:rPr>
      </w:pPr>
      <w:r w:rsidRPr="00983703">
        <w:rPr>
          <w:rFonts w:eastAsiaTheme="minorHAnsi"/>
          <w:lang w:val="es-ES_tradnl"/>
        </w:rPr>
        <w:lastRenderedPageBreak/>
        <w:t>21.3</w:t>
      </w:r>
      <w:r w:rsidRPr="00983703">
        <w:rPr>
          <w:rFonts w:eastAsiaTheme="minorHAnsi"/>
          <w:lang w:val="es-ES_tradnl"/>
        </w:rPr>
        <w:tab/>
      </w:r>
      <w:r w:rsidRPr="00983703">
        <w:rPr>
          <w:rFonts w:eastAsiaTheme="minorHAnsi"/>
          <w:lang w:val="es-ES_tradnl" w:eastAsia="ja-JP"/>
        </w:rPr>
        <w:t xml:space="preserve">El </w:t>
      </w:r>
      <w:proofErr w:type="gramStart"/>
      <w:r w:rsidRPr="00983703">
        <w:rPr>
          <w:rFonts w:eastAsiaTheme="minorHAnsi"/>
          <w:lang w:val="es-ES_tradnl" w:eastAsia="ja-JP"/>
        </w:rPr>
        <w:t>Presidente</w:t>
      </w:r>
      <w:proofErr w:type="gramEnd"/>
      <w:r w:rsidRPr="00983703">
        <w:rPr>
          <w:rFonts w:eastAsiaTheme="minorHAnsi"/>
          <w:lang w:val="es-ES_tradnl" w:eastAsia="ja-JP"/>
        </w:rPr>
        <w:t xml:space="preserve"> del GANT dio las gracias a los participantes por la satisfactoria clausura de esta reunión del GANT, en particular a los vicepresidentes del GANT, a los presidentes y vicepresidentes de los Grupos de Trabajo, a los Relatores y Relatores Asociados, a los Presidentes de las Comisiones de Estudio, a los Presidentes de los Grupos ad </w:t>
      </w:r>
      <w:r w:rsidRPr="00983703">
        <w:rPr>
          <w:color w:val="000000" w:themeColor="text1"/>
          <w:lang w:val="es-ES_tradnl" w:eastAsia="ja-JP"/>
        </w:rPr>
        <w:t>hoc, reuniones de re</w:t>
      </w:r>
      <w:r w:rsidRPr="00983703">
        <w:rPr>
          <w:rFonts w:eastAsiaTheme="minorHAnsi"/>
          <w:lang w:val="es-ES_tradnl" w:eastAsia="ja-JP"/>
        </w:rPr>
        <w:t xml:space="preserve">dacción y edición, así como a los delegados, por su activa participación e iniciativa de colaboración. También dio las gracias a los Sres. Seizo ONOE, Bilel JAMOUSSI, Martin EUCHNER </w:t>
      </w:r>
      <w:r w:rsidRPr="00983703">
        <w:rPr>
          <w:color w:val="000000" w:themeColor="text1"/>
          <w:lang w:val="es-ES_tradnl" w:eastAsia="ja-JP"/>
        </w:rPr>
        <w:t>por su magnífica labor de orientación, asesoramiento y apoyo</w:t>
      </w:r>
      <w:r w:rsidRPr="00983703">
        <w:rPr>
          <w:rFonts w:eastAsiaTheme="minorHAnsi"/>
          <w:lang w:val="es-ES_tradnl" w:eastAsia="ja-JP"/>
        </w:rPr>
        <w:t xml:space="preserve">, y a la Sra. Lara AL-MNINI por su </w:t>
      </w:r>
      <w:r w:rsidRPr="00983703">
        <w:rPr>
          <w:color w:val="000000" w:themeColor="text1"/>
          <w:lang w:val="es-ES_tradnl" w:eastAsia="ja-JP"/>
        </w:rPr>
        <w:t>destacada asistencia y dedicación</w:t>
      </w:r>
      <w:r w:rsidRPr="00983703">
        <w:rPr>
          <w:rFonts w:eastAsiaTheme="minorHAnsi"/>
          <w:lang w:val="es-ES_tradnl" w:eastAsia="ja-JP"/>
        </w:rPr>
        <w:t>, a los Consejeros de la TSB (Sra. Tatiana KURAKOVA, Sra. Xiaoya YANG, Sr.</w:t>
      </w:r>
      <w:r w:rsidR="00CE425B" w:rsidRPr="00983703">
        <w:rPr>
          <w:rFonts w:eastAsiaTheme="minorHAnsi"/>
          <w:lang w:val="es-ES_tradnl" w:eastAsia="ja-JP"/>
        </w:rPr>
        <w:t> </w:t>
      </w:r>
      <w:r w:rsidRPr="00983703">
        <w:rPr>
          <w:rFonts w:eastAsiaTheme="minorHAnsi"/>
          <w:lang w:val="es-ES_tradnl" w:eastAsia="ja-JP"/>
        </w:rPr>
        <w:t xml:space="preserve">Stefano POLIDORI, Sr. Hiroshi OTA, Sr. </w:t>
      </w:r>
      <w:proofErr w:type="spellStart"/>
      <w:r w:rsidRPr="00983703">
        <w:rPr>
          <w:rFonts w:eastAsiaTheme="minorHAnsi"/>
          <w:lang w:val="es-ES_tradnl" w:eastAsia="ja-JP"/>
        </w:rPr>
        <w:t>Simão</w:t>
      </w:r>
      <w:proofErr w:type="spellEnd"/>
      <w:r w:rsidRPr="00983703">
        <w:rPr>
          <w:rFonts w:eastAsiaTheme="minorHAnsi"/>
          <w:lang w:val="es-ES_tradnl" w:eastAsia="ja-JP"/>
        </w:rPr>
        <w:t xml:space="preserve"> CAMPOS, Sr. Martin ADOLPH, y Sr. Denis ANDREEV) que brindaron apoyo a los trabajos, a los asistentes de proyección, al personal de la</w:t>
      </w:r>
      <w:r w:rsidR="00CE425B" w:rsidRPr="00983703">
        <w:rPr>
          <w:rFonts w:eastAsiaTheme="minorHAnsi"/>
          <w:lang w:val="es-ES_tradnl" w:eastAsia="ja-JP"/>
        </w:rPr>
        <w:t> </w:t>
      </w:r>
      <w:r w:rsidRPr="00983703">
        <w:rPr>
          <w:rFonts w:eastAsiaTheme="minorHAnsi"/>
          <w:lang w:val="es-ES_tradnl" w:eastAsia="ja-JP"/>
        </w:rPr>
        <w:t xml:space="preserve">TSB, a los encargados de la TSB y de los servicios informático (SI) y logístico, y a los intérpretes y a los encargados de la labor de subtitulado por su apoyo y su labor. Deseó a </w:t>
      </w:r>
      <w:r w:rsidRPr="00983703">
        <w:rPr>
          <w:color w:val="000000" w:themeColor="text1"/>
          <w:lang w:val="es-ES_tradnl" w:eastAsia="ja-JP"/>
        </w:rPr>
        <w:t>todos los delegados un buen viaje.</w:t>
      </w:r>
    </w:p>
    <w:p w14:paraId="6745BA5C" w14:textId="77777777" w:rsidR="008434BD" w:rsidRPr="00983703" w:rsidRDefault="008434BD" w:rsidP="00BE59AA">
      <w:pPr>
        <w:tabs>
          <w:tab w:val="clear" w:pos="794"/>
          <w:tab w:val="clear" w:pos="1191"/>
          <w:tab w:val="clear" w:pos="1588"/>
          <w:tab w:val="clear" w:pos="1985"/>
          <w:tab w:val="left" w:pos="777"/>
        </w:tabs>
        <w:spacing w:before="60" w:after="60"/>
        <w:ind w:left="-39"/>
        <w:rPr>
          <w:rFonts w:eastAsiaTheme="minorHAnsi"/>
          <w:lang w:val="es-ES_tradnl" w:eastAsia="ja-JP"/>
        </w:rPr>
      </w:pPr>
      <w:r w:rsidRPr="00983703">
        <w:rPr>
          <w:rFonts w:eastAsiaTheme="minorHAnsi"/>
          <w:lang w:val="es-ES_tradnl"/>
        </w:rPr>
        <w:t>21.4</w:t>
      </w:r>
      <w:r w:rsidRPr="00983703">
        <w:rPr>
          <w:rFonts w:eastAsiaTheme="minorHAnsi"/>
          <w:lang w:val="es-ES_tradnl"/>
        </w:rPr>
        <w:tab/>
      </w:r>
      <w:r w:rsidRPr="00983703">
        <w:rPr>
          <w:rFonts w:eastAsiaTheme="minorHAnsi"/>
          <w:lang w:val="es-ES_tradnl" w:eastAsia="ja-JP"/>
        </w:rPr>
        <w:t>La reunión del GANT se clausuró el 2 de junio de 2023 a las 16.50 horas, hora de Ginebra.</w:t>
      </w:r>
    </w:p>
    <w:p w14:paraId="2E2DCC07"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pPr>
      <w:bookmarkStart w:id="51" w:name="_Annex_A_TSAG"/>
      <w:bookmarkEnd w:id="51"/>
    </w:p>
    <w:p w14:paraId="2DF8E829"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sectPr w:rsidR="00BE59AA" w:rsidRPr="00983703" w:rsidSect="00081FFC">
          <w:headerReference w:type="default" r:id="rId115"/>
          <w:footerReference w:type="first" r:id="rId116"/>
          <w:pgSz w:w="11907" w:h="16840" w:code="9"/>
          <w:pgMar w:top="1134" w:right="1134" w:bottom="1134" w:left="1134" w:header="425" w:footer="709" w:gutter="0"/>
          <w:cols w:space="720"/>
          <w:docGrid w:linePitch="326"/>
        </w:sectPr>
      </w:pPr>
    </w:p>
    <w:p w14:paraId="40EF288A" w14:textId="062EAEB7" w:rsidR="00BE59AA" w:rsidRPr="00983703" w:rsidRDefault="00BE59AA" w:rsidP="00794E76">
      <w:pPr>
        <w:pStyle w:val="AnnexNotitle"/>
        <w:spacing w:after="120"/>
        <w:rPr>
          <w:lang w:val="es-ES_tradnl"/>
        </w:rPr>
      </w:pPr>
      <w:bookmarkStart w:id="52" w:name="_Annex_A_Summary_1"/>
      <w:bookmarkStart w:id="53" w:name="_Toc508133747"/>
      <w:bookmarkStart w:id="54" w:name="_Toc140261665"/>
      <w:bookmarkEnd w:id="52"/>
      <w:r w:rsidRPr="00983703">
        <w:rPr>
          <w:lang w:val="es-ES_tradnl"/>
        </w:rPr>
        <w:lastRenderedPageBreak/>
        <w:t>Anexo A</w:t>
      </w:r>
      <w:r w:rsidR="005832E2">
        <w:rPr>
          <w:lang w:val="es-ES_tradnl"/>
        </w:rPr>
        <w:br/>
      </w:r>
      <w:r w:rsidR="005832E2">
        <w:rPr>
          <w:lang w:val="es-ES_tradnl"/>
        </w:rPr>
        <w:br/>
      </w:r>
      <w:r w:rsidRPr="00983703">
        <w:rPr>
          <w:lang w:val="es-ES_tradnl"/>
        </w:rPr>
        <w:t>Resumen de los resultados de la Plenaria del GANT, de los Grupos de Trabajo del GANT</w:t>
      </w:r>
      <w:r w:rsidR="00382701" w:rsidRPr="00983703">
        <w:rPr>
          <w:lang w:val="es-ES_tradnl"/>
        </w:rPr>
        <w:t xml:space="preserve"> </w:t>
      </w:r>
      <w:r w:rsidR="00382701" w:rsidRPr="00983703">
        <w:rPr>
          <w:lang w:val="es-ES_tradnl"/>
        </w:rPr>
        <w:br/>
      </w:r>
      <w:r w:rsidRPr="00983703">
        <w:rPr>
          <w:lang w:val="es-ES_tradnl"/>
        </w:rPr>
        <w:t>y de los Grupos de Relator del GANT</w:t>
      </w:r>
      <w:bookmarkEnd w:id="53"/>
      <w:bookmarkEnd w:id="54"/>
    </w:p>
    <w:tbl>
      <w:tblPr>
        <w:tblStyle w:val="TableGrid8"/>
        <w:tblW w:w="14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1"/>
        <w:gridCol w:w="1150"/>
        <w:gridCol w:w="5661"/>
        <w:gridCol w:w="6539"/>
      </w:tblGrid>
      <w:tr w:rsidR="00BE59AA" w:rsidRPr="00983703" w14:paraId="099F2DC2" w14:textId="77777777" w:rsidTr="000D5A2A">
        <w:trPr>
          <w:cantSplit/>
          <w:tblHeader/>
          <w:jc w:val="center"/>
        </w:trPr>
        <w:tc>
          <w:tcPr>
            <w:tcW w:w="841" w:type="dxa"/>
            <w:tcBorders>
              <w:top w:val="single" w:sz="12" w:space="0" w:color="auto"/>
              <w:bottom w:val="single" w:sz="12" w:space="0" w:color="auto"/>
            </w:tcBorders>
            <w:shd w:val="clear" w:color="auto" w:fill="auto"/>
            <w:vAlign w:val="center"/>
          </w:tcPr>
          <w:p w14:paraId="31F30017" w14:textId="77777777" w:rsidR="00BE59AA" w:rsidRPr="00983703" w:rsidRDefault="00BE59AA" w:rsidP="00F20109">
            <w:pPr>
              <w:pStyle w:val="Tablehead"/>
              <w:rPr>
                <w:lang w:val="es-ES_tradnl"/>
              </w:rPr>
            </w:pPr>
            <w:r w:rsidRPr="00983703">
              <w:rPr>
                <w:lang w:val="es-ES_tradnl"/>
              </w:rPr>
              <w:t>Grupo</w:t>
            </w:r>
          </w:p>
        </w:tc>
        <w:tc>
          <w:tcPr>
            <w:tcW w:w="1129" w:type="dxa"/>
            <w:tcBorders>
              <w:top w:val="single" w:sz="12" w:space="0" w:color="auto"/>
              <w:bottom w:val="single" w:sz="12" w:space="0" w:color="auto"/>
            </w:tcBorders>
            <w:shd w:val="clear" w:color="auto" w:fill="auto"/>
            <w:vAlign w:val="center"/>
          </w:tcPr>
          <w:p w14:paraId="5257308C" w14:textId="77777777" w:rsidR="00BE59AA" w:rsidRPr="00983703" w:rsidRDefault="00BE59AA" w:rsidP="00F20109">
            <w:pPr>
              <w:pStyle w:val="Tablehead"/>
              <w:rPr>
                <w:lang w:val="es-ES_tradnl"/>
              </w:rPr>
            </w:pPr>
            <w:r w:rsidRPr="00983703">
              <w:rPr>
                <w:lang w:val="es-ES_tradnl"/>
              </w:rPr>
              <w:t>Informes</w:t>
            </w:r>
          </w:p>
        </w:tc>
        <w:tc>
          <w:tcPr>
            <w:tcW w:w="5670" w:type="dxa"/>
            <w:tcBorders>
              <w:top w:val="single" w:sz="12" w:space="0" w:color="auto"/>
              <w:bottom w:val="single" w:sz="12" w:space="0" w:color="auto"/>
            </w:tcBorders>
            <w:shd w:val="clear" w:color="auto" w:fill="auto"/>
            <w:vAlign w:val="center"/>
          </w:tcPr>
          <w:p w14:paraId="75EE3B8E" w14:textId="77777777" w:rsidR="00BE59AA" w:rsidRPr="00983703" w:rsidRDefault="00BE59AA" w:rsidP="00F20109">
            <w:pPr>
              <w:pStyle w:val="Tablehead"/>
              <w:rPr>
                <w:lang w:val="es-ES_tradnl"/>
              </w:rPr>
            </w:pPr>
            <w:r w:rsidRPr="00983703">
              <w:rPr>
                <w:lang w:val="es-ES_tradnl"/>
              </w:rPr>
              <w:t>Declaraciones de coordinación enviadas y otros productos acordados</w:t>
            </w:r>
          </w:p>
        </w:tc>
        <w:tc>
          <w:tcPr>
            <w:tcW w:w="6551" w:type="dxa"/>
            <w:tcBorders>
              <w:top w:val="single" w:sz="12" w:space="0" w:color="auto"/>
              <w:bottom w:val="single" w:sz="12" w:space="0" w:color="auto"/>
            </w:tcBorders>
            <w:shd w:val="clear" w:color="auto" w:fill="auto"/>
            <w:vAlign w:val="center"/>
          </w:tcPr>
          <w:p w14:paraId="4F6FA87A" w14:textId="77777777" w:rsidR="00BE59AA" w:rsidRPr="00983703" w:rsidRDefault="00BE59AA" w:rsidP="00F20109">
            <w:pPr>
              <w:pStyle w:val="Tablehead"/>
              <w:rPr>
                <w:lang w:val="es-ES_tradnl"/>
              </w:rPr>
            </w:pPr>
            <w:r w:rsidRPr="00983703">
              <w:rPr>
                <w:lang w:val="es-ES_tradnl"/>
              </w:rPr>
              <w:t>Futuras reuniones</w:t>
            </w:r>
          </w:p>
        </w:tc>
      </w:tr>
      <w:tr w:rsidR="00BE59AA" w:rsidRPr="00983703" w14:paraId="53EFCA49" w14:textId="77777777" w:rsidTr="000D5A2A">
        <w:trPr>
          <w:jc w:val="center"/>
        </w:trPr>
        <w:tc>
          <w:tcPr>
            <w:tcW w:w="841" w:type="dxa"/>
            <w:tcBorders>
              <w:top w:val="single" w:sz="4" w:space="0" w:color="auto"/>
              <w:bottom w:val="single" w:sz="2" w:space="0" w:color="auto"/>
            </w:tcBorders>
            <w:shd w:val="clear" w:color="auto" w:fill="auto"/>
          </w:tcPr>
          <w:p w14:paraId="3AAB325C" w14:textId="77777777" w:rsidR="00BE59AA" w:rsidRPr="00983703" w:rsidRDefault="00BE59AA" w:rsidP="00382701">
            <w:pPr>
              <w:pStyle w:val="Tabletext"/>
              <w:rPr>
                <w:sz w:val="20"/>
                <w:lang w:val="es-ES_tradnl"/>
              </w:rPr>
            </w:pPr>
            <w:r w:rsidRPr="00983703">
              <w:rPr>
                <w:sz w:val="20"/>
                <w:lang w:val="es-ES_tradnl"/>
              </w:rPr>
              <w:t>GANT</w:t>
            </w:r>
          </w:p>
        </w:tc>
        <w:tc>
          <w:tcPr>
            <w:tcW w:w="1129" w:type="dxa"/>
            <w:tcBorders>
              <w:top w:val="single" w:sz="4" w:space="0" w:color="auto"/>
              <w:bottom w:val="single" w:sz="2" w:space="0" w:color="auto"/>
            </w:tcBorders>
            <w:shd w:val="clear" w:color="auto" w:fill="auto"/>
          </w:tcPr>
          <w:p w14:paraId="54B7C6D1" w14:textId="2437E6B5" w:rsidR="00BE59AA" w:rsidRPr="00983703" w:rsidRDefault="00BE59AA" w:rsidP="00382701">
            <w:pPr>
              <w:pStyle w:val="Tabletext"/>
              <w:rPr>
                <w:sz w:val="20"/>
                <w:lang w:val="es-ES_tradnl"/>
              </w:rPr>
            </w:pPr>
            <w:r w:rsidRPr="00983703">
              <w:rPr>
                <w:sz w:val="20"/>
                <w:lang w:val="es-ES_tradnl"/>
              </w:rPr>
              <w:t>(</w:t>
            </w:r>
            <w:hyperlink r:id="rId117" w:history="1">
              <w:r w:rsidR="00F62B87" w:rsidRPr="002944B9">
                <w:rPr>
                  <w:rStyle w:val="Hyperlink"/>
                  <w:sz w:val="20"/>
                </w:rPr>
                <w:t>TD173</w:t>
              </w:r>
            </w:hyperlink>
            <w:r w:rsidR="00F62B87">
              <w:rPr>
                <w:rStyle w:val="Hyperlink"/>
                <w:sz w:val="20"/>
              </w:rPr>
              <w:t>R1</w:t>
            </w:r>
            <w:r w:rsidRPr="00983703">
              <w:rPr>
                <w:sz w:val="20"/>
                <w:lang w:val="es-ES_tradnl"/>
              </w:rPr>
              <w:t>)</w:t>
            </w:r>
          </w:p>
          <w:p w14:paraId="29532023" w14:textId="77777777" w:rsidR="00BE59AA" w:rsidRPr="00F62B87" w:rsidRDefault="005B66C3" w:rsidP="00382701">
            <w:pPr>
              <w:pStyle w:val="Tabletext"/>
              <w:rPr>
                <w:sz w:val="20"/>
                <w:highlight w:val="yellow"/>
                <w:lang w:val="es-ES_tradnl"/>
              </w:rPr>
            </w:pPr>
            <w:hyperlink r:id="rId118" w:history="1">
              <w:r w:rsidR="00BE59AA" w:rsidRPr="00F62B87">
                <w:rPr>
                  <w:rStyle w:val="Hyperlink"/>
                  <w:sz w:val="20"/>
                </w:rPr>
                <w:t>TSAG-R2</w:t>
              </w:r>
            </w:hyperlink>
          </w:p>
        </w:tc>
        <w:tc>
          <w:tcPr>
            <w:tcW w:w="5670" w:type="dxa"/>
            <w:tcBorders>
              <w:top w:val="single" w:sz="4" w:space="0" w:color="auto"/>
              <w:bottom w:val="single" w:sz="2" w:space="0" w:color="auto"/>
            </w:tcBorders>
            <w:shd w:val="clear" w:color="auto" w:fill="auto"/>
          </w:tcPr>
          <w:p w14:paraId="75049AE1" w14:textId="4273D67F" w:rsidR="00BE59AA" w:rsidRPr="00697ACA" w:rsidRDefault="00697ACA" w:rsidP="00697ACA">
            <w:pPr>
              <w:pStyle w:val="enumlev1"/>
              <w:tabs>
                <w:tab w:val="clear" w:pos="794"/>
                <w:tab w:val="left" w:pos="247"/>
              </w:tabs>
              <w:ind w:left="247" w:hanging="247"/>
              <w:jc w:val="left"/>
              <w:rPr>
                <w:sz w:val="20"/>
                <w:lang w:val="es-ES_tradnl"/>
              </w:rPr>
            </w:pPr>
            <w:r w:rsidRPr="00697ACA">
              <w:rPr>
                <w:lang w:val="es-ES_tradnl"/>
              </w:rPr>
              <w:t>•</w:t>
            </w:r>
            <w:r>
              <w:rPr>
                <w:lang w:val="es-ES_tradnl"/>
              </w:rPr>
              <w:tab/>
            </w:r>
            <w:r w:rsidR="00BE59AA" w:rsidRPr="00697ACA">
              <w:rPr>
                <w:sz w:val="20"/>
                <w:lang w:val="es-ES_tradnl"/>
              </w:rPr>
              <w:t>DC/r sobre el nuevo Grupo Temático del UIT-T relativo a los modelos de cálculo de costes de servicios de datos asequibles (GT</w:t>
            </w:r>
            <w:r w:rsidR="006F6F91" w:rsidRPr="00697ACA">
              <w:rPr>
                <w:sz w:val="20"/>
                <w:lang w:val="es-ES_tradnl"/>
              </w:rPr>
              <w:noBreakHyphen/>
            </w:r>
            <w:r w:rsidR="00BE59AA" w:rsidRPr="00697ACA">
              <w:rPr>
                <w:sz w:val="20"/>
                <w:lang w:val="es-ES_tradnl"/>
              </w:rPr>
              <w:t>CD) [al GT-CD del UIT-T, CE 3 del UIT-T] (</w:t>
            </w:r>
            <w:hyperlink r:id="rId119" w:history="1">
              <w:r w:rsidR="00BE59AA" w:rsidRPr="005C168C">
                <w:rPr>
                  <w:rStyle w:val="Hyperlink"/>
                  <w:sz w:val="20"/>
                  <w:lang w:val="es-ES"/>
                </w:rPr>
                <w:t>GANT</w:t>
              </w:r>
              <w:r w:rsidR="0050128C" w:rsidRPr="005C168C">
                <w:rPr>
                  <w:rStyle w:val="Hyperlink"/>
                  <w:sz w:val="20"/>
                  <w:lang w:val="es-ES"/>
                </w:rPr>
                <w:noBreakHyphen/>
              </w:r>
              <w:r w:rsidR="00BE59AA" w:rsidRPr="005C168C">
                <w:rPr>
                  <w:rStyle w:val="Hyperlink"/>
                  <w:sz w:val="20"/>
                  <w:lang w:val="es-ES"/>
                </w:rPr>
                <w:t>LS13</w:t>
              </w:r>
            </w:hyperlink>
            <w:r w:rsidR="00BE59AA" w:rsidRPr="00697ACA">
              <w:rPr>
                <w:sz w:val="20"/>
                <w:lang w:val="es-ES_tradnl"/>
              </w:rPr>
              <w:t>)</w:t>
            </w:r>
          </w:p>
          <w:p w14:paraId="4CB6A478" w14:textId="137A70EC" w:rsidR="00BE59AA" w:rsidRDefault="00697ACA" w:rsidP="00697ACA">
            <w:pPr>
              <w:pStyle w:val="enumlev1"/>
              <w:tabs>
                <w:tab w:val="clear" w:pos="794"/>
                <w:tab w:val="left" w:pos="247"/>
              </w:tabs>
              <w:ind w:left="247" w:hanging="247"/>
              <w:jc w:val="left"/>
              <w:rPr>
                <w:sz w:val="20"/>
                <w:lang w:val="es-ES_tradnl"/>
              </w:rPr>
            </w:pPr>
            <w:r w:rsidRPr="00697ACA">
              <w:rPr>
                <w:lang w:val="es-ES_tradnl"/>
              </w:rPr>
              <w:t>•</w:t>
            </w:r>
            <w:r>
              <w:rPr>
                <w:lang w:val="es-ES_tradnl"/>
              </w:rPr>
              <w:tab/>
            </w:r>
            <w:r w:rsidR="00BE59AA" w:rsidRPr="00983703">
              <w:rPr>
                <w:sz w:val="20"/>
                <w:lang w:val="es-ES_tradnl"/>
              </w:rPr>
              <w:t>DC/r sobre cables submarinos SMART, seguimiento científico y telecomunicaciones eficaces [al Grupo Especial UIT/OMM/COI de la UNESCO sobre cables submarinos SMART, a todas las Comisiones de Estudio del UIT-T] (</w:t>
            </w:r>
            <w:hyperlink r:id="rId120" w:history="1">
              <w:r w:rsidR="00BE59AA" w:rsidRPr="005C168C">
                <w:rPr>
                  <w:rStyle w:val="Hyperlink"/>
                  <w:sz w:val="20"/>
                  <w:lang w:val="es-ES"/>
                </w:rPr>
                <w:t>TSAG-LS14R1</w:t>
              </w:r>
            </w:hyperlink>
            <w:r w:rsidR="00BE59AA" w:rsidRPr="0050128C">
              <w:rPr>
                <w:sz w:val="20"/>
                <w:lang w:val="es-ES_tradnl"/>
              </w:rPr>
              <w:t>)</w:t>
            </w:r>
          </w:p>
          <w:p w14:paraId="15D07DD1" w14:textId="4CCE54E1" w:rsidR="00BE59AA" w:rsidRPr="00983703" w:rsidRDefault="00697ACA" w:rsidP="00697ACA">
            <w:pPr>
              <w:pStyle w:val="enumlev1"/>
              <w:tabs>
                <w:tab w:val="clear" w:pos="794"/>
                <w:tab w:val="left" w:pos="247"/>
              </w:tabs>
              <w:ind w:left="247" w:hanging="247"/>
              <w:jc w:val="left"/>
              <w:rPr>
                <w:sz w:val="20"/>
                <w:lang w:val="es-ES_tradnl"/>
              </w:rPr>
            </w:pPr>
            <w:r w:rsidRPr="00697ACA">
              <w:rPr>
                <w:sz w:val="20"/>
                <w:lang w:val="es-ES_tradnl"/>
              </w:rPr>
              <w:t>•</w:t>
            </w:r>
            <w:r>
              <w:rPr>
                <w:sz w:val="20"/>
                <w:lang w:val="es-ES_tradnl"/>
              </w:rPr>
              <w:tab/>
            </w:r>
            <w:r w:rsidR="00BE59AA" w:rsidRPr="00983703">
              <w:rPr>
                <w:sz w:val="20"/>
                <w:lang w:val="es-ES_tradnl"/>
              </w:rPr>
              <w:t>DC sobre temas de trabajo relativos al metaverso y Grupo Temático del UIT-T sobre el metaverso [a todas las Comisiones de Estudio del UIT-T] (</w:t>
            </w:r>
            <w:hyperlink r:id="rId121" w:history="1">
              <w:r w:rsidR="00BE59AA" w:rsidRPr="005C168C">
                <w:rPr>
                  <w:rStyle w:val="Hyperlink"/>
                  <w:sz w:val="20"/>
                  <w:lang w:val="es-ES"/>
                </w:rPr>
                <w:t>TSAG-LS21</w:t>
              </w:r>
            </w:hyperlink>
            <w:r w:rsidR="00BE59AA" w:rsidRPr="00983703">
              <w:rPr>
                <w:sz w:val="20"/>
                <w:lang w:val="es-ES_tradnl"/>
              </w:rPr>
              <w:t>)</w:t>
            </w:r>
          </w:p>
        </w:tc>
        <w:tc>
          <w:tcPr>
            <w:tcW w:w="6551" w:type="dxa"/>
            <w:tcBorders>
              <w:top w:val="single" w:sz="4" w:space="0" w:color="auto"/>
              <w:bottom w:val="single" w:sz="2" w:space="0" w:color="auto"/>
            </w:tcBorders>
            <w:shd w:val="clear" w:color="auto" w:fill="auto"/>
          </w:tcPr>
          <w:p w14:paraId="7A7775D1" w14:textId="7508766E" w:rsidR="00BE59AA" w:rsidRPr="00983703" w:rsidRDefault="00697ACA" w:rsidP="00697ACA">
            <w:pPr>
              <w:pStyle w:val="enumlev1"/>
              <w:tabs>
                <w:tab w:val="clear" w:pos="794"/>
                <w:tab w:val="left" w:pos="247"/>
              </w:tabs>
              <w:ind w:left="247" w:hanging="247"/>
              <w:rPr>
                <w:sz w:val="20"/>
                <w:lang w:val="es-ES_tradnl" w:eastAsia="ja-JP"/>
              </w:rPr>
            </w:pPr>
            <w:r w:rsidRPr="00697ACA">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Por determinar</w:t>
            </w:r>
          </w:p>
        </w:tc>
      </w:tr>
      <w:tr w:rsidR="00BE59AA" w:rsidRPr="00983703" w14:paraId="3A5AA6F7" w14:textId="77777777" w:rsidTr="000D5A2A">
        <w:trPr>
          <w:jc w:val="center"/>
        </w:trPr>
        <w:tc>
          <w:tcPr>
            <w:tcW w:w="841" w:type="dxa"/>
            <w:tcBorders>
              <w:top w:val="single" w:sz="4" w:space="0" w:color="auto"/>
              <w:bottom w:val="single" w:sz="2" w:space="0" w:color="auto"/>
            </w:tcBorders>
            <w:shd w:val="clear" w:color="auto" w:fill="auto"/>
          </w:tcPr>
          <w:p w14:paraId="313039FF" w14:textId="77777777" w:rsidR="00BE59AA" w:rsidRPr="00983703" w:rsidRDefault="00BE59AA" w:rsidP="00382701">
            <w:pPr>
              <w:pStyle w:val="Tabletext"/>
              <w:rPr>
                <w:sz w:val="20"/>
                <w:lang w:val="es-ES_tradnl"/>
              </w:rPr>
            </w:pPr>
            <w:r w:rsidRPr="00983703">
              <w:rPr>
                <w:sz w:val="20"/>
                <w:lang w:val="es-ES_tradnl"/>
              </w:rPr>
              <w:t>PT1</w:t>
            </w:r>
          </w:p>
        </w:tc>
        <w:tc>
          <w:tcPr>
            <w:tcW w:w="1129" w:type="dxa"/>
            <w:tcBorders>
              <w:top w:val="single" w:sz="4" w:space="0" w:color="auto"/>
              <w:bottom w:val="single" w:sz="2" w:space="0" w:color="auto"/>
            </w:tcBorders>
            <w:shd w:val="clear" w:color="auto" w:fill="auto"/>
          </w:tcPr>
          <w:p w14:paraId="222DBF8F" w14:textId="77777777" w:rsidR="00BE59AA" w:rsidRPr="00F62B87" w:rsidRDefault="005B66C3" w:rsidP="00382701">
            <w:pPr>
              <w:pStyle w:val="Tabletext"/>
              <w:rPr>
                <w:sz w:val="20"/>
                <w:highlight w:val="yellow"/>
                <w:lang w:val="es-ES_tradnl"/>
              </w:rPr>
            </w:pPr>
            <w:hyperlink r:id="rId122" w:history="1">
              <w:r w:rsidR="00BE59AA" w:rsidRPr="00F62B87">
                <w:rPr>
                  <w:rStyle w:val="Hyperlink"/>
                  <w:sz w:val="20"/>
                </w:rPr>
                <w:t>TD177R1</w:t>
              </w:r>
            </w:hyperlink>
          </w:p>
        </w:tc>
        <w:tc>
          <w:tcPr>
            <w:tcW w:w="5670" w:type="dxa"/>
            <w:tcBorders>
              <w:top w:val="single" w:sz="4" w:space="0" w:color="auto"/>
              <w:bottom w:val="single" w:sz="2" w:space="0" w:color="auto"/>
            </w:tcBorders>
            <w:shd w:val="clear" w:color="auto" w:fill="auto"/>
          </w:tcPr>
          <w:p w14:paraId="501A9535" w14:textId="524637ED" w:rsidR="00BE59AA" w:rsidRPr="00983703" w:rsidRDefault="00697ACA" w:rsidP="00697ACA">
            <w:pPr>
              <w:pStyle w:val="enumlev1"/>
              <w:tabs>
                <w:tab w:val="clear" w:pos="794"/>
                <w:tab w:val="left" w:pos="247"/>
              </w:tabs>
              <w:ind w:left="247" w:hanging="247"/>
              <w:rPr>
                <w:sz w:val="20"/>
                <w:lang w:val="es-ES_tradnl"/>
              </w:rPr>
            </w:pPr>
            <w:r w:rsidRPr="00697ACA">
              <w:rPr>
                <w:sz w:val="20"/>
                <w:lang w:val="es-ES_tradnl"/>
              </w:rPr>
              <w:t>•</w:t>
            </w:r>
            <w:r>
              <w:rPr>
                <w:sz w:val="20"/>
                <w:lang w:val="es-ES_tradnl"/>
              </w:rPr>
              <w:tab/>
            </w:r>
            <w:r w:rsidR="00BE59AA" w:rsidRPr="00983703">
              <w:rPr>
                <w:sz w:val="20"/>
                <w:lang w:val="es-ES_tradnl"/>
              </w:rPr>
              <w:t>DC sobre utilización de lenguaje inclusivo en los textos del UIT</w:t>
            </w:r>
            <w:r w:rsidR="0033133F">
              <w:rPr>
                <w:sz w:val="20"/>
                <w:lang w:val="es-ES_tradnl"/>
              </w:rPr>
              <w:noBreakHyphen/>
            </w:r>
            <w:r w:rsidR="00BE59AA" w:rsidRPr="00983703">
              <w:rPr>
                <w:sz w:val="20"/>
                <w:lang w:val="es-ES_tradnl"/>
              </w:rPr>
              <w:t>T [a todas las CE del UIT-T, CNV, GCIS] (</w:t>
            </w:r>
            <w:hyperlink r:id="rId123" w:history="1">
              <w:r w:rsidR="00BE59AA" w:rsidRPr="0033133F">
                <w:rPr>
                  <w:rStyle w:val="Hyperlink"/>
                  <w:sz w:val="20"/>
                  <w:lang w:val="es-ES"/>
                </w:rPr>
                <w:t>TSAG-LS20</w:t>
              </w:r>
            </w:hyperlink>
            <w:r w:rsidR="00BE59AA" w:rsidRPr="00983703">
              <w:rPr>
                <w:sz w:val="20"/>
                <w:lang w:val="es-ES_tradnl"/>
              </w:rPr>
              <w:t>)</w:t>
            </w:r>
          </w:p>
        </w:tc>
        <w:tc>
          <w:tcPr>
            <w:tcW w:w="6551" w:type="dxa"/>
            <w:tcBorders>
              <w:top w:val="single" w:sz="4" w:space="0" w:color="auto"/>
              <w:bottom w:val="single" w:sz="2" w:space="0" w:color="auto"/>
            </w:tcBorders>
            <w:shd w:val="clear" w:color="auto" w:fill="auto"/>
          </w:tcPr>
          <w:p w14:paraId="26DAFE4D" w14:textId="5E1CB9D5" w:rsidR="00BE59AA" w:rsidRPr="00983703" w:rsidRDefault="0050128C" w:rsidP="0050128C">
            <w:pPr>
              <w:pStyle w:val="enumlev1"/>
              <w:tabs>
                <w:tab w:val="clear" w:pos="794"/>
                <w:tab w:val="left" w:pos="247"/>
              </w:tabs>
              <w:ind w:left="247" w:hanging="247"/>
              <w:rPr>
                <w:rFonts w:eastAsia="SimSun"/>
                <w:sz w:val="20"/>
                <w:lang w:val="es-ES_tradnl" w:eastAsia="ja-JP"/>
              </w:rPr>
            </w:pPr>
            <w:r w:rsidRPr="0050128C">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Por determinar</w:t>
            </w:r>
          </w:p>
        </w:tc>
      </w:tr>
      <w:tr w:rsidR="00BE59AA" w:rsidRPr="00983703" w14:paraId="7437BBDC" w14:textId="77777777" w:rsidTr="000D5A2A">
        <w:trPr>
          <w:jc w:val="center"/>
        </w:trPr>
        <w:tc>
          <w:tcPr>
            <w:tcW w:w="841" w:type="dxa"/>
            <w:tcBorders>
              <w:top w:val="single" w:sz="4" w:space="0" w:color="auto"/>
              <w:bottom w:val="single" w:sz="2" w:space="0" w:color="auto"/>
            </w:tcBorders>
            <w:shd w:val="clear" w:color="auto" w:fill="auto"/>
          </w:tcPr>
          <w:p w14:paraId="42C42726" w14:textId="77777777" w:rsidR="00BE59AA" w:rsidRPr="00983703" w:rsidRDefault="00BE59AA" w:rsidP="00382701">
            <w:pPr>
              <w:pStyle w:val="Tabletext"/>
              <w:rPr>
                <w:sz w:val="20"/>
                <w:lang w:val="es-ES_tradnl"/>
              </w:rPr>
            </w:pPr>
            <w:r w:rsidRPr="00983703">
              <w:rPr>
                <w:sz w:val="20"/>
                <w:lang w:val="es-ES_tradnl"/>
              </w:rPr>
              <w:t>PT2</w:t>
            </w:r>
          </w:p>
        </w:tc>
        <w:tc>
          <w:tcPr>
            <w:tcW w:w="1129" w:type="dxa"/>
            <w:tcBorders>
              <w:top w:val="single" w:sz="4" w:space="0" w:color="auto"/>
              <w:bottom w:val="single" w:sz="2" w:space="0" w:color="auto"/>
            </w:tcBorders>
            <w:shd w:val="clear" w:color="auto" w:fill="auto"/>
          </w:tcPr>
          <w:p w14:paraId="7A1EB957" w14:textId="77777777" w:rsidR="00BE59AA" w:rsidRPr="00F62B87" w:rsidRDefault="005B66C3" w:rsidP="00382701">
            <w:pPr>
              <w:pStyle w:val="Tabletext"/>
              <w:rPr>
                <w:sz w:val="20"/>
                <w:highlight w:val="yellow"/>
                <w:lang w:val="es-ES_tradnl"/>
              </w:rPr>
            </w:pPr>
            <w:hyperlink r:id="rId124" w:history="1">
              <w:r w:rsidR="00BE59AA" w:rsidRPr="00F62B87">
                <w:rPr>
                  <w:rStyle w:val="Hyperlink"/>
                  <w:sz w:val="20"/>
                </w:rPr>
                <w:t>TD180R2</w:t>
              </w:r>
            </w:hyperlink>
          </w:p>
        </w:tc>
        <w:tc>
          <w:tcPr>
            <w:tcW w:w="5670" w:type="dxa"/>
            <w:tcBorders>
              <w:top w:val="single" w:sz="4" w:space="0" w:color="auto"/>
              <w:bottom w:val="single" w:sz="2" w:space="0" w:color="auto"/>
            </w:tcBorders>
            <w:shd w:val="clear" w:color="auto" w:fill="auto"/>
          </w:tcPr>
          <w:p w14:paraId="07B924F6" w14:textId="77777777" w:rsidR="00BE59AA" w:rsidRPr="00983703" w:rsidRDefault="00BE59AA" w:rsidP="006F6F91">
            <w:pPr>
              <w:pStyle w:val="Tabletext"/>
              <w:jc w:val="left"/>
              <w:rPr>
                <w:sz w:val="20"/>
                <w:highlight w:val="yellow"/>
                <w:lang w:val="es-ES_tradnl"/>
              </w:rPr>
            </w:pPr>
          </w:p>
        </w:tc>
        <w:tc>
          <w:tcPr>
            <w:tcW w:w="6551" w:type="dxa"/>
            <w:tcBorders>
              <w:top w:val="single" w:sz="4" w:space="0" w:color="auto"/>
              <w:bottom w:val="single" w:sz="2" w:space="0" w:color="auto"/>
            </w:tcBorders>
            <w:shd w:val="clear" w:color="auto" w:fill="auto"/>
          </w:tcPr>
          <w:p w14:paraId="64CBA9A3" w14:textId="7F444CCA" w:rsidR="00BE59AA" w:rsidRPr="00983703" w:rsidRDefault="0050128C" w:rsidP="0050128C">
            <w:pPr>
              <w:pStyle w:val="enumlev1"/>
              <w:tabs>
                <w:tab w:val="clear" w:pos="794"/>
                <w:tab w:val="left" w:pos="247"/>
              </w:tabs>
              <w:ind w:left="247" w:hanging="247"/>
              <w:rPr>
                <w:rFonts w:eastAsia="SimSun"/>
                <w:sz w:val="20"/>
                <w:lang w:val="es-ES_tradnl" w:eastAsia="ja-JP"/>
              </w:rPr>
            </w:pPr>
            <w:r w:rsidRPr="0050128C">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Por determinar</w:t>
            </w:r>
          </w:p>
        </w:tc>
      </w:tr>
      <w:tr w:rsidR="00BE59AA" w:rsidRPr="0050128C" w14:paraId="7BEB663B" w14:textId="77777777" w:rsidTr="000D5A2A">
        <w:trPr>
          <w:jc w:val="center"/>
        </w:trPr>
        <w:tc>
          <w:tcPr>
            <w:tcW w:w="841" w:type="dxa"/>
            <w:tcBorders>
              <w:top w:val="single" w:sz="4" w:space="0" w:color="auto"/>
              <w:bottom w:val="single" w:sz="2" w:space="0" w:color="auto"/>
            </w:tcBorders>
            <w:shd w:val="clear" w:color="auto" w:fill="auto"/>
          </w:tcPr>
          <w:p w14:paraId="192EEB79" w14:textId="77777777" w:rsidR="00BE59AA" w:rsidRPr="00983703" w:rsidRDefault="00BE59AA" w:rsidP="00382701">
            <w:pPr>
              <w:pStyle w:val="Tabletext"/>
              <w:rPr>
                <w:sz w:val="20"/>
                <w:lang w:val="es-ES_tradnl"/>
              </w:rPr>
            </w:pPr>
            <w:r w:rsidRPr="00983703">
              <w:rPr>
                <w:sz w:val="20"/>
                <w:lang w:val="es-ES_tradnl"/>
              </w:rPr>
              <w:t>RG-DT</w:t>
            </w:r>
          </w:p>
        </w:tc>
        <w:tc>
          <w:tcPr>
            <w:tcW w:w="1129" w:type="dxa"/>
            <w:tcBorders>
              <w:top w:val="single" w:sz="4" w:space="0" w:color="auto"/>
              <w:bottom w:val="single" w:sz="2" w:space="0" w:color="auto"/>
            </w:tcBorders>
            <w:shd w:val="clear" w:color="auto" w:fill="auto"/>
          </w:tcPr>
          <w:p w14:paraId="380C40DF" w14:textId="77777777" w:rsidR="00BE59AA" w:rsidRPr="00983703" w:rsidRDefault="00BE59AA" w:rsidP="00382701">
            <w:pPr>
              <w:pStyle w:val="Tabletext"/>
              <w:rPr>
                <w:sz w:val="20"/>
                <w:lang w:val="es-ES_tradnl"/>
              </w:rPr>
            </w:pPr>
            <w:r w:rsidRPr="00983703">
              <w:rPr>
                <w:sz w:val="20"/>
                <w:lang w:val="es-ES_tradnl"/>
              </w:rPr>
              <w:t>-</w:t>
            </w:r>
          </w:p>
        </w:tc>
        <w:tc>
          <w:tcPr>
            <w:tcW w:w="5670" w:type="dxa"/>
            <w:tcBorders>
              <w:top w:val="single" w:sz="4" w:space="0" w:color="auto"/>
              <w:bottom w:val="single" w:sz="2" w:space="0" w:color="auto"/>
            </w:tcBorders>
            <w:shd w:val="clear" w:color="auto" w:fill="auto"/>
          </w:tcPr>
          <w:p w14:paraId="49218287" w14:textId="5880035A" w:rsidR="00BE59AA" w:rsidRPr="00983703" w:rsidRDefault="0050128C" w:rsidP="006F6F91">
            <w:pPr>
              <w:pStyle w:val="Tabletext"/>
              <w:jc w:val="left"/>
              <w:rPr>
                <w:sz w:val="20"/>
                <w:lang w:val="es-ES_tradnl"/>
              </w:rPr>
            </w:pPr>
            <w:r w:rsidRPr="0050128C">
              <w:rPr>
                <w:sz w:val="20"/>
                <w:lang w:val="es-ES_tradnl"/>
              </w:rPr>
              <w:t>–</w:t>
            </w:r>
          </w:p>
        </w:tc>
        <w:tc>
          <w:tcPr>
            <w:tcW w:w="6551" w:type="dxa"/>
            <w:tcBorders>
              <w:top w:val="single" w:sz="4" w:space="0" w:color="auto"/>
              <w:bottom w:val="single" w:sz="2" w:space="0" w:color="auto"/>
            </w:tcBorders>
            <w:shd w:val="clear" w:color="auto" w:fill="auto"/>
          </w:tcPr>
          <w:p w14:paraId="259954E1" w14:textId="4C798060" w:rsidR="00BE59AA" w:rsidRDefault="0050128C" w:rsidP="0033133F">
            <w:pPr>
              <w:pStyle w:val="enumlev1"/>
              <w:tabs>
                <w:tab w:val="clear" w:pos="794"/>
                <w:tab w:val="left" w:pos="247"/>
              </w:tabs>
              <w:ind w:left="247" w:hanging="247"/>
              <w:jc w:val="left"/>
              <w:rPr>
                <w:rFonts w:eastAsia="SimSun"/>
                <w:sz w:val="20"/>
                <w:lang w:val="es-ES_tradnl" w:eastAsia="ja-JP"/>
              </w:rPr>
            </w:pPr>
            <w:r w:rsidRPr="0050128C">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24 de julio de 2023; temas principales: análisis de deficiencias, definiciones, conceptos, arquitecturas de sistema, casos de utilización, tecnologías subyacentes fundamentales, interoperabilidad y sistemas pertinentes, nueva Resolución de la AMNT. Plazo: 16 de julio de 2023.</w:t>
            </w:r>
          </w:p>
          <w:p w14:paraId="0659FB6E" w14:textId="04820023" w:rsidR="00BE59AA" w:rsidRDefault="0050128C" w:rsidP="0033133F">
            <w:pPr>
              <w:pStyle w:val="enumlev1"/>
              <w:tabs>
                <w:tab w:val="clear" w:pos="794"/>
                <w:tab w:val="left" w:pos="247"/>
              </w:tabs>
              <w:ind w:left="247" w:hanging="247"/>
              <w:jc w:val="left"/>
              <w:rPr>
                <w:rFonts w:eastAsia="SimSun"/>
                <w:sz w:val="20"/>
                <w:lang w:val="es-ES_tradnl" w:eastAsia="ja-JP"/>
              </w:rPr>
            </w:pPr>
            <w:r w:rsidRPr="0050128C">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27 de septiembre de 2023; temas principales: análisis de deficiencias, definiciones, conceptos, arquitecturas de sistema, casos de utilización, tecnologías subyacentes fundamentales, interoperabilidad y sistemas pertinentes, nueva Resolución de la AMNT. Plazo: 19 de septiembre de</w:t>
            </w:r>
            <w:r w:rsidR="0033133F">
              <w:rPr>
                <w:rFonts w:eastAsia="SimSun"/>
                <w:sz w:val="20"/>
                <w:lang w:val="es-ES_tradnl" w:eastAsia="ja-JP"/>
              </w:rPr>
              <w:t> </w:t>
            </w:r>
            <w:r w:rsidR="00BE59AA" w:rsidRPr="00983703">
              <w:rPr>
                <w:rFonts w:eastAsia="SimSun"/>
                <w:sz w:val="20"/>
                <w:lang w:val="es-ES_tradnl" w:eastAsia="ja-JP"/>
              </w:rPr>
              <w:t>2023.</w:t>
            </w:r>
          </w:p>
          <w:p w14:paraId="450F6D92" w14:textId="2051F186" w:rsidR="00BE59AA" w:rsidRPr="00983703" w:rsidRDefault="0050128C" w:rsidP="0033133F">
            <w:pPr>
              <w:pStyle w:val="enumlev1"/>
              <w:tabs>
                <w:tab w:val="clear" w:pos="794"/>
                <w:tab w:val="left" w:pos="247"/>
              </w:tabs>
              <w:ind w:left="247" w:hanging="247"/>
              <w:jc w:val="left"/>
              <w:rPr>
                <w:rFonts w:eastAsia="SimSun"/>
                <w:sz w:val="20"/>
                <w:lang w:val="es-ES_tradnl" w:eastAsia="ja-JP"/>
              </w:rPr>
            </w:pPr>
            <w:r w:rsidRPr="0050128C">
              <w:rPr>
                <w:rFonts w:eastAsia="SimSun"/>
                <w:sz w:val="20"/>
                <w:lang w:val="es-ES_tradnl" w:eastAsia="ja-JP"/>
              </w:rPr>
              <w:t>•</w:t>
            </w:r>
            <w:r>
              <w:rPr>
                <w:rFonts w:eastAsia="SimSun"/>
                <w:sz w:val="20"/>
                <w:lang w:val="es-ES_tradnl" w:eastAsia="ja-JP"/>
              </w:rPr>
              <w:tab/>
            </w:r>
            <w:r w:rsidR="00BE59AA" w:rsidRPr="00983703">
              <w:rPr>
                <w:rFonts w:eastAsia="SimSun"/>
                <w:sz w:val="20"/>
                <w:lang w:val="es-ES_tradnl" w:eastAsia="ja-JP"/>
              </w:rPr>
              <w:t>17 de noviembre de 2023; temas principales: análisis de deficiencias, definiciones, conceptos, arquitecturas de sistema, casos de utilización, tecnologías subyacentes fundamentales, interoperabilidad y sistemas pertinentes. Plazo: 9 de noviembre de 2023.</w:t>
            </w:r>
          </w:p>
        </w:tc>
      </w:tr>
      <w:tr w:rsidR="00BE59AA" w:rsidRPr="005B66C3" w14:paraId="1A469C55" w14:textId="77777777" w:rsidTr="000D5A2A">
        <w:trPr>
          <w:jc w:val="center"/>
        </w:trPr>
        <w:tc>
          <w:tcPr>
            <w:tcW w:w="841" w:type="dxa"/>
            <w:tcBorders>
              <w:top w:val="single" w:sz="4" w:space="0" w:color="auto"/>
              <w:bottom w:val="single" w:sz="2" w:space="0" w:color="auto"/>
            </w:tcBorders>
            <w:shd w:val="clear" w:color="auto" w:fill="auto"/>
          </w:tcPr>
          <w:p w14:paraId="10BDF0BA" w14:textId="77777777" w:rsidR="00BE59AA" w:rsidRPr="00983703" w:rsidRDefault="00BE59AA" w:rsidP="006F6F91">
            <w:pPr>
              <w:pStyle w:val="Tabletext"/>
              <w:keepNext/>
              <w:keepLines/>
              <w:rPr>
                <w:sz w:val="20"/>
                <w:lang w:val="es-ES_tradnl"/>
              </w:rPr>
            </w:pPr>
            <w:r w:rsidRPr="00983703">
              <w:rPr>
                <w:sz w:val="20"/>
                <w:lang w:val="es-ES_tradnl"/>
              </w:rPr>
              <w:lastRenderedPageBreak/>
              <w:t>RG-IEM</w:t>
            </w:r>
          </w:p>
        </w:tc>
        <w:tc>
          <w:tcPr>
            <w:tcW w:w="1129" w:type="dxa"/>
            <w:tcBorders>
              <w:top w:val="single" w:sz="4" w:space="0" w:color="auto"/>
              <w:bottom w:val="single" w:sz="2" w:space="0" w:color="auto"/>
            </w:tcBorders>
            <w:shd w:val="clear" w:color="auto" w:fill="auto"/>
          </w:tcPr>
          <w:p w14:paraId="61C8DCD2" w14:textId="77777777" w:rsidR="00BE59AA" w:rsidRPr="00F62B87" w:rsidRDefault="005B66C3" w:rsidP="00382701">
            <w:pPr>
              <w:pStyle w:val="Tabletext"/>
              <w:rPr>
                <w:sz w:val="20"/>
                <w:highlight w:val="yellow"/>
                <w:lang w:val="es-ES_tradnl"/>
              </w:rPr>
            </w:pPr>
            <w:hyperlink r:id="rId125" w:history="1">
              <w:r w:rsidR="00BE59AA" w:rsidRPr="00F62B87">
                <w:rPr>
                  <w:rStyle w:val="Hyperlink"/>
                  <w:sz w:val="20"/>
                </w:rPr>
                <w:t>TD182R1</w:t>
              </w:r>
            </w:hyperlink>
          </w:p>
        </w:tc>
        <w:tc>
          <w:tcPr>
            <w:tcW w:w="5670" w:type="dxa"/>
            <w:tcBorders>
              <w:top w:val="single" w:sz="4" w:space="0" w:color="auto"/>
              <w:bottom w:val="single" w:sz="2" w:space="0" w:color="auto"/>
            </w:tcBorders>
            <w:shd w:val="clear" w:color="auto" w:fill="auto"/>
          </w:tcPr>
          <w:p w14:paraId="71CC488A" w14:textId="4CA40E7D" w:rsidR="00BE59AA" w:rsidRPr="00983703" w:rsidRDefault="0050128C" w:rsidP="0050128C">
            <w:pPr>
              <w:pStyle w:val="enumlev1"/>
              <w:tabs>
                <w:tab w:val="clear" w:pos="794"/>
                <w:tab w:val="left" w:pos="247"/>
              </w:tabs>
              <w:ind w:left="247" w:hanging="247"/>
              <w:rPr>
                <w:sz w:val="20"/>
                <w:lang w:val="es-ES_tradnl"/>
              </w:rPr>
            </w:pPr>
            <w:r w:rsidRPr="0050128C">
              <w:rPr>
                <w:sz w:val="20"/>
                <w:lang w:val="es-ES_tradnl"/>
              </w:rPr>
              <w:t>•</w:t>
            </w:r>
            <w:r>
              <w:rPr>
                <w:sz w:val="20"/>
                <w:lang w:val="es-ES_tradnl"/>
              </w:rPr>
              <w:tab/>
            </w:r>
            <w:r w:rsidR="00BE59AA" w:rsidRPr="00983703">
              <w:rPr>
                <w:sz w:val="20"/>
                <w:lang w:val="es-ES_tradnl"/>
              </w:rPr>
              <w:t>DC sobre el mecanismo de incubación [a todas las Comisiones de Estudio del UIT-T] (</w:t>
            </w:r>
            <w:hyperlink r:id="rId126" w:history="1">
              <w:r w:rsidR="00BE59AA" w:rsidRPr="0050128C">
                <w:rPr>
                  <w:rStyle w:val="Hyperlink"/>
                  <w:sz w:val="20"/>
                  <w:lang w:val="es-ES"/>
                </w:rPr>
                <w:t>TSAG-LS16</w:t>
              </w:r>
            </w:hyperlink>
            <w:r w:rsidR="00BE59AA" w:rsidRPr="00983703">
              <w:rPr>
                <w:sz w:val="20"/>
                <w:lang w:val="es-ES_tradnl"/>
              </w:rPr>
              <w:t>)</w:t>
            </w:r>
          </w:p>
        </w:tc>
        <w:tc>
          <w:tcPr>
            <w:tcW w:w="6551" w:type="dxa"/>
            <w:tcBorders>
              <w:top w:val="single" w:sz="4" w:space="0" w:color="auto"/>
              <w:bottom w:val="single" w:sz="2" w:space="0" w:color="auto"/>
            </w:tcBorders>
            <w:shd w:val="clear" w:color="auto" w:fill="auto"/>
          </w:tcPr>
          <w:p w14:paraId="4507D7AF" w14:textId="3179F429" w:rsidR="00BE59AA" w:rsidRDefault="0050128C" w:rsidP="0033133F">
            <w:pPr>
              <w:pStyle w:val="enumlev1"/>
              <w:tabs>
                <w:tab w:val="clear" w:pos="794"/>
                <w:tab w:val="left" w:pos="247"/>
              </w:tabs>
              <w:ind w:left="247" w:hanging="247"/>
              <w:jc w:val="left"/>
              <w:rPr>
                <w:sz w:val="20"/>
                <w:lang w:val="es-ES_tradnl"/>
              </w:rPr>
            </w:pPr>
            <w:r w:rsidRPr="0050128C">
              <w:rPr>
                <w:sz w:val="20"/>
                <w:lang w:val="es-ES_tradnl"/>
              </w:rPr>
              <w:t>•</w:t>
            </w:r>
            <w:r>
              <w:rPr>
                <w:sz w:val="20"/>
                <w:lang w:val="es-ES_tradnl"/>
              </w:rPr>
              <w:tab/>
            </w:r>
            <w:r w:rsidR="00BE59AA" w:rsidRPr="00983703">
              <w:rPr>
                <w:sz w:val="20"/>
                <w:lang w:val="es-ES_tradnl"/>
              </w:rPr>
              <w:t>27 de julio de 2023: 13.00-15.00 horas, a distancia. Tema principal: Examen de directores técnicos o ejecutivos. Plazo: 19 de julio de 2023</w:t>
            </w:r>
          </w:p>
          <w:p w14:paraId="58EA30A9" w14:textId="648DD098" w:rsidR="00BE59AA" w:rsidRDefault="0050128C" w:rsidP="0033133F">
            <w:pPr>
              <w:pStyle w:val="enumlev1"/>
              <w:tabs>
                <w:tab w:val="clear" w:pos="794"/>
                <w:tab w:val="left" w:pos="247"/>
              </w:tabs>
              <w:ind w:left="247" w:hanging="247"/>
              <w:jc w:val="left"/>
              <w:rPr>
                <w:sz w:val="20"/>
                <w:lang w:val="es-ES_tradnl"/>
              </w:rPr>
            </w:pPr>
            <w:r w:rsidRPr="0050128C">
              <w:rPr>
                <w:rFonts w:eastAsiaTheme="minorEastAsia"/>
                <w:sz w:val="20"/>
                <w:lang w:val="es-ES_tradnl"/>
              </w:rPr>
              <w:t>•</w:t>
            </w:r>
            <w:r>
              <w:rPr>
                <w:rFonts w:eastAsiaTheme="minorEastAsia"/>
                <w:sz w:val="20"/>
                <w:lang w:val="es-ES_tradnl"/>
              </w:rPr>
              <w:tab/>
            </w:r>
            <w:r w:rsidR="00BE59AA" w:rsidRPr="00983703">
              <w:rPr>
                <w:sz w:val="20"/>
                <w:lang w:val="es-ES_tradnl"/>
              </w:rPr>
              <w:t>5 de septiembre de 2023: 13.00-15.00 horas, a distancia. Tema principal: Taller. Plazo: 28 de agosto de 2023</w:t>
            </w:r>
          </w:p>
          <w:p w14:paraId="2B59A64D" w14:textId="45432DDD" w:rsidR="00BE59AA" w:rsidRDefault="0050128C" w:rsidP="0033133F">
            <w:pPr>
              <w:pStyle w:val="enumlev1"/>
              <w:tabs>
                <w:tab w:val="clear" w:pos="794"/>
                <w:tab w:val="left" w:pos="247"/>
              </w:tabs>
              <w:ind w:left="247" w:hanging="247"/>
              <w:jc w:val="left"/>
              <w:rPr>
                <w:sz w:val="20"/>
                <w:lang w:val="es-ES_tradnl"/>
              </w:rPr>
            </w:pPr>
            <w:r w:rsidRPr="0050128C">
              <w:rPr>
                <w:rFonts w:eastAsiaTheme="minorEastAsia"/>
                <w:sz w:val="20"/>
                <w:lang w:val="es-ES_tradnl"/>
              </w:rPr>
              <w:t>•</w:t>
            </w:r>
            <w:r>
              <w:rPr>
                <w:rFonts w:eastAsiaTheme="minorEastAsia"/>
                <w:sz w:val="20"/>
                <w:lang w:val="es-ES_tradnl"/>
              </w:rPr>
              <w:tab/>
            </w:r>
            <w:r w:rsidR="00BE59AA" w:rsidRPr="00983703">
              <w:rPr>
                <w:sz w:val="20"/>
                <w:lang w:val="es-ES_tradnl"/>
              </w:rPr>
              <w:t>9 de octubre de 2023: 13.00-15.00 horas, a distancia. Tema principal: Resolución 68 de la AMNT. Plazo: 1 de octubre de 2023</w:t>
            </w:r>
          </w:p>
          <w:p w14:paraId="294DA8D2" w14:textId="2F2D2DCF" w:rsidR="00BE59AA" w:rsidRDefault="0050128C" w:rsidP="0033133F">
            <w:pPr>
              <w:pStyle w:val="enumlev1"/>
              <w:tabs>
                <w:tab w:val="clear" w:pos="794"/>
                <w:tab w:val="left" w:pos="247"/>
              </w:tabs>
              <w:ind w:left="247" w:hanging="247"/>
              <w:jc w:val="left"/>
              <w:rPr>
                <w:sz w:val="20"/>
                <w:lang w:val="es-ES_tradnl"/>
              </w:rPr>
            </w:pPr>
            <w:r w:rsidRPr="0050128C">
              <w:rPr>
                <w:rFonts w:eastAsiaTheme="minorEastAsia"/>
                <w:sz w:val="20"/>
                <w:lang w:val="es-ES_tradnl"/>
              </w:rPr>
              <w:t>•</w:t>
            </w:r>
            <w:r>
              <w:rPr>
                <w:rFonts w:eastAsiaTheme="minorEastAsia"/>
                <w:sz w:val="20"/>
                <w:lang w:val="es-ES_tradnl"/>
              </w:rPr>
              <w:tab/>
            </w:r>
            <w:r w:rsidR="00BE59AA" w:rsidRPr="00983703">
              <w:rPr>
                <w:sz w:val="20"/>
                <w:lang w:val="es-ES_tradnl"/>
              </w:rPr>
              <w:t>7 de noviembre de 2023: 13.00-15.00 horas, a distancia. Tema principal: Mecanismo sobre tecnologías incipientes. Plazo: 30 de octubre de 2023</w:t>
            </w:r>
          </w:p>
          <w:p w14:paraId="235259C1" w14:textId="41FE34DA" w:rsidR="00BE59AA" w:rsidRDefault="0050128C" w:rsidP="0033133F">
            <w:pPr>
              <w:pStyle w:val="enumlev1"/>
              <w:tabs>
                <w:tab w:val="clear" w:pos="794"/>
                <w:tab w:val="left" w:pos="247"/>
              </w:tabs>
              <w:ind w:left="247" w:hanging="247"/>
              <w:jc w:val="left"/>
              <w:rPr>
                <w:sz w:val="20"/>
                <w:lang w:val="es-ES_tradnl"/>
              </w:rPr>
            </w:pPr>
            <w:r w:rsidRPr="0050128C">
              <w:rPr>
                <w:rFonts w:eastAsiaTheme="minorEastAsia"/>
                <w:sz w:val="20"/>
                <w:lang w:val="es-ES_tradnl"/>
              </w:rPr>
              <w:t>•</w:t>
            </w:r>
            <w:r>
              <w:rPr>
                <w:rFonts w:eastAsiaTheme="minorEastAsia"/>
                <w:sz w:val="20"/>
                <w:lang w:val="es-ES_tradnl"/>
              </w:rPr>
              <w:tab/>
            </w:r>
            <w:r w:rsidR="00BE59AA" w:rsidRPr="00983703">
              <w:rPr>
                <w:sz w:val="20"/>
                <w:lang w:val="es-ES_tradnl"/>
              </w:rPr>
              <w:t>12 de diciembre de 2023: 13.00-15.00 horas, a distancia. Tema principal: Parámetros. Plazo: 4 de diciembre de 2023</w:t>
            </w:r>
          </w:p>
          <w:p w14:paraId="294A164F" w14:textId="7776441D" w:rsidR="00BE59AA" w:rsidRPr="00983703" w:rsidRDefault="0050128C" w:rsidP="0033133F">
            <w:pPr>
              <w:pStyle w:val="enumlev1"/>
              <w:tabs>
                <w:tab w:val="clear" w:pos="794"/>
                <w:tab w:val="left" w:pos="247"/>
              </w:tabs>
              <w:ind w:left="247" w:hanging="247"/>
              <w:jc w:val="left"/>
              <w:rPr>
                <w:rFonts w:eastAsiaTheme="minorEastAsia"/>
                <w:sz w:val="20"/>
                <w:lang w:val="es-ES_tradnl"/>
              </w:rPr>
            </w:pPr>
            <w:r w:rsidRPr="0050128C">
              <w:rPr>
                <w:rFonts w:eastAsiaTheme="minorEastAsia"/>
                <w:sz w:val="20"/>
                <w:lang w:val="es-ES_tradnl"/>
              </w:rPr>
              <w:t>•</w:t>
            </w:r>
            <w:r>
              <w:rPr>
                <w:rFonts w:eastAsiaTheme="minorEastAsia"/>
                <w:sz w:val="20"/>
                <w:lang w:val="es-ES_tradnl"/>
              </w:rPr>
              <w:tab/>
            </w:r>
            <w:r w:rsidR="00BE59AA" w:rsidRPr="00983703">
              <w:rPr>
                <w:sz w:val="20"/>
                <w:lang w:val="es-ES_tradnl"/>
              </w:rPr>
              <w:t>30 de enero de 2024: 13.00-15.00 horas, a distancia. Tema principal: Participación del sector industrial: Plazo: 22 de enero de 2024</w:t>
            </w:r>
          </w:p>
        </w:tc>
      </w:tr>
      <w:tr w:rsidR="00BE59AA" w:rsidRPr="00983703" w14:paraId="3BC9ACB5" w14:textId="77777777" w:rsidTr="000D5A2A">
        <w:trPr>
          <w:cantSplit/>
          <w:jc w:val="center"/>
        </w:trPr>
        <w:tc>
          <w:tcPr>
            <w:tcW w:w="841" w:type="dxa"/>
            <w:shd w:val="clear" w:color="auto" w:fill="auto"/>
          </w:tcPr>
          <w:p w14:paraId="21E8353C" w14:textId="77777777" w:rsidR="00BE59AA" w:rsidRPr="00983703" w:rsidRDefault="00BE59AA" w:rsidP="00382701">
            <w:pPr>
              <w:pStyle w:val="Tabletext"/>
              <w:rPr>
                <w:sz w:val="20"/>
                <w:lang w:val="es-ES_tradnl"/>
              </w:rPr>
            </w:pPr>
            <w:r w:rsidRPr="00983703">
              <w:rPr>
                <w:sz w:val="20"/>
                <w:lang w:val="es-ES_tradnl"/>
              </w:rPr>
              <w:t>RG-WM</w:t>
            </w:r>
          </w:p>
        </w:tc>
        <w:tc>
          <w:tcPr>
            <w:tcW w:w="1129" w:type="dxa"/>
            <w:shd w:val="clear" w:color="auto" w:fill="auto"/>
          </w:tcPr>
          <w:p w14:paraId="644EF5CB" w14:textId="77777777" w:rsidR="00BE59AA" w:rsidRPr="005C168C" w:rsidRDefault="005B66C3" w:rsidP="00382701">
            <w:pPr>
              <w:pStyle w:val="Tabletext"/>
              <w:rPr>
                <w:rStyle w:val="Hyperlink"/>
                <w:sz w:val="20"/>
                <w:highlight w:val="yellow"/>
              </w:rPr>
            </w:pPr>
            <w:hyperlink r:id="rId127" w:history="1">
              <w:r w:rsidR="00BE59AA" w:rsidRPr="005C168C">
                <w:rPr>
                  <w:rStyle w:val="Hyperlink"/>
                  <w:sz w:val="20"/>
                </w:rPr>
                <w:t>TD183R3</w:t>
              </w:r>
            </w:hyperlink>
          </w:p>
        </w:tc>
        <w:tc>
          <w:tcPr>
            <w:tcW w:w="5670" w:type="dxa"/>
            <w:shd w:val="clear" w:color="auto" w:fill="auto"/>
          </w:tcPr>
          <w:p w14:paraId="44385306" w14:textId="1AD47AA4" w:rsidR="00BE59AA" w:rsidRDefault="0050128C" w:rsidP="00D71C54">
            <w:pPr>
              <w:pStyle w:val="enumlev1"/>
              <w:tabs>
                <w:tab w:val="clear" w:pos="794"/>
                <w:tab w:val="left" w:pos="247"/>
              </w:tabs>
              <w:ind w:left="247" w:hanging="247"/>
              <w:jc w:val="left"/>
              <w:rPr>
                <w:sz w:val="20"/>
                <w:lang w:val="es-ES_tradnl" w:eastAsia="ja-JP"/>
              </w:rPr>
            </w:pPr>
            <w:r w:rsidRPr="0050128C">
              <w:rPr>
                <w:sz w:val="20"/>
                <w:lang w:val="es-ES_tradnl" w:eastAsia="ja-JP"/>
              </w:rPr>
              <w:t>•</w:t>
            </w:r>
            <w:r>
              <w:rPr>
                <w:sz w:val="20"/>
                <w:lang w:val="es-ES_tradnl" w:eastAsia="ja-JP"/>
              </w:rPr>
              <w:tab/>
            </w:r>
            <w:r w:rsidR="00BE59AA" w:rsidRPr="00D71C54">
              <w:rPr>
                <w:sz w:val="20"/>
                <w:lang w:val="es-ES_tradnl" w:eastAsia="ja-JP"/>
              </w:rPr>
              <w:t xml:space="preserve">Proyecto de Recomendación UIT-T A.8 revisada (determinada), </w:t>
            </w:r>
            <w:r w:rsidR="00BE59AA" w:rsidRPr="00D71C54">
              <w:rPr>
                <w:i/>
                <w:iCs/>
                <w:sz w:val="20"/>
                <w:lang w:val="es-ES_tradnl" w:eastAsia="ja-JP"/>
              </w:rPr>
              <w:t>Proceso de aprobación alternativo para las Recomendaciones UIT</w:t>
            </w:r>
            <w:r w:rsidR="006F6F91" w:rsidRPr="00D71C54">
              <w:rPr>
                <w:i/>
                <w:iCs/>
                <w:sz w:val="20"/>
                <w:lang w:val="es-ES_tradnl" w:eastAsia="ja-JP"/>
              </w:rPr>
              <w:noBreakHyphen/>
            </w:r>
            <w:r w:rsidR="00BE59AA" w:rsidRPr="00D71C54">
              <w:rPr>
                <w:i/>
                <w:iCs/>
                <w:sz w:val="20"/>
                <w:lang w:val="es-ES_tradnl" w:eastAsia="ja-JP"/>
              </w:rPr>
              <w:t>T nuevas y revisadas</w:t>
            </w:r>
            <w:r w:rsidR="00BE59AA" w:rsidRPr="00D71C54">
              <w:rPr>
                <w:sz w:val="20"/>
                <w:lang w:val="es-ES_tradnl" w:eastAsia="ja-JP"/>
              </w:rPr>
              <w:t xml:space="preserve"> (</w:t>
            </w:r>
            <w:hyperlink r:id="rId128" w:history="1">
              <w:r w:rsidR="00BE59AA" w:rsidRPr="00D71C54">
                <w:rPr>
                  <w:rStyle w:val="Hyperlink"/>
                  <w:sz w:val="20"/>
                  <w:lang w:val="es-ES"/>
                </w:rPr>
                <w:t>GANT-R3</w:t>
              </w:r>
            </w:hyperlink>
            <w:r w:rsidR="00BE59AA" w:rsidRPr="00D71C54">
              <w:rPr>
                <w:sz w:val="20"/>
                <w:lang w:val="es-ES_tradnl" w:eastAsia="ja-JP"/>
              </w:rPr>
              <w:t>)</w:t>
            </w:r>
          </w:p>
          <w:p w14:paraId="3FD5E4B2" w14:textId="471C5907" w:rsidR="00BE59AA" w:rsidRDefault="0050128C" w:rsidP="00D71C54">
            <w:pPr>
              <w:pStyle w:val="enumlev1"/>
              <w:tabs>
                <w:tab w:val="clear" w:pos="794"/>
                <w:tab w:val="left" w:pos="247"/>
              </w:tabs>
              <w:ind w:left="247" w:hanging="247"/>
              <w:jc w:val="left"/>
              <w:rPr>
                <w:sz w:val="20"/>
                <w:lang w:val="es-ES_tradnl" w:eastAsia="ja-JP"/>
              </w:rPr>
            </w:pPr>
            <w:r w:rsidRPr="0050128C">
              <w:rPr>
                <w:sz w:val="20"/>
                <w:lang w:val="es-ES_tradnl" w:eastAsia="ja-JP"/>
              </w:rPr>
              <w:t>•</w:t>
            </w:r>
            <w:r>
              <w:rPr>
                <w:sz w:val="20"/>
                <w:lang w:val="es-ES_tradnl" w:eastAsia="ja-JP"/>
              </w:rPr>
              <w:tab/>
            </w:r>
            <w:r w:rsidR="00BE59AA" w:rsidRPr="00983703">
              <w:rPr>
                <w:sz w:val="20"/>
                <w:lang w:val="es-ES_tradnl" w:eastAsia="ja-JP"/>
              </w:rPr>
              <w:t>Aprobación de la revisión de la "</w:t>
            </w:r>
            <w:r w:rsidR="00BE59AA" w:rsidRPr="0050128C">
              <w:rPr>
                <w:i/>
                <w:iCs/>
                <w:sz w:val="20"/>
                <w:lang w:val="es-ES_tradnl" w:eastAsia="ja-JP"/>
              </w:rPr>
              <w:t>Guía del autor para la elaboración de Recomendaciones UIT-T</w:t>
            </w:r>
            <w:r w:rsidR="00BE59AA" w:rsidRPr="00983703">
              <w:rPr>
                <w:sz w:val="20"/>
                <w:lang w:val="es-ES_tradnl" w:eastAsia="ja-JP"/>
              </w:rPr>
              <w:t>" (</w:t>
            </w:r>
            <w:hyperlink r:id="rId129" w:history="1">
              <w:r w:rsidR="00BE59AA" w:rsidRPr="005C168C">
                <w:rPr>
                  <w:rStyle w:val="Hyperlink"/>
                  <w:sz w:val="20"/>
                  <w:lang w:val="es-ES"/>
                </w:rPr>
                <w:t>TD294</w:t>
              </w:r>
            </w:hyperlink>
            <w:r w:rsidR="00BE59AA" w:rsidRPr="00983703">
              <w:rPr>
                <w:sz w:val="20"/>
                <w:lang w:val="es-ES_tradnl" w:eastAsia="ja-JP"/>
              </w:rPr>
              <w:t>).</w:t>
            </w:r>
          </w:p>
          <w:p w14:paraId="0BB36080" w14:textId="501BAFF4" w:rsidR="00BE59AA" w:rsidRPr="00983703" w:rsidRDefault="0050128C" w:rsidP="00D71C54">
            <w:pPr>
              <w:pStyle w:val="enumlev1"/>
              <w:tabs>
                <w:tab w:val="clear" w:pos="794"/>
                <w:tab w:val="left" w:pos="247"/>
              </w:tabs>
              <w:ind w:left="247" w:hanging="247"/>
              <w:jc w:val="left"/>
              <w:rPr>
                <w:sz w:val="20"/>
                <w:lang w:val="es-ES_tradnl" w:eastAsia="ja-JP"/>
              </w:rPr>
            </w:pPr>
            <w:r w:rsidRPr="0050128C">
              <w:rPr>
                <w:sz w:val="20"/>
                <w:lang w:val="es-ES_tradnl" w:eastAsia="ja-JP"/>
              </w:rPr>
              <w:t>•</w:t>
            </w:r>
            <w:r>
              <w:rPr>
                <w:sz w:val="20"/>
                <w:lang w:val="es-ES_tradnl" w:eastAsia="ja-JP"/>
              </w:rPr>
              <w:tab/>
            </w:r>
            <w:r w:rsidR="00BE59AA" w:rsidRPr="00983703">
              <w:rPr>
                <w:sz w:val="20"/>
                <w:lang w:val="es-ES_tradnl" w:eastAsia="ja-JP"/>
              </w:rPr>
              <w:t>DC para solicitar la coordinación de métodos de trabajo electrónicos [a todas las CE del UIT-T] (</w:t>
            </w:r>
            <w:hyperlink r:id="rId130" w:history="1">
              <w:r w:rsidR="00BE59AA" w:rsidRPr="005C168C">
                <w:rPr>
                  <w:rStyle w:val="Hyperlink"/>
                  <w:sz w:val="20"/>
                  <w:lang w:val="es-ES"/>
                </w:rPr>
                <w:t>GANT-LS19</w:t>
              </w:r>
            </w:hyperlink>
            <w:r w:rsidR="00BE59AA" w:rsidRPr="00983703">
              <w:rPr>
                <w:sz w:val="20"/>
                <w:lang w:val="es-ES_tradnl" w:eastAsia="ja-JP"/>
              </w:rPr>
              <w:t>)</w:t>
            </w:r>
          </w:p>
        </w:tc>
        <w:tc>
          <w:tcPr>
            <w:tcW w:w="6551" w:type="dxa"/>
            <w:shd w:val="clear" w:color="auto" w:fill="auto"/>
          </w:tcPr>
          <w:p w14:paraId="7B89CE30" w14:textId="5FA06D78" w:rsidR="00BE59AA" w:rsidRDefault="00B16402" w:rsidP="0033133F">
            <w:pPr>
              <w:pStyle w:val="enumlev1"/>
              <w:tabs>
                <w:tab w:val="clear" w:pos="794"/>
                <w:tab w:val="left" w:pos="247"/>
              </w:tabs>
              <w:ind w:left="247" w:hanging="247"/>
              <w:jc w:val="left"/>
              <w:rPr>
                <w:rFonts w:eastAsia="SimSun"/>
                <w:sz w:val="20"/>
                <w:lang w:val="es-ES_tradnl"/>
              </w:rPr>
            </w:pPr>
            <w:r w:rsidRPr="00B16402">
              <w:rPr>
                <w:rFonts w:eastAsia="Batang"/>
                <w:sz w:val="20"/>
                <w:lang w:val="es-ES_tradnl"/>
              </w:rPr>
              <w:t>•</w:t>
            </w:r>
            <w:r>
              <w:rPr>
                <w:rFonts w:eastAsia="Batang"/>
                <w:sz w:val="20"/>
                <w:lang w:val="es-ES_tradnl"/>
              </w:rPr>
              <w:tab/>
            </w:r>
            <w:r w:rsidR="00BE59AA" w:rsidRPr="00983703">
              <w:rPr>
                <w:rFonts w:eastAsia="Batang"/>
                <w:sz w:val="20"/>
                <w:lang w:val="es-ES_tradnl"/>
              </w:rPr>
              <w:t xml:space="preserve">12 de septiembre de 2023: </w:t>
            </w:r>
            <w:r w:rsidR="00BE59AA" w:rsidRPr="00983703">
              <w:rPr>
                <w:rFonts w:eastAsia="SimSun"/>
                <w:sz w:val="20"/>
                <w:lang w:val="es-ES_tradnl"/>
              </w:rPr>
              <w:t xml:space="preserve">13.00-15.00 </w:t>
            </w:r>
            <w:r w:rsidR="00BE59AA" w:rsidRPr="00983703">
              <w:rPr>
                <w:sz w:val="20"/>
                <w:lang w:val="es-ES_tradnl"/>
              </w:rPr>
              <w:t xml:space="preserve">horas, a distancia. Tema principal: </w:t>
            </w:r>
            <w:r w:rsidR="00BE59AA" w:rsidRPr="00983703">
              <w:rPr>
                <w:rFonts w:eastAsia="SimSun"/>
                <w:sz w:val="20"/>
                <w:lang w:val="es-ES_tradnl"/>
              </w:rPr>
              <w:t xml:space="preserve">Avances en el proyecto de nuevo Suplemento </w:t>
            </w:r>
            <w:proofErr w:type="spellStart"/>
            <w:proofErr w:type="gramStart"/>
            <w:r w:rsidR="00BE59AA" w:rsidRPr="00983703">
              <w:rPr>
                <w:rFonts w:eastAsia="SimSun"/>
                <w:sz w:val="20"/>
                <w:lang w:val="es-ES_tradnl"/>
              </w:rPr>
              <w:t>A.SupRA</w:t>
            </w:r>
            <w:proofErr w:type="spellEnd"/>
            <w:proofErr w:type="gramEnd"/>
            <w:r w:rsidR="00BE59AA" w:rsidRPr="00983703">
              <w:rPr>
                <w:rFonts w:eastAsia="SimSun"/>
                <w:sz w:val="20"/>
                <w:lang w:val="es-ES_tradnl"/>
              </w:rPr>
              <w:t xml:space="preserve"> y posibles medidas en relación con las Recomendaciones UIT-T A.4 y A.6. </w:t>
            </w:r>
            <w:r w:rsidR="00BE59AA" w:rsidRPr="00983703">
              <w:rPr>
                <w:sz w:val="20"/>
                <w:lang w:val="es-ES_tradnl"/>
              </w:rPr>
              <w:t>Plazo</w:t>
            </w:r>
            <w:r w:rsidR="00BE59AA" w:rsidRPr="00983703">
              <w:rPr>
                <w:rFonts w:eastAsia="SimSun"/>
                <w:sz w:val="20"/>
                <w:lang w:val="es-ES_tradnl"/>
              </w:rPr>
              <w:t xml:space="preserve">: 2 </w:t>
            </w:r>
            <w:r w:rsidR="00BE59AA" w:rsidRPr="00983703">
              <w:rPr>
                <w:rFonts w:eastAsia="Batang"/>
                <w:sz w:val="20"/>
                <w:lang w:val="es-ES_tradnl"/>
              </w:rPr>
              <w:t xml:space="preserve">de septiembre </w:t>
            </w:r>
            <w:r w:rsidR="00BE59AA" w:rsidRPr="00983703">
              <w:rPr>
                <w:rFonts w:eastAsia="SimSun"/>
                <w:sz w:val="20"/>
                <w:lang w:val="es-ES_tradnl"/>
              </w:rPr>
              <w:t>de 2023</w:t>
            </w:r>
          </w:p>
          <w:p w14:paraId="70B7F069" w14:textId="192A1DE4" w:rsidR="00BE59AA" w:rsidRDefault="00B16402" w:rsidP="0033133F">
            <w:pPr>
              <w:pStyle w:val="enumlev1"/>
              <w:tabs>
                <w:tab w:val="clear" w:pos="794"/>
                <w:tab w:val="left" w:pos="247"/>
              </w:tabs>
              <w:ind w:left="247" w:hanging="247"/>
              <w:jc w:val="left"/>
              <w:rPr>
                <w:rFonts w:eastAsia="SimSun"/>
                <w:sz w:val="20"/>
                <w:lang w:val="es-ES_tradnl"/>
              </w:rPr>
            </w:pPr>
            <w:r w:rsidRPr="00B16402">
              <w:rPr>
                <w:rFonts w:eastAsia="SimSun"/>
                <w:sz w:val="20"/>
                <w:lang w:val="es-ES_tradnl"/>
              </w:rPr>
              <w:t>•</w:t>
            </w:r>
            <w:r>
              <w:rPr>
                <w:rFonts w:eastAsia="SimSun"/>
                <w:sz w:val="20"/>
                <w:lang w:val="es-ES_tradnl"/>
              </w:rPr>
              <w:tab/>
            </w:r>
            <w:r w:rsidR="00BE59AA" w:rsidRPr="00983703">
              <w:rPr>
                <w:rFonts w:eastAsia="SimSun"/>
                <w:sz w:val="20"/>
                <w:lang w:val="es-ES_tradnl"/>
              </w:rPr>
              <w:t xml:space="preserve">24 de octubre de 2023: de las 12.00 a las 15.00 </w:t>
            </w:r>
            <w:r w:rsidR="00BE59AA" w:rsidRPr="00983703">
              <w:rPr>
                <w:sz w:val="20"/>
                <w:lang w:val="es-ES_tradnl"/>
              </w:rPr>
              <w:t xml:space="preserve">horas, a distancia. Tema principal: </w:t>
            </w:r>
            <w:r w:rsidR="00BE59AA" w:rsidRPr="00983703">
              <w:rPr>
                <w:rFonts w:eastAsia="SimSun"/>
                <w:sz w:val="20"/>
                <w:lang w:val="es-ES_tradnl"/>
              </w:rPr>
              <w:t xml:space="preserve">Rec. UIT-T A.1. </w:t>
            </w:r>
            <w:r w:rsidR="00BE59AA" w:rsidRPr="00983703">
              <w:rPr>
                <w:sz w:val="20"/>
                <w:lang w:val="es-ES_tradnl"/>
              </w:rPr>
              <w:t>Plazo</w:t>
            </w:r>
            <w:r w:rsidR="00BE59AA" w:rsidRPr="00983703">
              <w:rPr>
                <w:rFonts w:eastAsia="SimSun"/>
                <w:sz w:val="20"/>
                <w:lang w:val="es-ES_tradnl"/>
              </w:rPr>
              <w:t>: 14 de octubre de 2023</w:t>
            </w:r>
          </w:p>
          <w:p w14:paraId="5B8ED86A" w14:textId="45D6925B" w:rsidR="00BE59AA" w:rsidRDefault="00B16402" w:rsidP="0033133F">
            <w:pPr>
              <w:pStyle w:val="enumlev1"/>
              <w:tabs>
                <w:tab w:val="clear" w:pos="794"/>
                <w:tab w:val="left" w:pos="247"/>
              </w:tabs>
              <w:ind w:left="247" w:hanging="247"/>
              <w:jc w:val="left"/>
              <w:rPr>
                <w:rFonts w:eastAsia="SimSun"/>
                <w:sz w:val="20"/>
                <w:lang w:val="es-ES_tradnl"/>
              </w:rPr>
            </w:pPr>
            <w:r w:rsidRPr="00B16402">
              <w:rPr>
                <w:rFonts w:eastAsia="SimSun"/>
                <w:sz w:val="20"/>
                <w:lang w:val="es-ES_tradnl"/>
              </w:rPr>
              <w:t>•</w:t>
            </w:r>
            <w:r>
              <w:rPr>
                <w:rFonts w:eastAsia="SimSun"/>
                <w:sz w:val="20"/>
                <w:lang w:val="es-ES_tradnl"/>
              </w:rPr>
              <w:tab/>
            </w:r>
            <w:r w:rsidR="00BE59AA" w:rsidRPr="00983703">
              <w:rPr>
                <w:rFonts w:eastAsia="SimSun"/>
                <w:sz w:val="20"/>
                <w:lang w:val="es-ES_tradnl"/>
              </w:rPr>
              <w:t xml:space="preserve">21 de noviembre de 2023: de las 12.00 a las 15.00 </w:t>
            </w:r>
            <w:r w:rsidR="00BE59AA" w:rsidRPr="00983703">
              <w:rPr>
                <w:sz w:val="20"/>
                <w:lang w:val="es-ES_tradnl"/>
              </w:rPr>
              <w:t xml:space="preserve">horas, a distancia. Tema principal: </w:t>
            </w:r>
            <w:r w:rsidR="00BE59AA" w:rsidRPr="00983703">
              <w:rPr>
                <w:rFonts w:eastAsia="SimSun"/>
                <w:sz w:val="20"/>
                <w:lang w:val="es-ES_tradnl"/>
              </w:rPr>
              <w:t xml:space="preserve">debate de cuestiones pendientes de reuniones anteriores del Grupo de Relator. </w:t>
            </w:r>
            <w:r w:rsidR="00BE59AA" w:rsidRPr="00983703">
              <w:rPr>
                <w:sz w:val="20"/>
                <w:lang w:val="es-ES_tradnl"/>
              </w:rPr>
              <w:t>Plazo</w:t>
            </w:r>
            <w:r w:rsidR="00BE59AA" w:rsidRPr="00983703">
              <w:rPr>
                <w:rFonts w:eastAsia="SimSun"/>
                <w:sz w:val="20"/>
                <w:lang w:val="es-ES_tradnl"/>
              </w:rPr>
              <w:t>: 11 de noviembre de 2023</w:t>
            </w:r>
          </w:p>
          <w:p w14:paraId="1211467C" w14:textId="5C1D7BFB" w:rsidR="00BE59AA" w:rsidRPr="00983703" w:rsidRDefault="00B16402" w:rsidP="0033133F">
            <w:pPr>
              <w:pStyle w:val="enumlev1"/>
              <w:tabs>
                <w:tab w:val="clear" w:pos="794"/>
                <w:tab w:val="left" w:pos="247"/>
              </w:tabs>
              <w:ind w:left="247" w:hanging="247"/>
              <w:jc w:val="left"/>
              <w:rPr>
                <w:sz w:val="20"/>
                <w:lang w:val="es-ES_tradnl"/>
              </w:rPr>
            </w:pPr>
            <w:r w:rsidRPr="00B16402">
              <w:rPr>
                <w:rFonts w:eastAsia="SimSun"/>
                <w:sz w:val="20"/>
                <w:lang w:val="es-ES_tradnl"/>
              </w:rPr>
              <w:t>•</w:t>
            </w:r>
            <w:r>
              <w:rPr>
                <w:rFonts w:eastAsia="SimSun"/>
                <w:sz w:val="20"/>
                <w:lang w:val="es-ES_tradnl"/>
              </w:rPr>
              <w:tab/>
            </w:r>
            <w:r w:rsidR="00BE59AA" w:rsidRPr="00983703">
              <w:rPr>
                <w:rFonts w:eastAsia="SimSun"/>
                <w:sz w:val="20"/>
                <w:lang w:val="es-ES_tradnl"/>
              </w:rPr>
              <w:t xml:space="preserve">5 de diciembre de 2023: de las 12.00 a las 15.00 </w:t>
            </w:r>
            <w:r w:rsidR="00BE59AA" w:rsidRPr="00983703">
              <w:rPr>
                <w:sz w:val="20"/>
                <w:lang w:val="es-ES_tradnl"/>
              </w:rPr>
              <w:t xml:space="preserve">horas, a distancia. Tema principal: </w:t>
            </w:r>
            <w:r w:rsidR="00BE59AA" w:rsidRPr="00983703">
              <w:rPr>
                <w:rFonts w:eastAsia="SimSun"/>
                <w:sz w:val="20"/>
                <w:lang w:val="es-ES_tradnl"/>
              </w:rPr>
              <w:t xml:space="preserve">debate de cuestiones pendientes de reuniones anteriores del Grupo de Relator. </w:t>
            </w:r>
            <w:r w:rsidR="00BE59AA" w:rsidRPr="00983703">
              <w:rPr>
                <w:sz w:val="20"/>
                <w:lang w:val="es-ES_tradnl"/>
              </w:rPr>
              <w:t>Plazo</w:t>
            </w:r>
            <w:r w:rsidR="00BE59AA" w:rsidRPr="00983703">
              <w:rPr>
                <w:rFonts w:eastAsia="SimSun"/>
                <w:sz w:val="20"/>
                <w:lang w:val="es-ES_tradnl"/>
              </w:rPr>
              <w:t>: 25 de noviembre de 2023</w:t>
            </w:r>
          </w:p>
        </w:tc>
      </w:tr>
      <w:tr w:rsidR="00BE59AA" w:rsidRPr="00983703" w14:paraId="70F4072E" w14:textId="77777777" w:rsidTr="000D5A2A">
        <w:trPr>
          <w:jc w:val="center"/>
        </w:trPr>
        <w:tc>
          <w:tcPr>
            <w:tcW w:w="841" w:type="dxa"/>
            <w:shd w:val="clear" w:color="auto" w:fill="auto"/>
          </w:tcPr>
          <w:p w14:paraId="42F3754B" w14:textId="77777777" w:rsidR="00BE59AA" w:rsidRPr="00983703" w:rsidRDefault="00BE59AA" w:rsidP="00382701">
            <w:pPr>
              <w:pStyle w:val="Tabletext"/>
              <w:rPr>
                <w:sz w:val="20"/>
                <w:lang w:val="es-ES_tradnl"/>
              </w:rPr>
            </w:pPr>
            <w:r w:rsidRPr="00983703">
              <w:rPr>
                <w:sz w:val="20"/>
                <w:lang w:val="es-ES_tradnl"/>
              </w:rPr>
              <w:t>RG-WPR</w:t>
            </w:r>
          </w:p>
        </w:tc>
        <w:tc>
          <w:tcPr>
            <w:tcW w:w="1129" w:type="dxa"/>
            <w:shd w:val="clear" w:color="auto" w:fill="auto"/>
          </w:tcPr>
          <w:p w14:paraId="10E79A69" w14:textId="77777777" w:rsidR="00BE59AA" w:rsidRPr="005C168C" w:rsidRDefault="005B66C3" w:rsidP="00382701">
            <w:pPr>
              <w:pStyle w:val="Tabletext"/>
              <w:rPr>
                <w:sz w:val="20"/>
                <w:highlight w:val="yellow"/>
                <w:lang w:val="es-ES_tradnl"/>
              </w:rPr>
            </w:pPr>
            <w:hyperlink r:id="rId131" w:history="1">
              <w:r w:rsidR="00BE59AA" w:rsidRPr="005C168C">
                <w:rPr>
                  <w:rStyle w:val="Hyperlink"/>
                  <w:sz w:val="20"/>
                </w:rPr>
                <w:t>TD186</w:t>
              </w:r>
            </w:hyperlink>
          </w:p>
        </w:tc>
        <w:tc>
          <w:tcPr>
            <w:tcW w:w="5670" w:type="dxa"/>
            <w:shd w:val="clear" w:color="auto" w:fill="auto"/>
          </w:tcPr>
          <w:p w14:paraId="201B71A8" w14:textId="24B54E45" w:rsidR="00BE59AA" w:rsidRPr="00983703" w:rsidRDefault="00B16402" w:rsidP="00D71C54">
            <w:pPr>
              <w:pStyle w:val="enumlev1"/>
              <w:tabs>
                <w:tab w:val="clear" w:pos="794"/>
                <w:tab w:val="left" w:pos="247"/>
              </w:tabs>
              <w:ind w:left="247" w:hanging="247"/>
              <w:jc w:val="left"/>
              <w:rPr>
                <w:sz w:val="20"/>
                <w:lang w:val="es-ES_tradnl" w:eastAsia="ja-JP"/>
              </w:rPr>
            </w:pPr>
            <w:r w:rsidRPr="00B16402">
              <w:rPr>
                <w:sz w:val="20"/>
                <w:lang w:val="es-ES_tradnl" w:eastAsia="ja-JP"/>
              </w:rPr>
              <w:t>•</w:t>
            </w:r>
            <w:r>
              <w:rPr>
                <w:sz w:val="20"/>
                <w:lang w:val="es-ES_tradnl" w:eastAsia="ja-JP"/>
              </w:rPr>
              <w:tab/>
            </w:r>
            <w:r w:rsidR="00BE59AA" w:rsidRPr="00983703">
              <w:rPr>
                <w:sz w:val="20"/>
                <w:lang w:val="es-ES_tradnl" w:eastAsia="ja-JP"/>
              </w:rPr>
              <w:t>DC sobre el grado de aplicación del plan de acción para el análisis de alternativas estructurales del UIT-T [a todas las CE del UIT-T] (</w:t>
            </w:r>
            <w:hyperlink r:id="rId132" w:history="1">
              <w:r w:rsidR="00BE59AA" w:rsidRPr="005C168C">
                <w:rPr>
                  <w:rStyle w:val="Hyperlink"/>
                  <w:sz w:val="20"/>
                  <w:lang w:val="es-ES"/>
                </w:rPr>
                <w:t>GANT-LS18</w:t>
              </w:r>
            </w:hyperlink>
            <w:r w:rsidR="00BE59AA" w:rsidRPr="00983703">
              <w:rPr>
                <w:sz w:val="20"/>
                <w:lang w:val="es-ES_tradnl" w:eastAsia="ja-JP"/>
              </w:rPr>
              <w:t>)</w:t>
            </w:r>
          </w:p>
        </w:tc>
        <w:tc>
          <w:tcPr>
            <w:tcW w:w="6551" w:type="dxa"/>
            <w:shd w:val="clear" w:color="auto" w:fill="auto"/>
          </w:tcPr>
          <w:p w14:paraId="57E406C2" w14:textId="61DDCC1D" w:rsidR="00BE59AA"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5 de julio de 2023: 13.00-14.30 horas, a distancia. Tema principal: revisión del texto de referencia (TD214R1) sobre definiciones de los IFR, las prioridades relativas de los IFR y posibles nuevas estructuras. Plazo: 28 de junio de 2023</w:t>
            </w:r>
          </w:p>
          <w:p w14:paraId="61E41A50" w14:textId="6929B69E" w:rsidR="00BE59AA"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13 de septiembre de 2023: de las 12.00 a las 13.30 horas, a distancia. Tema principal: revisión del texto de referencia (TD214R1) sobre definiciones de los</w:t>
            </w:r>
            <w:r w:rsidR="006F6F91">
              <w:rPr>
                <w:sz w:val="20"/>
                <w:lang w:val="es-ES_tradnl"/>
              </w:rPr>
              <w:t> </w:t>
            </w:r>
            <w:r w:rsidR="00BE59AA" w:rsidRPr="00983703">
              <w:rPr>
                <w:sz w:val="20"/>
                <w:lang w:val="es-ES_tradnl"/>
              </w:rPr>
              <w:t>IFR, las prioridades relativas de los IFR y posibles nuevas estructuras. Plazo: 6 de septiembre de 2023</w:t>
            </w:r>
          </w:p>
          <w:p w14:paraId="06D2671A" w14:textId="33949224" w:rsidR="00BE59AA" w:rsidRDefault="00B16402" w:rsidP="0033133F">
            <w:pPr>
              <w:pStyle w:val="enumlev1"/>
              <w:keepLines/>
              <w:tabs>
                <w:tab w:val="clear" w:pos="794"/>
                <w:tab w:val="left" w:pos="247"/>
              </w:tabs>
              <w:ind w:left="249" w:hanging="249"/>
              <w:jc w:val="left"/>
              <w:rPr>
                <w:sz w:val="20"/>
                <w:lang w:val="es-ES_tradnl"/>
              </w:rPr>
            </w:pPr>
            <w:r w:rsidRPr="00B16402">
              <w:rPr>
                <w:sz w:val="20"/>
                <w:lang w:val="es-ES_tradnl"/>
              </w:rPr>
              <w:lastRenderedPageBreak/>
              <w:t>•</w:t>
            </w:r>
            <w:r>
              <w:rPr>
                <w:sz w:val="20"/>
                <w:lang w:val="es-ES_tradnl"/>
              </w:rPr>
              <w:tab/>
            </w:r>
            <w:r w:rsidR="00BE59AA" w:rsidRPr="00983703">
              <w:rPr>
                <w:sz w:val="20"/>
                <w:lang w:val="es-ES_tradnl"/>
              </w:rPr>
              <w:t>15 de noviembre de 2023: 12.30-14.00 horas, a distancia. Tema principal: revisión del texto de referencia (TD214R1) sobre definiciones de los IFR, las prioridades relativas de los IFR y posibles nuevas estructuras. Plazo: 8 de noviembre de 2023</w:t>
            </w:r>
          </w:p>
          <w:p w14:paraId="50CA0379" w14:textId="3AF1E593" w:rsidR="00BE59AA" w:rsidRPr="00983703"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10 de enero de 2024: 13.00-15.00 horas a distancia. Tema principal: revisión del texto de referencia (TD214R1) sobre definiciones de los IFR, las prioridades relativas de los IFR y posibles nuevas estructuras. Plazo: 5 de enero de 2024</w:t>
            </w:r>
          </w:p>
        </w:tc>
      </w:tr>
      <w:tr w:rsidR="00BE59AA" w:rsidRPr="00983703" w14:paraId="2846713A" w14:textId="77777777" w:rsidTr="000D5A2A">
        <w:trPr>
          <w:jc w:val="center"/>
        </w:trPr>
        <w:tc>
          <w:tcPr>
            <w:tcW w:w="841" w:type="dxa"/>
            <w:shd w:val="clear" w:color="auto" w:fill="auto"/>
          </w:tcPr>
          <w:p w14:paraId="5CC461D3" w14:textId="77777777" w:rsidR="00BE59AA" w:rsidRPr="00983703" w:rsidRDefault="00BE59AA" w:rsidP="00382701">
            <w:pPr>
              <w:pStyle w:val="Tabletext"/>
              <w:rPr>
                <w:sz w:val="20"/>
                <w:lang w:val="es-ES_tradnl"/>
              </w:rPr>
            </w:pPr>
            <w:r w:rsidRPr="00983703">
              <w:rPr>
                <w:sz w:val="20"/>
                <w:lang w:val="es-ES_tradnl"/>
              </w:rPr>
              <w:lastRenderedPageBreak/>
              <w:t>RG-WTSA</w:t>
            </w:r>
          </w:p>
        </w:tc>
        <w:tc>
          <w:tcPr>
            <w:tcW w:w="1129" w:type="dxa"/>
            <w:shd w:val="clear" w:color="auto" w:fill="auto"/>
          </w:tcPr>
          <w:p w14:paraId="74E9CE11" w14:textId="77777777" w:rsidR="00BE59AA" w:rsidRPr="00F62B87" w:rsidRDefault="005B66C3" w:rsidP="00382701">
            <w:pPr>
              <w:pStyle w:val="Tabletext"/>
              <w:rPr>
                <w:rStyle w:val="Hyperlink"/>
                <w:sz w:val="20"/>
                <w:highlight w:val="yellow"/>
              </w:rPr>
            </w:pPr>
            <w:hyperlink r:id="rId133" w:history="1">
              <w:r w:rsidR="00BE59AA" w:rsidRPr="00F62B87">
                <w:rPr>
                  <w:rStyle w:val="Hyperlink"/>
                  <w:sz w:val="20"/>
                </w:rPr>
                <w:t>TD188</w:t>
              </w:r>
            </w:hyperlink>
          </w:p>
        </w:tc>
        <w:tc>
          <w:tcPr>
            <w:tcW w:w="5670" w:type="dxa"/>
            <w:shd w:val="clear" w:color="auto" w:fill="auto"/>
          </w:tcPr>
          <w:p w14:paraId="48934A07" w14:textId="675CAD8D" w:rsidR="00BE59AA" w:rsidRDefault="00B16402" w:rsidP="00B16402">
            <w:pPr>
              <w:pStyle w:val="enumlev1"/>
              <w:tabs>
                <w:tab w:val="clear" w:pos="794"/>
                <w:tab w:val="left" w:pos="247"/>
              </w:tabs>
              <w:ind w:left="247" w:hanging="247"/>
              <w:rPr>
                <w:sz w:val="20"/>
                <w:lang w:val="es-ES_tradnl" w:eastAsia="ja-JP"/>
              </w:rPr>
            </w:pPr>
            <w:r w:rsidRPr="00B16402">
              <w:rPr>
                <w:sz w:val="20"/>
                <w:lang w:val="es-ES_tradnl" w:eastAsia="ja-JP"/>
              </w:rPr>
              <w:t>•</w:t>
            </w:r>
            <w:r>
              <w:rPr>
                <w:sz w:val="20"/>
                <w:lang w:val="es-ES_tradnl" w:eastAsia="ja-JP"/>
              </w:rPr>
              <w:tab/>
            </w:r>
            <w:r w:rsidR="00BE59AA" w:rsidRPr="00983703">
              <w:rPr>
                <w:sz w:val="20"/>
                <w:lang w:val="es-ES_tradnl" w:eastAsia="ja-JP"/>
              </w:rPr>
              <w:t>DC sobre el proyecto de análisis de partes de texto operacionales (en particular, resuelve y encarga) de las Resoluciones de la AMNT/PP/CMDT [a todas las CE del UIT-T y organizaciones regionales de telecomunicaciones</w:t>
            </w:r>
            <w:r w:rsidR="00BE59AA" w:rsidRPr="00983703">
              <w:rPr>
                <w:sz w:val="20"/>
                <w:szCs w:val="22"/>
                <w:lang w:val="es-ES_tradnl" w:eastAsia="ja-JP"/>
              </w:rPr>
              <w:t>] (</w:t>
            </w:r>
            <w:hyperlink r:id="rId134" w:history="1">
              <w:r w:rsidR="00BE59AA" w:rsidRPr="00B16402">
                <w:rPr>
                  <w:rStyle w:val="Hyperlink"/>
                  <w:sz w:val="20"/>
                  <w:lang w:val="es-ES"/>
                </w:rPr>
                <w:t>GANT-LS15</w:t>
              </w:r>
            </w:hyperlink>
            <w:r w:rsidR="00BE59AA" w:rsidRPr="00983703">
              <w:rPr>
                <w:sz w:val="20"/>
                <w:lang w:val="es-ES_tradnl" w:eastAsia="ja-JP"/>
              </w:rPr>
              <w:t>)</w:t>
            </w:r>
          </w:p>
          <w:p w14:paraId="558BBF17" w14:textId="3183107A" w:rsidR="00BE59AA" w:rsidRPr="00983703" w:rsidRDefault="00B16402" w:rsidP="00B16402">
            <w:pPr>
              <w:pStyle w:val="enumlev1"/>
              <w:tabs>
                <w:tab w:val="clear" w:pos="794"/>
                <w:tab w:val="left" w:pos="247"/>
              </w:tabs>
              <w:ind w:left="247" w:hanging="247"/>
              <w:rPr>
                <w:sz w:val="20"/>
                <w:lang w:val="es-ES_tradnl" w:eastAsia="ja-JP"/>
              </w:rPr>
            </w:pPr>
            <w:r w:rsidRPr="00B16402">
              <w:rPr>
                <w:sz w:val="20"/>
                <w:lang w:val="es-ES_tradnl" w:eastAsia="ja-JP"/>
              </w:rPr>
              <w:t>•</w:t>
            </w:r>
            <w:r>
              <w:rPr>
                <w:sz w:val="20"/>
                <w:lang w:val="es-ES_tradnl" w:eastAsia="ja-JP"/>
              </w:rPr>
              <w:tab/>
            </w:r>
            <w:r w:rsidR="00BE59AA" w:rsidRPr="00983703">
              <w:rPr>
                <w:sz w:val="20"/>
                <w:lang w:val="es-ES_tradnl" w:eastAsia="ja-JP"/>
              </w:rPr>
              <w:t>DC sobre la continuación de la cooperación y el interés mutuo del UIT-T y la UPU en el marco de la Resolución 11 de la AMNT [a la UPU] (</w:t>
            </w:r>
            <w:hyperlink r:id="rId135" w:history="1">
              <w:r w:rsidR="00BE59AA" w:rsidRPr="005C168C">
                <w:rPr>
                  <w:rStyle w:val="Hyperlink"/>
                  <w:sz w:val="20"/>
                  <w:lang w:val="es-ES"/>
                </w:rPr>
                <w:t>GANT-SL17</w:t>
              </w:r>
            </w:hyperlink>
            <w:r w:rsidR="00BE59AA" w:rsidRPr="00983703">
              <w:rPr>
                <w:sz w:val="20"/>
                <w:szCs w:val="22"/>
                <w:lang w:val="es-ES_tradnl" w:eastAsia="ja-JP"/>
              </w:rPr>
              <w:t>)</w:t>
            </w:r>
          </w:p>
        </w:tc>
        <w:tc>
          <w:tcPr>
            <w:tcW w:w="6551" w:type="dxa"/>
            <w:shd w:val="clear" w:color="auto" w:fill="auto"/>
          </w:tcPr>
          <w:p w14:paraId="6D2EB94F" w14:textId="14CA338C" w:rsidR="00BE59AA"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 xml:space="preserve">21 de septiembre de 2023: 13.00-15.00 horas, a distancia: Tema principal: avances en el proyecto de nuevos documentos </w:t>
            </w:r>
            <w:proofErr w:type="spellStart"/>
            <w:proofErr w:type="gramStart"/>
            <w:r w:rsidR="00BE59AA" w:rsidRPr="00983703">
              <w:rPr>
                <w:sz w:val="20"/>
                <w:lang w:val="es-ES_tradnl"/>
              </w:rPr>
              <w:t>A.SupWTSAGL</w:t>
            </w:r>
            <w:proofErr w:type="spellEnd"/>
            <w:proofErr w:type="gramEnd"/>
            <w:r w:rsidR="00BE59AA" w:rsidRPr="00983703">
              <w:rPr>
                <w:sz w:val="20"/>
                <w:lang w:val="es-ES_tradnl"/>
              </w:rPr>
              <w:t xml:space="preserve"> y A.BN; revisión de propuestas sobre aplicación específica de la racionalización de Resoluciones y opinión de la AMNT. Plazo: 13 de septiembre de 2023</w:t>
            </w:r>
          </w:p>
          <w:p w14:paraId="3487F161" w14:textId="1B143902" w:rsidR="00BE59AA"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 xml:space="preserve">19 de octubre de 2023: 13.00-15.00 horas, a distancia. Tema principal: </w:t>
            </w:r>
            <w:r w:rsidR="00BE59AA" w:rsidRPr="00560A35">
              <w:rPr>
                <w:sz w:val="20"/>
                <w:lang w:val="es-ES_tradnl"/>
              </w:rPr>
              <w:t xml:space="preserve">avances en el proyecto de nuevos documentos </w:t>
            </w:r>
            <w:proofErr w:type="spellStart"/>
            <w:proofErr w:type="gramStart"/>
            <w:r w:rsidR="00BE59AA" w:rsidRPr="00560A35">
              <w:rPr>
                <w:sz w:val="20"/>
                <w:lang w:val="es-ES_tradnl"/>
              </w:rPr>
              <w:t>A.SupWTSAGL</w:t>
            </w:r>
            <w:proofErr w:type="spellEnd"/>
            <w:proofErr w:type="gramEnd"/>
            <w:r w:rsidR="00BE59AA" w:rsidRPr="00560A35">
              <w:rPr>
                <w:sz w:val="20"/>
                <w:lang w:val="es-ES_tradnl"/>
              </w:rPr>
              <w:t xml:space="preserve"> y A.BN; revisión de propuestas sobre aplicación específica de la racionalización de Resoluciones y opinión de la AMNT; Plazo: 11 de octubre de 2023.</w:t>
            </w:r>
          </w:p>
          <w:p w14:paraId="5E43DC72" w14:textId="423D68F3" w:rsidR="00BE59AA"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 xml:space="preserve">16 de noviembre de 2023: 13.00-15.00 horas, a distancia. Tema principal: avances en el proyecto de nuevos documentos </w:t>
            </w:r>
            <w:proofErr w:type="spellStart"/>
            <w:proofErr w:type="gramStart"/>
            <w:r w:rsidR="00BE59AA" w:rsidRPr="00983703">
              <w:rPr>
                <w:sz w:val="20"/>
                <w:lang w:val="es-ES_tradnl"/>
              </w:rPr>
              <w:t>A.SupWTSAGL</w:t>
            </w:r>
            <w:proofErr w:type="spellEnd"/>
            <w:proofErr w:type="gramEnd"/>
            <w:r w:rsidR="00BE59AA" w:rsidRPr="00983703">
              <w:rPr>
                <w:sz w:val="20"/>
                <w:lang w:val="es-ES_tradnl"/>
              </w:rPr>
              <w:t xml:space="preserve"> y A.BN; revisión de propuestas sobre aplicación específica de la racionalización de Resoluciones y opinión de la AMNT. Plazo: 8 de noviembre de 2023</w:t>
            </w:r>
          </w:p>
          <w:p w14:paraId="6C6CE2D2" w14:textId="69FF5190" w:rsidR="00BE59AA" w:rsidRPr="00983703" w:rsidRDefault="00B16402" w:rsidP="0033133F">
            <w:pPr>
              <w:pStyle w:val="enumlev1"/>
              <w:tabs>
                <w:tab w:val="clear" w:pos="794"/>
                <w:tab w:val="left" w:pos="247"/>
              </w:tabs>
              <w:ind w:left="247" w:hanging="247"/>
              <w:jc w:val="left"/>
              <w:rPr>
                <w:sz w:val="20"/>
                <w:lang w:val="es-ES_tradnl"/>
              </w:rPr>
            </w:pPr>
            <w:r w:rsidRPr="00B16402">
              <w:rPr>
                <w:sz w:val="20"/>
                <w:lang w:val="es-ES_tradnl"/>
              </w:rPr>
              <w:t>•</w:t>
            </w:r>
            <w:r>
              <w:rPr>
                <w:sz w:val="20"/>
                <w:lang w:val="es-ES_tradnl"/>
              </w:rPr>
              <w:tab/>
            </w:r>
            <w:r w:rsidR="00BE59AA" w:rsidRPr="00983703">
              <w:rPr>
                <w:sz w:val="20"/>
                <w:lang w:val="es-ES_tradnl"/>
              </w:rPr>
              <w:t xml:space="preserve">18 de enero de 2024: 13.00-15.00 horas, a distancia. Tema principal: avances en el proyecto de nuevos documentos </w:t>
            </w:r>
            <w:proofErr w:type="spellStart"/>
            <w:proofErr w:type="gramStart"/>
            <w:r w:rsidR="00BE59AA" w:rsidRPr="00983703">
              <w:rPr>
                <w:sz w:val="20"/>
                <w:lang w:val="es-ES_tradnl"/>
              </w:rPr>
              <w:t>A.SupWTSAGL</w:t>
            </w:r>
            <w:proofErr w:type="spellEnd"/>
            <w:proofErr w:type="gramEnd"/>
            <w:r w:rsidR="00BE59AA" w:rsidRPr="00983703">
              <w:rPr>
                <w:sz w:val="20"/>
                <w:lang w:val="es-ES_tradnl"/>
              </w:rPr>
              <w:t xml:space="preserve"> y A.BN; revisión de propuestas sobre aplicación específica de la racionalización de Resoluciones y opinión de la AMNT. Plazo: 10 de enero de 2024</w:t>
            </w:r>
          </w:p>
        </w:tc>
      </w:tr>
    </w:tbl>
    <w:p w14:paraId="317276F1"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lang w:val="es-ES_tradnl"/>
        </w:rPr>
      </w:pPr>
      <w:bookmarkStart w:id="55" w:name="_Annex_B_Terms_1"/>
      <w:bookmarkStart w:id="56" w:name="_Annex_B_Work"/>
      <w:bookmarkEnd w:id="55"/>
      <w:bookmarkEnd w:id="56"/>
    </w:p>
    <w:p w14:paraId="230EE27F" w14:textId="77777777" w:rsidR="00382701" w:rsidRPr="00983703" w:rsidRDefault="00382701">
      <w:pPr>
        <w:tabs>
          <w:tab w:val="clear" w:pos="794"/>
          <w:tab w:val="clear" w:pos="1191"/>
          <w:tab w:val="clear" w:pos="1588"/>
          <w:tab w:val="clear" w:pos="1985"/>
        </w:tabs>
        <w:overflowPunct/>
        <w:autoSpaceDE/>
        <w:autoSpaceDN/>
        <w:adjustRightInd/>
        <w:spacing w:before="0"/>
        <w:textAlignment w:val="auto"/>
        <w:rPr>
          <w:rFonts w:eastAsiaTheme="minorEastAsia"/>
          <w:caps/>
          <w:sz w:val="28"/>
          <w:szCs w:val="24"/>
          <w:lang w:val="es-ES_tradnl" w:eastAsia="ja-JP"/>
        </w:rPr>
      </w:pPr>
      <w:bookmarkStart w:id="57" w:name="_Annex_B_Work_1"/>
      <w:bookmarkEnd w:id="57"/>
      <w:r w:rsidRPr="00983703">
        <w:rPr>
          <w:rFonts w:eastAsiaTheme="minorEastAsia"/>
          <w:b/>
          <w:caps/>
          <w:szCs w:val="24"/>
          <w:lang w:val="es-ES_tradnl" w:eastAsia="ja-JP"/>
        </w:rPr>
        <w:br w:type="page"/>
      </w:r>
    </w:p>
    <w:p w14:paraId="0F49D039" w14:textId="322BB566" w:rsidR="00BE59AA" w:rsidRPr="00983703" w:rsidRDefault="00BE59AA" w:rsidP="005832E2">
      <w:pPr>
        <w:pStyle w:val="AnnexNotitle"/>
        <w:spacing w:after="120"/>
        <w:rPr>
          <w:lang w:val="es-ES_tradnl"/>
        </w:rPr>
      </w:pPr>
      <w:bookmarkStart w:id="58" w:name="_Toc140261666"/>
      <w:r w:rsidRPr="005832E2">
        <w:rPr>
          <w:rFonts w:eastAsiaTheme="minorEastAsia"/>
          <w:lang w:val="es-ES"/>
        </w:rPr>
        <w:lastRenderedPageBreak/>
        <w:t>Anexo B</w:t>
      </w:r>
      <w:r w:rsidR="005832E2" w:rsidRPr="005832E2">
        <w:rPr>
          <w:rFonts w:eastAsiaTheme="minorEastAsia"/>
          <w:lang w:val="es-ES"/>
        </w:rPr>
        <w:br/>
      </w:r>
      <w:r w:rsidR="005832E2" w:rsidRPr="005832E2">
        <w:rPr>
          <w:rFonts w:eastAsiaTheme="minorEastAsia"/>
          <w:lang w:val="es-ES"/>
        </w:rPr>
        <w:br/>
      </w:r>
      <w:r w:rsidRPr="00983703">
        <w:rPr>
          <w:lang w:val="es-ES_tradnl"/>
        </w:rPr>
        <w:t>Temas de trabajo del GANT</w:t>
      </w:r>
      <w:bookmarkEnd w:id="58"/>
    </w:p>
    <w:tbl>
      <w:tblPr>
        <w:tblStyle w:val="TableGrid8"/>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9"/>
        <w:gridCol w:w="1036"/>
        <w:gridCol w:w="1540"/>
        <w:gridCol w:w="952"/>
        <w:gridCol w:w="1120"/>
        <w:gridCol w:w="1217"/>
        <w:gridCol w:w="1204"/>
        <w:gridCol w:w="1568"/>
        <w:gridCol w:w="1022"/>
        <w:gridCol w:w="1427"/>
        <w:gridCol w:w="1981"/>
      </w:tblGrid>
      <w:tr w:rsidR="00CF2117" w:rsidRPr="00983703" w14:paraId="73CD523B" w14:textId="77777777" w:rsidTr="004B5468">
        <w:trPr>
          <w:tblHeader/>
          <w:jc w:val="center"/>
        </w:trPr>
        <w:tc>
          <w:tcPr>
            <w:tcW w:w="909" w:type="dxa"/>
            <w:tcBorders>
              <w:top w:val="single" w:sz="12" w:space="0" w:color="auto"/>
              <w:bottom w:val="single" w:sz="12" w:space="0" w:color="auto"/>
            </w:tcBorders>
            <w:shd w:val="clear" w:color="auto" w:fill="auto"/>
            <w:hideMark/>
          </w:tcPr>
          <w:p w14:paraId="1DC5D7ED" w14:textId="77777777" w:rsidR="00BE59AA" w:rsidRPr="00CF2117" w:rsidRDefault="00BE59AA" w:rsidP="00382701">
            <w:pPr>
              <w:pStyle w:val="Tablehead"/>
              <w:rPr>
                <w:sz w:val="20"/>
                <w:lang w:val="es-ES_tradnl" w:eastAsia="fr-FR"/>
              </w:rPr>
            </w:pPr>
            <w:r w:rsidRPr="00CF2117">
              <w:rPr>
                <w:sz w:val="20"/>
                <w:lang w:val="es-ES_tradnl"/>
              </w:rPr>
              <w:t>GR</w:t>
            </w:r>
          </w:p>
        </w:tc>
        <w:tc>
          <w:tcPr>
            <w:tcW w:w="1036" w:type="dxa"/>
            <w:tcBorders>
              <w:top w:val="single" w:sz="12" w:space="0" w:color="auto"/>
              <w:bottom w:val="single" w:sz="12" w:space="0" w:color="auto"/>
            </w:tcBorders>
            <w:shd w:val="clear" w:color="auto" w:fill="auto"/>
            <w:hideMark/>
          </w:tcPr>
          <w:p w14:paraId="49F961EF" w14:textId="77777777" w:rsidR="00BE59AA" w:rsidRPr="00CF2117" w:rsidRDefault="00BE59AA" w:rsidP="00382701">
            <w:pPr>
              <w:pStyle w:val="Tablehead"/>
              <w:rPr>
                <w:sz w:val="20"/>
                <w:lang w:val="es-ES_tradnl" w:eastAsia="fr-FR"/>
              </w:rPr>
            </w:pPr>
            <w:r w:rsidRPr="00CF2117">
              <w:rPr>
                <w:sz w:val="20"/>
                <w:lang w:val="es-ES_tradnl"/>
              </w:rPr>
              <w:t>Tema de trabajo</w:t>
            </w:r>
          </w:p>
        </w:tc>
        <w:tc>
          <w:tcPr>
            <w:tcW w:w="1540" w:type="dxa"/>
            <w:tcBorders>
              <w:top w:val="single" w:sz="12" w:space="0" w:color="auto"/>
              <w:bottom w:val="single" w:sz="12" w:space="0" w:color="auto"/>
            </w:tcBorders>
            <w:shd w:val="clear" w:color="auto" w:fill="auto"/>
            <w:hideMark/>
          </w:tcPr>
          <w:p w14:paraId="7F2EE88F" w14:textId="77777777" w:rsidR="00BE59AA" w:rsidRPr="00CF2117" w:rsidRDefault="00BE59AA" w:rsidP="00382701">
            <w:pPr>
              <w:pStyle w:val="Tablehead"/>
              <w:rPr>
                <w:sz w:val="20"/>
                <w:lang w:val="es-ES_tradnl" w:eastAsia="fr-FR"/>
              </w:rPr>
            </w:pPr>
            <w:r w:rsidRPr="00CF2117">
              <w:rPr>
                <w:sz w:val="20"/>
                <w:lang w:val="es-ES_tradnl"/>
              </w:rPr>
              <w:t>Tipo de texto</w:t>
            </w:r>
          </w:p>
        </w:tc>
        <w:tc>
          <w:tcPr>
            <w:tcW w:w="952" w:type="dxa"/>
            <w:tcBorders>
              <w:top w:val="single" w:sz="12" w:space="0" w:color="auto"/>
              <w:bottom w:val="single" w:sz="12" w:space="0" w:color="auto"/>
            </w:tcBorders>
            <w:shd w:val="clear" w:color="auto" w:fill="auto"/>
            <w:hideMark/>
          </w:tcPr>
          <w:p w14:paraId="7A6D45FE" w14:textId="77777777" w:rsidR="004B5468" w:rsidRDefault="00BE59AA" w:rsidP="00382701">
            <w:pPr>
              <w:pStyle w:val="Tablehead"/>
              <w:rPr>
                <w:sz w:val="20"/>
                <w:lang w:val="es-ES_tradnl"/>
              </w:rPr>
            </w:pPr>
            <w:r w:rsidRPr="00CF2117">
              <w:rPr>
                <w:sz w:val="20"/>
                <w:lang w:val="es-ES_tradnl"/>
              </w:rPr>
              <w:t>Nuevo/</w:t>
            </w:r>
          </w:p>
          <w:p w14:paraId="459CB4E1" w14:textId="27EAEC05" w:rsidR="00BE59AA" w:rsidRPr="00CF2117" w:rsidRDefault="00BE59AA" w:rsidP="00382701">
            <w:pPr>
              <w:pStyle w:val="Tablehead"/>
              <w:rPr>
                <w:sz w:val="20"/>
                <w:lang w:val="es-ES_tradnl" w:eastAsia="fr-FR"/>
              </w:rPr>
            </w:pPr>
            <w:r w:rsidRPr="00CF2117">
              <w:rPr>
                <w:sz w:val="20"/>
                <w:lang w:val="es-ES_tradnl"/>
              </w:rPr>
              <w:t>Rev.</w:t>
            </w:r>
          </w:p>
        </w:tc>
        <w:tc>
          <w:tcPr>
            <w:tcW w:w="1120" w:type="dxa"/>
            <w:tcBorders>
              <w:top w:val="single" w:sz="12" w:space="0" w:color="auto"/>
              <w:bottom w:val="single" w:sz="12" w:space="0" w:color="auto"/>
            </w:tcBorders>
            <w:shd w:val="clear" w:color="auto" w:fill="auto"/>
            <w:hideMark/>
          </w:tcPr>
          <w:p w14:paraId="27D3EA31" w14:textId="77777777" w:rsidR="00BE59AA" w:rsidRPr="00CF2117" w:rsidRDefault="00BE59AA" w:rsidP="00382701">
            <w:pPr>
              <w:pStyle w:val="Tablehead"/>
              <w:rPr>
                <w:sz w:val="20"/>
                <w:lang w:val="es-ES_tradnl" w:eastAsia="fr-FR"/>
              </w:rPr>
            </w:pPr>
            <w:r w:rsidRPr="00CF2117">
              <w:rPr>
                <w:sz w:val="20"/>
                <w:lang w:val="es-ES_tradnl"/>
              </w:rPr>
              <w:t>Situación</w:t>
            </w:r>
          </w:p>
        </w:tc>
        <w:tc>
          <w:tcPr>
            <w:tcW w:w="1217" w:type="dxa"/>
            <w:tcBorders>
              <w:top w:val="single" w:sz="12" w:space="0" w:color="auto"/>
              <w:bottom w:val="single" w:sz="12" w:space="0" w:color="auto"/>
            </w:tcBorders>
            <w:shd w:val="clear" w:color="auto" w:fill="auto"/>
            <w:hideMark/>
          </w:tcPr>
          <w:p w14:paraId="07CC1419" w14:textId="77777777" w:rsidR="00BE59AA" w:rsidRPr="00CF2117" w:rsidRDefault="00BE59AA" w:rsidP="00382701">
            <w:pPr>
              <w:pStyle w:val="Tablehead"/>
              <w:rPr>
                <w:sz w:val="20"/>
                <w:lang w:val="es-ES_tradnl" w:eastAsia="fr-FR"/>
              </w:rPr>
            </w:pPr>
            <w:r w:rsidRPr="00CF2117">
              <w:rPr>
                <w:sz w:val="20"/>
                <w:lang w:val="es-ES_tradnl"/>
              </w:rPr>
              <w:t>Proceso de aprobación</w:t>
            </w:r>
          </w:p>
        </w:tc>
        <w:tc>
          <w:tcPr>
            <w:tcW w:w="1204" w:type="dxa"/>
            <w:tcBorders>
              <w:top w:val="single" w:sz="12" w:space="0" w:color="auto"/>
              <w:bottom w:val="single" w:sz="12" w:space="0" w:color="auto"/>
            </w:tcBorders>
            <w:shd w:val="clear" w:color="auto" w:fill="auto"/>
            <w:hideMark/>
          </w:tcPr>
          <w:p w14:paraId="3B2BC2B2" w14:textId="77777777" w:rsidR="00BE59AA" w:rsidRPr="00CF2117" w:rsidRDefault="00BE59AA" w:rsidP="00382701">
            <w:pPr>
              <w:pStyle w:val="Tablehead"/>
              <w:rPr>
                <w:sz w:val="20"/>
                <w:lang w:val="es-ES_tradnl" w:eastAsia="fr-FR"/>
              </w:rPr>
            </w:pPr>
            <w:r w:rsidRPr="00CF2117">
              <w:rPr>
                <w:sz w:val="20"/>
                <w:lang w:val="es-ES_tradnl"/>
              </w:rPr>
              <w:t>Calendario</w:t>
            </w:r>
          </w:p>
        </w:tc>
        <w:tc>
          <w:tcPr>
            <w:tcW w:w="1568" w:type="dxa"/>
            <w:tcBorders>
              <w:top w:val="single" w:sz="12" w:space="0" w:color="auto"/>
              <w:bottom w:val="single" w:sz="12" w:space="0" w:color="auto"/>
            </w:tcBorders>
            <w:shd w:val="clear" w:color="auto" w:fill="auto"/>
            <w:hideMark/>
          </w:tcPr>
          <w:p w14:paraId="18D908AC" w14:textId="110F1396" w:rsidR="00BE59AA" w:rsidRPr="00CF2117" w:rsidRDefault="00BE59AA" w:rsidP="00382701">
            <w:pPr>
              <w:pStyle w:val="Tablehead"/>
              <w:rPr>
                <w:sz w:val="20"/>
                <w:lang w:val="es-ES_tradnl" w:eastAsia="fr-FR"/>
              </w:rPr>
            </w:pPr>
            <w:r w:rsidRPr="00CF2117">
              <w:rPr>
                <w:sz w:val="20"/>
                <w:lang w:val="es-ES_tradnl"/>
              </w:rPr>
              <w:t>Asunto/Título</w:t>
            </w:r>
          </w:p>
        </w:tc>
        <w:tc>
          <w:tcPr>
            <w:tcW w:w="1022" w:type="dxa"/>
            <w:tcBorders>
              <w:top w:val="single" w:sz="12" w:space="0" w:color="auto"/>
              <w:bottom w:val="single" w:sz="12" w:space="0" w:color="auto"/>
            </w:tcBorders>
            <w:shd w:val="clear" w:color="auto" w:fill="auto"/>
            <w:hideMark/>
          </w:tcPr>
          <w:p w14:paraId="592E7870" w14:textId="77777777" w:rsidR="00BE59AA" w:rsidRPr="00CF2117" w:rsidRDefault="00BE59AA" w:rsidP="00382701">
            <w:pPr>
              <w:pStyle w:val="Tablehead"/>
              <w:rPr>
                <w:sz w:val="20"/>
                <w:lang w:val="es-ES_tradnl" w:eastAsia="fr-FR"/>
              </w:rPr>
            </w:pPr>
            <w:r w:rsidRPr="00CF2117">
              <w:rPr>
                <w:sz w:val="20"/>
                <w:lang w:val="es-ES_tradnl"/>
              </w:rPr>
              <w:t>Texto(s) de base</w:t>
            </w:r>
          </w:p>
        </w:tc>
        <w:tc>
          <w:tcPr>
            <w:tcW w:w="1427" w:type="dxa"/>
            <w:tcBorders>
              <w:top w:val="single" w:sz="12" w:space="0" w:color="auto"/>
              <w:bottom w:val="single" w:sz="12" w:space="0" w:color="auto"/>
            </w:tcBorders>
            <w:shd w:val="clear" w:color="auto" w:fill="auto"/>
            <w:hideMark/>
          </w:tcPr>
          <w:p w14:paraId="66CF453D" w14:textId="77777777" w:rsidR="00BE59AA" w:rsidRPr="00CF2117" w:rsidRDefault="00BE59AA" w:rsidP="00382701">
            <w:pPr>
              <w:pStyle w:val="Tablehead"/>
              <w:rPr>
                <w:sz w:val="20"/>
                <w:lang w:val="es-ES_tradnl" w:eastAsia="fr-FR"/>
              </w:rPr>
            </w:pPr>
            <w:r w:rsidRPr="00CF2117">
              <w:rPr>
                <w:sz w:val="20"/>
                <w:lang w:val="es-ES_tradnl"/>
              </w:rPr>
              <w:t>Redactor(es)</w:t>
            </w:r>
          </w:p>
        </w:tc>
        <w:tc>
          <w:tcPr>
            <w:tcW w:w="1981" w:type="dxa"/>
            <w:tcBorders>
              <w:top w:val="single" w:sz="12" w:space="0" w:color="auto"/>
              <w:bottom w:val="single" w:sz="12" w:space="0" w:color="auto"/>
            </w:tcBorders>
            <w:shd w:val="clear" w:color="auto" w:fill="auto"/>
            <w:hideMark/>
          </w:tcPr>
          <w:p w14:paraId="38A02C39" w14:textId="77777777" w:rsidR="00BE59AA" w:rsidRPr="00CF2117" w:rsidRDefault="00BE59AA" w:rsidP="00382701">
            <w:pPr>
              <w:pStyle w:val="Tablehead"/>
              <w:rPr>
                <w:sz w:val="20"/>
                <w:lang w:val="es-ES_tradnl" w:eastAsia="fr-FR"/>
              </w:rPr>
            </w:pPr>
            <w:r w:rsidRPr="00CF2117">
              <w:rPr>
                <w:sz w:val="20"/>
                <w:lang w:val="es-ES_tradnl"/>
              </w:rPr>
              <w:t>Resumen</w:t>
            </w:r>
          </w:p>
        </w:tc>
      </w:tr>
      <w:tr w:rsidR="00CF2117" w:rsidRPr="005B66C3" w14:paraId="0CC69105" w14:textId="77777777" w:rsidTr="004B5468">
        <w:trPr>
          <w:jc w:val="center"/>
        </w:trPr>
        <w:tc>
          <w:tcPr>
            <w:tcW w:w="909" w:type="dxa"/>
            <w:tcBorders>
              <w:top w:val="single" w:sz="12" w:space="0" w:color="auto"/>
            </w:tcBorders>
            <w:shd w:val="clear" w:color="auto" w:fill="auto"/>
            <w:hideMark/>
          </w:tcPr>
          <w:p w14:paraId="26D8A53C" w14:textId="77777777" w:rsidR="00BE59AA" w:rsidRPr="00983703" w:rsidRDefault="00BE59AA" w:rsidP="00382701">
            <w:pPr>
              <w:pStyle w:val="Tabletext"/>
              <w:rPr>
                <w:sz w:val="20"/>
                <w:lang w:val="es-ES_tradnl"/>
              </w:rPr>
            </w:pPr>
            <w:r w:rsidRPr="00983703">
              <w:rPr>
                <w:sz w:val="20"/>
                <w:lang w:val="es-ES_tradnl"/>
              </w:rPr>
              <w:t>GR-MT</w:t>
            </w:r>
          </w:p>
        </w:tc>
        <w:tc>
          <w:tcPr>
            <w:tcW w:w="1036" w:type="dxa"/>
            <w:tcBorders>
              <w:top w:val="single" w:sz="12" w:space="0" w:color="auto"/>
            </w:tcBorders>
            <w:shd w:val="clear" w:color="auto" w:fill="auto"/>
            <w:hideMark/>
          </w:tcPr>
          <w:p w14:paraId="6047B5C1" w14:textId="77777777" w:rsidR="00BE59AA" w:rsidRPr="00572899" w:rsidRDefault="005B66C3" w:rsidP="00572899">
            <w:pPr>
              <w:pStyle w:val="Tabletext"/>
              <w:jc w:val="center"/>
              <w:rPr>
                <w:rStyle w:val="Hyperlink"/>
                <w:sz w:val="20"/>
              </w:rPr>
            </w:pPr>
            <w:hyperlink r:id="rId136" w:history="1">
              <w:proofErr w:type="spellStart"/>
              <w:proofErr w:type="gramStart"/>
              <w:r w:rsidR="00BE59AA" w:rsidRPr="00572899">
                <w:rPr>
                  <w:rStyle w:val="Hyperlink"/>
                  <w:sz w:val="20"/>
                </w:rPr>
                <w:t>A.SupRA</w:t>
              </w:r>
              <w:proofErr w:type="spellEnd"/>
              <w:proofErr w:type="gramEnd"/>
            </w:hyperlink>
          </w:p>
        </w:tc>
        <w:tc>
          <w:tcPr>
            <w:tcW w:w="1540" w:type="dxa"/>
            <w:tcBorders>
              <w:top w:val="single" w:sz="12" w:space="0" w:color="auto"/>
            </w:tcBorders>
            <w:shd w:val="clear" w:color="auto" w:fill="auto"/>
            <w:hideMark/>
          </w:tcPr>
          <w:p w14:paraId="3A14877A" w14:textId="77777777" w:rsidR="00BE59AA" w:rsidRPr="00983703" w:rsidRDefault="00BE59AA" w:rsidP="00CF2117">
            <w:pPr>
              <w:pStyle w:val="Tabletext"/>
              <w:jc w:val="center"/>
              <w:rPr>
                <w:sz w:val="20"/>
                <w:lang w:val="es-ES_tradnl"/>
              </w:rPr>
            </w:pPr>
            <w:r w:rsidRPr="00983703">
              <w:rPr>
                <w:sz w:val="20"/>
                <w:lang w:val="es-ES_tradnl"/>
              </w:rPr>
              <w:t>Suplemento</w:t>
            </w:r>
          </w:p>
        </w:tc>
        <w:tc>
          <w:tcPr>
            <w:tcW w:w="952" w:type="dxa"/>
            <w:tcBorders>
              <w:top w:val="single" w:sz="12" w:space="0" w:color="auto"/>
            </w:tcBorders>
            <w:shd w:val="clear" w:color="auto" w:fill="auto"/>
            <w:hideMark/>
          </w:tcPr>
          <w:p w14:paraId="409E2F68" w14:textId="77777777" w:rsidR="00BE59AA" w:rsidRPr="00983703" w:rsidRDefault="00BE59AA" w:rsidP="00572899">
            <w:pPr>
              <w:pStyle w:val="Tabletext"/>
              <w:jc w:val="center"/>
              <w:rPr>
                <w:sz w:val="20"/>
                <w:lang w:val="es-ES_tradnl"/>
              </w:rPr>
            </w:pPr>
            <w:r w:rsidRPr="00983703">
              <w:rPr>
                <w:sz w:val="20"/>
                <w:lang w:val="es-ES_tradnl"/>
              </w:rPr>
              <w:t>Nuevo</w:t>
            </w:r>
          </w:p>
        </w:tc>
        <w:tc>
          <w:tcPr>
            <w:tcW w:w="1120" w:type="dxa"/>
            <w:tcBorders>
              <w:top w:val="single" w:sz="12" w:space="0" w:color="auto"/>
            </w:tcBorders>
            <w:shd w:val="clear" w:color="auto" w:fill="auto"/>
            <w:hideMark/>
          </w:tcPr>
          <w:p w14:paraId="0F8D8BB1" w14:textId="77777777" w:rsidR="00BE59AA" w:rsidRPr="00983703" w:rsidRDefault="00BE59AA" w:rsidP="00572899">
            <w:pPr>
              <w:pStyle w:val="Tabletext"/>
              <w:jc w:val="center"/>
              <w:rPr>
                <w:sz w:val="20"/>
                <w:lang w:val="es-ES_tradnl"/>
              </w:rPr>
            </w:pPr>
            <w:r w:rsidRPr="00983703">
              <w:rPr>
                <w:sz w:val="20"/>
                <w:lang w:val="es-ES_tradnl"/>
              </w:rPr>
              <w:t>En estudio</w:t>
            </w:r>
          </w:p>
        </w:tc>
        <w:tc>
          <w:tcPr>
            <w:tcW w:w="1217" w:type="dxa"/>
            <w:tcBorders>
              <w:top w:val="single" w:sz="12" w:space="0" w:color="auto"/>
            </w:tcBorders>
            <w:shd w:val="clear" w:color="auto" w:fill="auto"/>
            <w:hideMark/>
          </w:tcPr>
          <w:p w14:paraId="4434AFC9" w14:textId="77777777" w:rsidR="00BE59AA" w:rsidRPr="00983703" w:rsidRDefault="00BE59AA" w:rsidP="00CF2117">
            <w:pPr>
              <w:pStyle w:val="Tabletext"/>
              <w:jc w:val="center"/>
              <w:rPr>
                <w:sz w:val="20"/>
                <w:lang w:val="es-ES_tradnl"/>
              </w:rPr>
            </w:pPr>
            <w:r w:rsidRPr="00983703">
              <w:rPr>
                <w:sz w:val="20"/>
                <w:lang w:val="es-ES_tradnl"/>
              </w:rPr>
              <w:t>Acuerdo</w:t>
            </w:r>
          </w:p>
        </w:tc>
        <w:tc>
          <w:tcPr>
            <w:tcW w:w="1204" w:type="dxa"/>
            <w:tcBorders>
              <w:top w:val="single" w:sz="12" w:space="0" w:color="auto"/>
            </w:tcBorders>
            <w:shd w:val="clear" w:color="auto" w:fill="auto"/>
            <w:hideMark/>
          </w:tcPr>
          <w:p w14:paraId="34488B7C" w14:textId="1F833F31" w:rsidR="00BE59AA" w:rsidRPr="00983703" w:rsidRDefault="009F244C" w:rsidP="00CF2117">
            <w:pPr>
              <w:pStyle w:val="Tabletext"/>
              <w:jc w:val="center"/>
              <w:rPr>
                <w:sz w:val="20"/>
                <w:lang w:val="es-ES_tradnl"/>
              </w:rPr>
            </w:pPr>
            <w:r>
              <w:rPr>
                <w:sz w:val="20"/>
                <w:lang w:val="es-ES_tradnl"/>
              </w:rPr>
              <w:t>02-</w:t>
            </w:r>
            <w:r w:rsidR="00BE59AA" w:rsidRPr="00983703">
              <w:rPr>
                <w:sz w:val="20"/>
                <w:lang w:val="es-ES_tradnl"/>
              </w:rPr>
              <w:t>2024 (prioridad media)</w:t>
            </w:r>
          </w:p>
        </w:tc>
        <w:tc>
          <w:tcPr>
            <w:tcW w:w="1568" w:type="dxa"/>
            <w:tcBorders>
              <w:top w:val="single" w:sz="12" w:space="0" w:color="auto"/>
            </w:tcBorders>
            <w:shd w:val="clear" w:color="auto" w:fill="auto"/>
            <w:hideMark/>
          </w:tcPr>
          <w:p w14:paraId="5E1BE93D" w14:textId="77777777" w:rsidR="00BE59AA" w:rsidRPr="00983703" w:rsidRDefault="00BE59AA" w:rsidP="00B86D14">
            <w:pPr>
              <w:pStyle w:val="Tabletext"/>
              <w:jc w:val="left"/>
              <w:rPr>
                <w:sz w:val="20"/>
                <w:lang w:val="es-ES_tradnl"/>
              </w:rPr>
            </w:pPr>
            <w:r w:rsidRPr="00983703">
              <w:rPr>
                <w:sz w:val="20"/>
                <w:lang w:val="es-ES_tradnl"/>
              </w:rPr>
              <w:t>Directrices para la designación y el funcionamiento de las autoridades de inscripción</w:t>
            </w:r>
          </w:p>
        </w:tc>
        <w:tc>
          <w:tcPr>
            <w:tcW w:w="1022" w:type="dxa"/>
            <w:tcBorders>
              <w:top w:val="single" w:sz="12" w:space="0" w:color="auto"/>
            </w:tcBorders>
            <w:shd w:val="clear" w:color="auto" w:fill="auto"/>
            <w:hideMark/>
          </w:tcPr>
          <w:p w14:paraId="6FCFB727" w14:textId="77777777" w:rsidR="00BE59AA" w:rsidRPr="00996888" w:rsidRDefault="005B66C3" w:rsidP="00382701">
            <w:pPr>
              <w:pStyle w:val="Tabletext"/>
              <w:rPr>
                <w:rStyle w:val="Hyperlink"/>
                <w:sz w:val="20"/>
              </w:rPr>
            </w:pPr>
            <w:hyperlink r:id="rId137" w:history="1">
              <w:r w:rsidR="00BE59AA" w:rsidRPr="00996888">
                <w:rPr>
                  <w:rStyle w:val="Hyperlink"/>
                  <w:sz w:val="20"/>
                </w:rPr>
                <w:t>TD251R1</w:t>
              </w:r>
            </w:hyperlink>
          </w:p>
        </w:tc>
        <w:tc>
          <w:tcPr>
            <w:tcW w:w="1427" w:type="dxa"/>
            <w:tcBorders>
              <w:top w:val="single" w:sz="12" w:space="0" w:color="auto"/>
            </w:tcBorders>
            <w:shd w:val="clear" w:color="auto" w:fill="auto"/>
            <w:hideMark/>
          </w:tcPr>
          <w:p w14:paraId="0EB245E3" w14:textId="77777777" w:rsidR="00BE59AA" w:rsidRPr="00CF2117" w:rsidRDefault="005B66C3" w:rsidP="00382701">
            <w:pPr>
              <w:pStyle w:val="Tabletext"/>
              <w:rPr>
                <w:sz w:val="20"/>
                <w:lang w:val="es-ES_tradnl"/>
              </w:rPr>
            </w:pPr>
            <w:hyperlink r:id="rId138" w:history="1">
              <w:r w:rsidR="00BE59AA" w:rsidRPr="00CF2117">
                <w:rPr>
                  <w:rStyle w:val="Hyperlink"/>
                  <w:sz w:val="20"/>
                </w:rPr>
                <w:t>Olivier DUBUISSON</w:t>
              </w:r>
            </w:hyperlink>
          </w:p>
        </w:tc>
        <w:tc>
          <w:tcPr>
            <w:tcW w:w="1981" w:type="dxa"/>
            <w:tcBorders>
              <w:top w:val="single" w:sz="12" w:space="0" w:color="auto"/>
            </w:tcBorders>
            <w:shd w:val="clear" w:color="auto" w:fill="auto"/>
            <w:hideMark/>
          </w:tcPr>
          <w:p w14:paraId="682FCC89" w14:textId="77777777" w:rsidR="00BE59AA" w:rsidRPr="00983703" w:rsidRDefault="00BE59AA" w:rsidP="00B86D14">
            <w:pPr>
              <w:pStyle w:val="Tabletext"/>
              <w:jc w:val="left"/>
              <w:rPr>
                <w:sz w:val="20"/>
                <w:lang w:val="es-ES_tradnl"/>
              </w:rPr>
            </w:pPr>
            <w:r w:rsidRPr="00983703">
              <w:rPr>
                <w:sz w:val="20"/>
                <w:lang w:val="es-ES_tradnl"/>
              </w:rPr>
              <w:t>Este Suplemento proporciona orientación para ayudar a las Comisiones de Estudio del UIT-T a elaborar Recomendaciones con función de inscripción y a seleccionar una autoridad de inscripción que proporcione esa función.</w:t>
            </w:r>
          </w:p>
        </w:tc>
      </w:tr>
      <w:tr w:rsidR="00CF2117" w:rsidRPr="005B66C3" w14:paraId="77E58DE7" w14:textId="77777777" w:rsidTr="004B5468">
        <w:trPr>
          <w:jc w:val="center"/>
        </w:trPr>
        <w:tc>
          <w:tcPr>
            <w:tcW w:w="909" w:type="dxa"/>
            <w:shd w:val="clear" w:color="auto" w:fill="auto"/>
          </w:tcPr>
          <w:p w14:paraId="38B619D9" w14:textId="77777777" w:rsidR="00BE59AA" w:rsidRPr="00983703" w:rsidRDefault="00BE59AA" w:rsidP="00382701">
            <w:pPr>
              <w:pStyle w:val="Tabletext"/>
              <w:rPr>
                <w:sz w:val="20"/>
                <w:lang w:val="es-ES_tradnl"/>
              </w:rPr>
            </w:pPr>
            <w:r w:rsidRPr="00983703">
              <w:rPr>
                <w:sz w:val="20"/>
                <w:lang w:val="es-ES_tradnl"/>
              </w:rPr>
              <w:t>GR-MT</w:t>
            </w:r>
          </w:p>
        </w:tc>
        <w:tc>
          <w:tcPr>
            <w:tcW w:w="1036" w:type="dxa"/>
            <w:shd w:val="clear" w:color="auto" w:fill="auto"/>
          </w:tcPr>
          <w:p w14:paraId="3D0A7A0A" w14:textId="77777777" w:rsidR="00BE59AA" w:rsidRPr="00983703" w:rsidRDefault="00BE59AA" w:rsidP="00572899">
            <w:pPr>
              <w:pStyle w:val="Tabletext"/>
              <w:jc w:val="center"/>
              <w:rPr>
                <w:sz w:val="20"/>
                <w:lang w:val="es-ES_tradnl"/>
              </w:rPr>
            </w:pPr>
            <w:r w:rsidRPr="00983703">
              <w:rPr>
                <w:sz w:val="20"/>
                <w:lang w:val="es-ES_tradnl"/>
              </w:rPr>
              <w:t>A.1</w:t>
            </w:r>
          </w:p>
        </w:tc>
        <w:tc>
          <w:tcPr>
            <w:tcW w:w="1540" w:type="dxa"/>
            <w:shd w:val="clear" w:color="auto" w:fill="auto"/>
          </w:tcPr>
          <w:p w14:paraId="55F8B42A" w14:textId="2BBC756B" w:rsidR="00BE59AA" w:rsidRPr="00983703" w:rsidRDefault="00BE59AA" w:rsidP="00CF2117">
            <w:pPr>
              <w:pStyle w:val="Tabletext"/>
              <w:jc w:val="center"/>
              <w:rPr>
                <w:sz w:val="20"/>
                <w:lang w:val="es-ES_tradnl"/>
              </w:rPr>
            </w:pPr>
            <w:r w:rsidRPr="00983703">
              <w:rPr>
                <w:sz w:val="20"/>
                <w:lang w:val="es-ES_tradnl"/>
              </w:rPr>
              <w:t>Recomendación</w:t>
            </w:r>
          </w:p>
        </w:tc>
        <w:tc>
          <w:tcPr>
            <w:tcW w:w="952" w:type="dxa"/>
            <w:shd w:val="clear" w:color="auto" w:fill="auto"/>
          </w:tcPr>
          <w:p w14:paraId="412483A1" w14:textId="77777777" w:rsidR="00BE59AA" w:rsidRPr="00983703" w:rsidRDefault="00BE59AA" w:rsidP="00572899">
            <w:pPr>
              <w:pStyle w:val="Tabletext"/>
              <w:jc w:val="center"/>
              <w:rPr>
                <w:sz w:val="20"/>
                <w:lang w:val="es-ES_tradnl"/>
              </w:rPr>
            </w:pPr>
            <w:r w:rsidRPr="00983703">
              <w:rPr>
                <w:sz w:val="20"/>
                <w:lang w:val="es-ES_tradnl"/>
              </w:rPr>
              <w:t>Revisada</w:t>
            </w:r>
          </w:p>
        </w:tc>
        <w:tc>
          <w:tcPr>
            <w:tcW w:w="1120" w:type="dxa"/>
            <w:shd w:val="clear" w:color="auto" w:fill="auto"/>
          </w:tcPr>
          <w:p w14:paraId="30DA7F32" w14:textId="77777777" w:rsidR="00BE59AA" w:rsidRPr="00983703" w:rsidRDefault="00BE59AA" w:rsidP="00572899">
            <w:pPr>
              <w:pStyle w:val="Tabletext"/>
              <w:jc w:val="center"/>
              <w:rPr>
                <w:sz w:val="20"/>
                <w:lang w:val="es-ES_tradnl"/>
              </w:rPr>
            </w:pPr>
            <w:r w:rsidRPr="00983703">
              <w:rPr>
                <w:sz w:val="20"/>
                <w:lang w:val="es-ES_tradnl"/>
              </w:rPr>
              <w:t>En estudio</w:t>
            </w:r>
          </w:p>
        </w:tc>
        <w:tc>
          <w:tcPr>
            <w:tcW w:w="1217" w:type="dxa"/>
            <w:shd w:val="clear" w:color="auto" w:fill="auto"/>
          </w:tcPr>
          <w:p w14:paraId="494E747C" w14:textId="77777777" w:rsidR="00BE59AA" w:rsidRPr="00983703" w:rsidRDefault="00BE59AA" w:rsidP="00CF2117">
            <w:pPr>
              <w:pStyle w:val="Tabletext"/>
              <w:jc w:val="center"/>
              <w:rPr>
                <w:sz w:val="20"/>
                <w:lang w:val="es-ES_tradnl"/>
              </w:rPr>
            </w:pPr>
            <w:r w:rsidRPr="00983703">
              <w:rPr>
                <w:sz w:val="20"/>
                <w:lang w:val="es-ES_tradnl"/>
              </w:rPr>
              <w:t>TAP</w:t>
            </w:r>
          </w:p>
        </w:tc>
        <w:tc>
          <w:tcPr>
            <w:tcW w:w="1204" w:type="dxa"/>
            <w:shd w:val="clear" w:color="auto" w:fill="auto"/>
          </w:tcPr>
          <w:p w14:paraId="61D79249" w14:textId="6ABD9F15" w:rsidR="00BE59AA" w:rsidRPr="00983703" w:rsidRDefault="009F244C" w:rsidP="00CF2117">
            <w:pPr>
              <w:pStyle w:val="Tabletext"/>
              <w:jc w:val="center"/>
              <w:rPr>
                <w:sz w:val="20"/>
                <w:lang w:val="es-ES_tradnl"/>
              </w:rPr>
            </w:pPr>
            <w:r>
              <w:rPr>
                <w:sz w:val="20"/>
                <w:lang w:val="es-ES_tradnl"/>
              </w:rPr>
              <w:t>02-</w:t>
            </w:r>
            <w:r w:rsidR="00BE59AA" w:rsidRPr="00983703">
              <w:rPr>
                <w:sz w:val="20"/>
                <w:lang w:val="es-ES_tradnl"/>
              </w:rPr>
              <w:t>2024</w:t>
            </w:r>
            <w:r w:rsidR="00382701" w:rsidRPr="00983703">
              <w:rPr>
                <w:rStyle w:val="FootnoteReference"/>
                <w:lang w:val="es-ES_tradnl"/>
              </w:rPr>
              <w:footnoteReference w:id="6"/>
            </w:r>
          </w:p>
        </w:tc>
        <w:tc>
          <w:tcPr>
            <w:tcW w:w="1568" w:type="dxa"/>
            <w:shd w:val="clear" w:color="auto" w:fill="auto"/>
          </w:tcPr>
          <w:p w14:paraId="2613E12C" w14:textId="1A12B5AE" w:rsidR="00BE59AA" w:rsidRPr="00983703" w:rsidRDefault="00BE59AA" w:rsidP="00B86D14">
            <w:pPr>
              <w:pStyle w:val="Tabletext"/>
              <w:jc w:val="left"/>
              <w:rPr>
                <w:sz w:val="20"/>
                <w:lang w:val="es-ES_tradnl"/>
              </w:rPr>
            </w:pPr>
            <w:r w:rsidRPr="00983703">
              <w:rPr>
                <w:sz w:val="20"/>
                <w:lang w:val="es-ES_tradnl"/>
              </w:rPr>
              <w:t xml:space="preserve">Métodos de trabajo de las Comisiones de Estudio del Sector de Normalización de las </w:t>
            </w:r>
            <w:r w:rsidRPr="00723015">
              <w:rPr>
                <w:sz w:val="20"/>
                <w:lang w:val="nl-NL"/>
              </w:rPr>
              <w:t>Telecomunica</w:t>
            </w:r>
            <w:r w:rsidR="00CF2117" w:rsidRPr="00723015">
              <w:rPr>
                <w:sz w:val="20"/>
                <w:lang w:val="nl-NL"/>
              </w:rPr>
              <w:t>-</w:t>
            </w:r>
            <w:r w:rsidRPr="00723015">
              <w:rPr>
                <w:sz w:val="20"/>
                <w:lang w:val="nl-NL"/>
              </w:rPr>
              <w:t>ciones de la UIT</w:t>
            </w:r>
          </w:p>
        </w:tc>
        <w:tc>
          <w:tcPr>
            <w:tcW w:w="1022" w:type="dxa"/>
            <w:shd w:val="clear" w:color="auto" w:fill="auto"/>
          </w:tcPr>
          <w:p w14:paraId="63B228FA" w14:textId="77777777" w:rsidR="00BE59AA" w:rsidRPr="00996888" w:rsidRDefault="005B66C3" w:rsidP="00382701">
            <w:pPr>
              <w:pStyle w:val="Tabletext"/>
              <w:rPr>
                <w:rStyle w:val="Hyperlink"/>
                <w:sz w:val="20"/>
              </w:rPr>
            </w:pPr>
            <w:hyperlink r:id="rId139" w:history="1">
              <w:r w:rsidR="00BE59AA" w:rsidRPr="00996888">
                <w:rPr>
                  <w:rStyle w:val="Hyperlink"/>
                  <w:sz w:val="20"/>
                </w:rPr>
                <w:t>TD255R4</w:t>
              </w:r>
            </w:hyperlink>
          </w:p>
        </w:tc>
        <w:tc>
          <w:tcPr>
            <w:tcW w:w="1427" w:type="dxa"/>
            <w:shd w:val="clear" w:color="auto" w:fill="auto"/>
          </w:tcPr>
          <w:p w14:paraId="44DAF069" w14:textId="77777777" w:rsidR="00BE59AA" w:rsidRPr="00CF2117" w:rsidRDefault="005B66C3" w:rsidP="00382701">
            <w:pPr>
              <w:pStyle w:val="Tabletext"/>
              <w:rPr>
                <w:sz w:val="20"/>
                <w:lang w:val="es-ES_tradnl"/>
              </w:rPr>
            </w:pPr>
            <w:hyperlink r:id="rId140" w:history="1">
              <w:r w:rsidR="00BE59AA" w:rsidRPr="00CF2117">
                <w:rPr>
                  <w:rStyle w:val="Hyperlink"/>
                  <w:sz w:val="20"/>
                </w:rPr>
                <w:t>Olivier DUBUISSON</w:t>
              </w:r>
            </w:hyperlink>
          </w:p>
        </w:tc>
        <w:tc>
          <w:tcPr>
            <w:tcW w:w="1981" w:type="dxa"/>
            <w:shd w:val="clear" w:color="auto" w:fill="auto"/>
          </w:tcPr>
          <w:p w14:paraId="1E45D413" w14:textId="77777777" w:rsidR="00BE59AA" w:rsidRPr="00983703" w:rsidRDefault="00BE59AA" w:rsidP="00B86D14">
            <w:pPr>
              <w:pStyle w:val="Tabletext"/>
              <w:jc w:val="left"/>
              <w:rPr>
                <w:sz w:val="20"/>
                <w:lang w:val="es-ES_tradnl"/>
              </w:rPr>
            </w:pPr>
            <w:r w:rsidRPr="00983703">
              <w:rPr>
                <w:sz w:val="20"/>
                <w:lang w:val="es-ES_tradnl"/>
              </w:rPr>
              <w:t xml:space="preserve">En la Recomendación UIT-T A.1 se describen los métodos de trabajo generales de las Comisiones de Estudio del UIT-T. Se facilitan directrices sobre métodos de trabajo, en particular, la organización de reuniones, la elaboración de </w:t>
            </w:r>
            <w:r w:rsidRPr="00983703">
              <w:rPr>
                <w:sz w:val="20"/>
                <w:lang w:val="es-ES_tradnl"/>
              </w:rPr>
              <w:lastRenderedPageBreak/>
              <w:t>estudios, la dirección de Comisiones de Estudio, los Grupos mixtos de Coordinación, la función de los Relatores y la tramitación de contribuciones y documentos técnicos.</w:t>
            </w:r>
          </w:p>
        </w:tc>
      </w:tr>
      <w:tr w:rsidR="00CF2117" w:rsidRPr="005B66C3" w14:paraId="676DAC73" w14:textId="77777777" w:rsidTr="004B5468">
        <w:trPr>
          <w:jc w:val="center"/>
        </w:trPr>
        <w:tc>
          <w:tcPr>
            <w:tcW w:w="909" w:type="dxa"/>
            <w:shd w:val="clear" w:color="auto" w:fill="auto"/>
          </w:tcPr>
          <w:p w14:paraId="3C81CF2E" w14:textId="77777777" w:rsidR="00BE59AA" w:rsidRPr="00983703" w:rsidRDefault="00BE59AA" w:rsidP="00382701">
            <w:pPr>
              <w:pStyle w:val="Tabletext"/>
              <w:rPr>
                <w:sz w:val="20"/>
                <w:lang w:val="es-ES_tradnl"/>
              </w:rPr>
            </w:pPr>
            <w:r w:rsidRPr="00983703">
              <w:rPr>
                <w:sz w:val="20"/>
                <w:lang w:val="es-ES_tradnl"/>
              </w:rPr>
              <w:lastRenderedPageBreak/>
              <w:t>GR-MT</w:t>
            </w:r>
          </w:p>
        </w:tc>
        <w:tc>
          <w:tcPr>
            <w:tcW w:w="1036" w:type="dxa"/>
            <w:shd w:val="clear" w:color="auto" w:fill="auto"/>
          </w:tcPr>
          <w:p w14:paraId="5AF5DFB7" w14:textId="77777777" w:rsidR="00BE59AA" w:rsidRPr="00983703" w:rsidRDefault="00BE59AA" w:rsidP="00572899">
            <w:pPr>
              <w:pStyle w:val="Tabletext"/>
              <w:jc w:val="center"/>
              <w:rPr>
                <w:sz w:val="20"/>
                <w:lang w:val="es-ES_tradnl"/>
              </w:rPr>
            </w:pPr>
            <w:r w:rsidRPr="00983703">
              <w:rPr>
                <w:sz w:val="20"/>
                <w:lang w:val="es-ES_tradnl"/>
              </w:rPr>
              <w:t>A.7</w:t>
            </w:r>
          </w:p>
        </w:tc>
        <w:tc>
          <w:tcPr>
            <w:tcW w:w="1540" w:type="dxa"/>
            <w:shd w:val="clear" w:color="auto" w:fill="auto"/>
          </w:tcPr>
          <w:p w14:paraId="25945EAD" w14:textId="77777777" w:rsidR="00BE59AA" w:rsidRPr="00983703" w:rsidRDefault="00BE59AA" w:rsidP="00572899">
            <w:pPr>
              <w:pStyle w:val="Tabletext"/>
              <w:jc w:val="center"/>
              <w:rPr>
                <w:sz w:val="20"/>
                <w:lang w:val="es-ES_tradnl"/>
              </w:rPr>
            </w:pPr>
            <w:r w:rsidRPr="00983703">
              <w:rPr>
                <w:sz w:val="20"/>
                <w:lang w:val="es-ES_tradnl"/>
              </w:rPr>
              <w:t>Recomendación</w:t>
            </w:r>
          </w:p>
        </w:tc>
        <w:tc>
          <w:tcPr>
            <w:tcW w:w="952" w:type="dxa"/>
            <w:shd w:val="clear" w:color="auto" w:fill="auto"/>
          </w:tcPr>
          <w:p w14:paraId="4800DB9A" w14:textId="77777777" w:rsidR="00BE59AA" w:rsidRPr="00983703" w:rsidRDefault="00BE59AA" w:rsidP="00572899">
            <w:pPr>
              <w:pStyle w:val="Tabletext"/>
              <w:jc w:val="center"/>
              <w:rPr>
                <w:sz w:val="20"/>
                <w:lang w:val="es-ES_tradnl"/>
              </w:rPr>
            </w:pPr>
            <w:r w:rsidRPr="00983703">
              <w:rPr>
                <w:sz w:val="20"/>
                <w:lang w:val="es-ES_tradnl"/>
              </w:rPr>
              <w:t>Revisada</w:t>
            </w:r>
          </w:p>
        </w:tc>
        <w:tc>
          <w:tcPr>
            <w:tcW w:w="1120" w:type="dxa"/>
            <w:shd w:val="clear" w:color="auto" w:fill="auto"/>
          </w:tcPr>
          <w:p w14:paraId="63F58B18" w14:textId="77777777" w:rsidR="00BE59AA" w:rsidRPr="00983703" w:rsidRDefault="00BE59AA" w:rsidP="00572899">
            <w:pPr>
              <w:pStyle w:val="Tabletext"/>
              <w:jc w:val="center"/>
              <w:rPr>
                <w:sz w:val="20"/>
                <w:lang w:val="es-ES_tradnl"/>
              </w:rPr>
            </w:pPr>
            <w:r w:rsidRPr="00983703">
              <w:rPr>
                <w:sz w:val="20"/>
                <w:lang w:val="es-ES_tradnl"/>
              </w:rPr>
              <w:t>En estudio</w:t>
            </w:r>
          </w:p>
        </w:tc>
        <w:tc>
          <w:tcPr>
            <w:tcW w:w="1217" w:type="dxa"/>
            <w:shd w:val="clear" w:color="auto" w:fill="auto"/>
          </w:tcPr>
          <w:p w14:paraId="5DE603FD" w14:textId="77777777" w:rsidR="00BE59AA" w:rsidRPr="00983703" w:rsidRDefault="00BE59AA" w:rsidP="004B5468">
            <w:pPr>
              <w:pStyle w:val="Tabletext"/>
              <w:jc w:val="center"/>
              <w:rPr>
                <w:sz w:val="20"/>
                <w:lang w:val="es-ES_tradnl"/>
              </w:rPr>
            </w:pPr>
            <w:r w:rsidRPr="00983703">
              <w:rPr>
                <w:sz w:val="20"/>
                <w:lang w:val="es-ES_tradnl"/>
              </w:rPr>
              <w:t>TAP</w:t>
            </w:r>
          </w:p>
        </w:tc>
        <w:tc>
          <w:tcPr>
            <w:tcW w:w="1204" w:type="dxa"/>
            <w:shd w:val="clear" w:color="auto" w:fill="auto"/>
          </w:tcPr>
          <w:p w14:paraId="5C33ECCE" w14:textId="60047BB8" w:rsidR="00BE59AA" w:rsidRPr="00983703" w:rsidRDefault="009F244C" w:rsidP="00CF2117">
            <w:pPr>
              <w:pStyle w:val="Tabletext"/>
              <w:tabs>
                <w:tab w:val="clear" w:pos="2835"/>
                <w:tab w:val="left" w:pos="956"/>
              </w:tabs>
              <w:jc w:val="center"/>
              <w:rPr>
                <w:sz w:val="20"/>
                <w:lang w:val="es-ES_tradnl"/>
              </w:rPr>
            </w:pPr>
            <w:r>
              <w:rPr>
                <w:sz w:val="20"/>
                <w:lang w:val="es-ES_tradnl"/>
              </w:rPr>
              <w:t>02-</w:t>
            </w:r>
            <w:r w:rsidR="00BE59AA" w:rsidRPr="00983703">
              <w:rPr>
                <w:sz w:val="20"/>
                <w:lang w:val="es-ES_tradnl"/>
              </w:rPr>
              <w:t>2024</w:t>
            </w:r>
            <w:r w:rsidR="00382701" w:rsidRPr="00983703">
              <w:rPr>
                <w:rStyle w:val="FootnoteReference"/>
                <w:lang w:val="es-ES_tradnl"/>
              </w:rPr>
              <w:footnoteReference w:id="7"/>
            </w:r>
          </w:p>
        </w:tc>
        <w:tc>
          <w:tcPr>
            <w:tcW w:w="1568" w:type="dxa"/>
            <w:shd w:val="clear" w:color="auto" w:fill="auto"/>
          </w:tcPr>
          <w:p w14:paraId="4F108A41" w14:textId="77777777" w:rsidR="00BE59AA" w:rsidRPr="00983703" w:rsidRDefault="00BE59AA" w:rsidP="00B86D14">
            <w:pPr>
              <w:pStyle w:val="Tabletext"/>
              <w:jc w:val="left"/>
              <w:rPr>
                <w:sz w:val="20"/>
                <w:lang w:val="es-ES_tradnl"/>
              </w:rPr>
            </w:pPr>
            <w:r w:rsidRPr="00983703">
              <w:rPr>
                <w:sz w:val="20"/>
                <w:lang w:val="es-ES_tradnl"/>
              </w:rPr>
              <w:t>Grupos Temáticos: Establecimiento y procedimientos de trabajo</w:t>
            </w:r>
          </w:p>
        </w:tc>
        <w:tc>
          <w:tcPr>
            <w:tcW w:w="1022" w:type="dxa"/>
            <w:shd w:val="clear" w:color="auto" w:fill="auto"/>
          </w:tcPr>
          <w:p w14:paraId="4894BD46" w14:textId="77777777" w:rsidR="00BE59AA" w:rsidRPr="00996888" w:rsidRDefault="005B66C3" w:rsidP="00382701">
            <w:pPr>
              <w:pStyle w:val="Tabletext"/>
              <w:rPr>
                <w:rStyle w:val="Hyperlink"/>
                <w:sz w:val="20"/>
              </w:rPr>
            </w:pPr>
            <w:hyperlink r:id="rId141" w:history="1">
              <w:r w:rsidR="00BE59AA" w:rsidRPr="00996888">
                <w:rPr>
                  <w:rStyle w:val="Hyperlink"/>
                  <w:sz w:val="20"/>
                </w:rPr>
                <w:t>TD217R2</w:t>
              </w:r>
            </w:hyperlink>
          </w:p>
        </w:tc>
        <w:tc>
          <w:tcPr>
            <w:tcW w:w="1427" w:type="dxa"/>
            <w:shd w:val="clear" w:color="auto" w:fill="auto"/>
          </w:tcPr>
          <w:p w14:paraId="0D2E0238" w14:textId="77777777" w:rsidR="00BE59AA" w:rsidRPr="00983703" w:rsidRDefault="005B66C3" w:rsidP="00D14657">
            <w:pPr>
              <w:pStyle w:val="Tabletext"/>
              <w:jc w:val="left"/>
              <w:rPr>
                <w:sz w:val="20"/>
                <w:lang w:val="es-ES_tradnl"/>
              </w:rPr>
            </w:pPr>
            <w:hyperlink r:id="rId142" w:history="1">
              <w:r w:rsidR="00BE59AA" w:rsidRPr="00CF2117">
                <w:rPr>
                  <w:rStyle w:val="Hyperlink"/>
                  <w:sz w:val="20"/>
                </w:rPr>
                <w:t>Olivier DUBUISSON</w:t>
              </w:r>
            </w:hyperlink>
            <w:r w:rsidR="00BE59AA" w:rsidRPr="00983703">
              <w:rPr>
                <w:sz w:val="20"/>
                <w:lang w:val="es-ES_tradnl"/>
              </w:rPr>
              <w:t xml:space="preserve">; </w:t>
            </w:r>
            <w:hyperlink r:id="rId143" w:history="1">
              <w:r w:rsidR="00BE59AA" w:rsidRPr="00CF2117">
                <w:rPr>
                  <w:rStyle w:val="Hyperlink"/>
                  <w:sz w:val="20"/>
                </w:rPr>
                <w:t>Ena DEKANIC</w:t>
              </w:r>
            </w:hyperlink>
          </w:p>
        </w:tc>
        <w:tc>
          <w:tcPr>
            <w:tcW w:w="1981" w:type="dxa"/>
            <w:shd w:val="clear" w:color="auto" w:fill="auto"/>
          </w:tcPr>
          <w:p w14:paraId="3917E560" w14:textId="77777777" w:rsidR="00BE59AA" w:rsidRPr="00983703" w:rsidRDefault="00BE59AA" w:rsidP="00B86D14">
            <w:pPr>
              <w:pStyle w:val="Tabletext"/>
              <w:jc w:val="left"/>
              <w:rPr>
                <w:sz w:val="20"/>
                <w:lang w:val="es-ES_tradnl"/>
              </w:rPr>
            </w:pPr>
            <w:r w:rsidRPr="00983703">
              <w:rPr>
                <w:sz w:val="20"/>
                <w:lang w:val="es-ES_tradnl"/>
              </w:rPr>
              <w:t>En la Recomendación UIT-T A.7 se describen los métodos y procedimientos de trabajo de Grupos Temáticos, en particular su constitución, mandato, dirección, participación, financiación, apoyo y resultados esperados.</w:t>
            </w:r>
          </w:p>
          <w:p w14:paraId="64C77534" w14:textId="77777777" w:rsidR="00BE59AA" w:rsidRPr="00983703" w:rsidRDefault="00BE59AA" w:rsidP="00B86D14">
            <w:pPr>
              <w:pStyle w:val="Tabletext"/>
              <w:jc w:val="left"/>
              <w:rPr>
                <w:sz w:val="20"/>
                <w:lang w:val="es-ES_tradnl"/>
              </w:rPr>
            </w:pPr>
            <w:r w:rsidRPr="00983703">
              <w:rPr>
                <w:sz w:val="20"/>
                <w:lang w:val="es-ES_tradnl"/>
              </w:rPr>
              <w:t xml:space="preserve">Los Grupos Temáticos del UIT-T constituyen una herramienta versátil para avanzar en nuevos trabajos. Esa versatilidad permite a los Grupos elaborar una amplia gama de productos. Puesto que en muchas ocasiones </w:t>
            </w:r>
            <w:r w:rsidRPr="00983703">
              <w:rPr>
                <w:sz w:val="20"/>
                <w:lang w:val="es-ES_tradnl"/>
              </w:rPr>
              <w:lastRenderedPageBreak/>
              <w:t>los miembros de un Grupo Temático carecen de experiencia en la elaboración de especificaciones técnicas, los resultados de los Grupos Temáticos, pese a ser útiles, han tenido que reformularse en las Comisiones de Estudio Rectoras.</w:t>
            </w:r>
          </w:p>
          <w:p w14:paraId="52E84A38" w14:textId="77777777" w:rsidR="00BE59AA" w:rsidRPr="00983703" w:rsidRDefault="00BE59AA" w:rsidP="00B86D14">
            <w:pPr>
              <w:pStyle w:val="Tabletext"/>
              <w:jc w:val="left"/>
              <w:rPr>
                <w:sz w:val="20"/>
                <w:lang w:val="es-ES_tradnl"/>
              </w:rPr>
            </w:pPr>
            <w:r w:rsidRPr="00983703">
              <w:rPr>
                <w:sz w:val="20"/>
                <w:lang w:val="es-ES_tradnl"/>
              </w:rPr>
              <w:t>El establecimiento de directrices para los trabajos de los Grupos Temáticos, incluida la coordinación ininterrumpida con su Comisión Rectora correspondiente, puede facilitar a esta última la preparación de los resultados.</w:t>
            </w:r>
          </w:p>
          <w:p w14:paraId="347429A0" w14:textId="42166D53" w:rsidR="00BE59AA" w:rsidRPr="00983703" w:rsidRDefault="00BE59AA" w:rsidP="00B86D14">
            <w:pPr>
              <w:pStyle w:val="Tabletext"/>
              <w:jc w:val="left"/>
              <w:rPr>
                <w:sz w:val="20"/>
                <w:lang w:val="es-ES_tradnl"/>
              </w:rPr>
            </w:pPr>
            <w:r w:rsidRPr="00983703">
              <w:rPr>
                <w:sz w:val="20"/>
                <w:lang w:val="es-ES_tradnl"/>
              </w:rPr>
              <w:t xml:space="preserve">En el Apéndice I se recoge un conjunto de directrices destinadas a facilitar la labor de las Comisiones de Estudio y los Grupos Temáticos al constituir Grupos Temáticos en el marco de la Recomendación </w:t>
            </w:r>
            <w:r w:rsidRPr="00983703">
              <w:rPr>
                <w:sz w:val="20"/>
                <w:lang w:val="es-ES_tradnl"/>
              </w:rPr>
              <w:lastRenderedPageBreak/>
              <w:t>UIT</w:t>
            </w:r>
            <w:r w:rsidR="004B5468">
              <w:rPr>
                <w:sz w:val="20"/>
                <w:lang w:val="es-ES_tradnl"/>
              </w:rPr>
              <w:noBreakHyphen/>
            </w:r>
            <w:r w:rsidRPr="00983703">
              <w:rPr>
                <w:sz w:val="20"/>
                <w:lang w:val="es-ES_tradnl"/>
              </w:rPr>
              <w:t xml:space="preserve">T A.7 cuyo objetivo sea elaborar especificaciones para que los productos de los Grupos Temáticos puedan transformarse fácilmente en Recomendaciones o Suplementos del UIT-T, o en documentos de otro </w:t>
            </w:r>
            <w:r w:rsidRPr="004B5468">
              <w:rPr>
                <w:sz w:val="20"/>
                <w:lang w:val="es-ES_tradnl"/>
              </w:rPr>
              <w:t>tipo.</w:t>
            </w:r>
          </w:p>
        </w:tc>
      </w:tr>
      <w:tr w:rsidR="00CF2117" w:rsidRPr="005B66C3" w14:paraId="4C32987F" w14:textId="77777777" w:rsidTr="004B5468">
        <w:trPr>
          <w:jc w:val="center"/>
        </w:trPr>
        <w:tc>
          <w:tcPr>
            <w:tcW w:w="909" w:type="dxa"/>
            <w:shd w:val="clear" w:color="auto" w:fill="auto"/>
          </w:tcPr>
          <w:p w14:paraId="757DA2FF"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lastRenderedPageBreak/>
              <w:t>GR-MT</w:t>
            </w:r>
          </w:p>
        </w:tc>
        <w:tc>
          <w:tcPr>
            <w:tcW w:w="1036" w:type="dxa"/>
            <w:shd w:val="clear" w:color="auto" w:fill="auto"/>
          </w:tcPr>
          <w:p w14:paraId="6FE30E10" w14:textId="77777777" w:rsidR="00BE59AA" w:rsidRPr="00983703" w:rsidRDefault="00BE59AA" w:rsidP="00572899">
            <w:pPr>
              <w:pStyle w:val="Tabletext"/>
              <w:jc w:val="center"/>
              <w:rPr>
                <w:sz w:val="20"/>
                <w:szCs w:val="18"/>
                <w:lang w:val="es-ES_tradnl"/>
              </w:rPr>
            </w:pPr>
            <w:r w:rsidRPr="00983703">
              <w:rPr>
                <w:sz w:val="20"/>
                <w:szCs w:val="18"/>
                <w:lang w:val="es-ES_tradnl"/>
              </w:rPr>
              <w:t>A.8</w:t>
            </w:r>
          </w:p>
        </w:tc>
        <w:tc>
          <w:tcPr>
            <w:tcW w:w="1540" w:type="dxa"/>
            <w:shd w:val="clear" w:color="auto" w:fill="auto"/>
          </w:tcPr>
          <w:p w14:paraId="749F7EB6" w14:textId="77777777" w:rsidR="00BE59AA" w:rsidRPr="00983703" w:rsidRDefault="00BE59AA" w:rsidP="00572899">
            <w:pPr>
              <w:pStyle w:val="Tabletext"/>
              <w:jc w:val="center"/>
              <w:rPr>
                <w:sz w:val="20"/>
                <w:szCs w:val="18"/>
                <w:lang w:val="es-ES_tradnl"/>
              </w:rPr>
            </w:pPr>
            <w:r w:rsidRPr="00572899">
              <w:rPr>
                <w:sz w:val="20"/>
                <w:lang w:val="es-ES_tradnl"/>
              </w:rPr>
              <w:t>Recomendación</w:t>
            </w:r>
          </w:p>
        </w:tc>
        <w:tc>
          <w:tcPr>
            <w:tcW w:w="952" w:type="dxa"/>
            <w:shd w:val="clear" w:color="auto" w:fill="auto"/>
          </w:tcPr>
          <w:p w14:paraId="25CCF28C" w14:textId="77777777" w:rsidR="00BE59AA" w:rsidRPr="00983703"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Revisada</w:t>
            </w:r>
          </w:p>
        </w:tc>
        <w:tc>
          <w:tcPr>
            <w:tcW w:w="1120" w:type="dxa"/>
            <w:shd w:val="clear" w:color="auto" w:fill="auto"/>
          </w:tcPr>
          <w:p w14:paraId="4281A406" w14:textId="2EFF33E3" w:rsidR="00BE59AA" w:rsidRPr="00723015"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nl-NL"/>
              </w:rPr>
            </w:pPr>
            <w:r w:rsidRPr="00723015">
              <w:rPr>
                <w:sz w:val="20"/>
                <w:szCs w:val="18"/>
                <w:lang w:val="nl-NL"/>
              </w:rPr>
              <w:t>Determi</w:t>
            </w:r>
            <w:r w:rsidR="004B5468" w:rsidRPr="00723015">
              <w:rPr>
                <w:sz w:val="20"/>
                <w:szCs w:val="18"/>
                <w:lang w:val="nl-NL"/>
              </w:rPr>
              <w:t>-</w:t>
            </w:r>
            <w:r w:rsidRPr="00723015">
              <w:rPr>
                <w:sz w:val="20"/>
                <w:szCs w:val="18"/>
                <w:lang w:val="nl-NL"/>
              </w:rPr>
              <w:t>nada</w:t>
            </w:r>
          </w:p>
        </w:tc>
        <w:tc>
          <w:tcPr>
            <w:tcW w:w="1217" w:type="dxa"/>
            <w:shd w:val="clear" w:color="auto" w:fill="auto"/>
          </w:tcPr>
          <w:p w14:paraId="027E58BE" w14:textId="77777777" w:rsidR="00BE59AA" w:rsidRPr="00983703" w:rsidRDefault="00BE59AA"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highlight w:val="yellow"/>
                <w:lang w:val="es-ES_tradnl"/>
              </w:rPr>
            </w:pPr>
            <w:r w:rsidRPr="00983703">
              <w:rPr>
                <w:sz w:val="20"/>
                <w:szCs w:val="18"/>
                <w:lang w:val="es-ES_tradnl"/>
              </w:rPr>
              <w:t>TAP</w:t>
            </w:r>
          </w:p>
        </w:tc>
        <w:tc>
          <w:tcPr>
            <w:tcW w:w="1204" w:type="dxa"/>
            <w:shd w:val="clear" w:color="auto" w:fill="auto"/>
          </w:tcPr>
          <w:p w14:paraId="441F2D57" w14:textId="267B4A20" w:rsidR="00BE59AA" w:rsidRPr="00983703" w:rsidRDefault="004B5468"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Pr>
                <w:sz w:val="20"/>
                <w:szCs w:val="18"/>
                <w:lang w:val="es-ES_tradnl"/>
              </w:rPr>
              <w:t>06-</w:t>
            </w:r>
            <w:r w:rsidR="00BE59AA" w:rsidRPr="00983703">
              <w:rPr>
                <w:sz w:val="20"/>
                <w:szCs w:val="18"/>
                <w:lang w:val="es-ES_tradnl"/>
              </w:rPr>
              <w:t>2023</w:t>
            </w:r>
          </w:p>
        </w:tc>
        <w:tc>
          <w:tcPr>
            <w:tcW w:w="1568" w:type="dxa"/>
            <w:shd w:val="clear" w:color="auto" w:fill="auto"/>
          </w:tcPr>
          <w:p w14:paraId="7B1B44E9" w14:textId="7B0EE463"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 xml:space="preserve">Proceso de aprobación alternativo para las </w:t>
            </w:r>
            <w:r w:rsidRPr="00723015">
              <w:rPr>
                <w:sz w:val="20"/>
                <w:szCs w:val="18"/>
                <w:lang w:val="nl-NL"/>
              </w:rPr>
              <w:t>Recomenda</w:t>
            </w:r>
            <w:r w:rsidR="00CF2117" w:rsidRPr="00723015">
              <w:rPr>
                <w:sz w:val="20"/>
                <w:szCs w:val="18"/>
                <w:lang w:val="nl-NL"/>
              </w:rPr>
              <w:t>-</w:t>
            </w:r>
            <w:r w:rsidRPr="00723015">
              <w:rPr>
                <w:sz w:val="20"/>
                <w:szCs w:val="18"/>
                <w:lang w:val="nl-NL"/>
              </w:rPr>
              <w:t>ciones</w:t>
            </w:r>
            <w:r w:rsidRPr="00983703">
              <w:rPr>
                <w:sz w:val="20"/>
                <w:szCs w:val="18"/>
                <w:lang w:val="es-ES_tradnl"/>
              </w:rPr>
              <w:t xml:space="preserve"> UIT-T nuevas y revisadas</w:t>
            </w:r>
          </w:p>
        </w:tc>
        <w:tc>
          <w:tcPr>
            <w:tcW w:w="1022" w:type="dxa"/>
            <w:shd w:val="clear" w:color="auto" w:fill="auto"/>
          </w:tcPr>
          <w:p w14:paraId="602F9B79"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44" w:history="1">
              <w:r w:rsidR="00BE59AA" w:rsidRPr="00983703">
                <w:rPr>
                  <w:color w:val="0000FF"/>
                  <w:sz w:val="20"/>
                  <w:szCs w:val="18"/>
                  <w:u w:val="single"/>
                  <w:lang w:val="es-ES_tradnl"/>
                </w:rPr>
                <w:t>TD293</w:t>
              </w:r>
            </w:hyperlink>
          </w:p>
        </w:tc>
        <w:tc>
          <w:tcPr>
            <w:tcW w:w="1427" w:type="dxa"/>
            <w:shd w:val="clear" w:color="auto" w:fill="auto"/>
          </w:tcPr>
          <w:p w14:paraId="1D6C627A"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45" w:history="1">
              <w:r w:rsidR="00BE59AA" w:rsidRPr="00983703">
                <w:rPr>
                  <w:color w:val="0000FF"/>
                  <w:sz w:val="20"/>
                  <w:szCs w:val="18"/>
                  <w:u w:val="single"/>
                  <w:lang w:val="es-ES_tradnl"/>
                </w:rPr>
                <w:t>Olivier DUBUISSON</w:t>
              </w:r>
            </w:hyperlink>
          </w:p>
        </w:tc>
        <w:tc>
          <w:tcPr>
            <w:tcW w:w="1981" w:type="dxa"/>
            <w:shd w:val="clear" w:color="auto" w:fill="auto"/>
          </w:tcPr>
          <w:p w14:paraId="620A9CEA"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En la Recomendación UIT-T A.8 se proporcionan métodos de trabajo y procedimientos de aprobación de proyectos de Recomendaciones del UIT-T nuevas o revisadas mediante el proceso de aprobación alternativo.</w:t>
            </w:r>
          </w:p>
        </w:tc>
      </w:tr>
      <w:tr w:rsidR="00CF2117" w:rsidRPr="005B66C3" w14:paraId="24A2FF26" w14:textId="77777777" w:rsidTr="004B5468">
        <w:trPr>
          <w:jc w:val="center"/>
        </w:trPr>
        <w:tc>
          <w:tcPr>
            <w:tcW w:w="909" w:type="dxa"/>
            <w:shd w:val="clear" w:color="auto" w:fill="auto"/>
          </w:tcPr>
          <w:p w14:paraId="4C1111A9" w14:textId="77777777" w:rsidR="00BE59AA" w:rsidRPr="00983703" w:rsidRDefault="00BE59AA" w:rsidP="0057289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lastRenderedPageBreak/>
              <w:t>GR-AMNT</w:t>
            </w:r>
          </w:p>
        </w:tc>
        <w:tc>
          <w:tcPr>
            <w:tcW w:w="1036" w:type="dxa"/>
            <w:shd w:val="clear" w:color="auto" w:fill="auto"/>
          </w:tcPr>
          <w:p w14:paraId="45DF4BD9" w14:textId="77777777" w:rsidR="00BE59AA" w:rsidRPr="00983703" w:rsidRDefault="005B66C3" w:rsidP="00572899">
            <w:pPr>
              <w:pStyle w:val="Tabletext"/>
              <w:jc w:val="center"/>
              <w:rPr>
                <w:sz w:val="20"/>
                <w:szCs w:val="18"/>
                <w:lang w:val="es-ES_tradnl"/>
              </w:rPr>
            </w:pPr>
            <w:hyperlink r:id="rId146" w:tooltip="See more details" w:history="1">
              <w:r w:rsidR="00BE59AA" w:rsidRPr="00983703">
                <w:rPr>
                  <w:color w:val="0000FF"/>
                  <w:sz w:val="20"/>
                  <w:szCs w:val="18"/>
                  <w:u w:val="single"/>
                  <w:lang w:val="es-ES_tradnl"/>
                </w:rPr>
                <w:t>A.BN</w:t>
              </w:r>
            </w:hyperlink>
          </w:p>
        </w:tc>
        <w:tc>
          <w:tcPr>
            <w:tcW w:w="1540" w:type="dxa"/>
            <w:shd w:val="clear" w:color="auto" w:fill="auto"/>
          </w:tcPr>
          <w:p w14:paraId="226D9A4D" w14:textId="77777777" w:rsidR="00BE59AA" w:rsidRPr="00983703" w:rsidRDefault="00BE59AA" w:rsidP="00572899">
            <w:pPr>
              <w:pStyle w:val="Tabletext"/>
              <w:jc w:val="center"/>
              <w:rPr>
                <w:sz w:val="20"/>
                <w:szCs w:val="18"/>
                <w:lang w:val="es-ES_tradnl"/>
              </w:rPr>
            </w:pPr>
            <w:r w:rsidRPr="00983703">
              <w:rPr>
                <w:sz w:val="20"/>
                <w:szCs w:val="18"/>
                <w:lang w:val="es-ES_tradnl"/>
              </w:rPr>
              <w:t xml:space="preserve">Otro </w:t>
            </w:r>
            <w:r w:rsidRPr="00572899">
              <w:rPr>
                <w:sz w:val="20"/>
                <w:lang w:val="es-ES_tradnl"/>
              </w:rPr>
              <w:t>tipo</w:t>
            </w:r>
            <w:r w:rsidRPr="00983703">
              <w:rPr>
                <w:sz w:val="20"/>
                <w:szCs w:val="18"/>
                <w:lang w:val="es-ES_tradnl"/>
              </w:rPr>
              <w:t xml:space="preserve"> (Nota informativa)</w:t>
            </w:r>
          </w:p>
        </w:tc>
        <w:tc>
          <w:tcPr>
            <w:tcW w:w="952" w:type="dxa"/>
            <w:shd w:val="clear" w:color="auto" w:fill="auto"/>
          </w:tcPr>
          <w:p w14:paraId="61C546F9" w14:textId="77777777" w:rsidR="00BE59AA" w:rsidRPr="00983703"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Nuevo</w:t>
            </w:r>
          </w:p>
        </w:tc>
        <w:tc>
          <w:tcPr>
            <w:tcW w:w="1120" w:type="dxa"/>
            <w:shd w:val="clear" w:color="auto" w:fill="auto"/>
          </w:tcPr>
          <w:p w14:paraId="6840B7D7" w14:textId="4191A612" w:rsidR="00BE59AA" w:rsidRPr="00983703"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En</w:t>
            </w:r>
            <w:r w:rsidR="00CF2117">
              <w:rPr>
                <w:sz w:val="20"/>
                <w:szCs w:val="18"/>
                <w:lang w:val="es-ES_tradnl"/>
              </w:rPr>
              <w:t xml:space="preserve"> </w:t>
            </w:r>
            <w:r w:rsidRPr="00983703">
              <w:rPr>
                <w:sz w:val="20"/>
                <w:szCs w:val="18"/>
                <w:lang w:val="es-ES_tradnl"/>
              </w:rPr>
              <w:t>estudio</w:t>
            </w:r>
          </w:p>
        </w:tc>
        <w:tc>
          <w:tcPr>
            <w:tcW w:w="1217" w:type="dxa"/>
            <w:shd w:val="clear" w:color="auto" w:fill="auto"/>
          </w:tcPr>
          <w:p w14:paraId="15D996D7" w14:textId="77777777" w:rsidR="00BE59AA" w:rsidRPr="00983703" w:rsidRDefault="00BE59AA"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Acuerdo</w:t>
            </w:r>
          </w:p>
        </w:tc>
        <w:tc>
          <w:tcPr>
            <w:tcW w:w="1204" w:type="dxa"/>
            <w:shd w:val="clear" w:color="auto" w:fill="auto"/>
          </w:tcPr>
          <w:p w14:paraId="577C6084" w14:textId="73646A99" w:rsidR="00BE59AA" w:rsidRPr="00983703" w:rsidRDefault="009F244C"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Pr>
                <w:sz w:val="20"/>
                <w:szCs w:val="18"/>
                <w:lang w:val="es-ES_tradnl"/>
              </w:rPr>
              <w:t>02-</w:t>
            </w:r>
            <w:r w:rsidR="00BE59AA" w:rsidRPr="00983703">
              <w:rPr>
                <w:sz w:val="20"/>
                <w:szCs w:val="18"/>
                <w:lang w:val="es-ES_tradnl"/>
              </w:rPr>
              <w:t>2024</w:t>
            </w:r>
          </w:p>
          <w:p w14:paraId="598F7A73" w14:textId="77777777" w:rsidR="00BE59AA" w:rsidRPr="00983703" w:rsidRDefault="00BE59AA"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(prioridad media)</w:t>
            </w:r>
          </w:p>
        </w:tc>
        <w:tc>
          <w:tcPr>
            <w:tcW w:w="1568" w:type="dxa"/>
            <w:shd w:val="clear" w:color="auto" w:fill="auto"/>
          </w:tcPr>
          <w:p w14:paraId="70596717" w14:textId="06608330"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Nota informativa: Forma de presidir reuniones ad hoc y Comités de la AMNT</w:t>
            </w:r>
          </w:p>
        </w:tc>
        <w:tc>
          <w:tcPr>
            <w:tcW w:w="1022" w:type="dxa"/>
            <w:shd w:val="clear" w:color="auto" w:fill="auto"/>
          </w:tcPr>
          <w:p w14:paraId="30D4CAFA"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47" w:history="1">
              <w:r w:rsidR="00BE59AA" w:rsidRPr="00983703">
                <w:rPr>
                  <w:color w:val="0000FF"/>
                  <w:sz w:val="20"/>
                  <w:szCs w:val="18"/>
                  <w:u w:val="single"/>
                  <w:lang w:val="es-ES_tradnl"/>
                </w:rPr>
                <w:t>TD262</w:t>
              </w:r>
            </w:hyperlink>
          </w:p>
        </w:tc>
        <w:tc>
          <w:tcPr>
            <w:tcW w:w="1427" w:type="dxa"/>
            <w:shd w:val="clear" w:color="auto" w:fill="auto"/>
          </w:tcPr>
          <w:p w14:paraId="6E7BA8C4"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48" w:history="1">
              <w:r w:rsidR="00BE59AA" w:rsidRPr="00983703">
                <w:rPr>
                  <w:color w:val="0000FF"/>
                  <w:sz w:val="20"/>
                  <w:szCs w:val="18"/>
                  <w:u w:val="single"/>
                  <w:lang w:val="es-ES_tradnl"/>
                </w:rPr>
                <w:t>Isaac BOATENG</w:t>
              </w:r>
            </w:hyperlink>
          </w:p>
        </w:tc>
        <w:tc>
          <w:tcPr>
            <w:tcW w:w="1981" w:type="dxa"/>
            <w:shd w:val="clear" w:color="auto" w:fill="auto"/>
          </w:tcPr>
          <w:p w14:paraId="19066024"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Cabe esperar que esta nota informativa proporcione directrices a los responsables de la AMNT sobre la forma de organizar los debates y la revisión de las Resoluciones de la AMNT en las reuniones de los GAH en fines de semana, a tenor del calendario de trabajo de la AMNT.</w:t>
            </w:r>
          </w:p>
        </w:tc>
      </w:tr>
      <w:tr w:rsidR="00CF2117" w:rsidRPr="005B66C3" w14:paraId="70AFFCE0" w14:textId="77777777" w:rsidTr="004B5468">
        <w:trPr>
          <w:jc w:val="center"/>
        </w:trPr>
        <w:tc>
          <w:tcPr>
            <w:tcW w:w="909" w:type="dxa"/>
            <w:shd w:val="clear" w:color="auto" w:fill="auto"/>
          </w:tcPr>
          <w:p w14:paraId="1C2325E1"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GR-AMNT</w:t>
            </w:r>
          </w:p>
        </w:tc>
        <w:tc>
          <w:tcPr>
            <w:tcW w:w="1036" w:type="dxa"/>
            <w:shd w:val="clear" w:color="auto" w:fill="auto"/>
          </w:tcPr>
          <w:p w14:paraId="0B70F0BF" w14:textId="77777777" w:rsidR="00BE59AA" w:rsidRPr="00983703" w:rsidRDefault="005B66C3" w:rsidP="00572899">
            <w:pPr>
              <w:pStyle w:val="Tabletext"/>
              <w:jc w:val="center"/>
              <w:rPr>
                <w:sz w:val="20"/>
                <w:szCs w:val="18"/>
                <w:lang w:val="es-ES_tradnl"/>
              </w:rPr>
            </w:pPr>
            <w:hyperlink r:id="rId149" w:tooltip="See more details" w:history="1">
              <w:proofErr w:type="spellStart"/>
              <w:proofErr w:type="gramStart"/>
              <w:r w:rsidR="00BE59AA" w:rsidRPr="00983703">
                <w:rPr>
                  <w:color w:val="0000FF"/>
                  <w:sz w:val="20"/>
                  <w:szCs w:val="18"/>
                  <w:u w:val="single"/>
                  <w:lang w:val="es-ES_tradnl"/>
                </w:rPr>
                <w:t>A.SupWTSAGL</w:t>
              </w:r>
              <w:proofErr w:type="spellEnd"/>
              <w:proofErr w:type="gramEnd"/>
            </w:hyperlink>
          </w:p>
        </w:tc>
        <w:tc>
          <w:tcPr>
            <w:tcW w:w="1540" w:type="dxa"/>
            <w:shd w:val="clear" w:color="auto" w:fill="auto"/>
          </w:tcPr>
          <w:p w14:paraId="06D09839" w14:textId="77777777" w:rsidR="00BE59AA" w:rsidRPr="00983703" w:rsidRDefault="00BE59AA" w:rsidP="00572899">
            <w:pPr>
              <w:pStyle w:val="Tabletext"/>
              <w:jc w:val="center"/>
              <w:rPr>
                <w:sz w:val="20"/>
                <w:szCs w:val="18"/>
                <w:lang w:val="es-ES_tradnl"/>
              </w:rPr>
            </w:pPr>
            <w:r w:rsidRPr="00572899">
              <w:rPr>
                <w:sz w:val="20"/>
                <w:lang w:val="es-ES_tradnl"/>
              </w:rPr>
              <w:t>Suplemento</w:t>
            </w:r>
          </w:p>
        </w:tc>
        <w:tc>
          <w:tcPr>
            <w:tcW w:w="952" w:type="dxa"/>
            <w:shd w:val="clear" w:color="auto" w:fill="auto"/>
          </w:tcPr>
          <w:p w14:paraId="0B6C651A" w14:textId="77777777" w:rsidR="00BE59AA" w:rsidRPr="00983703"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Nuevo</w:t>
            </w:r>
          </w:p>
        </w:tc>
        <w:tc>
          <w:tcPr>
            <w:tcW w:w="1120" w:type="dxa"/>
            <w:shd w:val="clear" w:color="auto" w:fill="auto"/>
          </w:tcPr>
          <w:p w14:paraId="586F583B" w14:textId="77777777" w:rsidR="00BE59AA" w:rsidRPr="00983703" w:rsidRDefault="00BE59AA" w:rsidP="005728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En estudio</w:t>
            </w:r>
          </w:p>
        </w:tc>
        <w:tc>
          <w:tcPr>
            <w:tcW w:w="1217" w:type="dxa"/>
            <w:shd w:val="clear" w:color="auto" w:fill="auto"/>
          </w:tcPr>
          <w:p w14:paraId="4298BBB5" w14:textId="77777777" w:rsidR="00BE59AA" w:rsidRPr="00983703" w:rsidRDefault="00BE59AA"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Acuerdo</w:t>
            </w:r>
          </w:p>
        </w:tc>
        <w:tc>
          <w:tcPr>
            <w:tcW w:w="1204" w:type="dxa"/>
            <w:shd w:val="clear" w:color="auto" w:fill="auto"/>
          </w:tcPr>
          <w:p w14:paraId="7865D449" w14:textId="6F6DF8DE" w:rsidR="00BE59AA" w:rsidRPr="00983703" w:rsidRDefault="009F244C"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Pr>
                <w:sz w:val="20"/>
                <w:szCs w:val="18"/>
                <w:lang w:val="es-ES_tradnl"/>
              </w:rPr>
              <w:t>02-</w:t>
            </w:r>
            <w:r w:rsidR="00BE59AA" w:rsidRPr="00983703">
              <w:rPr>
                <w:sz w:val="20"/>
                <w:szCs w:val="18"/>
                <w:lang w:val="es-ES_tradnl"/>
              </w:rPr>
              <w:t>2024</w:t>
            </w:r>
          </w:p>
          <w:p w14:paraId="758DE3EF" w14:textId="77777777" w:rsidR="00BE59AA" w:rsidRPr="00983703" w:rsidRDefault="00BE59AA" w:rsidP="00CF21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szCs w:val="18"/>
                <w:lang w:val="es-ES_tradnl"/>
              </w:rPr>
            </w:pPr>
            <w:r w:rsidRPr="00983703">
              <w:rPr>
                <w:sz w:val="20"/>
                <w:szCs w:val="18"/>
                <w:lang w:val="es-ES_tradnl"/>
              </w:rPr>
              <w:t>(prioridad media)</w:t>
            </w:r>
          </w:p>
        </w:tc>
        <w:tc>
          <w:tcPr>
            <w:tcW w:w="1568" w:type="dxa"/>
            <w:shd w:val="clear" w:color="auto" w:fill="auto"/>
          </w:tcPr>
          <w:p w14:paraId="5F6E4BEC"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Directrices preparatorias de la AMNT en materia de Resoluciones</w:t>
            </w:r>
          </w:p>
        </w:tc>
        <w:tc>
          <w:tcPr>
            <w:tcW w:w="1022" w:type="dxa"/>
            <w:shd w:val="clear" w:color="auto" w:fill="auto"/>
          </w:tcPr>
          <w:p w14:paraId="25637F91"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50" w:history="1">
              <w:r w:rsidR="00BE59AA" w:rsidRPr="00983703">
                <w:rPr>
                  <w:color w:val="0000FF"/>
                  <w:sz w:val="20"/>
                  <w:szCs w:val="18"/>
                  <w:u w:val="single"/>
                  <w:lang w:val="es-ES_tradnl"/>
                </w:rPr>
                <w:t>TD261R1</w:t>
              </w:r>
            </w:hyperlink>
          </w:p>
        </w:tc>
        <w:tc>
          <w:tcPr>
            <w:tcW w:w="1427" w:type="dxa"/>
            <w:shd w:val="clear" w:color="auto" w:fill="auto"/>
          </w:tcPr>
          <w:p w14:paraId="7521A78D" w14:textId="77777777" w:rsidR="00BE59AA" w:rsidRPr="00983703" w:rsidRDefault="005B66C3"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hyperlink r:id="rId151" w:history="1">
              <w:r w:rsidR="00BE59AA" w:rsidRPr="00983703">
                <w:rPr>
                  <w:color w:val="0000FF"/>
                  <w:sz w:val="20"/>
                  <w:szCs w:val="18"/>
                  <w:u w:val="single"/>
                  <w:lang w:val="es-ES_tradnl"/>
                </w:rPr>
                <w:t>Evgeny TONKIKH</w:t>
              </w:r>
            </w:hyperlink>
          </w:p>
        </w:tc>
        <w:tc>
          <w:tcPr>
            <w:tcW w:w="1981" w:type="dxa"/>
            <w:shd w:val="clear" w:color="auto" w:fill="auto"/>
          </w:tcPr>
          <w:p w14:paraId="2725D02C" w14:textId="77777777" w:rsidR="00BE59AA" w:rsidRPr="00983703" w:rsidRDefault="00BE59AA" w:rsidP="00BE59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18"/>
                <w:lang w:val="es-ES_tradnl"/>
              </w:rPr>
            </w:pPr>
            <w:r w:rsidRPr="00983703">
              <w:rPr>
                <w:sz w:val="20"/>
                <w:szCs w:val="18"/>
                <w:lang w:val="es-ES_tradnl"/>
              </w:rPr>
              <w:t xml:space="preserve">En este suplemento se proporcionan directrices a los miembros del UIT-T sobre la manera de proponer proyectos de Resoluciones de la AMNT nuevas o revisadas al preparar la AMNT. La revisión de las Resoluciones de la AMNT incluye actualización editorial, la identificación de solapamiento de actividades, la determinación de elementos que pueden suprimirse, la </w:t>
            </w:r>
            <w:r w:rsidRPr="00983703">
              <w:rPr>
                <w:sz w:val="20"/>
                <w:szCs w:val="18"/>
                <w:lang w:val="es-ES_tradnl"/>
              </w:rPr>
              <w:lastRenderedPageBreak/>
              <w:t xml:space="preserve">forma de simplificar o abreviar las Resoluciones, la preparación de proyectos de textos refundidos, y la </w:t>
            </w:r>
            <w:proofErr w:type="gramStart"/>
            <w:r w:rsidRPr="00983703">
              <w:rPr>
                <w:sz w:val="20"/>
                <w:szCs w:val="18"/>
                <w:lang w:val="es-ES_tradnl"/>
              </w:rPr>
              <w:t>participación activa</w:t>
            </w:r>
            <w:proofErr w:type="gramEnd"/>
            <w:r w:rsidRPr="00983703">
              <w:rPr>
                <w:sz w:val="20"/>
                <w:szCs w:val="18"/>
                <w:lang w:val="es-ES_tradnl"/>
              </w:rPr>
              <w:t xml:space="preserve"> de organizaciones regionales de telecomunicaciones en debates previos a la AMNT.</w:t>
            </w:r>
          </w:p>
        </w:tc>
      </w:tr>
    </w:tbl>
    <w:p w14:paraId="2A8515DC" w14:textId="77777777" w:rsidR="00BE59AA" w:rsidRPr="00983703" w:rsidRDefault="00BE59AA" w:rsidP="00BE59AA">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_tradnl" w:eastAsia="ja-JP"/>
        </w:rPr>
      </w:pPr>
      <w:bookmarkStart w:id="59" w:name="_Annex_C_ITU-T"/>
      <w:bookmarkEnd w:id="59"/>
    </w:p>
    <w:p w14:paraId="27884EC5" w14:textId="77777777" w:rsidR="00334FB5" w:rsidRPr="00475F02" w:rsidRDefault="00334FB5" w:rsidP="00334FB5">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 w:eastAsia="ja-JP"/>
        </w:rPr>
      </w:pPr>
      <w:bookmarkStart w:id="60" w:name="_Annex_C_Terms_1"/>
      <w:bookmarkEnd w:id="60"/>
    </w:p>
    <w:p w14:paraId="33429E67" w14:textId="77777777" w:rsidR="00334FB5" w:rsidRPr="00475F02" w:rsidRDefault="00334FB5" w:rsidP="00334FB5">
      <w:pPr>
        <w:tabs>
          <w:tab w:val="clear" w:pos="794"/>
          <w:tab w:val="clear" w:pos="1191"/>
          <w:tab w:val="clear" w:pos="1588"/>
          <w:tab w:val="clear" w:pos="1985"/>
        </w:tabs>
        <w:overflowPunct/>
        <w:autoSpaceDE/>
        <w:autoSpaceDN/>
        <w:adjustRightInd/>
        <w:textAlignment w:val="auto"/>
        <w:rPr>
          <w:rFonts w:eastAsiaTheme="minorHAnsi"/>
          <w:szCs w:val="24"/>
          <w:highlight w:val="yellow"/>
          <w:lang w:val="es-ES" w:eastAsia="ja-JP"/>
        </w:rPr>
        <w:sectPr w:rsidR="00334FB5" w:rsidRPr="00475F02" w:rsidSect="00081FFC">
          <w:headerReference w:type="default" r:id="rId152"/>
          <w:footerReference w:type="first" r:id="rId153"/>
          <w:pgSz w:w="16840" w:h="11907" w:orient="landscape" w:code="9"/>
          <w:pgMar w:top="1134" w:right="1134" w:bottom="1134" w:left="1134" w:header="425" w:footer="709" w:gutter="0"/>
          <w:cols w:space="720"/>
          <w:docGrid w:linePitch="326"/>
        </w:sectPr>
      </w:pPr>
    </w:p>
    <w:p w14:paraId="16466F57" w14:textId="65847611" w:rsidR="00BE59AA" w:rsidRPr="005832E2" w:rsidRDefault="00BE59AA" w:rsidP="005832E2">
      <w:pPr>
        <w:pStyle w:val="AnnexNotitle"/>
        <w:rPr>
          <w:lang w:val="es-ES_tradnl"/>
        </w:rPr>
      </w:pPr>
      <w:bookmarkStart w:id="61" w:name="_Toc140261667"/>
      <w:r w:rsidRPr="005832E2">
        <w:rPr>
          <w:lang w:val="es-ES"/>
        </w:rPr>
        <w:lastRenderedPageBreak/>
        <w:t>Anexo C</w:t>
      </w:r>
      <w:r w:rsidR="005832E2" w:rsidRPr="005832E2">
        <w:rPr>
          <w:lang w:val="es-ES"/>
        </w:rPr>
        <w:br/>
      </w:r>
      <w:r w:rsidR="005832E2" w:rsidRPr="005832E2">
        <w:rPr>
          <w:lang w:val="es-ES"/>
        </w:rPr>
        <w:br/>
      </w:r>
      <w:r w:rsidRPr="005832E2">
        <w:rPr>
          <w:lang w:val="es-ES_tradnl"/>
        </w:rPr>
        <w:t>Mandato del Grupo de Relator del GANT sobre transformación digital sostenible (GR-TD)</w:t>
      </w:r>
      <w:bookmarkEnd w:id="61"/>
    </w:p>
    <w:p w14:paraId="272A2A9C" w14:textId="77777777" w:rsidR="00BE59AA" w:rsidRPr="00983703" w:rsidRDefault="00BE59AA" w:rsidP="00996BD7">
      <w:pPr>
        <w:pStyle w:val="Headingb"/>
        <w:rPr>
          <w:rFonts w:eastAsiaTheme="minorHAnsi"/>
          <w:lang w:val="es-ES_tradnl" w:eastAsia="ja-JP"/>
        </w:rPr>
      </w:pPr>
      <w:r w:rsidRPr="00983703">
        <w:rPr>
          <w:rFonts w:eastAsiaTheme="minorHAnsi"/>
          <w:lang w:val="es-ES_tradnl" w:eastAsia="ja-JP"/>
        </w:rPr>
        <w:t>Objetivos del GR-TD:</w:t>
      </w:r>
    </w:p>
    <w:p w14:paraId="17B15986" w14:textId="6CE7059D" w:rsidR="00BE59AA" w:rsidRPr="00983703" w:rsidRDefault="00BE59AA" w:rsidP="00996BD7">
      <w:pPr>
        <w:pStyle w:val="enumlev1"/>
        <w:rPr>
          <w:rFonts w:eastAsiaTheme="minorEastAsia"/>
          <w:lang w:val="es-ES_tradnl" w:eastAsia="ja-JP"/>
        </w:rPr>
      </w:pPr>
      <w:r w:rsidRPr="00983703">
        <w:rPr>
          <w:rFonts w:eastAsiaTheme="minorEastAsia"/>
          <w:lang w:val="es-ES_tradnl" w:eastAsia="ja-JP"/>
        </w:rPr>
        <w:t>1</w:t>
      </w:r>
      <w:r w:rsidR="00996BD7" w:rsidRPr="00983703">
        <w:rPr>
          <w:rFonts w:eastAsiaTheme="minorEastAsia"/>
          <w:lang w:val="es-ES_tradnl" w:eastAsia="ja-JP"/>
        </w:rPr>
        <w:t>)</w:t>
      </w:r>
      <w:r w:rsidRPr="00983703">
        <w:rPr>
          <w:rFonts w:eastAsiaTheme="minorEastAsia"/>
          <w:lang w:val="es-ES_tradnl" w:eastAsia="ja-JP"/>
        </w:rPr>
        <w:tab/>
        <w:t>Realizar un análisis de deficiencias sobre actividades y estudios relacionados con la transformación digital sostenible en el marco del UIT-T, el UIT-D y el UIT-R, así como otros organismos de normalización.</w:t>
      </w:r>
    </w:p>
    <w:p w14:paraId="09C41BA9" w14:textId="6375E953" w:rsidR="00BE59AA" w:rsidRPr="00983703" w:rsidRDefault="00996BD7" w:rsidP="00996BD7">
      <w:pPr>
        <w:pStyle w:val="enumlev1"/>
        <w:rPr>
          <w:rFonts w:eastAsiaTheme="minorEastAsia"/>
          <w:szCs w:val="24"/>
          <w:lang w:val="es-ES_tradnl" w:eastAsia="ja-JP"/>
        </w:rPr>
      </w:pPr>
      <w:r w:rsidRPr="00983703">
        <w:rPr>
          <w:rFonts w:eastAsiaTheme="minorEastAsia"/>
          <w:lang w:val="es-ES_tradnl" w:eastAsia="ja-JP"/>
        </w:rPr>
        <w:t>2)</w:t>
      </w:r>
      <w:r w:rsidRPr="00983703">
        <w:rPr>
          <w:rFonts w:eastAsiaTheme="minorEastAsia"/>
          <w:lang w:val="es-ES_tradnl" w:eastAsia="ja-JP"/>
        </w:rPr>
        <w:tab/>
      </w:r>
      <w:r w:rsidR="00BE59AA" w:rsidRPr="00983703">
        <w:rPr>
          <w:rFonts w:eastAsiaTheme="minorEastAsia"/>
          <w:szCs w:val="24"/>
          <w:lang w:val="es-ES_tradnl" w:eastAsia="ja-JP"/>
        </w:rPr>
        <w:t>Examinar las definiciones, los conceptos, las arquitecturas de sistema, los casos de utilización, las tecnologías subyacentes fundamentales, la interoperabilidad y el sistema de transformación digital sostenible, entre otras cuestiones.</w:t>
      </w:r>
    </w:p>
    <w:p w14:paraId="4365DBCA" w14:textId="508F6C56" w:rsidR="00BE59AA" w:rsidRPr="00983703" w:rsidRDefault="00996BD7" w:rsidP="00996BD7">
      <w:pPr>
        <w:pStyle w:val="enumlev1"/>
        <w:rPr>
          <w:rFonts w:asciiTheme="majorBidi" w:eastAsiaTheme="minorEastAsia" w:hAnsiTheme="majorBidi" w:cstheme="majorBidi"/>
          <w:szCs w:val="24"/>
          <w:lang w:val="es-ES_tradnl" w:eastAsia="ja-JP"/>
        </w:rPr>
      </w:pPr>
      <w:r w:rsidRPr="00983703">
        <w:rPr>
          <w:rFonts w:eastAsiaTheme="minorEastAsia"/>
          <w:szCs w:val="24"/>
          <w:lang w:val="es-ES_tradnl" w:eastAsia="ja-JP"/>
        </w:rPr>
        <w:t>3)</w:t>
      </w:r>
      <w:r w:rsidRPr="00983703">
        <w:rPr>
          <w:rFonts w:eastAsiaTheme="minorEastAsia"/>
          <w:szCs w:val="24"/>
          <w:lang w:val="es-ES_tradnl" w:eastAsia="ja-JP"/>
        </w:rPr>
        <w:tab/>
      </w:r>
      <w:r w:rsidR="00BE59AA" w:rsidRPr="00983703">
        <w:rPr>
          <w:rFonts w:asciiTheme="majorBidi" w:eastAsiaTheme="minorEastAsia" w:hAnsiTheme="majorBidi" w:cstheme="majorBidi"/>
          <w:szCs w:val="24"/>
          <w:lang w:val="es-ES_tradnl" w:eastAsia="ja-JP"/>
        </w:rPr>
        <w:t>Determinar partes interesadas con las que podría colaborar el UIT-T y proponer posibles iniciativas colectivas y medidas futuras específicas.</w:t>
      </w:r>
    </w:p>
    <w:p w14:paraId="35ADB378" w14:textId="27632968" w:rsidR="00BE59AA" w:rsidRPr="00983703" w:rsidRDefault="00996BD7" w:rsidP="00996BD7">
      <w:pPr>
        <w:pStyle w:val="enumlev1"/>
        <w:rPr>
          <w:rFonts w:eastAsiaTheme="minorEastAsia"/>
          <w:szCs w:val="24"/>
          <w:lang w:val="es-ES_tradnl" w:eastAsia="ja-JP"/>
        </w:rPr>
      </w:pPr>
      <w:r w:rsidRPr="00983703">
        <w:rPr>
          <w:rFonts w:asciiTheme="majorBidi" w:eastAsiaTheme="minorEastAsia" w:hAnsiTheme="majorBidi" w:cstheme="majorBidi"/>
          <w:szCs w:val="24"/>
          <w:lang w:val="es-ES_tradnl" w:eastAsia="ja-JP"/>
        </w:rPr>
        <w:t>4)</w:t>
      </w:r>
      <w:r w:rsidRPr="00983703">
        <w:rPr>
          <w:rFonts w:asciiTheme="majorBidi" w:eastAsiaTheme="minorEastAsia" w:hAnsiTheme="majorBidi" w:cstheme="majorBidi"/>
          <w:szCs w:val="24"/>
          <w:lang w:val="es-ES_tradnl" w:eastAsia="ja-JP"/>
        </w:rPr>
        <w:tab/>
      </w:r>
      <w:r w:rsidR="00BE59AA" w:rsidRPr="00983703">
        <w:rPr>
          <w:rFonts w:eastAsiaTheme="minorEastAsia"/>
          <w:szCs w:val="24"/>
          <w:lang w:val="es-ES_tradnl" w:eastAsia="ja-JP"/>
        </w:rPr>
        <w:t>Presentar los resultados del análisis de deficiencias y las correspondientes recomendaciones en la próxima reunión del GANT para su examen y la adopción de las medidas oportunas.</w:t>
      </w:r>
    </w:p>
    <w:p w14:paraId="63CAC953" w14:textId="50DF13C0" w:rsidR="00BE59AA" w:rsidRPr="00983703" w:rsidRDefault="00996BD7" w:rsidP="00996BD7">
      <w:pPr>
        <w:pStyle w:val="enumlev1"/>
        <w:rPr>
          <w:rFonts w:eastAsiaTheme="minorEastAsia"/>
          <w:szCs w:val="24"/>
          <w:lang w:val="es-ES_tradnl" w:eastAsia="ja-JP"/>
        </w:rPr>
      </w:pPr>
      <w:r w:rsidRPr="00983703">
        <w:rPr>
          <w:rFonts w:eastAsiaTheme="minorEastAsia"/>
          <w:szCs w:val="24"/>
          <w:lang w:val="es-ES_tradnl" w:eastAsia="ja-JP"/>
        </w:rPr>
        <w:t>5)</w:t>
      </w:r>
      <w:r w:rsidRPr="00983703">
        <w:rPr>
          <w:rFonts w:eastAsiaTheme="minorEastAsia"/>
          <w:szCs w:val="24"/>
          <w:lang w:val="es-ES_tradnl" w:eastAsia="ja-JP"/>
        </w:rPr>
        <w:tab/>
      </w:r>
      <w:r w:rsidR="00BE59AA" w:rsidRPr="00983703">
        <w:rPr>
          <w:rFonts w:eastAsiaTheme="minorEastAsia"/>
          <w:szCs w:val="24"/>
          <w:lang w:val="es-ES_tradnl" w:eastAsia="ja-JP"/>
        </w:rPr>
        <w:t>E</w:t>
      </w:r>
      <w:r w:rsidR="00BE59AA" w:rsidRPr="00983703">
        <w:rPr>
          <w:rFonts w:asciiTheme="majorBidi" w:eastAsiaTheme="minorEastAsia" w:hAnsiTheme="majorBidi" w:cstheme="majorBidi"/>
          <w:szCs w:val="24"/>
          <w:lang w:val="es-ES_tradnl" w:eastAsia="ja-JP"/>
        </w:rPr>
        <w:t>laborar un proyecto de nueva Resolución de la AMNT sobre transformación digital sostenible.</w:t>
      </w:r>
    </w:p>
    <w:p w14:paraId="3F93DDDF" w14:textId="77777777" w:rsidR="002B311A" w:rsidRPr="00983703" w:rsidRDefault="002B311A" w:rsidP="00411C49">
      <w:pPr>
        <w:pStyle w:val="Reasons"/>
        <w:rPr>
          <w:lang w:val="es-ES_tradnl"/>
        </w:rPr>
      </w:pPr>
    </w:p>
    <w:p w14:paraId="26B38875" w14:textId="77777777" w:rsidR="002B311A" w:rsidRPr="00983703" w:rsidRDefault="002B311A">
      <w:pPr>
        <w:jc w:val="center"/>
        <w:rPr>
          <w:lang w:val="es-ES_tradnl"/>
        </w:rPr>
      </w:pPr>
      <w:r w:rsidRPr="00983703">
        <w:rPr>
          <w:lang w:val="es-ES_tradnl"/>
        </w:rPr>
        <w:t>______________</w:t>
      </w:r>
    </w:p>
    <w:sectPr w:rsidR="002B311A" w:rsidRPr="00983703" w:rsidSect="00334FB5">
      <w:headerReference w:type="default" r:id="rId154"/>
      <w:headerReference w:type="first" r:id="rId15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82B9" w14:textId="77777777" w:rsidR="00A50DB5" w:rsidRDefault="00A50DB5">
      <w:r>
        <w:separator/>
      </w:r>
    </w:p>
  </w:endnote>
  <w:endnote w:type="continuationSeparator" w:id="0">
    <w:p w14:paraId="097168E2" w14:textId="77777777" w:rsidR="00A50DB5" w:rsidRDefault="00A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4A59" w14:textId="77777777" w:rsidR="005B66C3" w:rsidRDefault="005B6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9A9D" w14:textId="1A5ECC98" w:rsidR="008F18B2" w:rsidRPr="005B66C3" w:rsidRDefault="008F18B2" w:rsidP="005B6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5FF0" w14:textId="2A10ED01" w:rsidR="000F6F77" w:rsidRPr="005B66C3" w:rsidRDefault="000F6F77" w:rsidP="005B66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3677" w14:textId="77777777" w:rsidR="00BE59AA" w:rsidRPr="00C43493" w:rsidRDefault="00BE59AA"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5AF" w14:textId="77777777" w:rsidR="00BE59AA" w:rsidRPr="00C43493" w:rsidRDefault="00BE59AA" w:rsidP="00C43493">
    <w:pPr>
      <w:spacing w:before="0"/>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A3F8" w14:textId="0AB751F5" w:rsidR="00B65B86" w:rsidRPr="005B66C3" w:rsidRDefault="00B65B86" w:rsidP="005B6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8E2E" w14:textId="77777777" w:rsidR="00A50DB5" w:rsidRDefault="00A50DB5">
      <w:r>
        <w:t>____________________</w:t>
      </w:r>
    </w:p>
  </w:footnote>
  <w:footnote w:type="continuationSeparator" w:id="0">
    <w:p w14:paraId="0911A46C" w14:textId="77777777" w:rsidR="00A50DB5" w:rsidRDefault="00A50DB5">
      <w:r>
        <w:continuationSeparator/>
      </w:r>
    </w:p>
  </w:footnote>
  <w:footnote w:id="1">
    <w:p w14:paraId="07834819" w14:textId="77777777" w:rsidR="00911DBE" w:rsidRDefault="00911DBE" w:rsidP="00B85ED9">
      <w:pPr>
        <w:pStyle w:val="FootnoteText"/>
        <w:ind w:left="252" w:hanging="252"/>
        <w:rPr>
          <w:lang w:val="en-US"/>
        </w:rPr>
      </w:pPr>
      <w:r>
        <w:rPr>
          <w:rStyle w:val="FootnoteReference"/>
        </w:rPr>
        <w:footnoteRef/>
      </w:r>
      <w:hyperlink r:id="rId1" w:history="1">
        <w:r w:rsidRPr="00B85ED9">
          <w:tab/>
        </w:r>
        <w:r w:rsidRPr="008C6D56">
          <w:rPr>
            <w:rStyle w:val="Hyperlink"/>
          </w:rPr>
          <w:t>https://extranet.itu.int/sites/itu-t/studygroups/2022-2024/tsag/Captioning/Forms/AllItems.aspx</w:t>
        </w:r>
      </w:hyperlink>
    </w:p>
  </w:footnote>
  <w:footnote w:id="2">
    <w:p w14:paraId="5271AC17" w14:textId="77777777" w:rsidR="00911DBE" w:rsidRPr="009A41F9" w:rsidRDefault="00911DBE" w:rsidP="00B85ED9">
      <w:pPr>
        <w:pStyle w:val="FootnoteText"/>
        <w:ind w:left="252" w:hanging="252"/>
        <w:rPr>
          <w:lang w:val="es-ES"/>
        </w:rPr>
      </w:pPr>
      <w:r>
        <w:rPr>
          <w:rStyle w:val="FootnoteReference"/>
        </w:rPr>
        <w:footnoteRef/>
      </w:r>
      <w:r>
        <w:rPr>
          <w:rFonts w:asciiTheme="majorBidi" w:hAnsiTheme="majorBidi" w:cstheme="majorBidi"/>
          <w:lang w:val="es-ES"/>
        </w:rPr>
        <w:tab/>
      </w:r>
      <w:r w:rsidRPr="009A41F9">
        <w:rPr>
          <w:rFonts w:asciiTheme="majorBidi" w:hAnsiTheme="majorBidi" w:cstheme="majorBidi"/>
          <w:lang w:val="es-ES"/>
        </w:rPr>
        <w:t xml:space="preserve">La grabación de las sesiones plenarias del GANT </w:t>
      </w:r>
      <w:r>
        <w:rPr>
          <w:rFonts w:asciiTheme="majorBidi" w:hAnsiTheme="majorBidi" w:cstheme="majorBidi"/>
          <w:lang w:val="es-ES"/>
        </w:rPr>
        <w:t xml:space="preserve">retransmitidas por Internet </w:t>
      </w:r>
      <w:r w:rsidRPr="009A41F9">
        <w:rPr>
          <w:rFonts w:asciiTheme="majorBidi" w:hAnsiTheme="majorBidi" w:cstheme="majorBidi"/>
          <w:lang w:val="es-ES"/>
        </w:rPr>
        <w:t xml:space="preserve">está disponible en </w:t>
      </w:r>
      <w:hyperlink r:id="rId2" w:history="1">
        <w:r w:rsidRPr="009A41F9">
          <w:rPr>
            <w:rStyle w:val="Hyperlink"/>
            <w:rFonts w:asciiTheme="majorBidi" w:hAnsiTheme="majorBidi" w:cstheme="majorBidi"/>
            <w:lang w:val="es-ES"/>
          </w:rPr>
          <w:t>https://www.itu.int/webcast/archive2/t2022-24tsag</w:t>
        </w:r>
      </w:hyperlink>
    </w:p>
  </w:footnote>
  <w:footnote w:id="3">
    <w:p w14:paraId="5466AC22" w14:textId="77777777" w:rsidR="00A74C71" w:rsidRPr="009A41F9" w:rsidRDefault="00A74C71" w:rsidP="00B85ED9">
      <w:pPr>
        <w:pStyle w:val="FootnoteText"/>
        <w:ind w:left="252" w:hanging="252"/>
        <w:rPr>
          <w:lang w:val="es-ES"/>
        </w:rPr>
      </w:pPr>
      <w:r>
        <w:rPr>
          <w:rStyle w:val="FootnoteReference"/>
        </w:rPr>
        <w:footnoteRef/>
      </w:r>
      <w:r>
        <w:rPr>
          <w:sz w:val="22"/>
          <w:lang w:val="es-ES"/>
        </w:rPr>
        <w:tab/>
        <w:t>D</w:t>
      </w:r>
      <w:r w:rsidRPr="009A41F9">
        <w:rPr>
          <w:sz w:val="22"/>
          <w:lang w:val="es-ES"/>
        </w:rPr>
        <w:t xml:space="preserve">efiniciones </w:t>
      </w:r>
      <w:r>
        <w:rPr>
          <w:sz w:val="22"/>
          <w:lang w:val="es-ES"/>
        </w:rPr>
        <w:t>formuladas</w:t>
      </w:r>
      <w:r w:rsidRPr="009A41F9">
        <w:rPr>
          <w:sz w:val="22"/>
          <w:lang w:val="es-ES"/>
        </w:rPr>
        <w:t xml:space="preserve"> en documentos </w:t>
      </w:r>
      <w:r>
        <w:rPr>
          <w:sz w:val="22"/>
          <w:lang w:val="es-ES"/>
        </w:rPr>
        <w:t>oficiosos del UIT-T</w:t>
      </w:r>
      <w:r w:rsidRPr="009A41F9">
        <w:rPr>
          <w:sz w:val="22"/>
          <w:lang w:val="es-ES"/>
        </w:rPr>
        <w:t xml:space="preserve">; utilización de términos definidos en referencias </w:t>
      </w:r>
      <w:r>
        <w:rPr>
          <w:sz w:val="22"/>
          <w:lang w:val="es-ES"/>
        </w:rPr>
        <w:t>que no son de</w:t>
      </w:r>
      <w:r w:rsidRPr="009A41F9">
        <w:rPr>
          <w:sz w:val="22"/>
          <w:lang w:val="es-ES"/>
        </w:rPr>
        <w:t xml:space="preserve"> la UIT; necesidad de obtener licencias de derechos de autor para utilizar textos </w:t>
      </w:r>
      <w:r>
        <w:rPr>
          <w:sz w:val="22"/>
          <w:lang w:val="es-ES"/>
        </w:rPr>
        <w:t>reproducidos</w:t>
      </w:r>
      <w:r w:rsidRPr="009A41F9">
        <w:rPr>
          <w:sz w:val="22"/>
          <w:lang w:val="es-ES"/>
        </w:rPr>
        <w:t xml:space="preserve"> en documentos de la UIT </w:t>
      </w:r>
      <w:r>
        <w:rPr>
          <w:sz w:val="22"/>
          <w:lang w:val="es-ES"/>
        </w:rPr>
        <w:t>con respecto a</w:t>
      </w:r>
      <w:r w:rsidRPr="009A41F9">
        <w:rPr>
          <w:sz w:val="22"/>
          <w:lang w:val="es-ES"/>
        </w:rPr>
        <w:t xml:space="preserve"> otras normas (incluidas las definiciones).</w:t>
      </w:r>
    </w:p>
  </w:footnote>
  <w:footnote w:id="4">
    <w:p w14:paraId="2454F81B" w14:textId="4065D5E9" w:rsidR="00BE59AA" w:rsidRPr="009A41F9" w:rsidRDefault="00BE59AA" w:rsidP="00B85ED9">
      <w:pPr>
        <w:pStyle w:val="FootnoteText"/>
        <w:ind w:left="252" w:hanging="252"/>
        <w:rPr>
          <w:sz w:val="22"/>
          <w:lang w:val="es-ES"/>
        </w:rPr>
      </w:pPr>
      <w:r w:rsidRPr="00B87AAC">
        <w:rPr>
          <w:rStyle w:val="FootnoteReference"/>
        </w:rPr>
        <w:footnoteRef/>
      </w:r>
      <w:r w:rsidR="00B85ED9">
        <w:rPr>
          <w:sz w:val="22"/>
          <w:lang w:val="es-ES"/>
        </w:rPr>
        <w:tab/>
      </w:r>
      <w:r w:rsidRPr="009A41F9">
        <w:rPr>
          <w:sz w:val="22"/>
          <w:lang w:val="es-ES"/>
        </w:rPr>
        <w:t xml:space="preserve">Hora de Ginebra, salvo </w:t>
      </w:r>
      <w:r>
        <w:rPr>
          <w:sz w:val="22"/>
          <w:lang w:val="es-ES"/>
        </w:rPr>
        <w:t>que se indique lo</w:t>
      </w:r>
      <w:r w:rsidRPr="009A41F9">
        <w:rPr>
          <w:sz w:val="22"/>
          <w:lang w:val="es-ES"/>
        </w:rPr>
        <w:t xml:space="preserve"> contrar</w:t>
      </w:r>
      <w:r>
        <w:rPr>
          <w:sz w:val="22"/>
          <w:lang w:val="es-ES"/>
        </w:rPr>
        <w:t>io</w:t>
      </w:r>
      <w:r w:rsidRPr="009A41F9">
        <w:rPr>
          <w:sz w:val="22"/>
          <w:lang w:val="es-ES"/>
        </w:rPr>
        <w:t>.</w:t>
      </w:r>
    </w:p>
  </w:footnote>
  <w:footnote w:id="5">
    <w:p w14:paraId="6ABEF2DB" w14:textId="2402AE1C" w:rsidR="00BE59AA" w:rsidRPr="009A41F9" w:rsidRDefault="00BE59AA" w:rsidP="00B85ED9">
      <w:pPr>
        <w:pStyle w:val="FootnoteText"/>
        <w:ind w:left="252" w:hanging="252"/>
        <w:rPr>
          <w:lang w:val="es-ES"/>
        </w:rPr>
      </w:pPr>
      <w:r w:rsidRPr="00C24DE9">
        <w:rPr>
          <w:rStyle w:val="FootnoteReference"/>
          <w:sz w:val="22"/>
        </w:rPr>
        <w:footnoteRef/>
      </w:r>
      <w:r w:rsidR="00B85ED9">
        <w:rPr>
          <w:sz w:val="22"/>
          <w:lang w:val="es-ES"/>
        </w:rPr>
        <w:tab/>
      </w:r>
      <w:r w:rsidRPr="009A41F9">
        <w:rPr>
          <w:sz w:val="22"/>
          <w:lang w:val="es-ES"/>
        </w:rPr>
        <w:t xml:space="preserve">Formato: </w:t>
      </w:r>
      <w:r>
        <w:rPr>
          <w:sz w:val="22"/>
          <w:lang w:val="es-ES"/>
        </w:rPr>
        <w:t>Presencial</w:t>
      </w:r>
      <w:r w:rsidRPr="009A41F9">
        <w:rPr>
          <w:sz w:val="22"/>
          <w:lang w:val="es-ES"/>
        </w:rPr>
        <w:t xml:space="preserve"> (P), </w:t>
      </w:r>
      <w:r>
        <w:rPr>
          <w:sz w:val="22"/>
          <w:lang w:val="es-ES"/>
        </w:rPr>
        <w:t>A distancia</w:t>
      </w:r>
      <w:r w:rsidRPr="009A41F9">
        <w:rPr>
          <w:sz w:val="22"/>
          <w:lang w:val="es-ES"/>
        </w:rPr>
        <w:t xml:space="preserve"> (V), </w:t>
      </w:r>
      <w:r>
        <w:rPr>
          <w:sz w:val="22"/>
          <w:lang w:val="es-ES"/>
        </w:rPr>
        <w:t>presencial</w:t>
      </w:r>
      <w:r w:rsidRPr="009A41F9">
        <w:rPr>
          <w:sz w:val="22"/>
          <w:lang w:val="es-ES"/>
        </w:rPr>
        <w:t xml:space="preserve"> con participación a distancia (PR)</w:t>
      </w:r>
    </w:p>
  </w:footnote>
  <w:footnote w:id="6">
    <w:p w14:paraId="10E20C02" w14:textId="23062AF5" w:rsidR="00382701" w:rsidRPr="00382701" w:rsidRDefault="00382701">
      <w:pPr>
        <w:pStyle w:val="FootnoteText"/>
        <w:rPr>
          <w:lang w:val="es-ES"/>
        </w:rPr>
      </w:pPr>
      <w:r>
        <w:rPr>
          <w:rStyle w:val="FootnoteReference"/>
        </w:rPr>
        <w:footnoteRef/>
      </w:r>
      <w:r>
        <w:tab/>
      </w:r>
      <w:r w:rsidRPr="009A41F9">
        <w:rPr>
          <w:sz w:val="22"/>
          <w:lang w:val="es-ES"/>
        </w:rPr>
        <w:t xml:space="preserve">Aprobación </w:t>
      </w:r>
      <w:r>
        <w:rPr>
          <w:sz w:val="22"/>
          <w:lang w:val="es-ES"/>
        </w:rPr>
        <w:t xml:space="preserve">por </w:t>
      </w:r>
      <w:r w:rsidRPr="00637D0E">
        <w:rPr>
          <w:sz w:val="22"/>
          <w:lang w:val="es-ES"/>
        </w:rPr>
        <w:t>el procedimiento de aprobación tradicional (TAP</w:t>
      </w:r>
      <w:r>
        <w:rPr>
          <w:sz w:val="22"/>
          <w:lang w:val="es-ES"/>
        </w:rPr>
        <w:t>)</w:t>
      </w:r>
      <w:r w:rsidRPr="00637D0E">
        <w:rPr>
          <w:sz w:val="22"/>
          <w:lang w:val="es-ES"/>
        </w:rPr>
        <w:t xml:space="preserve"> </w:t>
      </w:r>
      <w:r w:rsidRPr="009A41F9">
        <w:rPr>
          <w:sz w:val="22"/>
          <w:lang w:val="es-ES"/>
        </w:rPr>
        <w:t>en la reunión del GANT de julio de 2024.</w:t>
      </w:r>
    </w:p>
  </w:footnote>
  <w:footnote w:id="7">
    <w:p w14:paraId="4ACBA1AC" w14:textId="2C6AD3CB" w:rsidR="00382701" w:rsidRPr="00382701" w:rsidRDefault="00382701">
      <w:pPr>
        <w:pStyle w:val="FootnoteText"/>
        <w:rPr>
          <w:lang w:val="es-ES"/>
        </w:rPr>
      </w:pPr>
      <w:r>
        <w:rPr>
          <w:rStyle w:val="FootnoteReference"/>
        </w:rPr>
        <w:footnoteRef/>
      </w:r>
      <w:r>
        <w:tab/>
      </w:r>
      <w:r w:rsidRPr="009A41F9">
        <w:rPr>
          <w:sz w:val="22"/>
          <w:lang w:val="es-ES"/>
        </w:rPr>
        <w:t xml:space="preserve">Aprobación </w:t>
      </w:r>
      <w:r>
        <w:rPr>
          <w:sz w:val="22"/>
          <w:lang w:val="es-ES"/>
        </w:rPr>
        <w:t xml:space="preserve">por </w:t>
      </w:r>
      <w:r w:rsidRPr="00637D0E">
        <w:rPr>
          <w:sz w:val="22"/>
          <w:lang w:val="es-ES"/>
        </w:rPr>
        <w:t>el procedimiento de aprobación tradicional (TAP</w:t>
      </w:r>
      <w:r>
        <w:rPr>
          <w:sz w:val="22"/>
          <w:lang w:val="es-ES"/>
        </w:rPr>
        <w:t>)</w:t>
      </w:r>
      <w:r w:rsidRPr="00637D0E">
        <w:rPr>
          <w:sz w:val="22"/>
          <w:lang w:val="es-ES"/>
        </w:rPr>
        <w:t xml:space="preserve"> </w:t>
      </w:r>
      <w:r w:rsidRPr="009A41F9">
        <w:rPr>
          <w:sz w:val="22"/>
          <w:lang w:val="es-ES"/>
        </w:rPr>
        <w:t>en la reunión del GANT de julio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0F4E" w14:textId="77777777" w:rsidR="005B66C3" w:rsidRDefault="005B6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2A5" w14:textId="0DBEFD01" w:rsidR="00BE59AA" w:rsidRDefault="00BE59AA">
    <w:pPr>
      <w:pStyle w:val="Header"/>
      <w:rPr>
        <w:lang w:val="pt-BR"/>
      </w:rPr>
    </w:pPr>
    <w:r>
      <w:t xml:space="preserve">- </w:t>
    </w:r>
    <w:r>
      <w:fldChar w:fldCharType="begin"/>
    </w:r>
    <w:r>
      <w:instrText xml:space="preserve"> PAGE  \* MERGEFORMAT </w:instrText>
    </w:r>
    <w:r>
      <w:fldChar w:fldCharType="separate"/>
    </w:r>
    <w:r>
      <w:rPr>
        <w:noProof/>
      </w:rPr>
      <w:t>4</w:t>
    </w:r>
    <w:r>
      <w:rPr>
        <w:noProof/>
      </w:rPr>
      <w:fldChar w:fldCharType="end"/>
    </w:r>
    <w:r>
      <w:rPr>
        <w:lang w:val="pt-BR"/>
      </w:rPr>
      <w:t xml:space="preserve"> -</w:t>
    </w:r>
  </w:p>
  <w:p w14:paraId="7B960815" w14:textId="42003FCC" w:rsidR="00BE59AA" w:rsidRDefault="008F18B2" w:rsidP="008F18B2">
    <w:pPr>
      <w:pStyle w:val="Header"/>
      <w:rPr>
        <w:noProof/>
      </w:rPr>
    </w:pPr>
    <w:r>
      <w:rPr>
        <w:noProof/>
      </w:rPr>
      <w:t>TSAG</w:t>
    </w:r>
    <w:r w:rsidR="005B66C3">
      <w:rPr>
        <w:noProof/>
      </w:rPr>
      <w:t>-</w:t>
    </w:r>
    <w:r>
      <w:rPr>
        <w:noProof/>
      </w:rPr>
      <w:t>R2</w:t>
    </w:r>
    <w:r w:rsidR="005B66C3">
      <w:rPr>
        <w:noProof/>
      </w:rPr>
      <w:t>-</w:t>
    </w:r>
    <w:r w:rsidRPr="008F18B2">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5C5" w14:textId="77777777" w:rsidR="005B66C3" w:rsidRDefault="005B6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EAB8" w14:textId="77777777" w:rsidR="00BE59AA" w:rsidRDefault="00BE59AA">
    <w:pPr>
      <w:pStyle w:val="Header"/>
      <w:rPr>
        <w:lang w:val="pt-BR"/>
      </w:rPr>
    </w:pPr>
    <w:r>
      <w:t xml:space="preserve">- </w:t>
    </w:r>
    <w:r>
      <w:fldChar w:fldCharType="begin"/>
    </w:r>
    <w:r>
      <w:instrText xml:space="preserve"> PAGE  \* MERGEFORMAT </w:instrText>
    </w:r>
    <w:r>
      <w:fldChar w:fldCharType="separate"/>
    </w:r>
    <w:r>
      <w:rPr>
        <w:noProof/>
      </w:rPr>
      <w:t>20</w:t>
    </w:r>
    <w:r>
      <w:rPr>
        <w:noProof/>
      </w:rPr>
      <w:fldChar w:fldCharType="end"/>
    </w:r>
    <w:r>
      <w:rPr>
        <w:lang w:val="pt-BR"/>
      </w:rPr>
      <w:t xml:space="preserve"> -</w:t>
    </w:r>
  </w:p>
  <w:p w14:paraId="27925AAE" w14:textId="29522DDE" w:rsidR="00BE59AA" w:rsidRDefault="008F18B2">
    <w:pPr>
      <w:pStyle w:val="Header"/>
    </w:pPr>
    <w:r>
      <w:rPr>
        <w:noProof/>
      </w:rPr>
      <w:t>TSAG</w:t>
    </w:r>
    <w:r w:rsidR="005B66C3">
      <w:rPr>
        <w:noProof/>
      </w:rPr>
      <w:t>-</w:t>
    </w:r>
    <w:r>
      <w:rPr>
        <w:noProof/>
      </w:rPr>
      <w:t>R2</w:t>
    </w:r>
    <w:r w:rsidR="005B66C3">
      <w:rPr>
        <w:noProof/>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7520" w14:textId="77777777" w:rsidR="00BE59AA" w:rsidRDefault="00BE59AA">
    <w:pPr>
      <w:pStyle w:val="Header"/>
      <w:rPr>
        <w:lang w:val="pt-BR"/>
      </w:rPr>
    </w:pPr>
    <w:r>
      <w:t xml:space="preserve">- </w:t>
    </w:r>
    <w:r>
      <w:fldChar w:fldCharType="begin"/>
    </w:r>
    <w:r>
      <w:instrText xml:space="preserve"> PAGE  \* MERGEFORMAT </w:instrText>
    </w:r>
    <w:r>
      <w:fldChar w:fldCharType="separate"/>
    </w:r>
    <w:r>
      <w:rPr>
        <w:noProof/>
      </w:rPr>
      <w:t>22</w:t>
    </w:r>
    <w:r>
      <w:rPr>
        <w:noProof/>
      </w:rPr>
      <w:fldChar w:fldCharType="end"/>
    </w:r>
    <w:r>
      <w:rPr>
        <w:lang w:val="pt-BR"/>
      </w:rPr>
      <w:t xml:space="preserve"> -</w:t>
    </w:r>
  </w:p>
  <w:p w14:paraId="308208DF" w14:textId="255B40F3" w:rsidR="00BE59AA" w:rsidRDefault="00BE59AA">
    <w:pPr>
      <w:pStyle w:val="Header"/>
    </w:pPr>
    <w:r>
      <w:rPr>
        <w:noProof/>
      </w:rPr>
      <w:fldChar w:fldCharType="begin"/>
    </w:r>
    <w:r>
      <w:rPr>
        <w:noProof/>
      </w:rPr>
      <w:instrText xml:space="preserve"> STYLEREF  Docnumber  \* MERGEFORMAT </w:instrText>
    </w:r>
    <w:r>
      <w:rPr>
        <w:noProof/>
      </w:rPr>
      <w:fldChar w:fldCharType="separate"/>
    </w:r>
    <w:r w:rsidR="005B66C3">
      <w:rPr>
        <w:noProof/>
      </w:rPr>
      <w:t>TSAG-R2-S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B029" w14:textId="77777777" w:rsidR="00334FB5" w:rsidRDefault="00334FB5"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7749C718" w14:textId="1ED93860" w:rsidR="00334FB5" w:rsidRPr="007336C4" w:rsidRDefault="00334FB5" w:rsidP="00966F70">
    <w:pPr>
      <w:pStyle w:val="Header"/>
    </w:pPr>
    <w:r>
      <w:rPr>
        <w:noProof/>
      </w:rPr>
      <w:fldChar w:fldCharType="begin"/>
    </w:r>
    <w:r>
      <w:rPr>
        <w:noProof/>
      </w:rPr>
      <w:instrText xml:space="preserve"> STYLEREF  Docnumber  \* MERGEFORMAT </w:instrText>
    </w:r>
    <w:r>
      <w:rPr>
        <w:noProof/>
      </w:rPr>
      <w:fldChar w:fldCharType="separate"/>
    </w:r>
    <w:r w:rsidR="005B66C3">
      <w:rPr>
        <w:noProof/>
      </w:rPr>
      <w:t>TSAG-R2-S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0DB" w14:textId="77777777"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5329F2">
      <w:rPr>
        <w:noProof/>
      </w:rPr>
      <w:t>2</w:t>
    </w:r>
    <w:r w:rsidRPr="000E7A14">
      <w:fldChar w:fldCharType="end"/>
    </w:r>
    <w:r w:rsidRPr="000E7A14">
      <w:t xml:space="preserve"> -</w:t>
    </w:r>
  </w:p>
  <w:p w14:paraId="2C177960" w14:textId="423D7F18" w:rsidR="008F18B2" w:rsidRPr="000E7A14" w:rsidRDefault="008F18B2" w:rsidP="008F18B2">
    <w:pPr>
      <w:pStyle w:val="Header"/>
      <w:rPr>
        <w:noProof/>
      </w:rPr>
    </w:pPr>
    <w:r>
      <w:rPr>
        <w:noProof/>
      </w:rPr>
      <w:t xml:space="preserve">TSAG </w:t>
    </w:r>
    <w:r w:rsidRPr="008F18B2">
      <w:t>–</w:t>
    </w:r>
    <w:r>
      <w:t xml:space="preserve"> </w:t>
    </w:r>
    <w:r>
      <w:rPr>
        <w:noProof/>
      </w:rPr>
      <w:t>R2</w:t>
    </w:r>
    <w:r w:rsidRPr="008F18B2">
      <w:t xml:space="preserve"> – 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C97A" w14:textId="77777777" w:rsidR="00B7623C" w:rsidRDefault="00B7623C" w:rsidP="00B7623C">
    <w:pPr>
      <w:pStyle w:val="Header"/>
      <w:rPr>
        <w:lang w:val="pt-BR"/>
      </w:rPr>
    </w:pPr>
    <w:r>
      <w:t xml:space="preserve">- </w:t>
    </w:r>
    <w:r>
      <w:fldChar w:fldCharType="begin"/>
    </w:r>
    <w:r>
      <w:instrText xml:space="preserve"> PAGE  \* MERGEFORMAT </w:instrText>
    </w:r>
    <w:r>
      <w:fldChar w:fldCharType="separate"/>
    </w:r>
    <w:r>
      <w:t>30</w:t>
    </w:r>
    <w:r>
      <w:rPr>
        <w:noProof/>
      </w:rPr>
      <w:fldChar w:fldCharType="end"/>
    </w:r>
    <w:r>
      <w:rPr>
        <w:lang w:val="pt-BR"/>
      </w:rPr>
      <w:t xml:space="preserve"> -</w:t>
    </w:r>
  </w:p>
  <w:p w14:paraId="24370601" w14:textId="6E8E0A4B" w:rsidR="00B7623C" w:rsidRDefault="00B7623C" w:rsidP="003A5699">
    <w:pPr>
      <w:pStyle w:val="Header"/>
    </w:pPr>
    <w:r>
      <w:rPr>
        <w:noProof/>
      </w:rPr>
      <w:fldChar w:fldCharType="begin"/>
    </w:r>
    <w:r>
      <w:rPr>
        <w:noProof/>
      </w:rPr>
      <w:instrText xml:space="preserve"> STYLEREF  Docnumber  \* MERGEFORMAT </w:instrText>
    </w:r>
    <w:r>
      <w:rPr>
        <w:noProof/>
      </w:rPr>
      <w:fldChar w:fldCharType="separate"/>
    </w:r>
    <w:r w:rsidR="005B66C3">
      <w:rPr>
        <w:noProof/>
      </w:rPr>
      <w:t>TSAG-R2-S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1"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811387"/>
    <w:multiLevelType w:val="hybridMultilevel"/>
    <w:tmpl w:val="4684B7F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2D3048A5"/>
    <w:multiLevelType w:val="hybridMultilevel"/>
    <w:tmpl w:val="6608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3553A7"/>
    <w:multiLevelType w:val="hybridMultilevel"/>
    <w:tmpl w:val="F650F5C8"/>
    <w:lvl w:ilvl="0" w:tplc="C0A2BA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A35C1"/>
    <w:multiLevelType w:val="hybridMultilevel"/>
    <w:tmpl w:val="B7106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35452"/>
    <w:multiLevelType w:val="hybridMultilevel"/>
    <w:tmpl w:val="27BCBC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9"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364021">
    <w:abstractNumId w:val="10"/>
  </w:num>
  <w:num w:numId="2" w16cid:durableId="1191719942">
    <w:abstractNumId w:val="17"/>
  </w:num>
  <w:num w:numId="3" w16cid:durableId="220486178">
    <w:abstractNumId w:val="12"/>
  </w:num>
  <w:num w:numId="4" w16cid:durableId="395738821">
    <w:abstractNumId w:val="30"/>
  </w:num>
  <w:num w:numId="5" w16cid:durableId="1308975715">
    <w:abstractNumId w:val="13"/>
  </w:num>
  <w:num w:numId="6" w16cid:durableId="1135879367">
    <w:abstractNumId w:val="18"/>
  </w:num>
  <w:num w:numId="7" w16cid:durableId="273053717">
    <w:abstractNumId w:val="28"/>
  </w:num>
  <w:num w:numId="8" w16cid:durableId="567350041">
    <w:abstractNumId w:val="22"/>
  </w:num>
  <w:num w:numId="9" w16cid:durableId="1384062526">
    <w:abstractNumId w:val="15"/>
  </w:num>
  <w:num w:numId="10" w16cid:durableId="1899589859">
    <w:abstractNumId w:val="9"/>
  </w:num>
  <w:num w:numId="11" w16cid:durableId="2009553914">
    <w:abstractNumId w:val="7"/>
  </w:num>
  <w:num w:numId="12" w16cid:durableId="1488670322">
    <w:abstractNumId w:val="6"/>
  </w:num>
  <w:num w:numId="13" w16cid:durableId="1057390565">
    <w:abstractNumId w:val="5"/>
  </w:num>
  <w:num w:numId="14" w16cid:durableId="1177231798">
    <w:abstractNumId w:val="4"/>
  </w:num>
  <w:num w:numId="15" w16cid:durableId="163791188">
    <w:abstractNumId w:val="8"/>
  </w:num>
  <w:num w:numId="16" w16cid:durableId="14159982">
    <w:abstractNumId w:val="3"/>
  </w:num>
  <w:num w:numId="17" w16cid:durableId="12810734">
    <w:abstractNumId w:val="2"/>
  </w:num>
  <w:num w:numId="18" w16cid:durableId="1824809780">
    <w:abstractNumId w:val="1"/>
  </w:num>
  <w:num w:numId="19" w16cid:durableId="469443573">
    <w:abstractNumId w:val="0"/>
  </w:num>
  <w:num w:numId="20" w16cid:durableId="607591893">
    <w:abstractNumId w:val="21"/>
  </w:num>
  <w:num w:numId="21" w16cid:durableId="787704255">
    <w:abstractNumId w:val="24"/>
  </w:num>
  <w:num w:numId="22" w16cid:durableId="398556436">
    <w:abstractNumId w:val="26"/>
  </w:num>
  <w:num w:numId="23" w16cid:durableId="1006370978">
    <w:abstractNumId w:val="25"/>
  </w:num>
  <w:num w:numId="24" w16cid:durableId="11802678">
    <w:abstractNumId w:val="23"/>
  </w:num>
  <w:num w:numId="25" w16cid:durableId="25108144">
    <w:abstractNumId w:val="20"/>
  </w:num>
  <w:num w:numId="26" w16cid:durableId="201485260">
    <w:abstractNumId w:val="11"/>
  </w:num>
  <w:num w:numId="27" w16cid:durableId="1029840111">
    <w:abstractNumId w:val="27"/>
  </w:num>
  <w:num w:numId="28" w16cid:durableId="795760989">
    <w:abstractNumId w:val="29"/>
  </w:num>
  <w:num w:numId="29" w16cid:durableId="332801864">
    <w:abstractNumId w:val="14"/>
  </w:num>
  <w:num w:numId="30" w16cid:durableId="697511188">
    <w:abstractNumId w:val="16"/>
  </w:num>
  <w:num w:numId="31" w16cid:durableId="6488151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64"/>
    <w:rsid w:val="0000238D"/>
    <w:rsid w:val="00005F33"/>
    <w:rsid w:val="00007E1F"/>
    <w:rsid w:val="0001280A"/>
    <w:rsid w:val="00017DDE"/>
    <w:rsid w:val="00025AB5"/>
    <w:rsid w:val="00025B41"/>
    <w:rsid w:val="00051DB1"/>
    <w:rsid w:val="00054E1A"/>
    <w:rsid w:val="00056F22"/>
    <w:rsid w:val="00066D2C"/>
    <w:rsid w:val="00067A3D"/>
    <w:rsid w:val="0009682A"/>
    <w:rsid w:val="000B295B"/>
    <w:rsid w:val="000B43AA"/>
    <w:rsid w:val="000C4B2F"/>
    <w:rsid w:val="000C4DE4"/>
    <w:rsid w:val="000C616A"/>
    <w:rsid w:val="000D200E"/>
    <w:rsid w:val="000D243F"/>
    <w:rsid w:val="000D752E"/>
    <w:rsid w:val="000F1203"/>
    <w:rsid w:val="000F2DE9"/>
    <w:rsid w:val="000F6F77"/>
    <w:rsid w:val="00100B93"/>
    <w:rsid w:val="00103412"/>
    <w:rsid w:val="0010798A"/>
    <w:rsid w:val="00110FD6"/>
    <w:rsid w:val="001221EE"/>
    <w:rsid w:val="00125EF2"/>
    <w:rsid w:val="00127D48"/>
    <w:rsid w:val="001462EF"/>
    <w:rsid w:val="00147575"/>
    <w:rsid w:val="001528D3"/>
    <w:rsid w:val="00156E5C"/>
    <w:rsid w:val="00177045"/>
    <w:rsid w:val="00184FA0"/>
    <w:rsid w:val="001A2010"/>
    <w:rsid w:val="001C1C6A"/>
    <w:rsid w:val="001D3DEA"/>
    <w:rsid w:val="001D66A2"/>
    <w:rsid w:val="001E7F76"/>
    <w:rsid w:val="001F7A44"/>
    <w:rsid w:val="002036B8"/>
    <w:rsid w:val="00206FFE"/>
    <w:rsid w:val="00225DF3"/>
    <w:rsid w:val="00241828"/>
    <w:rsid w:val="002448C7"/>
    <w:rsid w:val="0024536D"/>
    <w:rsid w:val="0025299B"/>
    <w:rsid w:val="00264674"/>
    <w:rsid w:val="00264753"/>
    <w:rsid w:val="002669AE"/>
    <w:rsid w:val="00274CE1"/>
    <w:rsid w:val="00296826"/>
    <w:rsid w:val="00296B18"/>
    <w:rsid w:val="002A45ED"/>
    <w:rsid w:val="002B311A"/>
    <w:rsid w:val="002B5AAC"/>
    <w:rsid w:val="002C1572"/>
    <w:rsid w:val="002C2847"/>
    <w:rsid w:val="002D397B"/>
    <w:rsid w:val="002D7D89"/>
    <w:rsid w:val="002E3508"/>
    <w:rsid w:val="002E42DE"/>
    <w:rsid w:val="00300C0E"/>
    <w:rsid w:val="0032406F"/>
    <w:rsid w:val="0033133F"/>
    <w:rsid w:val="00334FB5"/>
    <w:rsid w:val="003351B7"/>
    <w:rsid w:val="003413BC"/>
    <w:rsid w:val="00343DA0"/>
    <w:rsid w:val="00344E90"/>
    <w:rsid w:val="003467BB"/>
    <w:rsid w:val="00353E84"/>
    <w:rsid w:val="00363DA8"/>
    <w:rsid w:val="00373064"/>
    <w:rsid w:val="00382102"/>
    <w:rsid w:val="00382701"/>
    <w:rsid w:val="003865B1"/>
    <w:rsid w:val="00394C58"/>
    <w:rsid w:val="00396FC0"/>
    <w:rsid w:val="003A450A"/>
    <w:rsid w:val="003A5699"/>
    <w:rsid w:val="003B4BF8"/>
    <w:rsid w:val="003C35D3"/>
    <w:rsid w:val="003C7885"/>
    <w:rsid w:val="003D41B6"/>
    <w:rsid w:val="003D46B4"/>
    <w:rsid w:val="003F70A0"/>
    <w:rsid w:val="003F79BA"/>
    <w:rsid w:val="00404869"/>
    <w:rsid w:val="00412BFB"/>
    <w:rsid w:val="00416A53"/>
    <w:rsid w:val="00431AF6"/>
    <w:rsid w:val="00456827"/>
    <w:rsid w:val="00457613"/>
    <w:rsid w:val="004724A4"/>
    <w:rsid w:val="00475DFC"/>
    <w:rsid w:val="00475F02"/>
    <w:rsid w:val="00480AA2"/>
    <w:rsid w:val="0048211B"/>
    <w:rsid w:val="004839EF"/>
    <w:rsid w:val="004847EC"/>
    <w:rsid w:val="00495699"/>
    <w:rsid w:val="00495DCD"/>
    <w:rsid w:val="004A5E82"/>
    <w:rsid w:val="004B5468"/>
    <w:rsid w:val="004D0514"/>
    <w:rsid w:val="004D3FEE"/>
    <w:rsid w:val="004E2CD4"/>
    <w:rsid w:val="004F62FD"/>
    <w:rsid w:val="00500BC0"/>
    <w:rsid w:val="0050128C"/>
    <w:rsid w:val="0050180E"/>
    <w:rsid w:val="00502BFB"/>
    <w:rsid w:val="005144F8"/>
    <w:rsid w:val="0052153E"/>
    <w:rsid w:val="00524C18"/>
    <w:rsid w:val="005329F2"/>
    <w:rsid w:val="00533F8C"/>
    <w:rsid w:val="005578D8"/>
    <w:rsid w:val="00560A35"/>
    <w:rsid w:val="00561935"/>
    <w:rsid w:val="00564695"/>
    <w:rsid w:val="005720D9"/>
    <w:rsid w:val="00572899"/>
    <w:rsid w:val="00573F5B"/>
    <w:rsid w:val="00575ADA"/>
    <w:rsid w:val="00580F72"/>
    <w:rsid w:val="005832E2"/>
    <w:rsid w:val="0058555D"/>
    <w:rsid w:val="0058704F"/>
    <w:rsid w:val="00593519"/>
    <w:rsid w:val="00594B68"/>
    <w:rsid w:val="005A2BAD"/>
    <w:rsid w:val="005B66C3"/>
    <w:rsid w:val="005C168C"/>
    <w:rsid w:val="005C78DB"/>
    <w:rsid w:val="006011F5"/>
    <w:rsid w:val="006069A6"/>
    <w:rsid w:val="00621742"/>
    <w:rsid w:val="00622E54"/>
    <w:rsid w:val="00623DB2"/>
    <w:rsid w:val="0063364F"/>
    <w:rsid w:val="00651454"/>
    <w:rsid w:val="00663E07"/>
    <w:rsid w:val="006730C0"/>
    <w:rsid w:val="006766DD"/>
    <w:rsid w:val="00694561"/>
    <w:rsid w:val="00694A87"/>
    <w:rsid w:val="00697473"/>
    <w:rsid w:val="00697ACA"/>
    <w:rsid w:val="006A0BD8"/>
    <w:rsid w:val="006A4F56"/>
    <w:rsid w:val="006B0560"/>
    <w:rsid w:val="006B1BCD"/>
    <w:rsid w:val="006B302D"/>
    <w:rsid w:val="006B584F"/>
    <w:rsid w:val="006D2F4D"/>
    <w:rsid w:val="006F5CEA"/>
    <w:rsid w:val="006F6F91"/>
    <w:rsid w:val="006F75D7"/>
    <w:rsid w:val="00701044"/>
    <w:rsid w:val="0070734E"/>
    <w:rsid w:val="0071222A"/>
    <w:rsid w:val="0072124B"/>
    <w:rsid w:val="0072247D"/>
    <w:rsid w:val="00723015"/>
    <w:rsid w:val="0072463B"/>
    <w:rsid w:val="00766BC5"/>
    <w:rsid w:val="0076779A"/>
    <w:rsid w:val="00770476"/>
    <w:rsid w:val="007768F0"/>
    <w:rsid w:val="00777E8C"/>
    <w:rsid w:val="00783DF4"/>
    <w:rsid w:val="00786741"/>
    <w:rsid w:val="00786E8F"/>
    <w:rsid w:val="00792814"/>
    <w:rsid w:val="00794E76"/>
    <w:rsid w:val="0079586B"/>
    <w:rsid w:val="00797C6F"/>
    <w:rsid w:val="007A5034"/>
    <w:rsid w:val="007B0444"/>
    <w:rsid w:val="007B18E8"/>
    <w:rsid w:val="007B1BDF"/>
    <w:rsid w:val="007B201F"/>
    <w:rsid w:val="007B5645"/>
    <w:rsid w:val="007C7471"/>
    <w:rsid w:val="007D0E2B"/>
    <w:rsid w:val="007D7B3C"/>
    <w:rsid w:val="007F5C17"/>
    <w:rsid w:val="008032D1"/>
    <w:rsid w:val="00806DE2"/>
    <w:rsid w:val="00810799"/>
    <w:rsid w:val="00816AC5"/>
    <w:rsid w:val="00822F06"/>
    <w:rsid w:val="0082692D"/>
    <w:rsid w:val="008434BD"/>
    <w:rsid w:val="008436BD"/>
    <w:rsid w:val="0084405E"/>
    <w:rsid w:val="00851E92"/>
    <w:rsid w:val="0085259C"/>
    <w:rsid w:val="00857A7A"/>
    <w:rsid w:val="00860E75"/>
    <w:rsid w:val="00872C01"/>
    <w:rsid w:val="0088157B"/>
    <w:rsid w:val="0089441D"/>
    <w:rsid w:val="008B6BB8"/>
    <w:rsid w:val="008E76EB"/>
    <w:rsid w:val="008F18B2"/>
    <w:rsid w:val="008F4F1F"/>
    <w:rsid w:val="008F5155"/>
    <w:rsid w:val="008F61D4"/>
    <w:rsid w:val="00911DBE"/>
    <w:rsid w:val="009127D2"/>
    <w:rsid w:val="00915A3F"/>
    <w:rsid w:val="00920220"/>
    <w:rsid w:val="00924C7D"/>
    <w:rsid w:val="00925094"/>
    <w:rsid w:val="00960375"/>
    <w:rsid w:val="0096172D"/>
    <w:rsid w:val="00962C99"/>
    <w:rsid w:val="00964147"/>
    <w:rsid w:val="0096515D"/>
    <w:rsid w:val="0096597F"/>
    <w:rsid w:val="009817D4"/>
    <w:rsid w:val="00983703"/>
    <w:rsid w:val="00993C3E"/>
    <w:rsid w:val="00996888"/>
    <w:rsid w:val="00996BD7"/>
    <w:rsid w:val="00997CA8"/>
    <w:rsid w:val="009A1EAA"/>
    <w:rsid w:val="009A4568"/>
    <w:rsid w:val="009B6777"/>
    <w:rsid w:val="009D59FF"/>
    <w:rsid w:val="009F244C"/>
    <w:rsid w:val="00A164B9"/>
    <w:rsid w:val="00A22C4E"/>
    <w:rsid w:val="00A251C7"/>
    <w:rsid w:val="00A43156"/>
    <w:rsid w:val="00A50DB5"/>
    <w:rsid w:val="00A56229"/>
    <w:rsid w:val="00A575DB"/>
    <w:rsid w:val="00A66D60"/>
    <w:rsid w:val="00A66F35"/>
    <w:rsid w:val="00A67128"/>
    <w:rsid w:val="00A724A1"/>
    <w:rsid w:val="00A74C71"/>
    <w:rsid w:val="00A8501F"/>
    <w:rsid w:val="00A863E2"/>
    <w:rsid w:val="00A94C25"/>
    <w:rsid w:val="00A959B2"/>
    <w:rsid w:val="00AA4F8B"/>
    <w:rsid w:val="00AA6349"/>
    <w:rsid w:val="00AA712B"/>
    <w:rsid w:val="00AB0078"/>
    <w:rsid w:val="00AB3AFB"/>
    <w:rsid w:val="00AC1F0C"/>
    <w:rsid w:val="00AC4B45"/>
    <w:rsid w:val="00AD7939"/>
    <w:rsid w:val="00AE14D4"/>
    <w:rsid w:val="00AE49FF"/>
    <w:rsid w:val="00AF163F"/>
    <w:rsid w:val="00B045D6"/>
    <w:rsid w:val="00B06DA7"/>
    <w:rsid w:val="00B16402"/>
    <w:rsid w:val="00B168F4"/>
    <w:rsid w:val="00B27BF5"/>
    <w:rsid w:val="00B30FEC"/>
    <w:rsid w:val="00B3533E"/>
    <w:rsid w:val="00B370ED"/>
    <w:rsid w:val="00B463E4"/>
    <w:rsid w:val="00B52768"/>
    <w:rsid w:val="00B52779"/>
    <w:rsid w:val="00B64908"/>
    <w:rsid w:val="00B65B86"/>
    <w:rsid w:val="00B70562"/>
    <w:rsid w:val="00B71674"/>
    <w:rsid w:val="00B7623C"/>
    <w:rsid w:val="00B80CFE"/>
    <w:rsid w:val="00B84715"/>
    <w:rsid w:val="00B85ED9"/>
    <w:rsid w:val="00B86D14"/>
    <w:rsid w:val="00B97A12"/>
    <w:rsid w:val="00BB079B"/>
    <w:rsid w:val="00BB3A3C"/>
    <w:rsid w:val="00BD06DE"/>
    <w:rsid w:val="00BD2831"/>
    <w:rsid w:val="00BD36CA"/>
    <w:rsid w:val="00BE27EF"/>
    <w:rsid w:val="00BE59AA"/>
    <w:rsid w:val="00BF4637"/>
    <w:rsid w:val="00C213C6"/>
    <w:rsid w:val="00C42A49"/>
    <w:rsid w:val="00C4712B"/>
    <w:rsid w:val="00C51E5B"/>
    <w:rsid w:val="00C5223B"/>
    <w:rsid w:val="00C52E55"/>
    <w:rsid w:val="00C57C78"/>
    <w:rsid w:val="00C60296"/>
    <w:rsid w:val="00C60914"/>
    <w:rsid w:val="00C62699"/>
    <w:rsid w:val="00C62D2B"/>
    <w:rsid w:val="00C66E28"/>
    <w:rsid w:val="00C90C6E"/>
    <w:rsid w:val="00C91665"/>
    <w:rsid w:val="00CA1585"/>
    <w:rsid w:val="00CA3CE1"/>
    <w:rsid w:val="00CB2ECA"/>
    <w:rsid w:val="00CB6F73"/>
    <w:rsid w:val="00CE3710"/>
    <w:rsid w:val="00CE425B"/>
    <w:rsid w:val="00CE5588"/>
    <w:rsid w:val="00CF2117"/>
    <w:rsid w:val="00CF40AA"/>
    <w:rsid w:val="00CF4A61"/>
    <w:rsid w:val="00D012FE"/>
    <w:rsid w:val="00D024AA"/>
    <w:rsid w:val="00D14657"/>
    <w:rsid w:val="00D17831"/>
    <w:rsid w:val="00D214D6"/>
    <w:rsid w:val="00D27C49"/>
    <w:rsid w:val="00D31060"/>
    <w:rsid w:val="00D506BE"/>
    <w:rsid w:val="00D54D9B"/>
    <w:rsid w:val="00D56039"/>
    <w:rsid w:val="00D56F8B"/>
    <w:rsid w:val="00D57AE0"/>
    <w:rsid w:val="00D57EC1"/>
    <w:rsid w:val="00D71C54"/>
    <w:rsid w:val="00D7778A"/>
    <w:rsid w:val="00D91740"/>
    <w:rsid w:val="00D91FFC"/>
    <w:rsid w:val="00DA607A"/>
    <w:rsid w:val="00DB52E0"/>
    <w:rsid w:val="00DB6AE1"/>
    <w:rsid w:val="00DC2530"/>
    <w:rsid w:val="00DD4F73"/>
    <w:rsid w:val="00DE62A5"/>
    <w:rsid w:val="00DF66EC"/>
    <w:rsid w:val="00E27D72"/>
    <w:rsid w:val="00E72D31"/>
    <w:rsid w:val="00E739A8"/>
    <w:rsid w:val="00E77750"/>
    <w:rsid w:val="00E81592"/>
    <w:rsid w:val="00E96511"/>
    <w:rsid w:val="00EB6B94"/>
    <w:rsid w:val="00EE3833"/>
    <w:rsid w:val="00EF0C0F"/>
    <w:rsid w:val="00EF4942"/>
    <w:rsid w:val="00EF7C0E"/>
    <w:rsid w:val="00F1355B"/>
    <w:rsid w:val="00F14E42"/>
    <w:rsid w:val="00F20109"/>
    <w:rsid w:val="00F235E9"/>
    <w:rsid w:val="00F316D0"/>
    <w:rsid w:val="00F41298"/>
    <w:rsid w:val="00F47FAC"/>
    <w:rsid w:val="00F5438E"/>
    <w:rsid w:val="00F60C41"/>
    <w:rsid w:val="00F62B87"/>
    <w:rsid w:val="00FA4A26"/>
    <w:rsid w:val="00FD226F"/>
    <w:rsid w:val="00FE165F"/>
    <w:rsid w:val="00FE3617"/>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928F8DF"/>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Footnote Text Char Char1,Footnote Text Char4 Char Char,Footnote Text Char1 Char1 Char1 Char,Footnote Text Char Char1 Char1 Char Char"/>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373064"/>
    <w:pPr>
      <w:jc w:val="right"/>
    </w:pPr>
    <w:rPr>
      <w:b/>
      <w:sz w:val="28"/>
    </w:rPr>
  </w:style>
  <w:style w:type="character" w:styleId="Hyperlink">
    <w:name w:val="Hyperlink"/>
    <w:aliases w:val="超级链接,Style 58,超?级链,超????,하이퍼링크2,하이퍼링크21,CEO_Hyperlink,超链接1,超??级链Ú,fL????,fL?级,超??级链,超?级链Ú,’´?级链,’´????,’´??级链Ú,’´??级,超?级链?,Style?,S"/>
    <w:basedOn w:val="DefaultParagraphFont"/>
    <w:uiPriority w:val="99"/>
    <w:unhideWhenUsed/>
    <w:qFormat/>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uiPriority w:val="99"/>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uiPriority w:val="99"/>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Footnote Text Char Char1 Char,Footnote Text Char4 Char Char Char,Footnote Text Char1 Char1 Char1 Char Char"/>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uiPriority w:val="99"/>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uiPriority w:val="20"/>
    <w:qFormat/>
    <w:rsid w:val="004E2CD4"/>
    <w:rPr>
      <w:i/>
      <w:iCs/>
    </w:rPr>
  </w:style>
  <w:style w:type="paragraph" w:styleId="Subtitle">
    <w:name w:val="Subtitle"/>
    <w:basedOn w:val="Normal"/>
    <w:next w:val="Normal"/>
    <w:link w:val="SubtitleChar"/>
    <w:uiPriority w:val="11"/>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iPriority w:val="35"/>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iPriority w:val="99"/>
    <w:unhideWhenUsed/>
    <w:rsid w:val="004E2CD4"/>
    <w:rPr>
      <w:sz w:val="16"/>
      <w:szCs w:val="16"/>
    </w:rPr>
  </w:style>
  <w:style w:type="paragraph" w:styleId="CommentText">
    <w:name w:val="annotation text"/>
    <w:basedOn w:val="Normal"/>
    <w:link w:val="CommentTextChar"/>
    <w:uiPriority w:val="99"/>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uiPriority w:val="99"/>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uiPriority w:val="99"/>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uiPriority w:val="99"/>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uiPriority w:val="99"/>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uiPriority w:val="99"/>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uiPriority w:val="99"/>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uiPriority w:val="99"/>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uiPriority w:val="99"/>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uiPriority w:val="99"/>
    <w:rsid w:val="00B64908"/>
    <w:rPr>
      <w:rFonts w:ascii="Arial" w:hAnsi="Arial"/>
      <w:b/>
      <w:color w:val="000000"/>
      <w:sz w:val="22"/>
      <w:lang w:eastAsia="en-US"/>
    </w:rPr>
  </w:style>
  <w:style w:type="paragraph" w:styleId="ListBullet">
    <w:name w:val="List Bullet"/>
    <w:basedOn w:val="Normal"/>
    <w:autoRedefine/>
    <w:uiPriority w:val="99"/>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uiPriority w:val="99"/>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uiPriority w:val="99"/>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uiPriority w:val="99"/>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uiPriority w:val="99"/>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uiPriority w:val="99"/>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uiPriority w:val="99"/>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uiPriority w:val="99"/>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uiPriority w:val="99"/>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uiPriority w:val="99"/>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uiPriority w:val="99"/>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uiPriority w:val="99"/>
    <w:rsid w:val="00B64908"/>
    <w:pPr>
      <w:jc w:val="both"/>
    </w:pPr>
    <w:rPr>
      <w:sz w:val="22"/>
    </w:rPr>
  </w:style>
  <w:style w:type="character" w:customStyle="1" w:styleId="BodyText2Char">
    <w:name w:val="Body Text 2 Char"/>
    <w:basedOn w:val="DefaultParagraphFont"/>
    <w:link w:val="BodyText2"/>
    <w:uiPriority w:val="99"/>
    <w:rsid w:val="00B64908"/>
    <w:rPr>
      <w:rFonts w:ascii="Times New Roman" w:hAnsi="Times New Roman"/>
      <w:sz w:val="22"/>
      <w:lang w:val="en-GB" w:eastAsia="en-US"/>
    </w:rPr>
  </w:style>
  <w:style w:type="paragraph" w:styleId="Date">
    <w:name w:val="Date"/>
    <w:basedOn w:val="Normal"/>
    <w:next w:val="Normal"/>
    <w:link w:val="DateChar"/>
    <w:uiPriority w:val="99"/>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uiPriority w:val="99"/>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uiPriority w:val="99"/>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 w:type="numbering" w:customStyle="1" w:styleId="NoList9">
    <w:name w:val="No List9"/>
    <w:next w:val="NoList"/>
    <w:uiPriority w:val="99"/>
    <w:semiHidden/>
    <w:unhideWhenUsed/>
    <w:rsid w:val="00BE59AA"/>
  </w:style>
  <w:style w:type="paragraph" w:customStyle="1" w:styleId="Infodoc">
    <w:name w:val="Infodoc"/>
    <w:basedOn w:val="Normal"/>
    <w:uiPriority w:val="99"/>
    <w:rsid w:val="00BE59AA"/>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styleId="BodyTextIndent">
    <w:name w:val="Body Text Indent"/>
    <w:basedOn w:val="Normal"/>
    <w:link w:val="BodyTextIndentChar"/>
    <w:uiPriority w:val="99"/>
    <w:rsid w:val="00BE59AA"/>
    <w:pPr>
      <w:tabs>
        <w:tab w:val="clear" w:pos="794"/>
        <w:tab w:val="clear" w:pos="1191"/>
        <w:tab w:val="clear" w:pos="1588"/>
        <w:tab w:val="clear" w:pos="1985"/>
      </w:tabs>
      <w:overflowPunct/>
      <w:autoSpaceDE/>
      <w:autoSpaceDN/>
      <w:adjustRightInd/>
      <w:ind w:left="807" w:hanging="807"/>
      <w:textAlignment w:val="auto"/>
    </w:pPr>
    <w:rPr>
      <w:rFonts w:eastAsiaTheme="minorHAnsi"/>
      <w:b/>
      <w:szCs w:val="24"/>
      <w:lang w:eastAsia="ja-JP"/>
    </w:rPr>
  </w:style>
  <w:style w:type="character" w:customStyle="1" w:styleId="BodyTextIndentChar">
    <w:name w:val="Body Text Indent Char"/>
    <w:basedOn w:val="DefaultParagraphFont"/>
    <w:link w:val="BodyTextIndent"/>
    <w:uiPriority w:val="99"/>
    <w:rsid w:val="00BE59AA"/>
    <w:rPr>
      <w:rFonts w:ascii="Times New Roman" w:eastAsiaTheme="minorHAnsi" w:hAnsi="Times New Roman"/>
      <w:b/>
      <w:sz w:val="24"/>
      <w:szCs w:val="24"/>
      <w:lang w:val="en-GB" w:eastAsia="ja-JP"/>
    </w:rPr>
  </w:style>
  <w:style w:type="paragraph" w:customStyle="1" w:styleId="AnnexTitle0">
    <w:name w:val="Annex_Title"/>
    <w:basedOn w:val="Normal"/>
    <w:next w:val="Normal"/>
    <w:uiPriority w:val="99"/>
    <w:rsid w:val="00BE59AA"/>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rsid w:val="00BE59AA"/>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table" w:customStyle="1" w:styleId="TableGrid8">
    <w:name w:val="Table Grid8"/>
    <w:basedOn w:val="TableNormal"/>
    <w:next w:val="TableGrid"/>
    <w:uiPriority w:val="59"/>
    <w:rsid w:val="00BE59A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BE59AA"/>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character" w:customStyle="1" w:styleId="BodyText3Char">
    <w:name w:val="Body Text 3 Char"/>
    <w:basedOn w:val="DefaultParagraphFont"/>
    <w:link w:val="BodyText3"/>
    <w:uiPriority w:val="99"/>
    <w:rsid w:val="00BE59AA"/>
    <w:rPr>
      <w:rFonts w:ascii="Times New Roman" w:eastAsiaTheme="minorHAnsi" w:hAnsi="Times New Roman"/>
      <w:sz w:val="16"/>
      <w:szCs w:val="16"/>
      <w:lang w:val="en-GB" w:eastAsia="ja-JP"/>
    </w:rPr>
  </w:style>
  <w:style w:type="paragraph" w:customStyle="1" w:styleId="blanc">
    <w:name w:val="blanc"/>
    <w:basedOn w:val="Normal"/>
    <w:uiPriority w:val="99"/>
    <w:rsid w:val="00BE59AA"/>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rsid w:val="00BE59AA"/>
    <w:pPr>
      <w:numPr>
        <w:numId w:val="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headingb1">
    <w:name w:val="headingb"/>
    <w:basedOn w:val="Normal"/>
    <w:uiPriority w:val="99"/>
    <w:rsid w:val="00BE59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pmbodytext">
    <w:name w:val="hpmbodytext"/>
    <w:basedOn w:val="Normal"/>
    <w:uiPriority w:val="99"/>
    <w:rsid w:val="00BE59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character" w:customStyle="1" w:styleId="hps">
    <w:name w:val="hps"/>
    <w:basedOn w:val="DefaultParagraphFont"/>
    <w:rsid w:val="00BE59AA"/>
  </w:style>
  <w:style w:type="paragraph" w:customStyle="1" w:styleId="ByContin1">
    <w:name w:val="By  Contin 1"/>
    <w:basedOn w:val="Normal"/>
    <w:uiPriority w:val="99"/>
    <w:rsid w:val="00BE59AA"/>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rsid w:val="00BE59AA"/>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rsid w:val="00BE59AA"/>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styleId="HTMLPreformatted">
    <w:name w:val="HTML Preformatted"/>
    <w:basedOn w:val="Normal"/>
    <w:link w:val="HTMLPreformattedChar"/>
    <w:uiPriority w:val="99"/>
    <w:unhideWhenUsed/>
    <w:rsid w:val="00BE59A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BE59AA"/>
    <w:rPr>
      <w:rFonts w:ascii="Courier New" w:eastAsiaTheme="minorHAnsi" w:hAnsi="Courier New" w:cs="Courier New"/>
      <w:szCs w:val="24"/>
      <w:lang w:val="fr-FR"/>
    </w:rPr>
  </w:style>
  <w:style w:type="character" w:customStyle="1" w:styleId="CallChar">
    <w:name w:val="Call Char"/>
    <w:link w:val="Call"/>
    <w:uiPriority w:val="99"/>
    <w:locked/>
    <w:rsid w:val="00BE59AA"/>
    <w:rPr>
      <w:rFonts w:ascii="Times New Roman" w:hAnsi="Times New Roman"/>
      <w:i/>
      <w:sz w:val="24"/>
      <w:lang w:val="en-GB" w:eastAsia="en-US"/>
    </w:rPr>
  </w:style>
  <w:style w:type="paragraph" w:customStyle="1" w:styleId="Fixed">
    <w:name w:val="Fixed"/>
    <w:rsid w:val="00BE59AA"/>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BE59AA"/>
    <w:pPr>
      <w:ind w:firstLine="720"/>
    </w:pPr>
    <w:rPr>
      <w:rFonts w:ascii="Arial" w:eastAsiaTheme="minorEastAsia" w:hAnsi="Arial" w:cs="Arial"/>
      <w:lang w:eastAsia="zh-CN"/>
    </w:rPr>
  </w:style>
  <w:style w:type="paragraph" w:customStyle="1" w:styleId="ByLine1">
    <w:name w:val="By Line 1"/>
    <w:basedOn w:val="Normal"/>
    <w:next w:val="ByContin1"/>
    <w:uiPriority w:val="99"/>
    <w:rsid w:val="00BE59AA"/>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BE59AA"/>
    <w:pPr>
      <w:spacing w:line="285" w:lineRule="atLeast"/>
      <w:ind w:left="1440" w:right="-45" w:firstLine="720"/>
    </w:pPr>
    <w:rPr>
      <w:rFonts w:eastAsiaTheme="minorEastAsia"/>
    </w:rPr>
  </w:style>
  <w:style w:type="paragraph" w:customStyle="1" w:styleId="ContinCol">
    <w:name w:val="Contin Col"/>
    <w:basedOn w:val="Fixed"/>
    <w:next w:val="Fixed"/>
    <w:uiPriority w:val="99"/>
    <w:rsid w:val="00BE59AA"/>
    <w:pPr>
      <w:spacing w:line="285" w:lineRule="atLeast"/>
      <w:ind w:left="1440" w:right="-45" w:firstLine="720"/>
    </w:pPr>
    <w:rPr>
      <w:rFonts w:eastAsiaTheme="minorEastAsia"/>
    </w:rPr>
  </w:style>
  <w:style w:type="character" w:customStyle="1" w:styleId="NormalWebChar">
    <w:name w:val="Normal (Web) Char"/>
    <w:basedOn w:val="DefaultParagraphFont"/>
    <w:link w:val="NormalWeb"/>
    <w:uiPriority w:val="99"/>
    <w:locked/>
    <w:rsid w:val="00BE59AA"/>
    <w:rPr>
      <w:rFonts w:ascii="Times New Roman" w:eastAsiaTheme="minorEastAsia" w:hAnsi="Times New Roman"/>
      <w:sz w:val="24"/>
      <w:szCs w:val="24"/>
    </w:rPr>
  </w:style>
  <w:style w:type="paragraph" w:customStyle="1" w:styleId="Normal1">
    <w:name w:val="Normal 1"/>
    <w:basedOn w:val="Fixed"/>
    <w:next w:val="Fixed"/>
    <w:uiPriority w:val="99"/>
    <w:rsid w:val="00BE59AA"/>
    <w:pPr>
      <w:ind w:firstLine="720"/>
    </w:pPr>
    <w:rPr>
      <w:rFonts w:ascii="Arial" w:eastAsiaTheme="minorEastAsia" w:hAnsi="Arial" w:cs="Arial"/>
      <w:lang w:eastAsia="zh-CN"/>
    </w:rPr>
  </w:style>
  <w:style w:type="paragraph" w:customStyle="1" w:styleId="Centered">
    <w:name w:val="Centered"/>
    <w:basedOn w:val="Fixed"/>
    <w:next w:val="Fixed"/>
    <w:uiPriority w:val="99"/>
    <w:rsid w:val="00BE59AA"/>
    <w:pPr>
      <w:spacing w:line="285" w:lineRule="atLeast"/>
      <w:ind w:right="2116"/>
      <w:jc w:val="center"/>
    </w:pPr>
    <w:rPr>
      <w:rFonts w:eastAsiaTheme="minorEastAsia"/>
    </w:rPr>
  </w:style>
  <w:style w:type="character" w:customStyle="1" w:styleId="translation-chunk">
    <w:name w:val="translation-chunk"/>
    <w:basedOn w:val="DefaultParagraphFont"/>
    <w:rsid w:val="00BE59AA"/>
  </w:style>
  <w:style w:type="numbering" w:customStyle="1" w:styleId="WWNum11">
    <w:name w:val="WWNum11"/>
    <w:rsid w:val="00BE59AA"/>
    <w:pPr>
      <w:numPr>
        <w:numId w:val="7"/>
      </w:numPr>
    </w:pPr>
  </w:style>
  <w:style w:type="paragraph" w:customStyle="1" w:styleId="itunewslink">
    <w:name w:val="itunews_link"/>
    <w:basedOn w:val="Normal"/>
    <w:rsid w:val="00BE59A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BE59AA"/>
    <w:pPr>
      <w:ind w:firstLine="432"/>
    </w:pPr>
  </w:style>
  <w:style w:type="paragraph" w:customStyle="1" w:styleId="10">
    <w:name w:val="列表段落1"/>
    <w:basedOn w:val="Normal"/>
    <w:uiPriority w:val="34"/>
    <w:rsid w:val="00BE59AA"/>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rsid w:val="00BE59AA"/>
    <w:rPr>
      <w:color w:val="605E5C"/>
      <w:shd w:val="clear" w:color="auto" w:fill="E1DFDD"/>
    </w:rPr>
  </w:style>
  <w:style w:type="paragraph" w:styleId="HTMLAddress">
    <w:name w:val="HTML Address"/>
    <w:basedOn w:val="Normal"/>
    <w:link w:val="HTMLAddressChar"/>
    <w:uiPriority w:val="99"/>
    <w:semiHidden/>
    <w:unhideWhenUsed/>
    <w:rsid w:val="00BE59AA"/>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character" w:customStyle="1" w:styleId="HTMLAddressChar">
    <w:name w:val="HTML Address Char"/>
    <w:basedOn w:val="DefaultParagraphFont"/>
    <w:link w:val="HTMLAddress"/>
    <w:uiPriority w:val="99"/>
    <w:semiHidden/>
    <w:rsid w:val="00BE59AA"/>
    <w:rPr>
      <w:rFonts w:ascii="Times New Roman" w:eastAsiaTheme="minorHAnsi" w:hAnsi="Times New Roman"/>
      <w:i/>
      <w:iCs/>
      <w:sz w:val="24"/>
      <w:szCs w:val="24"/>
      <w:lang w:val="en-GB" w:eastAsia="ja-JP"/>
    </w:rPr>
  </w:style>
  <w:style w:type="paragraph" w:styleId="Bibliography">
    <w:name w:val="Bibliography"/>
    <w:basedOn w:val="Normal"/>
    <w:next w:val="Normal"/>
    <w:uiPriority w:val="37"/>
    <w:semiHidden/>
    <w:unhideWhenUsed/>
    <w:rsid w:val="00BE59AA"/>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lockText">
    <w:name w:val="Block Text"/>
    <w:basedOn w:val="Normal"/>
    <w:uiPriority w:val="99"/>
    <w:semiHidden/>
    <w:unhideWhenUsed/>
    <w:rsid w:val="00BE59AA"/>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FirstIndent">
    <w:name w:val="Body Text First Indent"/>
    <w:basedOn w:val="BodyText"/>
    <w:link w:val="BodyTextFirstIndentChar"/>
    <w:uiPriority w:val="99"/>
    <w:unhideWhenUsed/>
    <w:rsid w:val="00BE59AA"/>
    <w:pPr>
      <w:keepNext w:val="0"/>
      <w:numPr>
        <w:ilvl w:val="0"/>
      </w:numPr>
      <w:spacing w:before="120"/>
      <w:ind w:firstLine="360"/>
    </w:pPr>
    <w:rPr>
      <w:rFonts w:ascii="Times New Roman" w:eastAsiaTheme="minorHAnsi" w:hAnsi="Times New Roman"/>
      <w:b w:val="0"/>
      <w:color w:val="auto"/>
      <w:sz w:val="24"/>
      <w:szCs w:val="24"/>
      <w:lang w:val="en-GB" w:eastAsia="ja-JP"/>
    </w:rPr>
  </w:style>
  <w:style w:type="character" w:customStyle="1" w:styleId="BodyTextFirstIndentChar">
    <w:name w:val="Body Text First Indent Char"/>
    <w:basedOn w:val="BodyTextChar"/>
    <w:link w:val="BodyTextFirstIndent"/>
    <w:uiPriority w:val="99"/>
    <w:rsid w:val="00BE59AA"/>
    <w:rPr>
      <w:rFonts w:ascii="Times New Roman" w:eastAsiaTheme="minorHAnsi" w:hAnsi="Times New Roman"/>
      <w:b w:val="0"/>
      <w:color w:val="000000"/>
      <w:sz w:val="24"/>
      <w:szCs w:val="24"/>
      <w:lang w:val="en-GB" w:eastAsia="ja-JP"/>
    </w:rPr>
  </w:style>
  <w:style w:type="paragraph" w:styleId="BodyTextFirstIndent2">
    <w:name w:val="Body Text First Indent 2"/>
    <w:basedOn w:val="BodyTextIndent"/>
    <w:link w:val="BodyTextFirstIndent2Char"/>
    <w:uiPriority w:val="99"/>
    <w:semiHidden/>
    <w:unhideWhenUsed/>
    <w:rsid w:val="00BE59AA"/>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E59AA"/>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BE59AA"/>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
    <w:name w:val="Body Text Indent 2 Char"/>
    <w:basedOn w:val="DefaultParagraphFont"/>
    <w:link w:val="BodyTextIndent2"/>
    <w:uiPriority w:val="99"/>
    <w:semiHidden/>
    <w:rsid w:val="00BE59AA"/>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BE59AA"/>
    <w:pPr>
      <w:tabs>
        <w:tab w:val="clear" w:pos="794"/>
        <w:tab w:val="clear" w:pos="1191"/>
        <w:tab w:val="clear" w:pos="1588"/>
        <w:tab w:val="clear" w:pos="1985"/>
      </w:tabs>
      <w:overflowPunct/>
      <w:autoSpaceDE/>
      <w:autoSpaceDN/>
      <w:adjustRightInd/>
      <w:spacing w:after="120"/>
      <w:ind w:left="360"/>
      <w:textAlignment w:val="auto"/>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BE59AA"/>
    <w:rPr>
      <w:rFonts w:ascii="Times New Roman" w:eastAsiaTheme="minorHAnsi" w:hAnsi="Times New Roman"/>
      <w:sz w:val="16"/>
      <w:szCs w:val="16"/>
      <w:lang w:val="en-GB" w:eastAsia="ja-JP"/>
    </w:rPr>
  </w:style>
  <w:style w:type="character" w:styleId="BookTitle">
    <w:name w:val="Book Title"/>
    <w:basedOn w:val="DefaultParagraphFont"/>
    <w:uiPriority w:val="33"/>
    <w:rsid w:val="00BE59AA"/>
    <w:rPr>
      <w:b/>
      <w:bCs/>
      <w:i/>
      <w:iCs/>
      <w:spacing w:val="5"/>
    </w:rPr>
  </w:style>
  <w:style w:type="paragraph" w:styleId="Closing">
    <w:name w:val="Closing"/>
    <w:basedOn w:val="Normal"/>
    <w:link w:val="ClosingChar"/>
    <w:uiPriority w:val="99"/>
    <w:semiHidden/>
    <w:unhideWhenUsed/>
    <w:rsid w:val="00BE59AA"/>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character" w:customStyle="1" w:styleId="ClosingChar">
    <w:name w:val="Closing Char"/>
    <w:basedOn w:val="DefaultParagraphFont"/>
    <w:link w:val="Closing"/>
    <w:uiPriority w:val="99"/>
    <w:semiHidden/>
    <w:rsid w:val="00BE59AA"/>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BE59AA"/>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character" w:customStyle="1" w:styleId="E-mailSignatureChar">
    <w:name w:val="E-mail Signature Char"/>
    <w:basedOn w:val="DefaultParagraphFont"/>
    <w:link w:val="E-mailSignature"/>
    <w:uiPriority w:val="99"/>
    <w:semiHidden/>
    <w:rsid w:val="00BE59AA"/>
    <w:rPr>
      <w:rFonts w:ascii="Times New Roman" w:eastAsiaTheme="minorHAnsi" w:hAnsi="Times New Roman"/>
      <w:sz w:val="24"/>
      <w:szCs w:val="24"/>
      <w:lang w:val="en-GB" w:eastAsia="ja-JP"/>
    </w:rPr>
  </w:style>
  <w:style w:type="paragraph" w:styleId="EndnoteText">
    <w:name w:val="endnote text"/>
    <w:basedOn w:val="Normal"/>
    <w:link w:val="EndnoteTextChar"/>
    <w:uiPriority w:val="99"/>
    <w:semiHidden/>
    <w:unhideWhenUsed/>
    <w:rsid w:val="00BE59AA"/>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character" w:customStyle="1" w:styleId="EndnoteTextChar">
    <w:name w:val="Endnote Text Char"/>
    <w:basedOn w:val="DefaultParagraphFont"/>
    <w:link w:val="EndnoteText"/>
    <w:uiPriority w:val="99"/>
    <w:semiHidden/>
    <w:rsid w:val="00BE59AA"/>
    <w:rPr>
      <w:rFonts w:ascii="Times New Roman" w:eastAsiaTheme="minorHAnsi" w:hAnsi="Times New Roman"/>
      <w:lang w:val="en-GB" w:eastAsia="ja-JP"/>
    </w:rPr>
  </w:style>
  <w:style w:type="paragraph" w:styleId="EnvelopeAddress">
    <w:name w:val="envelope address"/>
    <w:basedOn w:val="Normal"/>
    <w:uiPriority w:val="99"/>
    <w:semiHidden/>
    <w:unhideWhenUsed/>
    <w:rsid w:val="00BE59AA"/>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BE59AA"/>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BE59AA"/>
    <w:rPr>
      <w:color w:val="2B579A"/>
      <w:shd w:val="clear" w:color="auto" w:fill="E1DFDD"/>
    </w:rPr>
  </w:style>
  <w:style w:type="character" w:styleId="HTMLAcronym">
    <w:name w:val="HTML Acronym"/>
    <w:basedOn w:val="DefaultParagraphFont"/>
    <w:uiPriority w:val="99"/>
    <w:semiHidden/>
    <w:unhideWhenUsed/>
    <w:rsid w:val="00BE59AA"/>
  </w:style>
  <w:style w:type="character" w:styleId="HTMLCite">
    <w:name w:val="HTML Cite"/>
    <w:basedOn w:val="DefaultParagraphFont"/>
    <w:uiPriority w:val="99"/>
    <w:semiHidden/>
    <w:unhideWhenUsed/>
    <w:rsid w:val="00BE59AA"/>
    <w:rPr>
      <w:i/>
      <w:iCs/>
    </w:rPr>
  </w:style>
  <w:style w:type="character" w:styleId="HTMLCode">
    <w:name w:val="HTML Code"/>
    <w:basedOn w:val="DefaultParagraphFont"/>
    <w:uiPriority w:val="99"/>
    <w:semiHidden/>
    <w:unhideWhenUsed/>
    <w:rsid w:val="00BE59AA"/>
    <w:rPr>
      <w:rFonts w:ascii="Consolas" w:hAnsi="Consolas"/>
      <w:sz w:val="20"/>
      <w:szCs w:val="20"/>
    </w:rPr>
  </w:style>
  <w:style w:type="character" w:styleId="HTMLDefinition">
    <w:name w:val="HTML Definition"/>
    <w:basedOn w:val="DefaultParagraphFont"/>
    <w:uiPriority w:val="99"/>
    <w:semiHidden/>
    <w:unhideWhenUsed/>
    <w:rsid w:val="00BE59AA"/>
    <w:rPr>
      <w:i/>
      <w:iCs/>
    </w:rPr>
  </w:style>
  <w:style w:type="character" w:styleId="HTMLKeyboard">
    <w:name w:val="HTML Keyboard"/>
    <w:basedOn w:val="DefaultParagraphFont"/>
    <w:uiPriority w:val="99"/>
    <w:semiHidden/>
    <w:unhideWhenUsed/>
    <w:rsid w:val="00BE59AA"/>
    <w:rPr>
      <w:rFonts w:ascii="Consolas" w:hAnsi="Consolas"/>
      <w:sz w:val="20"/>
      <w:szCs w:val="20"/>
    </w:rPr>
  </w:style>
  <w:style w:type="character" w:styleId="HTMLSample">
    <w:name w:val="HTML Sample"/>
    <w:basedOn w:val="DefaultParagraphFont"/>
    <w:uiPriority w:val="99"/>
    <w:semiHidden/>
    <w:unhideWhenUsed/>
    <w:rsid w:val="00BE59AA"/>
    <w:rPr>
      <w:rFonts w:ascii="Consolas" w:hAnsi="Consolas"/>
      <w:sz w:val="24"/>
      <w:szCs w:val="24"/>
    </w:rPr>
  </w:style>
  <w:style w:type="character" w:styleId="HTMLTypewriter">
    <w:name w:val="HTML Typewriter"/>
    <w:basedOn w:val="DefaultParagraphFont"/>
    <w:uiPriority w:val="99"/>
    <w:semiHidden/>
    <w:unhideWhenUsed/>
    <w:rsid w:val="00BE59AA"/>
    <w:rPr>
      <w:rFonts w:ascii="Consolas" w:hAnsi="Consolas"/>
      <w:sz w:val="20"/>
      <w:szCs w:val="20"/>
    </w:rPr>
  </w:style>
  <w:style w:type="character" w:styleId="HTMLVariable">
    <w:name w:val="HTML Variable"/>
    <w:basedOn w:val="DefaultParagraphFont"/>
    <w:uiPriority w:val="99"/>
    <w:semiHidden/>
    <w:unhideWhenUsed/>
    <w:rsid w:val="00BE59AA"/>
    <w:rPr>
      <w:i/>
      <w:iCs/>
    </w:rPr>
  </w:style>
  <w:style w:type="paragraph" w:styleId="Index4">
    <w:name w:val="index 4"/>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960" w:hanging="240"/>
      <w:textAlignment w:val="auto"/>
    </w:pPr>
    <w:rPr>
      <w:rFonts w:eastAsiaTheme="minorHAnsi"/>
      <w:szCs w:val="24"/>
      <w:lang w:eastAsia="ja-JP"/>
    </w:rPr>
  </w:style>
  <w:style w:type="paragraph" w:styleId="Index5">
    <w:name w:val="index 5"/>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1200" w:hanging="240"/>
      <w:textAlignment w:val="auto"/>
    </w:pPr>
    <w:rPr>
      <w:rFonts w:eastAsiaTheme="minorHAnsi"/>
      <w:szCs w:val="24"/>
      <w:lang w:eastAsia="ja-JP"/>
    </w:rPr>
  </w:style>
  <w:style w:type="paragraph" w:styleId="Index6">
    <w:name w:val="index 6"/>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1440" w:hanging="240"/>
      <w:textAlignment w:val="auto"/>
    </w:pPr>
    <w:rPr>
      <w:rFonts w:eastAsiaTheme="minorHAnsi"/>
      <w:szCs w:val="24"/>
      <w:lang w:eastAsia="ja-JP"/>
    </w:rPr>
  </w:style>
  <w:style w:type="paragraph" w:styleId="Index7">
    <w:name w:val="index 7"/>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1680" w:hanging="240"/>
      <w:textAlignment w:val="auto"/>
    </w:pPr>
    <w:rPr>
      <w:rFonts w:eastAsiaTheme="minorHAnsi"/>
      <w:szCs w:val="24"/>
      <w:lang w:eastAsia="ja-JP"/>
    </w:rPr>
  </w:style>
  <w:style w:type="paragraph" w:styleId="Index8">
    <w:name w:val="index 8"/>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Index9">
    <w:name w:val="index 9"/>
    <w:basedOn w:val="Normal"/>
    <w:next w:val="Normal"/>
    <w:autoRedefine/>
    <w:uiPriority w:val="99"/>
    <w:semiHidden/>
    <w:unhideWhenUsed/>
    <w:rsid w:val="00BE59AA"/>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IndexHeading">
    <w:name w:val="index heading"/>
    <w:basedOn w:val="Normal"/>
    <w:next w:val="Index1"/>
    <w:uiPriority w:val="99"/>
    <w:semiHidden/>
    <w:unhideWhenUsed/>
    <w:rsid w:val="00BE59AA"/>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BE59AA"/>
    <w:rPr>
      <w:i/>
      <w:iCs/>
      <w:color w:val="4F81BD" w:themeColor="accent1"/>
    </w:rPr>
  </w:style>
  <w:style w:type="paragraph" w:styleId="IntenseQuote">
    <w:name w:val="Intense Quote"/>
    <w:basedOn w:val="Normal"/>
    <w:next w:val="Normal"/>
    <w:link w:val="IntenseQuoteChar"/>
    <w:uiPriority w:val="30"/>
    <w:rsid w:val="00BE59A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BE59AA"/>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BE59AA"/>
    <w:rPr>
      <w:b/>
      <w:bCs/>
      <w:smallCaps/>
      <w:color w:val="4F81BD" w:themeColor="accent1"/>
      <w:spacing w:val="5"/>
    </w:rPr>
  </w:style>
  <w:style w:type="character" w:styleId="LineNumber">
    <w:name w:val="line number"/>
    <w:basedOn w:val="DefaultParagraphFont"/>
    <w:uiPriority w:val="99"/>
    <w:semiHidden/>
    <w:unhideWhenUsed/>
    <w:rsid w:val="00BE59AA"/>
  </w:style>
  <w:style w:type="paragraph" w:styleId="List2">
    <w:name w:val="List 2"/>
    <w:basedOn w:val="Normal"/>
    <w:uiPriority w:val="99"/>
    <w:semiHidden/>
    <w:unhideWhenUsed/>
    <w:rsid w:val="00BE59AA"/>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3">
    <w:name w:val="List 3"/>
    <w:basedOn w:val="Normal"/>
    <w:uiPriority w:val="99"/>
    <w:semiHidden/>
    <w:unhideWhenUsed/>
    <w:rsid w:val="00BE59AA"/>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List4">
    <w:name w:val="List 4"/>
    <w:basedOn w:val="Normal"/>
    <w:uiPriority w:val="99"/>
    <w:unhideWhenUsed/>
    <w:rsid w:val="00BE59AA"/>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5">
    <w:name w:val="List 5"/>
    <w:basedOn w:val="Normal"/>
    <w:uiPriority w:val="99"/>
    <w:unhideWhenUsed/>
    <w:rsid w:val="00BE59AA"/>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rsid w:val="00BE59AA"/>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ListContinue2">
    <w:name w:val="List Continue 2"/>
    <w:basedOn w:val="Normal"/>
    <w:uiPriority w:val="99"/>
    <w:semiHidden/>
    <w:unhideWhenUsed/>
    <w:rsid w:val="00BE59AA"/>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ListContinue3">
    <w:name w:val="List Continue 3"/>
    <w:basedOn w:val="Normal"/>
    <w:uiPriority w:val="99"/>
    <w:semiHidden/>
    <w:unhideWhenUsed/>
    <w:rsid w:val="00BE59AA"/>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ListContinue4">
    <w:name w:val="List Continue 4"/>
    <w:basedOn w:val="Normal"/>
    <w:uiPriority w:val="99"/>
    <w:semiHidden/>
    <w:unhideWhenUsed/>
    <w:rsid w:val="00BE59AA"/>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ListContinue5">
    <w:name w:val="List Continue 5"/>
    <w:basedOn w:val="Normal"/>
    <w:uiPriority w:val="99"/>
    <w:semiHidden/>
    <w:unhideWhenUsed/>
    <w:rsid w:val="00BE59AA"/>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MacroText">
    <w:name w:val="macro"/>
    <w:link w:val="MacroTextChar"/>
    <w:uiPriority w:val="99"/>
    <w:semiHidden/>
    <w:unhideWhenUsed/>
    <w:rsid w:val="00BE59AA"/>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BE59AA"/>
    <w:rPr>
      <w:rFonts w:ascii="Consolas" w:eastAsiaTheme="minorHAnsi" w:hAnsi="Consolas"/>
      <w:lang w:val="en-GB" w:eastAsia="ja-JP"/>
    </w:rPr>
  </w:style>
  <w:style w:type="character" w:customStyle="1" w:styleId="Mention1">
    <w:name w:val="Mention1"/>
    <w:basedOn w:val="DefaultParagraphFont"/>
    <w:uiPriority w:val="99"/>
    <w:unhideWhenUsed/>
    <w:rsid w:val="00BE59AA"/>
    <w:rPr>
      <w:color w:val="2B579A"/>
      <w:shd w:val="clear" w:color="auto" w:fill="E1DFDD"/>
    </w:rPr>
  </w:style>
  <w:style w:type="paragraph" w:styleId="MessageHeader">
    <w:name w:val="Message Header"/>
    <w:basedOn w:val="Normal"/>
    <w:link w:val="MessageHeaderChar"/>
    <w:uiPriority w:val="99"/>
    <w:semiHidden/>
    <w:unhideWhenUsed/>
    <w:rsid w:val="00BE59A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BE59AA"/>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E59AA"/>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BE59AA"/>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character" w:customStyle="1" w:styleId="NoteHeadingChar">
    <w:name w:val="Note Heading Char"/>
    <w:basedOn w:val="DefaultParagraphFont"/>
    <w:link w:val="NoteHeading"/>
    <w:uiPriority w:val="99"/>
    <w:semiHidden/>
    <w:rsid w:val="00BE59AA"/>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BE59AA"/>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SalutationChar">
    <w:name w:val="Salutation Char"/>
    <w:basedOn w:val="DefaultParagraphFont"/>
    <w:link w:val="Salutation"/>
    <w:uiPriority w:val="99"/>
    <w:rsid w:val="00BE59AA"/>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BE59AA"/>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character" w:customStyle="1" w:styleId="SignatureChar">
    <w:name w:val="Signature Char"/>
    <w:basedOn w:val="DefaultParagraphFont"/>
    <w:link w:val="Signature"/>
    <w:uiPriority w:val="99"/>
    <w:semiHidden/>
    <w:rsid w:val="00BE59AA"/>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BE59AA"/>
    <w:rPr>
      <w:u w:val="dotted"/>
    </w:rPr>
  </w:style>
  <w:style w:type="character" w:customStyle="1" w:styleId="SmartLink1">
    <w:name w:val="SmartLink1"/>
    <w:basedOn w:val="DefaultParagraphFont"/>
    <w:uiPriority w:val="99"/>
    <w:semiHidden/>
    <w:unhideWhenUsed/>
    <w:rsid w:val="00BE59AA"/>
    <w:rPr>
      <w:color w:val="0000FF"/>
      <w:u w:val="single"/>
      <w:shd w:val="clear" w:color="auto" w:fill="F3F2F1"/>
    </w:rPr>
  </w:style>
  <w:style w:type="character" w:styleId="SubtleEmphasis">
    <w:name w:val="Subtle Emphasis"/>
    <w:basedOn w:val="DefaultParagraphFont"/>
    <w:uiPriority w:val="19"/>
    <w:rsid w:val="00BE59AA"/>
    <w:rPr>
      <w:i/>
      <w:iCs/>
      <w:color w:val="404040" w:themeColor="text1" w:themeTint="BF"/>
    </w:rPr>
  </w:style>
  <w:style w:type="character" w:styleId="SubtleReference">
    <w:name w:val="Subtle Reference"/>
    <w:basedOn w:val="DefaultParagraphFont"/>
    <w:uiPriority w:val="31"/>
    <w:rsid w:val="00BE59AA"/>
    <w:rPr>
      <w:smallCaps/>
      <w:color w:val="5A5A5A" w:themeColor="text1" w:themeTint="A5"/>
    </w:rPr>
  </w:style>
  <w:style w:type="paragraph" w:styleId="TableofAuthorities">
    <w:name w:val="table of authorities"/>
    <w:basedOn w:val="Normal"/>
    <w:next w:val="Normal"/>
    <w:uiPriority w:val="99"/>
    <w:semiHidden/>
    <w:unhideWhenUsed/>
    <w:rsid w:val="00BE59AA"/>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Title">
    <w:name w:val="Title"/>
    <w:basedOn w:val="Normal"/>
    <w:next w:val="Normal"/>
    <w:link w:val="TitleChar"/>
    <w:uiPriority w:val="10"/>
    <w:rsid w:val="00BE59AA"/>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BE59AA"/>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E59AA"/>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numbering" w:customStyle="1" w:styleId="CurrentList1">
    <w:name w:val="Current List1"/>
    <w:uiPriority w:val="99"/>
    <w:rsid w:val="00BE59AA"/>
    <w:pPr>
      <w:numPr>
        <w:numId w:val="20"/>
      </w:numPr>
    </w:pPr>
  </w:style>
  <w:style w:type="character" w:customStyle="1" w:styleId="UnresolvedMention2">
    <w:name w:val="Unresolved Mention2"/>
    <w:basedOn w:val="DefaultParagraphFont"/>
    <w:uiPriority w:val="99"/>
    <w:semiHidden/>
    <w:unhideWhenUsed/>
    <w:rsid w:val="00BE59AA"/>
    <w:rPr>
      <w:color w:val="605E5C"/>
      <w:shd w:val="clear" w:color="auto" w:fill="E1DFDD"/>
    </w:rPr>
  </w:style>
  <w:style w:type="paragraph" w:customStyle="1" w:styleId="TSBHeaderSummary">
    <w:name w:val="TSBHeaderSummary"/>
    <w:basedOn w:val="Normal"/>
    <w:rsid w:val="00BE59AA"/>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rsid w:val="00BE59AA"/>
    <w:rPr>
      <w:rFonts w:ascii="Times New Roman" w:hAnsi="Times New Roman" w:cs="Times New Roman" w:hint="default"/>
    </w:rPr>
  </w:style>
  <w:style w:type="character" w:customStyle="1" w:styleId="Mention2">
    <w:name w:val="Mention2"/>
    <w:basedOn w:val="DefaultParagraphFont"/>
    <w:uiPriority w:val="99"/>
    <w:unhideWhenUsed/>
    <w:rsid w:val="00BE59AA"/>
    <w:rPr>
      <w:color w:val="2B579A"/>
      <w:shd w:val="clear" w:color="auto" w:fill="E1DFDD"/>
    </w:rPr>
  </w:style>
  <w:style w:type="character" w:customStyle="1" w:styleId="rynqvb">
    <w:name w:val="rynqvb"/>
    <w:basedOn w:val="DefaultParagraphFont"/>
    <w:rsid w:val="00BE59AA"/>
  </w:style>
  <w:style w:type="paragraph" w:customStyle="1" w:styleId="m7315952144655343828tabletext">
    <w:name w:val="m_7315952144655343828tabletext"/>
    <w:basedOn w:val="Normal"/>
    <w:rsid w:val="00BE59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TSBHeaderQuestion">
    <w:name w:val="TSBHeaderQuestion"/>
    <w:basedOn w:val="Normal"/>
    <w:rsid w:val="00BE59AA"/>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rsid w:val="00BE59AA"/>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BE59AA"/>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BE59AA"/>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VenueDate">
    <w:name w:val="VenueDate"/>
    <w:basedOn w:val="Normal"/>
    <w:rsid w:val="00BE59AA"/>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character" w:customStyle="1" w:styleId="Hashtag2">
    <w:name w:val="Hashtag2"/>
    <w:basedOn w:val="DefaultParagraphFont"/>
    <w:uiPriority w:val="99"/>
    <w:semiHidden/>
    <w:unhideWhenUsed/>
    <w:rsid w:val="00BE59AA"/>
    <w:rPr>
      <w:color w:val="2B579A"/>
      <w:shd w:val="clear" w:color="auto" w:fill="E1DFDD"/>
    </w:rPr>
  </w:style>
  <w:style w:type="character" w:customStyle="1" w:styleId="SmartHyperlink2">
    <w:name w:val="Smart Hyperlink2"/>
    <w:basedOn w:val="DefaultParagraphFont"/>
    <w:uiPriority w:val="99"/>
    <w:semiHidden/>
    <w:unhideWhenUsed/>
    <w:rsid w:val="00BE59AA"/>
    <w:rPr>
      <w:u w:val="dotted"/>
    </w:rPr>
  </w:style>
  <w:style w:type="character" w:customStyle="1" w:styleId="SmartLink2">
    <w:name w:val="SmartLink2"/>
    <w:basedOn w:val="DefaultParagraphFont"/>
    <w:uiPriority w:val="99"/>
    <w:semiHidden/>
    <w:unhideWhenUsed/>
    <w:rsid w:val="00BE59AA"/>
    <w:rPr>
      <w:color w:val="0000FF"/>
      <w:u w:val="single"/>
      <w:shd w:val="clear" w:color="auto" w:fill="F3F2F1"/>
    </w:rPr>
  </w:style>
  <w:style w:type="character" w:styleId="UnresolvedMention">
    <w:name w:val="Unresolved Mention"/>
    <w:basedOn w:val="DefaultParagraphFont"/>
    <w:uiPriority w:val="99"/>
    <w:semiHidden/>
    <w:unhideWhenUsed/>
    <w:rsid w:val="00B9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73" TargetMode="External"/><Relationship Id="rId21" Type="http://schemas.openxmlformats.org/officeDocument/2006/relationships/hyperlink" Target="https://www.itu.int/md/T22-TSAG-230530-TD-GEN-0230" TargetMode="External"/><Relationship Id="rId42" Type="http://schemas.openxmlformats.org/officeDocument/2006/relationships/hyperlink" Target="https://www.itu.int/md/T22-TSAG-230530-TD-GEN-0198" TargetMode="External"/><Relationship Id="rId63" Type="http://schemas.openxmlformats.org/officeDocument/2006/relationships/hyperlink" Target="https://www.itu.int/md/T22-TSAG-230530-TD-GEN-0218" TargetMode="External"/><Relationship Id="rId84" Type="http://schemas.openxmlformats.org/officeDocument/2006/relationships/hyperlink" Target="https://www.itu.int/md/T22-TSAG-230530-TD-GEN-0286" TargetMode="External"/><Relationship Id="rId138" Type="http://schemas.openxmlformats.org/officeDocument/2006/relationships/hyperlink" Target="mailto:olivier.dubuisson@orange.com" TargetMode="External"/><Relationship Id="rId107" Type="http://schemas.openxmlformats.org/officeDocument/2006/relationships/header" Target="header2.xml"/><Relationship Id="rId11" Type="http://schemas.openxmlformats.org/officeDocument/2006/relationships/hyperlink" Target="https://www.itu.int/md/T22-TSAG-230530-TD-GEN-0223" TargetMode="External"/><Relationship Id="rId32" Type="http://schemas.openxmlformats.org/officeDocument/2006/relationships/hyperlink" Target="https://www.itu.int/md/T22-TSAG-C-0049" TargetMode="External"/><Relationship Id="rId53" Type="http://schemas.openxmlformats.org/officeDocument/2006/relationships/hyperlink" Target="https://www.itu.int/md/T22-TSAG-230530-TD-GEN-0270" TargetMode="External"/><Relationship Id="rId74" Type="http://schemas.openxmlformats.org/officeDocument/2006/relationships/hyperlink" Target="https://www.itu.int/md/T22-TSAG-230530-TD-GEN-0249" TargetMode="External"/><Relationship Id="rId128" Type="http://schemas.openxmlformats.org/officeDocument/2006/relationships/hyperlink" Target="https://www.itu.int/md/meetingdoc.asp?lang=en&amp;parent=T22-TSAG-R-0003" TargetMode="External"/><Relationship Id="rId149" Type="http://schemas.openxmlformats.org/officeDocument/2006/relationships/hyperlink" Target="http://www.itu.int/itu-t/workprog/wp_item.aspx?isn=18701" TargetMode="External"/><Relationship Id="rId5" Type="http://schemas.openxmlformats.org/officeDocument/2006/relationships/webSettings" Target="webSettings.xml"/><Relationship Id="rId95" Type="http://schemas.openxmlformats.org/officeDocument/2006/relationships/hyperlink" Target="https://www.itu.int/md/T22-TSAG-230530-TD-GEN-0277/en" TargetMode="External"/><Relationship Id="rId22" Type="http://schemas.openxmlformats.org/officeDocument/2006/relationships/hyperlink" Target="https://www.itu.int/md/T22-TSAG-230530-TD-GEN-0228" TargetMode="External"/><Relationship Id="rId43" Type="http://schemas.openxmlformats.org/officeDocument/2006/relationships/hyperlink" Target="https://www.itu.int/md/T22-TSAG-230530-TD-GEN-0236" TargetMode="External"/><Relationship Id="rId64" Type="http://schemas.openxmlformats.org/officeDocument/2006/relationships/hyperlink" Target="https://www.itu.int/md/T22-TSAG-230530-TD-GEN-0243" TargetMode="External"/><Relationship Id="rId118" Type="http://schemas.openxmlformats.org/officeDocument/2006/relationships/hyperlink" Target="https://www.itu.int/md/meetingdoc.asp?lang=en&amp;parent=T22-TSAG-R-0002" TargetMode="External"/><Relationship Id="rId139" Type="http://schemas.openxmlformats.org/officeDocument/2006/relationships/hyperlink" Target="https://www.itu.int/md/T22-TSAG-230530-TD-GEN-0255" TargetMode="External"/><Relationship Id="rId80" Type="http://schemas.openxmlformats.org/officeDocument/2006/relationships/hyperlink" Target="https://www.itu.int/md/T22-TSAG-230530-TD-GEN-0245" TargetMode="External"/><Relationship Id="rId85" Type="http://schemas.openxmlformats.org/officeDocument/2006/relationships/hyperlink" Target="https://www.itu.int/ifa/t/2022/ls/tsag/sp17-tsag-oLS-00017.docx" TargetMode="External"/><Relationship Id="rId150" Type="http://schemas.openxmlformats.org/officeDocument/2006/relationships/hyperlink" Target="https://www.itu.int/md/T22-TSAG-230530-TD-GEN-0261" TargetMode="External"/><Relationship Id="rId155" Type="http://schemas.openxmlformats.org/officeDocument/2006/relationships/header" Target="header8.xml"/><Relationship Id="rId12" Type="http://schemas.openxmlformats.org/officeDocument/2006/relationships/hyperlink" Target="https://www.itu.int/md/T22-TSAG-230530-TD-GEN-0222" TargetMode="External"/><Relationship Id="rId17" Type="http://schemas.openxmlformats.org/officeDocument/2006/relationships/hyperlink" Target="https://www.itu.int/md/T22-TSAG-230530-TD-GEN-0174" TargetMode="External"/><Relationship Id="rId33" Type="http://schemas.openxmlformats.org/officeDocument/2006/relationships/hyperlink" Target="https://www.itu.int/md/T22-TSAG-C-0051" TargetMode="External"/><Relationship Id="rId38" Type="http://schemas.openxmlformats.org/officeDocument/2006/relationships/hyperlink" Target="https://www.itu.int/md/T22-TSAG-230530-TD-GEN-0285" TargetMode="External"/><Relationship Id="rId59" Type="http://schemas.openxmlformats.org/officeDocument/2006/relationships/hyperlink" Target="https://www.itu.int/md/T22-TSAG-230530-TD-GEN-0254" TargetMode="External"/><Relationship Id="rId103" Type="http://schemas.openxmlformats.org/officeDocument/2006/relationships/hyperlink" Target="https://www.itu.int/md/T22-TSAG-230530-TD-GEN-0287" TargetMode="External"/><Relationship Id="rId108" Type="http://schemas.openxmlformats.org/officeDocument/2006/relationships/footer" Target="footer1.xml"/><Relationship Id="rId124" Type="http://schemas.openxmlformats.org/officeDocument/2006/relationships/hyperlink" Target="https://www.itu.int/md/T22-TSAG-230530-TD-GEN-0180" TargetMode="External"/><Relationship Id="rId129" Type="http://schemas.openxmlformats.org/officeDocument/2006/relationships/hyperlink" Target="https://www.itu.int/md/T22-TSAG-230530-TD-GEN-0294" TargetMode="External"/><Relationship Id="rId54" Type="http://schemas.openxmlformats.org/officeDocument/2006/relationships/hyperlink" Target="https://www.itu.int/md/T22-TSAG-230530-TD-GEN-0209" TargetMode="External"/><Relationship Id="rId70" Type="http://schemas.openxmlformats.org/officeDocument/2006/relationships/hyperlink" Target="https://www.itu.int/md/T22-TSAG-C-0042" TargetMode="External"/><Relationship Id="rId75" Type="http://schemas.openxmlformats.org/officeDocument/2006/relationships/hyperlink" Target="https://www.itu.int/md/T22-TSAG-230530-TD-GEN-0177" TargetMode="External"/><Relationship Id="rId91" Type="http://schemas.openxmlformats.org/officeDocument/2006/relationships/hyperlink" Target="https://www.itu.int/md/T22-TSAG-230530-TD-GEN-0256/en" TargetMode="External"/><Relationship Id="rId96" Type="http://schemas.openxmlformats.org/officeDocument/2006/relationships/hyperlink" Target="https://www.itu.int/ifa/t/2022/ls/tsag/sp17-tsag-oLS-00016.zip" TargetMode="External"/><Relationship Id="rId140" Type="http://schemas.openxmlformats.org/officeDocument/2006/relationships/hyperlink" Target="mailto:olivier.dubuisson@orange.com" TargetMode="External"/><Relationship Id="rId145" Type="http://schemas.openxmlformats.org/officeDocument/2006/relationships/hyperlink" Target="mailto:olivier.dubuisson@orange.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22-TSAG-230530-TD-GEN-0189" TargetMode="External"/><Relationship Id="rId28" Type="http://schemas.openxmlformats.org/officeDocument/2006/relationships/hyperlink" Target="https://www.itu.int/md/T22-TSAG-230530-TD-GEN-0281" TargetMode="External"/><Relationship Id="rId49" Type="http://schemas.openxmlformats.org/officeDocument/2006/relationships/hyperlink" Target="https://www.itu.int/md/T22-TSAG-230530-TD-GEN-0264" TargetMode="External"/><Relationship Id="rId114" Type="http://schemas.openxmlformats.org/officeDocument/2006/relationships/hyperlink" Target="https://www.itu.int/md/T22-TSAG-230530-TD-GEN-0173" TargetMode="External"/><Relationship Id="rId119" Type="http://schemas.openxmlformats.org/officeDocument/2006/relationships/hyperlink" Target="https://www.itu.int/ifa/t/2022/ls/tsag/sp17-tsag-oLS-00013.docx" TargetMode="External"/><Relationship Id="rId44" Type="http://schemas.openxmlformats.org/officeDocument/2006/relationships/hyperlink" Target="https://www.itu.int/md/T22-TSAG-230530-TD-GEN-0301" TargetMode="External"/><Relationship Id="rId60" Type="http://schemas.openxmlformats.org/officeDocument/2006/relationships/hyperlink" Target="https://www.itu.int/md/T22-TSAG-230530-TD-GEN-0216" TargetMode="External"/><Relationship Id="rId65" Type="http://schemas.openxmlformats.org/officeDocument/2006/relationships/hyperlink" Target="https://www.itu.int/md/T22-TSAG-230530-TD-GEN-0263" TargetMode="External"/><Relationship Id="rId81" Type="http://schemas.openxmlformats.org/officeDocument/2006/relationships/hyperlink" Target="https://www.itu.int/ifa/t/2022/ls/tsag/sp17-tsag-oLS-00019.docx" TargetMode="External"/><Relationship Id="rId86" Type="http://schemas.openxmlformats.org/officeDocument/2006/relationships/hyperlink" Target="https://www.itu.int/md/T22-TSAG-230530-TD-GEN-0291" TargetMode="External"/><Relationship Id="rId130" Type="http://schemas.openxmlformats.org/officeDocument/2006/relationships/hyperlink" Target="https://www.itu.int/ifa/t/2022/ls/tsag/sp17-tsag-oLS-00019.docx" TargetMode="External"/><Relationship Id="rId135" Type="http://schemas.openxmlformats.org/officeDocument/2006/relationships/hyperlink" Target="https://www.itu.int/ifa/t/2022/ls/tsag/sp17-tsag-oLS-00017.docx" TargetMode="External"/><Relationship Id="rId151" Type="http://schemas.openxmlformats.org/officeDocument/2006/relationships/hyperlink" Target="mailto:et@niir.ru" TargetMode="External"/><Relationship Id="rId156" Type="http://schemas.openxmlformats.org/officeDocument/2006/relationships/fontTable" Target="fontTable.xml"/><Relationship Id="rId13" Type="http://schemas.openxmlformats.org/officeDocument/2006/relationships/hyperlink" Target="https://www.itu.int/md/T22-TSAG-230530-TD-GEN-0224" TargetMode="External"/><Relationship Id="rId18" Type="http://schemas.openxmlformats.org/officeDocument/2006/relationships/hyperlink" Target="https://www.itu.int/md/T22-TSAG-230530-TD-GEN-0172" TargetMode="External"/><Relationship Id="rId39" Type="http://schemas.openxmlformats.org/officeDocument/2006/relationships/hyperlink" Target="https://www.itu.int/md/T22-TSAG-230530-TD-GEN-0285" TargetMode="External"/><Relationship Id="rId109" Type="http://schemas.openxmlformats.org/officeDocument/2006/relationships/footer" Target="footer2.xml"/><Relationship Id="rId34" Type="http://schemas.openxmlformats.org/officeDocument/2006/relationships/hyperlink" Target="https://www.itu.int/md/T22-TSAG-230530-TD-GEN-0266" TargetMode="External"/><Relationship Id="rId50" Type="http://schemas.openxmlformats.org/officeDocument/2006/relationships/hyperlink" Target="https://www.itu.int/ifa/t/2022/ls/tsag/sp17-tsag-oLS-00013.docx" TargetMode="External"/><Relationship Id="rId55" Type="http://schemas.openxmlformats.org/officeDocument/2006/relationships/hyperlink" Target="https://www.itu.int/md/T22-TSAG-230530-TD-GEN-0210" TargetMode="External"/><Relationship Id="rId76" Type="http://schemas.openxmlformats.org/officeDocument/2006/relationships/hyperlink" Target="https://www.itu.int/md/T22-TSAG-230530-TD-GEN-0177" TargetMode="External"/><Relationship Id="rId97" Type="http://schemas.openxmlformats.org/officeDocument/2006/relationships/hyperlink" Target="https://www.itu.int/md/T22-TSAG-230530-TD-GEN-0290" TargetMode="External"/><Relationship Id="rId104" Type="http://schemas.openxmlformats.org/officeDocument/2006/relationships/hyperlink" Target="https://www.itu.int/md/T22-TSAG-230530-TD-GEN-0194" TargetMode="External"/><Relationship Id="rId120" Type="http://schemas.openxmlformats.org/officeDocument/2006/relationships/hyperlink" Target="https://www.itu.int/ifa/t/2022/ls/tsag/sp17-tsag-oLS-00014R1.zip" TargetMode="External"/><Relationship Id="rId125" Type="http://schemas.openxmlformats.org/officeDocument/2006/relationships/hyperlink" Target="https://www.itu.int/md/T22-TSAG-230530-TD-GEN-0182" TargetMode="External"/><Relationship Id="rId141" Type="http://schemas.openxmlformats.org/officeDocument/2006/relationships/hyperlink" Target="https://www.itu.int/md/T22-TSAG-230530-TD-GEN-0217" TargetMode="External"/><Relationship Id="rId146" Type="http://schemas.openxmlformats.org/officeDocument/2006/relationships/hyperlink" Target="http://www.itu.int/itu-t/workprog/wp_item.aspx?isn=18702" TargetMode="External"/><Relationship Id="rId7" Type="http://schemas.openxmlformats.org/officeDocument/2006/relationships/endnotes" Target="endnotes.xml"/><Relationship Id="rId71" Type="http://schemas.openxmlformats.org/officeDocument/2006/relationships/hyperlink" Target="https://www.itu.int/md/T22-TSAG-230530-TD-GEN-0196" TargetMode="External"/><Relationship Id="rId92" Type="http://schemas.openxmlformats.org/officeDocument/2006/relationships/hyperlink" Target="https://www.itu.int/md/T22-TSAG-230530-TD-GEN-0257" TargetMode="External"/><Relationship Id="rId2" Type="http://schemas.openxmlformats.org/officeDocument/2006/relationships/numbering" Target="numbering.xml"/><Relationship Id="rId29" Type="http://schemas.openxmlformats.org/officeDocument/2006/relationships/hyperlink" Target="https://www.itu.int/md/T22-TSAG-230530-TD-GEN-0191" TargetMode="External"/><Relationship Id="rId24" Type="http://schemas.openxmlformats.org/officeDocument/2006/relationships/hyperlink" Target="https://www.itu.int/dms_pub/itu-t/md/22/tsag/td/230530/GEN/T22-TSAG-230530-TD-GEN-0189!A1!PPT-E.pptx" TargetMode="External"/><Relationship Id="rId40" Type="http://schemas.openxmlformats.org/officeDocument/2006/relationships/hyperlink" Target="https://www.itu.int/md/T22-TSAG-230530-TD-GEN-0283" TargetMode="External"/><Relationship Id="rId45" Type="http://schemas.openxmlformats.org/officeDocument/2006/relationships/hyperlink" Target="https://www.itu.int/md/T22-TSAG-230530-TD-GEN-0301" TargetMode="External"/><Relationship Id="rId66" Type="http://schemas.openxmlformats.org/officeDocument/2006/relationships/hyperlink" Target="https://www.itu.int/md/T22-TSAG-C-0040" TargetMode="External"/><Relationship Id="rId87" Type="http://schemas.openxmlformats.org/officeDocument/2006/relationships/hyperlink" Target="https://www.itu.int/md/T22-TSAG-230530-TD-GEN-0298" TargetMode="External"/><Relationship Id="rId110" Type="http://schemas.openxmlformats.org/officeDocument/2006/relationships/header" Target="header3.xml"/><Relationship Id="rId115" Type="http://schemas.openxmlformats.org/officeDocument/2006/relationships/header" Target="header5.xml"/><Relationship Id="rId131" Type="http://schemas.openxmlformats.org/officeDocument/2006/relationships/hyperlink" Target="https://www.itu.int/md/T22-TSAG-230530-TD-GEN-0186" TargetMode="External"/><Relationship Id="rId136" Type="http://schemas.openxmlformats.org/officeDocument/2006/relationships/hyperlink" Target="https://www.itu.int/ITU-T/workprog/wp_item.aspx?isn=18704" TargetMode="External"/><Relationship Id="rId157" Type="http://schemas.openxmlformats.org/officeDocument/2006/relationships/theme" Target="theme/theme1.xml"/><Relationship Id="rId61" Type="http://schemas.openxmlformats.org/officeDocument/2006/relationships/hyperlink" Target="https://www.itu.int/md/T22-TSAG-230530-TD-GEN-0242" TargetMode="External"/><Relationship Id="rId82" Type="http://schemas.openxmlformats.org/officeDocument/2006/relationships/hyperlink" Target="https://www.itu.int/md/T22-TSAG-230530-TD-GEN-0297" TargetMode="External"/><Relationship Id="rId152" Type="http://schemas.openxmlformats.org/officeDocument/2006/relationships/header" Target="header6.xml"/><Relationship Id="rId19" Type="http://schemas.openxmlformats.org/officeDocument/2006/relationships/hyperlink" Target="https://www.itu.int/md/T22-TSAG-230530-TD-GEN-0174" TargetMode="External"/><Relationship Id="rId14" Type="http://schemas.openxmlformats.org/officeDocument/2006/relationships/hyperlink" Target="https://www.itu.int/md/T22-TSAG-230530-TD-GEN-0225" TargetMode="External"/><Relationship Id="rId30" Type="http://schemas.openxmlformats.org/officeDocument/2006/relationships/hyperlink" Target="https://www.itu.int/md/T22-TSAG-230530-TD-GEN-0191" TargetMode="External"/><Relationship Id="rId35" Type="http://schemas.openxmlformats.org/officeDocument/2006/relationships/hyperlink" Target="https://www.itu.int/md/T22-TSAG-230530-TD-GEN-0284" TargetMode="External"/><Relationship Id="rId56" Type="http://schemas.openxmlformats.org/officeDocument/2006/relationships/hyperlink" Target="https://www.itu.int/md/T22-TSAG-230530-TD-GEN-0246" TargetMode="External"/><Relationship Id="rId77" Type="http://schemas.openxmlformats.org/officeDocument/2006/relationships/hyperlink" Target="https://www.itu.int/md/meetingdoc.asp?lang=en&amp;parent=T22-TSAG-R-0003" TargetMode="External"/><Relationship Id="rId100" Type="http://schemas.openxmlformats.org/officeDocument/2006/relationships/hyperlink" Target="https://www.itu.int/md/T22-TSAG-C-0022" TargetMode="External"/><Relationship Id="rId105" Type="http://schemas.openxmlformats.org/officeDocument/2006/relationships/hyperlink" Target="https://www.itu.int/md/T22-TSAG-230530-TD-GEN-0283" TargetMode="External"/><Relationship Id="rId126" Type="http://schemas.openxmlformats.org/officeDocument/2006/relationships/hyperlink" Target="https://www.itu.int/ifa/t/2022/ls/tsag/sp17-tsag-oLS-00016.zip" TargetMode="External"/><Relationship Id="rId147" Type="http://schemas.openxmlformats.org/officeDocument/2006/relationships/hyperlink" Target="https://www.itu.int/md/T22-TSAG-230530-TD-GEN-0262" TargetMode="External"/><Relationship Id="rId8" Type="http://schemas.openxmlformats.org/officeDocument/2006/relationships/image" Target="media/image1.png"/><Relationship Id="rId51" Type="http://schemas.openxmlformats.org/officeDocument/2006/relationships/hyperlink" Target="https://www.itu.int/md/T22-TSAG-230530-TD-GEN-0288" TargetMode="External"/><Relationship Id="rId72" Type="http://schemas.openxmlformats.org/officeDocument/2006/relationships/hyperlink" Target="https://www.itu.int/md/T22-TSAG-230530-TD-GEN-0227" TargetMode="External"/><Relationship Id="rId93" Type="http://schemas.openxmlformats.org/officeDocument/2006/relationships/hyperlink" Target="https://www.itu.int/md/T22-TSAG-230530-TD-GEN-0214" TargetMode="External"/><Relationship Id="rId98" Type="http://schemas.openxmlformats.org/officeDocument/2006/relationships/hyperlink" Target="https://www.itu.int/ifa/t/2022/ls/tsag/sp17-tsag-oLS-00018.zip" TargetMode="External"/><Relationship Id="rId121" Type="http://schemas.openxmlformats.org/officeDocument/2006/relationships/hyperlink" Target="https://www.itu.int/ifa/t/2022/ls/tsag/sp17-tsag-oLS-00021.docx" TargetMode="External"/><Relationship Id="rId142" Type="http://schemas.openxmlformats.org/officeDocument/2006/relationships/hyperlink" Target="mailto:olivier.dubuisson@orange.com" TargetMode="External"/><Relationship Id="rId3" Type="http://schemas.openxmlformats.org/officeDocument/2006/relationships/styles" Target="styles.xml"/><Relationship Id="rId25" Type="http://schemas.openxmlformats.org/officeDocument/2006/relationships/hyperlink" Target="https://www.itu.int/md/T22-TSAG-230530-TD-GEN-0190" TargetMode="External"/><Relationship Id="rId46" Type="http://schemas.openxmlformats.org/officeDocument/2006/relationships/hyperlink" Target="https://www.itu.int/ifa/t/2022/ls/tsag/sp17-tsag-oLS-00021.docx" TargetMode="External"/><Relationship Id="rId67" Type="http://schemas.openxmlformats.org/officeDocument/2006/relationships/hyperlink" Target="https://www.itu.int/md/T22-TSAG-230530-TD-GEN-0300" TargetMode="External"/><Relationship Id="rId116" Type="http://schemas.openxmlformats.org/officeDocument/2006/relationships/footer" Target="footer5.xml"/><Relationship Id="rId137" Type="http://schemas.openxmlformats.org/officeDocument/2006/relationships/hyperlink" Target="https://www.itu.int/md/T22-TSAG-230530-TD-GEN-0251" TargetMode="External"/><Relationship Id="rId20" Type="http://schemas.openxmlformats.org/officeDocument/2006/relationships/hyperlink" Target="https://www.itu.int/md/T22-TSAG-230530-TD-GEN-0229" TargetMode="External"/><Relationship Id="rId41" Type="http://schemas.openxmlformats.org/officeDocument/2006/relationships/hyperlink" Target="https://www.itu.int/md/T22-TSAG-230530-TD-GEN-0302" TargetMode="External"/><Relationship Id="rId62" Type="http://schemas.openxmlformats.org/officeDocument/2006/relationships/hyperlink" Target="https://www.itu.int/md/T22-TSAG-230530-TD-GEN-0215" TargetMode="External"/><Relationship Id="rId83" Type="http://schemas.openxmlformats.org/officeDocument/2006/relationships/hyperlink" Target="https://www.itu.int/ifa/t/2022/ls/tsag/sp17-tsag-oLS-00015.zip" TargetMode="External"/><Relationship Id="rId88" Type="http://schemas.openxmlformats.org/officeDocument/2006/relationships/hyperlink" Target="https://www.itu.int/md/T22-TSAG-230530-TD-GEN-0296" TargetMode="External"/><Relationship Id="rId111" Type="http://schemas.openxmlformats.org/officeDocument/2006/relationships/footer" Target="footer3.xml"/><Relationship Id="rId132" Type="http://schemas.openxmlformats.org/officeDocument/2006/relationships/hyperlink" Target="https://www.itu.int/ifa/t/2022/ls/tsag/sp17-tsag-oLS-00018.zip" TargetMode="External"/><Relationship Id="rId153" Type="http://schemas.openxmlformats.org/officeDocument/2006/relationships/footer" Target="footer6.xml"/><Relationship Id="rId15" Type="http://schemas.openxmlformats.org/officeDocument/2006/relationships/hyperlink" Target="https://www.itu.int/md/T22-TSAG-230530-TD-GEN-0171" TargetMode="External"/><Relationship Id="rId36" Type="http://schemas.openxmlformats.org/officeDocument/2006/relationships/hyperlink" Target="https://www.itu.int/md/T22-TSAG-230530-TD-GEN-0284" TargetMode="External"/><Relationship Id="rId57" Type="http://schemas.openxmlformats.org/officeDocument/2006/relationships/hyperlink" Target="https://www.itu.int/md/T22-TSAG-230530-TD-GEN-0213" TargetMode="External"/><Relationship Id="rId106" Type="http://schemas.openxmlformats.org/officeDocument/2006/relationships/header" Target="header1.xml"/><Relationship Id="rId127" Type="http://schemas.openxmlformats.org/officeDocument/2006/relationships/hyperlink" Target="https://www.itu.int/md/T22-TSAG-230530-TD-GEN-0183" TargetMode="External"/><Relationship Id="rId10" Type="http://schemas.openxmlformats.org/officeDocument/2006/relationships/hyperlink" Target="https://www.itu.int/md/T22-TSAG-230530-TD-GEN-0231" TargetMode="External"/><Relationship Id="rId31" Type="http://schemas.openxmlformats.org/officeDocument/2006/relationships/hyperlink" Target="https://www.itu.int/ifa/t/2022/ls/tsag/sp17-tsag-oLS-00015.zip" TargetMode="External"/><Relationship Id="rId52" Type="http://schemas.openxmlformats.org/officeDocument/2006/relationships/hyperlink" Target="https://www.itu.int/md/T22-TSAG-230530-TD-GEN-0247" TargetMode="External"/><Relationship Id="rId73" Type="http://schemas.openxmlformats.org/officeDocument/2006/relationships/hyperlink" Target="https://www.itu.int/md/T22-TSAG-230530-TD-GEN-0248" TargetMode="External"/><Relationship Id="rId78" Type="http://schemas.openxmlformats.org/officeDocument/2006/relationships/hyperlink" Target="https://www.itu.int/md/T22-TSAG-230530-TD-GEN-0293" TargetMode="External"/><Relationship Id="rId94" Type="http://schemas.openxmlformats.org/officeDocument/2006/relationships/hyperlink" Target="https://www.itu.int/md/T22-TSAG-230530-TD-GEN-0234/en" TargetMode="External"/><Relationship Id="rId99" Type="http://schemas.openxmlformats.org/officeDocument/2006/relationships/hyperlink" Target="https://www.itu.int/md/T22-TSAG-230530-TD-GEN-0292/en" TargetMode="External"/><Relationship Id="rId101" Type="http://schemas.openxmlformats.org/officeDocument/2006/relationships/hyperlink" Target="https://www.itu.int/md/T22-TSAG-230530-TD-GEN-0272" TargetMode="External"/><Relationship Id="rId122" Type="http://schemas.openxmlformats.org/officeDocument/2006/relationships/hyperlink" Target="https://www.itu.int/md/T22-TSAG-230530-TD-GEN-0177" TargetMode="External"/><Relationship Id="rId143" Type="http://schemas.openxmlformats.org/officeDocument/2006/relationships/hyperlink" Target="mailto:ena.dekanic@fcc.gov" TargetMode="External"/><Relationship Id="rId148" Type="http://schemas.openxmlformats.org/officeDocument/2006/relationships/hyperlink" Target="mailto:isaac.boateng@nca.org.gh"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s://www.itu.int/md/T22-TSAG-230530-TD-GEN-0197" TargetMode="External"/><Relationship Id="rId47" Type="http://schemas.openxmlformats.org/officeDocument/2006/relationships/hyperlink" Target="https://www.itu.int/md/T22-TSAG-230530-TD-GEN-0241" TargetMode="External"/><Relationship Id="rId68" Type="http://schemas.openxmlformats.org/officeDocument/2006/relationships/hyperlink" Target="https://www.itu.int/ifa/t/2022/ls/tsag/sp17-tsag-oLS-00020.docx" TargetMode="External"/><Relationship Id="rId89" Type="http://schemas.openxmlformats.org/officeDocument/2006/relationships/hyperlink" Target="https://www.itu.int/md/T22-TSAG-230530-TD-GEN-0177" TargetMode="External"/><Relationship Id="rId112" Type="http://schemas.openxmlformats.org/officeDocument/2006/relationships/header" Target="header4.xml"/><Relationship Id="rId133" Type="http://schemas.openxmlformats.org/officeDocument/2006/relationships/hyperlink" Target="https://www.itu.int/md/T22-TSAG-230530-TD-GEN-0188" TargetMode="External"/><Relationship Id="rId154" Type="http://schemas.openxmlformats.org/officeDocument/2006/relationships/header" Target="header7.xml"/><Relationship Id="rId16" Type="http://schemas.openxmlformats.org/officeDocument/2006/relationships/hyperlink" Target="https://www.itu.int/md/T22-TSAG-230530-TD-GEN-0170" TargetMode="External"/><Relationship Id="rId37" Type="http://schemas.openxmlformats.org/officeDocument/2006/relationships/hyperlink" Target="https://www.itu.int/md/T22-TSAG-230530-TD-GEN-0295" TargetMode="External"/><Relationship Id="rId58" Type="http://schemas.openxmlformats.org/officeDocument/2006/relationships/hyperlink" Target="https://www.itu.int/md/T22-TSAG-230530-TD-GEN-0211" TargetMode="External"/><Relationship Id="rId79" Type="http://schemas.openxmlformats.org/officeDocument/2006/relationships/hyperlink" Target="https://www.itu.int/md/T22-TSAG-230530-TD-GEN-0294" TargetMode="External"/><Relationship Id="rId102" Type="http://schemas.openxmlformats.org/officeDocument/2006/relationships/hyperlink" Target="https://www.itu.int/ifa/t/2022/ls/tsag/sp17-tsag-oLS-00014R1.zip" TargetMode="External"/><Relationship Id="rId123" Type="http://schemas.openxmlformats.org/officeDocument/2006/relationships/hyperlink" Target="https://www.itu.int/ifa/t/2022/ls/tsag/sp17-tsag-oLS-00020.docx" TargetMode="External"/><Relationship Id="rId144" Type="http://schemas.openxmlformats.org/officeDocument/2006/relationships/hyperlink" Target="http://www.itu.int/md/T22-TSAG-230530-TD-GEN-0293/en" TargetMode="External"/><Relationship Id="rId90" Type="http://schemas.openxmlformats.org/officeDocument/2006/relationships/hyperlink" Target="https://www.itu.int/md/T22-TSAG-230530-TD-GEN-0180" TargetMode="External"/><Relationship Id="rId27" Type="http://schemas.openxmlformats.org/officeDocument/2006/relationships/hyperlink" Target="https://www.itu.int/md/T22-TSAG-230530-TD-GEN-0191" TargetMode="External"/><Relationship Id="rId48" Type="http://schemas.openxmlformats.org/officeDocument/2006/relationships/hyperlink" Target="https://www.itu.int/md/T22-TSAG-230530-TD-GEN-0240" TargetMode="External"/><Relationship Id="rId69" Type="http://schemas.openxmlformats.org/officeDocument/2006/relationships/hyperlink" Target="https://www.itu.int/md/T22-TSAG-230530-TD-GEN-0300" TargetMode="External"/><Relationship Id="rId113" Type="http://schemas.openxmlformats.org/officeDocument/2006/relationships/footer" Target="footer4.xml"/><Relationship Id="rId134" Type="http://schemas.openxmlformats.org/officeDocument/2006/relationships/hyperlink" Target="https://www.itu.int/ifa/t/2022/ls/tsag/sp17-tsag-oLS-00015.zi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09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FD40-B4E5-439D-9B8C-4662AE73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31</Pages>
  <Words>10468</Words>
  <Characters>66321</Characters>
  <Application>Microsoft Office Word</Application>
  <DocSecurity>0</DocSecurity>
  <Lines>552</Lines>
  <Paragraphs>153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Insertar palabras clave separadas por punto y coma (;)</cp:keywords>
  <dc:description/>
  <cp:lastModifiedBy>Al-Mnini, Lara</cp:lastModifiedBy>
  <cp:revision>88</cp:revision>
  <cp:lastPrinted>2017-02-23T09:39:00Z</cp:lastPrinted>
  <dcterms:created xsi:type="dcterms:W3CDTF">2023-07-12T20:30:00Z</dcterms:created>
  <dcterms:modified xsi:type="dcterms:W3CDTF">2023-08-03T10:45:00Z</dcterms:modified>
</cp:coreProperties>
</file>