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AF70E4" w:rsidRPr="007275F7" w14:paraId="441C54FA" w14:textId="77777777" w:rsidTr="00B21E16">
        <w:trPr>
          <w:cantSplit/>
        </w:trPr>
        <w:tc>
          <w:tcPr>
            <w:tcW w:w="1132" w:type="dxa"/>
            <w:vMerge w:val="restart"/>
            <w:vAlign w:val="center"/>
          </w:tcPr>
          <w:p w14:paraId="5B67D3D9" w14:textId="77777777" w:rsidR="00AF70E4" w:rsidRPr="007275F7" w:rsidRDefault="00AF70E4" w:rsidP="00B21E16">
            <w:pPr>
              <w:spacing w:before="0"/>
              <w:jc w:val="center"/>
              <w:rPr>
                <w:sz w:val="20"/>
                <w:szCs w:val="20"/>
              </w:rPr>
            </w:pPr>
            <w:bookmarkStart w:id="0" w:name="dnum" w:colFirst="2" w:colLast="2"/>
            <w:bookmarkStart w:id="1" w:name="dsg" w:colFirst="1" w:colLast="1"/>
            <w:bookmarkStart w:id="2" w:name="dtableau"/>
            <w:bookmarkStart w:id="3" w:name="_Hlk98768222"/>
            <w:r w:rsidRPr="007275F7">
              <w:rPr>
                <w:noProof/>
              </w:rPr>
              <w:drawing>
                <wp:inline distT="0" distB="0" distL="0" distR="0" wp14:anchorId="7B6B43BD" wp14:editId="5D12ADE8">
                  <wp:extent cx="647700" cy="705600"/>
                  <wp:effectExtent l="0" t="0" r="0" b="0"/>
                  <wp:docPr id="5" name="Picture 5"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white logo&#10;&#10;Description automatically generated with low confidence"/>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39370778" w14:textId="77777777" w:rsidR="00AF70E4" w:rsidRPr="007275F7" w:rsidRDefault="00AF70E4" w:rsidP="00B21E16">
            <w:pPr>
              <w:rPr>
                <w:sz w:val="16"/>
                <w:szCs w:val="16"/>
              </w:rPr>
            </w:pPr>
            <w:r w:rsidRPr="007275F7">
              <w:rPr>
                <w:sz w:val="16"/>
                <w:szCs w:val="16"/>
              </w:rPr>
              <w:t>INTERNATIONAL TELECOMMUNICATION UNION</w:t>
            </w:r>
          </w:p>
          <w:p w14:paraId="0F26660E" w14:textId="77777777" w:rsidR="00AF70E4" w:rsidRPr="007275F7" w:rsidRDefault="00AF70E4" w:rsidP="00B21E16">
            <w:pPr>
              <w:rPr>
                <w:b/>
                <w:bCs/>
                <w:sz w:val="26"/>
                <w:szCs w:val="26"/>
              </w:rPr>
            </w:pPr>
            <w:r w:rsidRPr="007275F7">
              <w:rPr>
                <w:b/>
                <w:bCs/>
                <w:sz w:val="26"/>
                <w:szCs w:val="26"/>
              </w:rPr>
              <w:t>TELECOMMUNICATION</w:t>
            </w:r>
            <w:r w:rsidRPr="007275F7">
              <w:rPr>
                <w:b/>
                <w:bCs/>
                <w:sz w:val="26"/>
                <w:szCs w:val="26"/>
              </w:rPr>
              <w:br/>
              <w:t>STANDARDIZATION SECTOR</w:t>
            </w:r>
          </w:p>
          <w:p w14:paraId="4F25EA4C" w14:textId="77777777" w:rsidR="00AF70E4" w:rsidRPr="007275F7" w:rsidRDefault="00AF70E4" w:rsidP="00B21E16">
            <w:pPr>
              <w:rPr>
                <w:sz w:val="20"/>
                <w:szCs w:val="20"/>
              </w:rPr>
            </w:pPr>
            <w:r w:rsidRPr="007275F7">
              <w:rPr>
                <w:sz w:val="20"/>
                <w:szCs w:val="20"/>
              </w:rPr>
              <w:t xml:space="preserve">STUDY PERIOD </w:t>
            </w:r>
            <w:bookmarkStart w:id="4" w:name="dstudyperiod"/>
            <w:r w:rsidRPr="007275F7">
              <w:rPr>
                <w:sz w:val="20"/>
              </w:rPr>
              <w:t>2022</w:t>
            </w:r>
            <w:r w:rsidRPr="007275F7">
              <w:rPr>
                <w:sz w:val="20"/>
                <w:szCs w:val="20"/>
              </w:rPr>
              <w:t>-</w:t>
            </w:r>
            <w:r w:rsidRPr="007275F7">
              <w:rPr>
                <w:sz w:val="20"/>
              </w:rPr>
              <w:t>2024</w:t>
            </w:r>
            <w:bookmarkEnd w:id="4"/>
          </w:p>
        </w:tc>
        <w:tc>
          <w:tcPr>
            <w:tcW w:w="4026" w:type="dxa"/>
            <w:vAlign w:val="center"/>
          </w:tcPr>
          <w:p w14:paraId="7C9A3CD3" w14:textId="59E1C533" w:rsidR="00AF70E4" w:rsidRPr="007275F7" w:rsidRDefault="00AF70E4" w:rsidP="00B21E16">
            <w:pPr>
              <w:pStyle w:val="Docnumber"/>
            </w:pPr>
            <w:r>
              <w:t>TSAG-TD</w:t>
            </w:r>
            <w:r w:rsidR="00DC406B">
              <w:t>0</w:t>
            </w:r>
            <w:r>
              <w:t>42</w:t>
            </w:r>
          </w:p>
        </w:tc>
      </w:tr>
      <w:bookmarkEnd w:id="0"/>
      <w:tr w:rsidR="00AF70E4" w:rsidRPr="007275F7" w14:paraId="6F3C50F2" w14:textId="77777777" w:rsidTr="00B21E16">
        <w:trPr>
          <w:cantSplit/>
        </w:trPr>
        <w:tc>
          <w:tcPr>
            <w:tcW w:w="1132" w:type="dxa"/>
            <w:vMerge/>
          </w:tcPr>
          <w:p w14:paraId="0DF4CB12" w14:textId="77777777" w:rsidR="00AF70E4" w:rsidRPr="007275F7" w:rsidRDefault="00AF70E4" w:rsidP="00B21E16">
            <w:pPr>
              <w:rPr>
                <w:smallCaps/>
                <w:sz w:val="20"/>
              </w:rPr>
            </w:pPr>
          </w:p>
        </w:tc>
        <w:tc>
          <w:tcPr>
            <w:tcW w:w="4481" w:type="dxa"/>
            <w:gridSpan w:val="2"/>
            <w:vMerge/>
          </w:tcPr>
          <w:p w14:paraId="031F39A0" w14:textId="77777777" w:rsidR="00AF70E4" w:rsidRPr="007275F7" w:rsidRDefault="00AF70E4" w:rsidP="00B21E16">
            <w:pPr>
              <w:rPr>
                <w:smallCaps/>
                <w:sz w:val="20"/>
              </w:rPr>
            </w:pPr>
          </w:p>
        </w:tc>
        <w:tc>
          <w:tcPr>
            <w:tcW w:w="4026" w:type="dxa"/>
          </w:tcPr>
          <w:p w14:paraId="5FF2588F" w14:textId="77777777" w:rsidR="00AF70E4" w:rsidRPr="007275F7" w:rsidRDefault="00AF70E4" w:rsidP="00B21E16">
            <w:pPr>
              <w:pStyle w:val="TSBHeaderRight14"/>
            </w:pPr>
            <w:r>
              <w:t>TSAG</w:t>
            </w:r>
          </w:p>
        </w:tc>
      </w:tr>
      <w:tr w:rsidR="00AF70E4" w:rsidRPr="007275F7" w14:paraId="3B633204" w14:textId="77777777" w:rsidTr="00B21E16">
        <w:trPr>
          <w:cantSplit/>
        </w:trPr>
        <w:tc>
          <w:tcPr>
            <w:tcW w:w="1132" w:type="dxa"/>
            <w:vMerge/>
            <w:tcBorders>
              <w:bottom w:val="single" w:sz="12" w:space="0" w:color="auto"/>
            </w:tcBorders>
          </w:tcPr>
          <w:p w14:paraId="77FA5370" w14:textId="77777777" w:rsidR="00AF70E4" w:rsidRPr="007275F7" w:rsidRDefault="00AF70E4" w:rsidP="00B21E16">
            <w:pPr>
              <w:rPr>
                <w:b/>
                <w:bCs/>
                <w:sz w:val="26"/>
              </w:rPr>
            </w:pPr>
          </w:p>
        </w:tc>
        <w:tc>
          <w:tcPr>
            <w:tcW w:w="4481" w:type="dxa"/>
            <w:gridSpan w:val="2"/>
            <w:vMerge/>
            <w:tcBorders>
              <w:bottom w:val="single" w:sz="12" w:space="0" w:color="auto"/>
            </w:tcBorders>
          </w:tcPr>
          <w:p w14:paraId="595FF5E2" w14:textId="77777777" w:rsidR="00AF70E4" w:rsidRPr="007275F7" w:rsidRDefault="00AF70E4" w:rsidP="00B21E16">
            <w:pPr>
              <w:rPr>
                <w:b/>
                <w:bCs/>
                <w:sz w:val="26"/>
              </w:rPr>
            </w:pPr>
          </w:p>
        </w:tc>
        <w:tc>
          <w:tcPr>
            <w:tcW w:w="4026" w:type="dxa"/>
            <w:tcBorders>
              <w:bottom w:val="single" w:sz="12" w:space="0" w:color="auto"/>
            </w:tcBorders>
            <w:vAlign w:val="center"/>
          </w:tcPr>
          <w:p w14:paraId="5168C53A" w14:textId="77777777" w:rsidR="00AF70E4" w:rsidRPr="007275F7" w:rsidRDefault="00AF70E4" w:rsidP="00B21E16">
            <w:pPr>
              <w:pStyle w:val="TSBHeaderRight14"/>
            </w:pPr>
            <w:r w:rsidRPr="007275F7">
              <w:t>Original: English</w:t>
            </w:r>
          </w:p>
        </w:tc>
      </w:tr>
      <w:tr w:rsidR="00AF70E4" w:rsidRPr="007275F7" w14:paraId="697104C6" w14:textId="77777777" w:rsidTr="00B21E16">
        <w:trPr>
          <w:cantSplit/>
        </w:trPr>
        <w:tc>
          <w:tcPr>
            <w:tcW w:w="1587" w:type="dxa"/>
            <w:gridSpan w:val="2"/>
          </w:tcPr>
          <w:p w14:paraId="6782852A" w14:textId="77777777" w:rsidR="00AF70E4" w:rsidRPr="007275F7" w:rsidRDefault="00AF70E4" w:rsidP="00B21E16">
            <w:pPr>
              <w:rPr>
                <w:b/>
                <w:bCs/>
              </w:rPr>
            </w:pPr>
            <w:bookmarkStart w:id="5" w:name="dbluepink" w:colFirst="1" w:colLast="1"/>
            <w:bookmarkStart w:id="6" w:name="dmeeting" w:colFirst="2" w:colLast="2"/>
            <w:bookmarkEnd w:id="1"/>
            <w:r w:rsidRPr="007275F7">
              <w:rPr>
                <w:b/>
                <w:bCs/>
              </w:rPr>
              <w:t>Question(s):</w:t>
            </w:r>
          </w:p>
        </w:tc>
        <w:tc>
          <w:tcPr>
            <w:tcW w:w="4026" w:type="dxa"/>
          </w:tcPr>
          <w:p w14:paraId="153B8190" w14:textId="77777777" w:rsidR="00AF70E4" w:rsidRPr="007275F7" w:rsidRDefault="00AF70E4" w:rsidP="00B21E16">
            <w:pPr>
              <w:pStyle w:val="TSBHeaderQuestion"/>
            </w:pPr>
            <w:r w:rsidRPr="007275F7">
              <w:t>N/A</w:t>
            </w:r>
          </w:p>
        </w:tc>
        <w:tc>
          <w:tcPr>
            <w:tcW w:w="4026" w:type="dxa"/>
          </w:tcPr>
          <w:p w14:paraId="26E63AF8" w14:textId="77777777" w:rsidR="00AF70E4" w:rsidRPr="007275F7" w:rsidRDefault="00AF70E4" w:rsidP="00B21E16">
            <w:pPr>
              <w:pStyle w:val="VenueDate"/>
            </w:pPr>
            <w:r w:rsidRPr="007275F7">
              <w:t>Geneva, 12-16 December 2022</w:t>
            </w:r>
          </w:p>
        </w:tc>
      </w:tr>
      <w:tr w:rsidR="00AF70E4" w:rsidRPr="007275F7" w14:paraId="00247F92" w14:textId="77777777" w:rsidTr="00B21E16">
        <w:trPr>
          <w:cantSplit/>
        </w:trPr>
        <w:tc>
          <w:tcPr>
            <w:tcW w:w="9639" w:type="dxa"/>
            <w:gridSpan w:val="4"/>
          </w:tcPr>
          <w:p w14:paraId="2FD1011D" w14:textId="77777777" w:rsidR="00AF70E4" w:rsidRPr="007275F7" w:rsidRDefault="00AF70E4" w:rsidP="00B21E16">
            <w:pPr>
              <w:jc w:val="center"/>
              <w:rPr>
                <w:b/>
                <w:bCs/>
              </w:rPr>
            </w:pPr>
            <w:bookmarkStart w:id="7" w:name="ddoctype"/>
            <w:bookmarkStart w:id="8" w:name="dtitle" w:colFirst="0" w:colLast="0"/>
            <w:bookmarkEnd w:id="5"/>
            <w:bookmarkEnd w:id="6"/>
            <w:r w:rsidRPr="007275F7">
              <w:rPr>
                <w:b/>
                <w:bCs/>
              </w:rPr>
              <w:t>TD</w:t>
            </w:r>
          </w:p>
        </w:tc>
      </w:tr>
      <w:tr w:rsidR="00AF70E4" w:rsidRPr="007275F7" w14:paraId="5B20FC0F" w14:textId="77777777" w:rsidTr="00B21E16">
        <w:trPr>
          <w:cantSplit/>
        </w:trPr>
        <w:tc>
          <w:tcPr>
            <w:tcW w:w="1587" w:type="dxa"/>
            <w:gridSpan w:val="2"/>
          </w:tcPr>
          <w:p w14:paraId="133EA2D6" w14:textId="77777777" w:rsidR="00AF70E4" w:rsidRPr="007275F7" w:rsidRDefault="00AF70E4" w:rsidP="00B21E16">
            <w:pPr>
              <w:rPr>
                <w:b/>
                <w:bCs/>
              </w:rPr>
            </w:pPr>
            <w:bookmarkStart w:id="9" w:name="dsource" w:colFirst="1" w:colLast="1"/>
            <w:bookmarkEnd w:id="7"/>
            <w:bookmarkEnd w:id="8"/>
            <w:r w:rsidRPr="007275F7">
              <w:rPr>
                <w:b/>
                <w:bCs/>
              </w:rPr>
              <w:t>Source:</w:t>
            </w:r>
          </w:p>
        </w:tc>
        <w:tc>
          <w:tcPr>
            <w:tcW w:w="8052" w:type="dxa"/>
            <w:gridSpan w:val="2"/>
          </w:tcPr>
          <w:p w14:paraId="64F9B852" w14:textId="77777777" w:rsidR="00AF70E4" w:rsidRPr="007275F7" w:rsidRDefault="00AF70E4" w:rsidP="00B21E16">
            <w:pPr>
              <w:pStyle w:val="TSBHeaderSource"/>
            </w:pPr>
            <w:r>
              <w:t xml:space="preserve">Chairman </w:t>
            </w:r>
            <w:r w:rsidRPr="007275F7">
              <w:t>AHG-GME</w:t>
            </w:r>
          </w:p>
        </w:tc>
      </w:tr>
      <w:tr w:rsidR="00AF70E4" w:rsidRPr="007275F7" w14:paraId="62A35562" w14:textId="77777777" w:rsidTr="00B21E16">
        <w:trPr>
          <w:cantSplit/>
        </w:trPr>
        <w:tc>
          <w:tcPr>
            <w:tcW w:w="1587" w:type="dxa"/>
            <w:gridSpan w:val="2"/>
            <w:tcBorders>
              <w:bottom w:val="single" w:sz="8" w:space="0" w:color="auto"/>
            </w:tcBorders>
          </w:tcPr>
          <w:p w14:paraId="1B72A870" w14:textId="77777777" w:rsidR="00AF70E4" w:rsidRPr="007275F7" w:rsidRDefault="00AF70E4" w:rsidP="00B21E16">
            <w:pPr>
              <w:rPr>
                <w:b/>
                <w:bCs/>
              </w:rPr>
            </w:pPr>
            <w:bookmarkStart w:id="10" w:name="dtitle1" w:colFirst="1" w:colLast="1"/>
            <w:bookmarkEnd w:id="9"/>
            <w:r w:rsidRPr="007275F7">
              <w:rPr>
                <w:b/>
                <w:bCs/>
              </w:rPr>
              <w:t>Title:</w:t>
            </w:r>
          </w:p>
        </w:tc>
        <w:tc>
          <w:tcPr>
            <w:tcW w:w="8052" w:type="dxa"/>
            <w:gridSpan w:val="2"/>
            <w:tcBorders>
              <w:bottom w:val="single" w:sz="8" w:space="0" w:color="auto"/>
            </w:tcBorders>
          </w:tcPr>
          <w:p w14:paraId="18B49420" w14:textId="77777777" w:rsidR="00AF70E4" w:rsidRPr="007275F7" w:rsidRDefault="00AF70E4" w:rsidP="00B21E16">
            <w:pPr>
              <w:pStyle w:val="TSBHeaderTitle"/>
            </w:pPr>
            <w:r w:rsidRPr="009629A0">
              <w:t>AHG-GME</w:t>
            </w:r>
            <w:r>
              <w:t xml:space="preserve">: Overall activity chair's </w:t>
            </w:r>
            <w:r w:rsidRPr="009629A0">
              <w:t xml:space="preserve">report </w:t>
            </w:r>
            <w:r>
              <w:t>(</w:t>
            </w:r>
            <w:r>
              <w:rPr>
                <w:noProof/>
              </w:rPr>
              <w:t>December 2021 – December 2022</w:t>
            </w:r>
            <w:r>
              <w:t>)</w:t>
            </w:r>
          </w:p>
        </w:tc>
      </w:tr>
      <w:tr w:rsidR="00AF70E4" w:rsidRPr="00DC406B" w14:paraId="092AD2F7" w14:textId="77777777" w:rsidTr="00B21E16">
        <w:trPr>
          <w:cantSplit/>
        </w:trPr>
        <w:tc>
          <w:tcPr>
            <w:tcW w:w="1587" w:type="dxa"/>
            <w:gridSpan w:val="2"/>
            <w:tcBorders>
              <w:top w:val="single" w:sz="8" w:space="0" w:color="auto"/>
              <w:bottom w:val="single" w:sz="8" w:space="0" w:color="auto"/>
            </w:tcBorders>
          </w:tcPr>
          <w:p w14:paraId="2F0F6E90" w14:textId="77777777" w:rsidR="00AF70E4" w:rsidRPr="00136DDD" w:rsidRDefault="00AF70E4" w:rsidP="00B21E16">
            <w:pPr>
              <w:rPr>
                <w:b/>
                <w:bCs/>
              </w:rPr>
            </w:pPr>
            <w:bookmarkStart w:id="11" w:name="dcontact"/>
            <w:bookmarkStart w:id="12" w:name="dcontact1"/>
            <w:bookmarkStart w:id="13" w:name="dcontent1" w:colFirst="1" w:colLast="1"/>
            <w:bookmarkEnd w:id="2"/>
            <w:bookmarkEnd w:id="10"/>
            <w:r w:rsidRPr="2149A48D">
              <w:rPr>
                <w:b/>
                <w:bCs/>
              </w:rPr>
              <w:t>Contact:</w:t>
            </w:r>
          </w:p>
        </w:tc>
        <w:tc>
          <w:tcPr>
            <w:tcW w:w="4026" w:type="dxa"/>
            <w:tcBorders>
              <w:top w:val="single" w:sz="8" w:space="0" w:color="auto"/>
              <w:bottom w:val="single" w:sz="8" w:space="0" w:color="auto"/>
            </w:tcBorders>
          </w:tcPr>
          <w:p w14:paraId="7E115B9B" w14:textId="77777777" w:rsidR="00AF70E4" w:rsidRPr="00801B42" w:rsidRDefault="00AF70E4" w:rsidP="00B21E16">
            <w:r>
              <w:t>Phil Rushton</w:t>
            </w:r>
            <w:r>
              <w:br/>
              <w:t>UK</w:t>
            </w:r>
          </w:p>
        </w:tc>
        <w:tc>
          <w:tcPr>
            <w:tcW w:w="4026" w:type="dxa"/>
            <w:tcBorders>
              <w:top w:val="single" w:sz="8" w:space="0" w:color="auto"/>
              <w:bottom w:val="single" w:sz="8" w:space="0" w:color="auto"/>
            </w:tcBorders>
          </w:tcPr>
          <w:p w14:paraId="7AF44C94" w14:textId="77777777" w:rsidR="00AF70E4" w:rsidRPr="007275F7" w:rsidRDefault="00AF70E4" w:rsidP="00B21E16">
            <w:pPr>
              <w:tabs>
                <w:tab w:val="left" w:pos="794"/>
              </w:tabs>
              <w:rPr>
                <w:lang w:val="pt-BR"/>
              </w:rPr>
            </w:pPr>
            <w:r w:rsidRPr="007275F7">
              <w:rPr>
                <w:lang w:val="pt-BR"/>
              </w:rPr>
              <w:t>Tel:</w:t>
            </w:r>
            <w:r w:rsidRPr="007275F7">
              <w:rPr>
                <w:lang w:val="pt-BR"/>
              </w:rPr>
              <w:tab/>
              <w:t>+44 20 3286 3085</w:t>
            </w:r>
            <w:r w:rsidRPr="007275F7">
              <w:rPr>
                <w:lang w:val="pt-BR"/>
              </w:rPr>
              <w:br/>
              <w:t xml:space="preserve">E-mail: </w:t>
            </w:r>
            <w:hyperlink r:id="rId12" w:history="1">
              <w:r w:rsidRPr="00F650F1">
                <w:rPr>
                  <w:rStyle w:val="Hyperlink"/>
                  <w:lang w:val="pt-BR"/>
                </w:rPr>
                <w:t>philrushton@rcc-uk.uk</w:t>
              </w:r>
            </w:hyperlink>
          </w:p>
        </w:tc>
      </w:tr>
      <w:bookmarkEnd w:id="11"/>
      <w:bookmarkEnd w:id="12"/>
      <w:bookmarkEnd w:id="13"/>
    </w:tbl>
    <w:p w14:paraId="4AEBF152" w14:textId="77777777" w:rsidR="00AF70E4" w:rsidRPr="007275F7" w:rsidRDefault="00AF70E4" w:rsidP="00AF70E4">
      <w:pPr>
        <w:rPr>
          <w:lang w:val="pt-BR"/>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136DDD" w14:paraId="101F633C" w14:textId="77777777" w:rsidTr="004646F1">
        <w:trPr>
          <w:cantSplit/>
        </w:trPr>
        <w:tc>
          <w:tcPr>
            <w:tcW w:w="1588" w:type="dxa"/>
          </w:tcPr>
          <w:p w14:paraId="65C41448" w14:textId="77777777" w:rsidR="0089088E" w:rsidRPr="00136DDD" w:rsidRDefault="0089088E" w:rsidP="005976A1">
            <w:pPr>
              <w:rPr>
                <w:b/>
                <w:bCs/>
              </w:rPr>
            </w:pPr>
            <w:r w:rsidRPr="00136DDD">
              <w:rPr>
                <w:b/>
                <w:bCs/>
              </w:rPr>
              <w:t>Abstract:</w:t>
            </w:r>
          </w:p>
        </w:tc>
        <w:tc>
          <w:tcPr>
            <w:tcW w:w="8051" w:type="dxa"/>
          </w:tcPr>
          <w:p w14:paraId="2E4B0C30" w14:textId="28E3FFEF" w:rsidR="0089088E" w:rsidRPr="008249A7" w:rsidRDefault="00885A94" w:rsidP="009629A0">
            <w:pPr>
              <w:pStyle w:val="TSBHeaderSummary"/>
              <w:rPr>
                <w:highlight w:val="yellow"/>
              </w:rPr>
            </w:pPr>
            <w:r w:rsidRPr="00885A94">
              <w:t>This Chair’s report describe</w:t>
            </w:r>
            <w:r w:rsidR="009629A0">
              <w:t>s</w:t>
            </w:r>
            <w:r w:rsidRPr="00885A94">
              <w:t xml:space="preserve"> the work of the </w:t>
            </w:r>
            <w:r w:rsidR="009629A0">
              <w:t>Ad</w:t>
            </w:r>
            <w:r>
              <w:t xml:space="preserve">-hoc </w:t>
            </w:r>
            <w:r w:rsidR="009629A0">
              <w:t xml:space="preserve">Group </w:t>
            </w:r>
            <w:r>
              <w:t xml:space="preserve">on Governance and Management of e-meetings, identifies the output that was submitted to TSAG, and proposes </w:t>
            </w:r>
            <w:r w:rsidR="00D1165B">
              <w:t>that the output of the AHG-GME be considered by TSAG in the deliberations of its next steps</w:t>
            </w:r>
            <w:r w:rsidR="008D2968">
              <w:t xml:space="preserve"> for </w:t>
            </w:r>
            <w:r w:rsidR="008D2968" w:rsidRPr="007275F7">
              <w:t>governance and management of e-meetings</w:t>
            </w:r>
            <w:r w:rsidR="00D1165B">
              <w:t>.</w:t>
            </w:r>
          </w:p>
        </w:tc>
      </w:tr>
    </w:tbl>
    <w:bookmarkEnd w:id="3"/>
    <w:p w14:paraId="77FFF46D" w14:textId="4BD1A8C9" w:rsidR="008D2968" w:rsidRDefault="008D2968" w:rsidP="008D2968">
      <w:r w:rsidRPr="008D2968">
        <w:rPr>
          <w:b/>
          <w:bCs/>
        </w:rPr>
        <w:t>Action by TSAG:</w:t>
      </w:r>
      <w:r>
        <w:t xml:space="preserve"> TSAG to consider the AHG-</w:t>
      </w:r>
      <w:r w:rsidRPr="008D2968">
        <w:t>GME outputs (</w:t>
      </w:r>
      <w:hyperlink r:id="rId13" w:history="1">
        <w:r w:rsidRPr="008D2968">
          <w:rPr>
            <w:rStyle w:val="Hyperlink"/>
          </w:rPr>
          <w:t>TSAG-TD110</w:t>
        </w:r>
      </w:hyperlink>
      <w:r w:rsidRPr="008D2968">
        <w:t xml:space="preserve"> and </w:t>
      </w:r>
      <w:hyperlink r:id="rId14" w:history="1">
        <w:r w:rsidRPr="008D2968">
          <w:rPr>
            <w:rStyle w:val="Hyperlink"/>
          </w:rPr>
          <w:t>TSAG-TD42 Annex B)</w:t>
        </w:r>
      </w:hyperlink>
      <w:r>
        <w:t xml:space="preserve"> in its deliberations concerning the next steps for </w:t>
      </w:r>
      <w:r w:rsidRPr="007275F7">
        <w:t>governance and management of e-meetings</w:t>
      </w:r>
      <w:r>
        <w:t>.</w:t>
      </w:r>
    </w:p>
    <w:p w14:paraId="795CFE6E" w14:textId="7D77CCFD" w:rsidR="00885A94" w:rsidRPr="003C09AF" w:rsidRDefault="00885A94" w:rsidP="00885A94">
      <w:pPr>
        <w:pStyle w:val="Heading1"/>
      </w:pPr>
      <w:r w:rsidRPr="003C09AF">
        <w:t>Introduction</w:t>
      </w:r>
    </w:p>
    <w:p w14:paraId="7F99BAF7" w14:textId="2992508D" w:rsidR="00885A94" w:rsidRDefault="00885A94" w:rsidP="00885A94">
      <w:r>
        <w:t xml:space="preserve">The </w:t>
      </w:r>
      <w:r w:rsidR="009629A0">
        <w:t>TSAG</w:t>
      </w:r>
      <w:r w:rsidR="009629A0" w:rsidRPr="007275F7">
        <w:t xml:space="preserve"> Ad-hoc Group on Governance and Management of e-meetings (</w:t>
      </w:r>
      <w:r>
        <w:t>AHG GME</w:t>
      </w:r>
      <w:r w:rsidR="009629A0">
        <w:t>)</w:t>
      </w:r>
      <w:r>
        <w:t xml:space="preserve"> was established by TSAG </w:t>
      </w:r>
      <w:r w:rsidR="007275F7">
        <w:t xml:space="preserve">in </w:t>
      </w:r>
      <w:r>
        <w:t xml:space="preserve">2021.  The terms of reference were renewed by TSAG (January 2022) for the AHG-GME to provide input into the next TSAG meeting (December 2022).  It met </w:t>
      </w:r>
      <w:r w:rsidR="009629A0">
        <w:t>five</w:t>
      </w:r>
      <w:r>
        <w:t xml:space="preserve"> times.  The notes of these meetings are listed in Annex A.</w:t>
      </w:r>
    </w:p>
    <w:p w14:paraId="47A6A36B" w14:textId="77777777" w:rsidR="00885A94" w:rsidRDefault="00885A94" w:rsidP="00885A94">
      <w:r>
        <w:t>This is the Chair’s report of the activity of the Ad-hoc group on the governance of e-meetings (AHG-GME).  It is a chair’s report as there was insufficient time between the last meeting of the AHG-GME and the deadline for submissions to TSAG meeting of December 2022 to prepare and obtain agreement of a report from the AHG-GME.</w:t>
      </w:r>
    </w:p>
    <w:p w14:paraId="1AC6E5B2" w14:textId="1457D573" w:rsidR="00F62D55" w:rsidRDefault="00885A94" w:rsidP="009629A0">
      <w:pPr>
        <w:pStyle w:val="Heading1"/>
      </w:pPr>
      <w:r w:rsidRPr="003C09AF">
        <w:t>Activit</w:t>
      </w:r>
      <w:r w:rsidR="00F62D55">
        <w:t>ies</w:t>
      </w:r>
    </w:p>
    <w:p w14:paraId="5ED82C4A" w14:textId="2F52AEF8" w:rsidR="00885A94" w:rsidRPr="003C09AF" w:rsidRDefault="00885A94" w:rsidP="009629A0">
      <w:pPr>
        <w:pStyle w:val="Heading2"/>
      </w:pPr>
      <w:r>
        <w:t>1) AHG-GME</w:t>
      </w:r>
    </w:p>
    <w:p w14:paraId="26280CB8" w14:textId="0F7F3B12" w:rsidR="00885A94" w:rsidRDefault="00885A94" w:rsidP="00885A94">
      <w:r>
        <w:t xml:space="preserve">In establishing the AHG-GME, TSAG (December 2021) identified a number of input documents that can be viewed </w:t>
      </w:r>
      <w:hyperlink r:id="rId15" w:history="1">
        <w:r w:rsidRPr="0042716F">
          <w:rPr>
            <w:rStyle w:val="Hyperlink"/>
          </w:rPr>
          <w:t>here</w:t>
        </w:r>
      </w:hyperlink>
      <w:r>
        <w:t>.  These input documents</w:t>
      </w:r>
      <w:r w:rsidR="005F5C12">
        <w:t>, including management, organisation and accessibility aspects</w:t>
      </w:r>
      <w:r>
        <w:t xml:space="preserve"> were reviewed and provided an initial list of issues that needed to be addressed</w:t>
      </w:r>
      <w:r w:rsidR="005F5C12">
        <w:t>.</w:t>
      </w:r>
      <w:r>
        <w:t xml:space="preserve"> </w:t>
      </w:r>
      <w:r w:rsidR="005F5C12">
        <w:t xml:space="preserve">This review </w:t>
      </w:r>
      <w:r>
        <w:t>provide</w:t>
      </w:r>
      <w:r w:rsidR="005F5C12">
        <w:t>d</w:t>
      </w:r>
      <w:r>
        <w:t xml:space="preserve"> the basis of the text for the potential rules and guidance associated with the governance and management of e-meetings.</w:t>
      </w:r>
    </w:p>
    <w:p w14:paraId="697CAFA8" w14:textId="77777777" w:rsidR="00885A94" w:rsidRDefault="00885A94" w:rsidP="00885A94">
      <w:r>
        <w:t>This initial list of potential rules and guidance were further reviewed in order that similar rules and guidance could be collated together.  As a result, a number of potential duplicative rules and guidance that were collected from the input documents could be removed.</w:t>
      </w:r>
    </w:p>
    <w:p w14:paraId="6F6B9E70" w14:textId="7A17A22B" w:rsidR="00885A94" w:rsidRDefault="00885A94" w:rsidP="00885A94">
      <w:r>
        <w:t>In addition to the input documents, guidelines from ITU-T SG15 were provided that were also discussed as potential input into the rules and guidance being developed by AHG-GME. Those elements from ITU-T SG15 which did not duplicate existing potential rules and guidance text were added to the list being reviewed by the AHG-GME.</w:t>
      </w:r>
    </w:p>
    <w:p w14:paraId="0EAA29CC" w14:textId="558925E3" w:rsidR="00885A94" w:rsidRDefault="00885A94" w:rsidP="00885A94">
      <w:r>
        <w:lastRenderedPageBreak/>
        <w:t>The list of potential rules and guidance for the governance of e-meetings was further reviewed, amended and structured and the result was further revised during the last meeting of the AHG-GME. The subsequent document was submitted as input into TSAG (December 2022) by the AHG-GME Chair (</w:t>
      </w:r>
      <w:hyperlink r:id="rId16" w:history="1">
        <w:r w:rsidRPr="00885A94">
          <w:rPr>
            <w:rStyle w:val="Hyperlink"/>
          </w:rPr>
          <w:t>TSAG-TD110</w:t>
        </w:r>
      </w:hyperlink>
      <w:r>
        <w:t>).</w:t>
      </w:r>
    </w:p>
    <w:p w14:paraId="31123B5F" w14:textId="24C7087F" w:rsidR="00885A94" w:rsidRDefault="00885A94" w:rsidP="00885A94">
      <w:r>
        <w:t>No decision was taken by the AHG-GME as to whether the output of the AHG-GME should be included in the A series ITU-T Recommendations or in Supplement 4 to the A series Recommendations.  Instead, this was thought to a more appropriate discussion and decision at TSAG.</w:t>
      </w:r>
    </w:p>
    <w:p w14:paraId="1E872273" w14:textId="0898BED7" w:rsidR="00885A94" w:rsidRPr="00885A94" w:rsidRDefault="00885A94" w:rsidP="009629A0">
      <w:pPr>
        <w:pStyle w:val="Heading2"/>
      </w:pPr>
      <w:r w:rsidRPr="00885A94">
        <w:t>2) Parallel Activity</w:t>
      </w:r>
    </w:p>
    <w:p w14:paraId="19FF63C8" w14:textId="226F2CD1" w:rsidR="008D54BD" w:rsidRDefault="00885A94" w:rsidP="008D54BD">
      <w:r>
        <w:t>In parallel to the activity of the AHG-GME</w:t>
      </w:r>
      <w:r w:rsidR="008D54BD">
        <w:t xml:space="preserve"> (which is focused </w:t>
      </w:r>
      <w:r w:rsidR="006D2E4E">
        <w:t>on providing guidance on remote participation to the ITU-T Sector)</w:t>
      </w:r>
      <w:r>
        <w:t xml:space="preserve">, activity was initiated at Council and submissions were made to Plenipotentiary Conference </w:t>
      </w:r>
      <w:r w:rsidR="008D54BD">
        <w:t xml:space="preserve">(PP-22) </w:t>
      </w:r>
      <w:r>
        <w:t xml:space="preserve">in the same period.  </w:t>
      </w:r>
      <w:r w:rsidR="008D54BD">
        <w:t>A non-agreed proposed resolution at WTSA-20 on use of in-person and virtual options on an equal footing in the activities of the ITU Telecommunication Standardization Sector was shared for information with PP-22 and with the AHG-GME</w:t>
      </w:r>
      <w:r w:rsidR="00F62D55">
        <w:t>.</w:t>
      </w:r>
      <w:r w:rsidR="005F5C12">
        <w:t xml:space="preserve">  Plenipotentiary Conference 22 also tasked Council to undertake activities in this area.</w:t>
      </w:r>
    </w:p>
    <w:p w14:paraId="780F6227" w14:textId="7FD2DF1A" w:rsidR="00885A94" w:rsidRDefault="00885A94" w:rsidP="00885A94">
      <w:r>
        <w:t>The AHG-GME also identified some initial definitions for the following various types of meetings</w:t>
      </w:r>
      <w:r w:rsidR="009629A0">
        <w:t>:</w:t>
      </w:r>
    </w:p>
    <w:p w14:paraId="01356DF4" w14:textId="77777777" w:rsidR="00885A94" w:rsidRDefault="00885A94" w:rsidP="00357454">
      <w:pPr>
        <w:numPr>
          <w:ilvl w:val="0"/>
          <w:numId w:val="15"/>
        </w:numPr>
        <w:overflowPunct w:val="0"/>
        <w:autoSpaceDE w:val="0"/>
        <w:autoSpaceDN w:val="0"/>
        <w:adjustRightInd w:val="0"/>
        <w:ind w:left="567" w:hanging="567"/>
        <w:textAlignment w:val="baseline"/>
      </w:pPr>
      <w:r>
        <w:t>Physical meeting</w:t>
      </w:r>
    </w:p>
    <w:p w14:paraId="3F7E1BA3" w14:textId="77777777" w:rsidR="005F5C12" w:rsidRDefault="005F5C12" w:rsidP="005F5C12">
      <w:pPr>
        <w:numPr>
          <w:ilvl w:val="0"/>
          <w:numId w:val="15"/>
        </w:numPr>
        <w:overflowPunct w:val="0"/>
        <w:autoSpaceDE w:val="0"/>
        <w:autoSpaceDN w:val="0"/>
        <w:adjustRightInd w:val="0"/>
        <w:ind w:left="567" w:hanging="567"/>
        <w:textAlignment w:val="baseline"/>
      </w:pPr>
      <w:r>
        <w:t>Virtual meeting</w:t>
      </w:r>
    </w:p>
    <w:p w14:paraId="63F71F7E" w14:textId="77777777" w:rsidR="005F5C12" w:rsidRDefault="005F5C12" w:rsidP="005F5C12">
      <w:pPr>
        <w:numPr>
          <w:ilvl w:val="0"/>
          <w:numId w:val="15"/>
        </w:numPr>
        <w:overflowPunct w:val="0"/>
        <w:autoSpaceDE w:val="0"/>
        <w:autoSpaceDN w:val="0"/>
        <w:adjustRightInd w:val="0"/>
        <w:ind w:left="567" w:hanging="567"/>
        <w:textAlignment w:val="baseline"/>
      </w:pPr>
      <w:r>
        <w:t>Hybrid Meeting</w:t>
      </w:r>
    </w:p>
    <w:p w14:paraId="79C7DFD0" w14:textId="77777777" w:rsidR="00885A94" w:rsidRDefault="00885A94" w:rsidP="00357454">
      <w:pPr>
        <w:numPr>
          <w:ilvl w:val="0"/>
          <w:numId w:val="15"/>
        </w:numPr>
        <w:overflowPunct w:val="0"/>
        <w:autoSpaceDE w:val="0"/>
        <w:autoSpaceDN w:val="0"/>
        <w:adjustRightInd w:val="0"/>
        <w:ind w:left="567" w:hanging="567"/>
        <w:textAlignment w:val="baseline"/>
      </w:pPr>
      <w:r>
        <w:t>Physical meeting with remote participation</w:t>
      </w:r>
    </w:p>
    <w:p w14:paraId="7C03F091" w14:textId="77777777" w:rsidR="00885A94" w:rsidRDefault="00885A94" w:rsidP="00885A94">
      <w:r>
        <w:t xml:space="preserve">These definitions (see Annex B) were intended to provide a basis for a common understanding of the context of such an application.  These definitions were never finalised, and potential rules and guidance for hybrid meetings were not considered.  </w:t>
      </w:r>
    </w:p>
    <w:p w14:paraId="04DE10BE" w14:textId="77777777" w:rsidR="00885A94" w:rsidRDefault="00885A94" w:rsidP="00885A94">
      <w:r>
        <w:t>Consideration could be given to providing information for Council to consider in its deliberations of issues that fall under its purview in this area.</w:t>
      </w:r>
    </w:p>
    <w:p w14:paraId="674016DD" w14:textId="77777777" w:rsidR="00885A94" w:rsidRDefault="00885A94" w:rsidP="009629A0">
      <w:pPr>
        <w:pStyle w:val="Heading1"/>
      </w:pPr>
      <w:r>
        <w:t>Proposal</w:t>
      </w:r>
    </w:p>
    <w:p w14:paraId="604CBCD0" w14:textId="77777777" w:rsidR="007275F7" w:rsidRDefault="00885A94" w:rsidP="00885A94">
      <w:r w:rsidRPr="00885A94">
        <w:t>That TSAG consider the output of the AHG GME when deciding the next activities regarding governance and management of e-meetings.</w:t>
      </w:r>
    </w:p>
    <w:p w14:paraId="65A32D9F" w14:textId="77777777" w:rsidR="007275F7" w:rsidRDefault="007275F7" w:rsidP="00885A94"/>
    <w:p w14:paraId="3E30E2A3" w14:textId="4F89698D" w:rsidR="00885A94" w:rsidRPr="00885A94" w:rsidRDefault="00885A94" w:rsidP="00885A94">
      <w:r w:rsidRPr="00885A94">
        <w:br w:type="page"/>
      </w:r>
    </w:p>
    <w:p w14:paraId="747359B5" w14:textId="271500F4" w:rsidR="00885A94" w:rsidRPr="008B68F5" w:rsidRDefault="00885A94" w:rsidP="007275F7">
      <w:pPr>
        <w:pStyle w:val="AnnexNotitle"/>
      </w:pPr>
      <w:r w:rsidRPr="008B68F5">
        <w:lastRenderedPageBreak/>
        <w:t>Annex A</w:t>
      </w:r>
      <w:r w:rsidR="007275F7">
        <w:br/>
      </w:r>
      <w:r w:rsidRPr="008B68F5">
        <w:t>AHG-GME meeting reports</w:t>
      </w:r>
    </w:p>
    <w:p w14:paraId="0845746F" w14:textId="4850E7F2" w:rsidR="00885A94" w:rsidRPr="007275F7" w:rsidRDefault="00885A94" w:rsidP="007275F7">
      <w:pPr>
        <w:numPr>
          <w:ilvl w:val="0"/>
          <w:numId w:val="14"/>
        </w:numPr>
        <w:overflowPunct w:val="0"/>
        <w:autoSpaceDE w:val="0"/>
        <w:autoSpaceDN w:val="0"/>
        <w:adjustRightInd w:val="0"/>
        <w:ind w:left="567" w:hanging="567"/>
        <w:textAlignment w:val="baseline"/>
      </w:pPr>
      <w:r w:rsidRPr="007275F7">
        <w:t xml:space="preserve">1st Meeting report </w:t>
      </w:r>
      <w:hyperlink r:id="rId17" w:history="1">
        <w:r w:rsidRPr="007275F7">
          <w:rPr>
            <w:rStyle w:val="Hyperlink"/>
          </w:rPr>
          <w:t>TSAG AHG-GME-DOC6</w:t>
        </w:r>
      </w:hyperlink>
      <w:r w:rsidR="007275F7" w:rsidRPr="007275F7">
        <w:t xml:space="preserve"> (2021-12)</w:t>
      </w:r>
    </w:p>
    <w:p w14:paraId="6B908D94" w14:textId="45F00B3D" w:rsidR="00885A94" w:rsidRPr="007275F7" w:rsidRDefault="00885A94" w:rsidP="007275F7">
      <w:pPr>
        <w:numPr>
          <w:ilvl w:val="0"/>
          <w:numId w:val="14"/>
        </w:numPr>
        <w:overflowPunct w:val="0"/>
        <w:autoSpaceDE w:val="0"/>
        <w:autoSpaceDN w:val="0"/>
        <w:adjustRightInd w:val="0"/>
        <w:ind w:left="567" w:hanging="567"/>
        <w:textAlignment w:val="baseline"/>
      </w:pPr>
      <w:r w:rsidRPr="007275F7">
        <w:t xml:space="preserve">2nd Meeting report </w:t>
      </w:r>
      <w:hyperlink r:id="rId18" w:history="1">
        <w:r w:rsidRPr="007275F7">
          <w:rPr>
            <w:rStyle w:val="Hyperlink"/>
          </w:rPr>
          <w:t>TSAG AHG-GME-DOC10</w:t>
        </w:r>
      </w:hyperlink>
      <w:r w:rsidR="007275F7" w:rsidRPr="007275F7">
        <w:t xml:space="preserve"> (2022-04)</w:t>
      </w:r>
    </w:p>
    <w:p w14:paraId="23945D01" w14:textId="3EB420A2" w:rsidR="00885A94" w:rsidRPr="007275F7" w:rsidRDefault="00885A94" w:rsidP="007275F7">
      <w:pPr>
        <w:numPr>
          <w:ilvl w:val="0"/>
          <w:numId w:val="14"/>
        </w:numPr>
        <w:overflowPunct w:val="0"/>
        <w:autoSpaceDE w:val="0"/>
        <w:autoSpaceDN w:val="0"/>
        <w:adjustRightInd w:val="0"/>
        <w:ind w:left="567" w:hanging="567"/>
        <w:textAlignment w:val="baseline"/>
      </w:pPr>
      <w:r w:rsidRPr="007275F7">
        <w:t xml:space="preserve">3rd Meeting report </w:t>
      </w:r>
      <w:hyperlink r:id="rId19" w:history="1">
        <w:r w:rsidRPr="007275F7">
          <w:rPr>
            <w:rStyle w:val="Hyperlink"/>
          </w:rPr>
          <w:t>TSAG AHG-GME-DOC16</w:t>
        </w:r>
      </w:hyperlink>
      <w:r w:rsidR="007275F7" w:rsidRPr="007275F7">
        <w:t xml:space="preserve"> (2022-06)</w:t>
      </w:r>
    </w:p>
    <w:p w14:paraId="0DC0BB1F" w14:textId="33ADCB0E" w:rsidR="00885A94" w:rsidRPr="007275F7" w:rsidRDefault="00885A94" w:rsidP="007275F7">
      <w:pPr>
        <w:numPr>
          <w:ilvl w:val="0"/>
          <w:numId w:val="14"/>
        </w:numPr>
        <w:overflowPunct w:val="0"/>
        <w:autoSpaceDE w:val="0"/>
        <w:autoSpaceDN w:val="0"/>
        <w:adjustRightInd w:val="0"/>
        <w:ind w:left="567" w:hanging="567"/>
        <w:textAlignment w:val="baseline"/>
      </w:pPr>
      <w:r w:rsidRPr="007275F7">
        <w:t xml:space="preserve">4th Meeting Report </w:t>
      </w:r>
      <w:hyperlink r:id="rId20" w:history="1">
        <w:r w:rsidRPr="007275F7">
          <w:rPr>
            <w:rStyle w:val="Hyperlink"/>
          </w:rPr>
          <w:t>TSAG AHG-GME-DOC21</w:t>
        </w:r>
      </w:hyperlink>
      <w:r w:rsidR="007275F7" w:rsidRPr="007275F7">
        <w:t xml:space="preserve"> (2022-08)</w:t>
      </w:r>
    </w:p>
    <w:p w14:paraId="35D739E0" w14:textId="7CFB57D1" w:rsidR="00885A94" w:rsidRPr="005E14E3" w:rsidRDefault="00885A94" w:rsidP="007275F7">
      <w:pPr>
        <w:numPr>
          <w:ilvl w:val="0"/>
          <w:numId w:val="14"/>
        </w:numPr>
        <w:overflowPunct w:val="0"/>
        <w:autoSpaceDE w:val="0"/>
        <w:autoSpaceDN w:val="0"/>
        <w:adjustRightInd w:val="0"/>
        <w:ind w:left="567" w:hanging="567"/>
        <w:textAlignment w:val="baseline"/>
      </w:pPr>
      <w:r w:rsidRPr="005E14E3">
        <w:t xml:space="preserve">5th Meeting report </w:t>
      </w:r>
      <w:hyperlink r:id="rId21" w:history="1">
        <w:r w:rsidR="006D2E4E" w:rsidRPr="005E14E3">
          <w:rPr>
            <w:rStyle w:val="Hyperlink"/>
          </w:rPr>
          <w:t>TSAG AHG-GME-DOC28</w:t>
        </w:r>
      </w:hyperlink>
      <w:r w:rsidR="006D2E4E" w:rsidRPr="005E14E3">
        <w:t xml:space="preserve"> (2022-11)</w:t>
      </w:r>
    </w:p>
    <w:p w14:paraId="43410943" w14:textId="77777777" w:rsidR="007275F7" w:rsidRDefault="007275F7" w:rsidP="007275F7"/>
    <w:p w14:paraId="1CD42742" w14:textId="6E3A0790" w:rsidR="00885A94" w:rsidRPr="007275F7" w:rsidRDefault="00885A94" w:rsidP="007275F7">
      <w:r w:rsidRPr="007275F7">
        <w:br w:type="page"/>
      </w:r>
    </w:p>
    <w:p w14:paraId="11F2E380" w14:textId="6B92B3C1" w:rsidR="00885A94" w:rsidRDefault="00885A94" w:rsidP="007275F7">
      <w:pPr>
        <w:pStyle w:val="AnnexNotitle"/>
      </w:pPr>
      <w:r w:rsidRPr="008B68F5">
        <w:lastRenderedPageBreak/>
        <w:t>Annex B</w:t>
      </w:r>
      <w:r w:rsidR="007275F7">
        <w:br/>
      </w:r>
      <w:r>
        <w:t xml:space="preserve">Definitions of </w:t>
      </w:r>
      <w:r w:rsidR="006D2E4E">
        <w:t>different meeting types</w:t>
      </w:r>
    </w:p>
    <w:p w14:paraId="2E0E54C8" w14:textId="77777777" w:rsidR="00885A94" w:rsidRDefault="00885A94" w:rsidP="00885A94">
      <w:r>
        <w:t>The following definitions were developed during the AHG-GME discussions but were not agreed.  There was no discussion on the rules required for hybrid meetings.</w:t>
      </w:r>
    </w:p>
    <w:p w14:paraId="76D747BB" w14:textId="77777777" w:rsidR="00885A94" w:rsidRDefault="00885A94" w:rsidP="006D2E4E">
      <w:pPr>
        <w:numPr>
          <w:ilvl w:val="0"/>
          <w:numId w:val="12"/>
        </w:numPr>
        <w:overflowPunct w:val="0"/>
        <w:autoSpaceDE w:val="0"/>
        <w:autoSpaceDN w:val="0"/>
        <w:adjustRightInd w:val="0"/>
        <w:ind w:left="567" w:hanging="567"/>
        <w:textAlignment w:val="baseline"/>
      </w:pPr>
      <w:r w:rsidRPr="00122677">
        <w:rPr>
          <w:b/>
          <w:bCs/>
        </w:rPr>
        <w:t>Physical meeting</w:t>
      </w:r>
      <w:r>
        <w:t xml:space="preserve"> - A meeting where all participants attend a location for an announced meeting with sufficient contributions to justify the travel, and where the Constitution, Convention and General Rules apply. </w:t>
      </w:r>
    </w:p>
    <w:p w14:paraId="3BE7D149" w14:textId="77777777" w:rsidR="00885A94" w:rsidRDefault="00885A94" w:rsidP="006D2E4E">
      <w:pPr>
        <w:numPr>
          <w:ilvl w:val="0"/>
          <w:numId w:val="12"/>
        </w:numPr>
        <w:overflowPunct w:val="0"/>
        <w:autoSpaceDE w:val="0"/>
        <w:autoSpaceDN w:val="0"/>
        <w:adjustRightInd w:val="0"/>
        <w:ind w:left="567" w:hanging="567"/>
        <w:textAlignment w:val="baseline"/>
      </w:pPr>
      <w:r w:rsidRPr="00122677">
        <w:rPr>
          <w:b/>
          <w:bCs/>
        </w:rPr>
        <w:t>Virtual Meeting</w:t>
      </w:r>
      <w:r>
        <w:t xml:space="preserve"> - A meeting where all participants attend through a conference bridge, or similar meeting software, from remote locations for an announced meeting with sufficient contributions to justify the meeting. The elements of the Constitution, Convention and General Rules that apply are those that do not require a physical presence.</w:t>
      </w:r>
    </w:p>
    <w:p w14:paraId="4754BD34" w14:textId="77777777" w:rsidR="00885A94" w:rsidRDefault="00885A94" w:rsidP="006D2E4E">
      <w:pPr>
        <w:numPr>
          <w:ilvl w:val="0"/>
          <w:numId w:val="12"/>
        </w:numPr>
        <w:overflowPunct w:val="0"/>
        <w:autoSpaceDE w:val="0"/>
        <w:autoSpaceDN w:val="0"/>
        <w:adjustRightInd w:val="0"/>
        <w:ind w:left="567" w:hanging="567"/>
        <w:textAlignment w:val="baseline"/>
      </w:pPr>
      <w:r w:rsidRPr="00122677">
        <w:rPr>
          <w:b/>
          <w:bCs/>
        </w:rPr>
        <w:t>Hybrid Meeting</w:t>
      </w:r>
      <w:r>
        <w:t xml:space="preserve"> - A meeting where all participants attend a given location or participate through a conference bridge, or similar meeting software, from remote locations, for an announced meeting with sufficient contributions to justify the travel. Participants are accorded the same rights under the Constitution, Convention and General Rules irrespective of where they are located or the means by which they are participating.</w:t>
      </w:r>
    </w:p>
    <w:p w14:paraId="18EB4C02" w14:textId="2EC67F79" w:rsidR="00885A94" w:rsidRDefault="00885A94" w:rsidP="006D2E4E">
      <w:pPr>
        <w:pStyle w:val="ListParagraph"/>
        <w:numPr>
          <w:ilvl w:val="0"/>
          <w:numId w:val="12"/>
        </w:numPr>
        <w:overflowPunct w:val="0"/>
        <w:autoSpaceDE w:val="0"/>
        <w:autoSpaceDN w:val="0"/>
        <w:adjustRightInd w:val="0"/>
        <w:ind w:left="567" w:hanging="567"/>
        <w:contextualSpacing w:val="0"/>
        <w:textAlignment w:val="baseline"/>
        <w:rPr>
          <w:rFonts w:cstheme="minorHAnsi"/>
        </w:rPr>
      </w:pPr>
      <w:r w:rsidRPr="00122677">
        <w:rPr>
          <w:rFonts w:cstheme="minorHAnsi"/>
          <w:b/>
          <w:bCs/>
        </w:rPr>
        <w:t>Physical meetings with remote participation -</w:t>
      </w:r>
      <w:r w:rsidRPr="00122677">
        <w:rPr>
          <w:rFonts w:cstheme="minorHAnsi"/>
        </w:rPr>
        <w:t xml:space="preserve"> A meeting where participants attend either physically at a specific location or through a conference bridge, or similar meeting software, from remote locations for an announced meeting. Participants that are physically present enjoy all of the rights defined in the ITU Constitution, Convention and General Rules and take the decisions. Remote participants have participation rights as defined in the ITU Constitution, Convention and General Rules that do not require a physical presence.</w:t>
      </w:r>
    </w:p>
    <w:p w14:paraId="5BDAB886" w14:textId="77777777" w:rsidR="008C5A9A" w:rsidRDefault="008C5A9A" w:rsidP="008C5A9A"/>
    <w:p w14:paraId="70E5CD09" w14:textId="77777777" w:rsidR="005604FC" w:rsidRDefault="008C5A9A" w:rsidP="008C5A9A">
      <w:pPr>
        <w:jc w:val="center"/>
      </w:pPr>
      <w:bookmarkStart w:id="14" w:name="_Hlk98856042"/>
      <w:r>
        <w:t>_______________________</w:t>
      </w:r>
      <w:bookmarkEnd w:id="14"/>
    </w:p>
    <w:sectPr w:rsidR="005604FC" w:rsidSect="007275F7">
      <w:headerReference w:type="default" r:id="rId22"/>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B1CF7" w14:textId="77777777" w:rsidR="007A03CC" w:rsidRDefault="007A03CC" w:rsidP="00C42125">
      <w:pPr>
        <w:spacing w:before="0"/>
      </w:pPr>
      <w:r>
        <w:separator/>
      </w:r>
    </w:p>
  </w:endnote>
  <w:endnote w:type="continuationSeparator" w:id="0">
    <w:p w14:paraId="6A61BCD0" w14:textId="77777777" w:rsidR="007A03CC" w:rsidRDefault="007A03CC" w:rsidP="00C42125">
      <w:pPr>
        <w:spacing w:before="0"/>
      </w:pPr>
      <w:r>
        <w:continuationSeparator/>
      </w:r>
    </w:p>
  </w:endnote>
  <w:endnote w:type="continuationNotice" w:id="1">
    <w:p w14:paraId="7674A1AC" w14:textId="77777777" w:rsidR="007A03CC" w:rsidRDefault="007A03C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pitch w:val="fixed"/>
    <w:sig w:usb0="00000000" w:usb1="08070000" w:usb2="00000010" w:usb3="00000000" w:csb0="00020000" w:csb1="00000000"/>
  </w:font>
  <w:font w:name="Batang">
    <w:altName w:val="바탕"/>
    <w:panose1 w:val="02030600000101010101"/>
    <w:charset w:val="81"/>
    <w:family w:val="auto"/>
    <w:pitch w:val="fixed"/>
    <w:sig w:usb0="00000001" w:usb1="09060000" w:usb2="00000010" w:usb3="00000000" w:csb0="00080000"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08B30" w14:textId="77777777" w:rsidR="007A03CC" w:rsidRDefault="007A03CC" w:rsidP="00C42125">
      <w:pPr>
        <w:spacing w:before="0"/>
      </w:pPr>
      <w:r>
        <w:separator/>
      </w:r>
    </w:p>
  </w:footnote>
  <w:footnote w:type="continuationSeparator" w:id="0">
    <w:p w14:paraId="1720A2D9" w14:textId="77777777" w:rsidR="007A03CC" w:rsidRDefault="007A03CC" w:rsidP="00C42125">
      <w:pPr>
        <w:spacing w:before="0"/>
      </w:pPr>
      <w:r>
        <w:continuationSeparator/>
      </w:r>
    </w:p>
  </w:footnote>
  <w:footnote w:type="continuationNotice" w:id="1">
    <w:p w14:paraId="5198D525" w14:textId="77777777" w:rsidR="007A03CC" w:rsidRDefault="007A03C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39FD5" w14:textId="33424D92" w:rsidR="005976A1" w:rsidRPr="007275F7" w:rsidRDefault="007275F7" w:rsidP="007275F7">
    <w:pPr>
      <w:pStyle w:val="Header"/>
    </w:pPr>
    <w:r w:rsidRPr="007275F7">
      <w:t xml:space="preserve">- </w:t>
    </w:r>
    <w:r w:rsidRPr="007275F7">
      <w:fldChar w:fldCharType="begin"/>
    </w:r>
    <w:r w:rsidRPr="007275F7">
      <w:instrText xml:space="preserve"> PAGE  \* MERGEFORMAT </w:instrText>
    </w:r>
    <w:r w:rsidRPr="007275F7">
      <w:fldChar w:fldCharType="separate"/>
    </w:r>
    <w:r w:rsidRPr="007275F7">
      <w:rPr>
        <w:noProof/>
      </w:rPr>
      <w:t>1</w:t>
    </w:r>
    <w:r w:rsidRPr="007275F7">
      <w:fldChar w:fldCharType="end"/>
    </w:r>
    <w:r w:rsidRPr="007275F7">
      <w:t xml:space="preserve"> -</w:t>
    </w:r>
  </w:p>
  <w:p w14:paraId="11A6A9EA" w14:textId="26131902" w:rsidR="007275F7" w:rsidRPr="007275F7" w:rsidRDefault="007275F7" w:rsidP="007275F7">
    <w:pPr>
      <w:pStyle w:val="Header"/>
      <w:spacing w:after="240"/>
    </w:pPr>
    <w:r w:rsidRPr="007275F7">
      <w:fldChar w:fldCharType="begin"/>
    </w:r>
    <w:r w:rsidRPr="007275F7">
      <w:instrText xml:space="preserve"> STYLEREF  Docnumber  </w:instrText>
    </w:r>
    <w:r w:rsidRPr="007275F7">
      <w:fldChar w:fldCharType="separate"/>
    </w:r>
    <w:r w:rsidR="00DC406B">
      <w:rPr>
        <w:noProof/>
      </w:rPr>
      <w:t>TSAG-TD042</w:t>
    </w:r>
    <w:r w:rsidRPr="007275F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0A06317"/>
    <w:multiLevelType w:val="hybridMultilevel"/>
    <w:tmpl w:val="83EA50C4"/>
    <w:lvl w:ilvl="0" w:tplc="F6D016A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A61FE4"/>
    <w:multiLevelType w:val="hybridMultilevel"/>
    <w:tmpl w:val="645C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2B5530"/>
    <w:multiLevelType w:val="hybridMultilevel"/>
    <w:tmpl w:val="CAE2F8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6D5829E3"/>
    <w:multiLevelType w:val="hybridMultilevel"/>
    <w:tmpl w:val="3CE6ACF6"/>
    <w:lvl w:ilvl="0" w:tplc="F6D016A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2468042">
    <w:abstractNumId w:val="9"/>
  </w:num>
  <w:num w:numId="2" w16cid:durableId="2041659385">
    <w:abstractNumId w:val="7"/>
  </w:num>
  <w:num w:numId="3" w16cid:durableId="2132363477">
    <w:abstractNumId w:val="6"/>
  </w:num>
  <w:num w:numId="4" w16cid:durableId="506943918">
    <w:abstractNumId w:val="5"/>
  </w:num>
  <w:num w:numId="5" w16cid:durableId="1521820926">
    <w:abstractNumId w:val="4"/>
  </w:num>
  <w:num w:numId="6" w16cid:durableId="1991396692">
    <w:abstractNumId w:val="8"/>
  </w:num>
  <w:num w:numId="7" w16cid:durableId="384371626">
    <w:abstractNumId w:val="3"/>
  </w:num>
  <w:num w:numId="8" w16cid:durableId="1739595810">
    <w:abstractNumId w:val="2"/>
  </w:num>
  <w:num w:numId="9" w16cid:durableId="2122262345">
    <w:abstractNumId w:val="1"/>
  </w:num>
  <w:num w:numId="10" w16cid:durableId="739210388">
    <w:abstractNumId w:val="0"/>
  </w:num>
  <w:num w:numId="11" w16cid:durableId="2086341883">
    <w:abstractNumId w:val="11"/>
  </w:num>
  <w:num w:numId="12" w16cid:durableId="18096611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5710241">
    <w:abstractNumId w:val="12"/>
  </w:num>
  <w:num w:numId="14" w16cid:durableId="423648925">
    <w:abstractNumId w:val="13"/>
  </w:num>
  <w:num w:numId="15" w16cid:durableId="11750699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14F69"/>
    <w:rsid w:val="000171DB"/>
    <w:rsid w:val="00023D9A"/>
    <w:rsid w:val="0003582E"/>
    <w:rsid w:val="00043D75"/>
    <w:rsid w:val="00057000"/>
    <w:rsid w:val="000640E0"/>
    <w:rsid w:val="00086D80"/>
    <w:rsid w:val="000966A8"/>
    <w:rsid w:val="000A0A5C"/>
    <w:rsid w:val="000A5CA2"/>
    <w:rsid w:val="000E3C61"/>
    <w:rsid w:val="000E3E55"/>
    <w:rsid w:val="000E6083"/>
    <w:rsid w:val="000E6125"/>
    <w:rsid w:val="00100BAF"/>
    <w:rsid w:val="00113DBE"/>
    <w:rsid w:val="001200A6"/>
    <w:rsid w:val="001251DA"/>
    <w:rsid w:val="00125432"/>
    <w:rsid w:val="00127B12"/>
    <w:rsid w:val="00136DDD"/>
    <w:rsid w:val="00137F40"/>
    <w:rsid w:val="00144BDF"/>
    <w:rsid w:val="00155DDC"/>
    <w:rsid w:val="001871EC"/>
    <w:rsid w:val="001A20C3"/>
    <w:rsid w:val="001A670F"/>
    <w:rsid w:val="001B6A45"/>
    <w:rsid w:val="001C1003"/>
    <w:rsid w:val="001C4B91"/>
    <w:rsid w:val="001C62B8"/>
    <w:rsid w:val="001D033C"/>
    <w:rsid w:val="001D22D8"/>
    <w:rsid w:val="001D4296"/>
    <w:rsid w:val="001E7B0E"/>
    <w:rsid w:val="001F141D"/>
    <w:rsid w:val="00200A06"/>
    <w:rsid w:val="00200A98"/>
    <w:rsid w:val="00201AFA"/>
    <w:rsid w:val="002229F1"/>
    <w:rsid w:val="00230B96"/>
    <w:rsid w:val="00233F75"/>
    <w:rsid w:val="0025233B"/>
    <w:rsid w:val="002528F9"/>
    <w:rsid w:val="00253DBE"/>
    <w:rsid w:val="00253DC6"/>
    <w:rsid w:val="0025489C"/>
    <w:rsid w:val="002622FA"/>
    <w:rsid w:val="00263518"/>
    <w:rsid w:val="002759E7"/>
    <w:rsid w:val="00277326"/>
    <w:rsid w:val="002A11C4"/>
    <w:rsid w:val="002A399B"/>
    <w:rsid w:val="002C26C0"/>
    <w:rsid w:val="002C2BC5"/>
    <w:rsid w:val="002E0407"/>
    <w:rsid w:val="002E79CB"/>
    <w:rsid w:val="002F0471"/>
    <w:rsid w:val="002F1714"/>
    <w:rsid w:val="002F5CA7"/>
    <w:rsid w:val="002F7F55"/>
    <w:rsid w:val="0030745F"/>
    <w:rsid w:val="00314630"/>
    <w:rsid w:val="0032090A"/>
    <w:rsid w:val="00321CDE"/>
    <w:rsid w:val="003240DC"/>
    <w:rsid w:val="00333E15"/>
    <w:rsid w:val="003416D3"/>
    <w:rsid w:val="003571BC"/>
    <w:rsid w:val="00357454"/>
    <w:rsid w:val="0036090C"/>
    <w:rsid w:val="00364979"/>
    <w:rsid w:val="00385B9C"/>
    <w:rsid w:val="00385FB5"/>
    <w:rsid w:val="0038715D"/>
    <w:rsid w:val="00392E84"/>
    <w:rsid w:val="00394DBF"/>
    <w:rsid w:val="003957A6"/>
    <w:rsid w:val="00397713"/>
    <w:rsid w:val="003A43EF"/>
    <w:rsid w:val="003B60A2"/>
    <w:rsid w:val="003C7445"/>
    <w:rsid w:val="003E39A2"/>
    <w:rsid w:val="003E57AB"/>
    <w:rsid w:val="003F2BED"/>
    <w:rsid w:val="00400B49"/>
    <w:rsid w:val="0040415B"/>
    <w:rsid w:val="004139E4"/>
    <w:rsid w:val="00415999"/>
    <w:rsid w:val="00443878"/>
    <w:rsid w:val="004539A8"/>
    <w:rsid w:val="004646F1"/>
    <w:rsid w:val="004712CA"/>
    <w:rsid w:val="0047422E"/>
    <w:rsid w:val="0049674B"/>
    <w:rsid w:val="004C0673"/>
    <w:rsid w:val="004C4E4E"/>
    <w:rsid w:val="004C6FF0"/>
    <w:rsid w:val="004E08F2"/>
    <w:rsid w:val="004F3816"/>
    <w:rsid w:val="004F500A"/>
    <w:rsid w:val="005126A0"/>
    <w:rsid w:val="00543D41"/>
    <w:rsid w:val="00545472"/>
    <w:rsid w:val="005571A4"/>
    <w:rsid w:val="005604FC"/>
    <w:rsid w:val="00566EDA"/>
    <w:rsid w:val="0057081A"/>
    <w:rsid w:val="00572654"/>
    <w:rsid w:val="005976A1"/>
    <w:rsid w:val="005A34E7"/>
    <w:rsid w:val="005A69A3"/>
    <w:rsid w:val="005B5629"/>
    <w:rsid w:val="005C0300"/>
    <w:rsid w:val="005C27A2"/>
    <w:rsid w:val="005D4FEB"/>
    <w:rsid w:val="005D65ED"/>
    <w:rsid w:val="005E0E6C"/>
    <w:rsid w:val="005E14E3"/>
    <w:rsid w:val="005F4B6A"/>
    <w:rsid w:val="005F5C12"/>
    <w:rsid w:val="006010F3"/>
    <w:rsid w:val="00615A0A"/>
    <w:rsid w:val="006333D4"/>
    <w:rsid w:val="006369B2"/>
    <w:rsid w:val="0063718D"/>
    <w:rsid w:val="00647525"/>
    <w:rsid w:val="00647A71"/>
    <w:rsid w:val="006530A8"/>
    <w:rsid w:val="006570B0"/>
    <w:rsid w:val="0066022F"/>
    <w:rsid w:val="006823F3"/>
    <w:rsid w:val="0069210B"/>
    <w:rsid w:val="00693139"/>
    <w:rsid w:val="00695DD7"/>
    <w:rsid w:val="006A0F3F"/>
    <w:rsid w:val="006A2A02"/>
    <w:rsid w:val="006A4055"/>
    <w:rsid w:val="006A7C27"/>
    <w:rsid w:val="006B2FE4"/>
    <w:rsid w:val="006B37B0"/>
    <w:rsid w:val="006B6BA2"/>
    <w:rsid w:val="006C5641"/>
    <w:rsid w:val="006D1089"/>
    <w:rsid w:val="006D1B86"/>
    <w:rsid w:val="006D2E4E"/>
    <w:rsid w:val="006D7355"/>
    <w:rsid w:val="006F0797"/>
    <w:rsid w:val="006F7DEE"/>
    <w:rsid w:val="00715CA6"/>
    <w:rsid w:val="007275F7"/>
    <w:rsid w:val="00731135"/>
    <w:rsid w:val="007324AF"/>
    <w:rsid w:val="007409B4"/>
    <w:rsid w:val="00741974"/>
    <w:rsid w:val="007454B6"/>
    <w:rsid w:val="0075525E"/>
    <w:rsid w:val="00756D3D"/>
    <w:rsid w:val="007806C2"/>
    <w:rsid w:val="00781FEE"/>
    <w:rsid w:val="007903F8"/>
    <w:rsid w:val="00794F4F"/>
    <w:rsid w:val="007974BE"/>
    <w:rsid w:val="007A03CC"/>
    <w:rsid w:val="007A0916"/>
    <w:rsid w:val="007A0DFD"/>
    <w:rsid w:val="007C5ED4"/>
    <w:rsid w:val="007C7122"/>
    <w:rsid w:val="007D3F11"/>
    <w:rsid w:val="007E2C69"/>
    <w:rsid w:val="007E53E4"/>
    <w:rsid w:val="007E656A"/>
    <w:rsid w:val="007F3CAA"/>
    <w:rsid w:val="007F664D"/>
    <w:rsid w:val="00801B42"/>
    <w:rsid w:val="008249A7"/>
    <w:rsid w:val="00836D45"/>
    <w:rsid w:val="00837203"/>
    <w:rsid w:val="00842137"/>
    <w:rsid w:val="00851E6C"/>
    <w:rsid w:val="00853F5F"/>
    <w:rsid w:val="00856C7A"/>
    <w:rsid w:val="008623ED"/>
    <w:rsid w:val="00875AA6"/>
    <w:rsid w:val="00880944"/>
    <w:rsid w:val="00885A94"/>
    <w:rsid w:val="008866F7"/>
    <w:rsid w:val="0089088E"/>
    <w:rsid w:val="00892297"/>
    <w:rsid w:val="008964D6"/>
    <w:rsid w:val="008B5123"/>
    <w:rsid w:val="008B7932"/>
    <w:rsid w:val="008C5A9A"/>
    <w:rsid w:val="008D1E1E"/>
    <w:rsid w:val="008D2968"/>
    <w:rsid w:val="008D54BD"/>
    <w:rsid w:val="008E0172"/>
    <w:rsid w:val="00936852"/>
    <w:rsid w:val="0094045D"/>
    <w:rsid w:val="009406B5"/>
    <w:rsid w:val="00942799"/>
    <w:rsid w:val="00946166"/>
    <w:rsid w:val="009629A0"/>
    <w:rsid w:val="00966B5C"/>
    <w:rsid w:val="00983164"/>
    <w:rsid w:val="00984252"/>
    <w:rsid w:val="009972EF"/>
    <w:rsid w:val="009B5035"/>
    <w:rsid w:val="009C3160"/>
    <w:rsid w:val="009D399E"/>
    <w:rsid w:val="009D644B"/>
    <w:rsid w:val="009E4B6B"/>
    <w:rsid w:val="009E766E"/>
    <w:rsid w:val="009F1960"/>
    <w:rsid w:val="009F4B1A"/>
    <w:rsid w:val="009F715E"/>
    <w:rsid w:val="009F78FE"/>
    <w:rsid w:val="00A10DBB"/>
    <w:rsid w:val="00A10FC0"/>
    <w:rsid w:val="00A11720"/>
    <w:rsid w:val="00A21247"/>
    <w:rsid w:val="00A311F0"/>
    <w:rsid w:val="00A31D47"/>
    <w:rsid w:val="00A4013E"/>
    <w:rsid w:val="00A4045F"/>
    <w:rsid w:val="00A427CD"/>
    <w:rsid w:val="00A45FEE"/>
    <w:rsid w:val="00A4600B"/>
    <w:rsid w:val="00A50506"/>
    <w:rsid w:val="00A51EF0"/>
    <w:rsid w:val="00A600CD"/>
    <w:rsid w:val="00A67A81"/>
    <w:rsid w:val="00A730A6"/>
    <w:rsid w:val="00A827B0"/>
    <w:rsid w:val="00A96899"/>
    <w:rsid w:val="00A971A0"/>
    <w:rsid w:val="00AA1186"/>
    <w:rsid w:val="00AA1F22"/>
    <w:rsid w:val="00AB37FB"/>
    <w:rsid w:val="00AC3E73"/>
    <w:rsid w:val="00AC63B0"/>
    <w:rsid w:val="00AF70E4"/>
    <w:rsid w:val="00B04A7B"/>
    <w:rsid w:val="00B05821"/>
    <w:rsid w:val="00B100D6"/>
    <w:rsid w:val="00B164C9"/>
    <w:rsid w:val="00B2519B"/>
    <w:rsid w:val="00B26C28"/>
    <w:rsid w:val="00B4174C"/>
    <w:rsid w:val="00B453F5"/>
    <w:rsid w:val="00B5162E"/>
    <w:rsid w:val="00B61624"/>
    <w:rsid w:val="00B66481"/>
    <w:rsid w:val="00B7189C"/>
    <w:rsid w:val="00B718A5"/>
    <w:rsid w:val="00B86602"/>
    <w:rsid w:val="00BA7411"/>
    <w:rsid w:val="00BA788A"/>
    <w:rsid w:val="00BB4120"/>
    <w:rsid w:val="00BB4983"/>
    <w:rsid w:val="00BB7597"/>
    <w:rsid w:val="00BC62E2"/>
    <w:rsid w:val="00BD05FF"/>
    <w:rsid w:val="00BE4AC3"/>
    <w:rsid w:val="00C42125"/>
    <w:rsid w:val="00C47120"/>
    <w:rsid w:val="00C557CE"/>
    <w:rsid w:val="00C62814"/>
    <w:rsid w:val="00C67B25"/>
    <w:rsid w:val="00C748F7"/>
    <w:rsid w:val="00C74937"/>
    <w:rsid w:val="00CB2599"/>
    <w:rsid w:val="00CC386F"/>
    <w:rsid w:val="00CD2139"/>
    <w:rsid w:val="00CE2644"/>
    <w:rsid w:val="00CE5986"/>
    <w:rsid w:val="00D10A47"/>
    <w:rsid w:val="00D1165B"/>
    <w:rsid w:val="00D26477"/>
    <w:rsid w:val="00D56CC3"/>
    <w:rsid w:val="00D647EF"/>
    <w:rsid w:val="00D73137"/>
    <w:rsid w:val="00D977A2"/>
    <w:rsid w:val="00DA1D47"/>
    <w:rsid w:val="00DB0706"/>
    <w:rsid w:val="00DC406B"/>
    <w:rsid w:val="00DD50DE"/>
    <w:rsid w:val="00DE1204"/>
    <w:rsid w:val="00DE3062"/>
    <w:rsid w:val="00DF6500"/>
    <w:rsid w:val="00E0581D"/>
    <w:rsid w:val="00E1590B"/>
    <w:rsid w:val="00E204DD"/>
    <w:rsid w:val="00E228B7"/>
    <w:rsid w:val="00E23AD2"/>
    <w:rsid w:val="00E353EC"/>
    <w:rsid w:val="00E3615D"/>
    <w:rsid w:val="00E51F61"/>
    <w:rsid w:val="00E53C24"/>
    <w:rsid w:val="00E56E77"/>
    <w:rsid w:val="00E97101"/>
    <w:rsid w:val="00EA0BE7"/>
    <w:rsid w:val="00EB444D"/>
    <w:rsid w:val="00ED1B45"/>
    <w:rsid w:val="00ED71DA"/>
    <w:rsid w:val="00EE1A06"/>
    <w:rsid w:val="00EE5C0D"/>
    <w:rsid w:val="00EF4792"/>
    <w:rsid w:val="00EF76DC"/>
    <w:rsid w:val="00F02294"/>
    <w:rsid w:val="00F30DE7"/>
    <w:rsid w:val="00F35F57"/>
    <w:rsid w:val="00F50467"/>
    <w:rsid w:val="00F562A0"/>
    <w:rsid w:val="00F57FA4"/>
    <w:rsid w:val="00F62D55"/>
    <w:rsid w:val="00F9547A"/>
    <w:rsid w:val="00FA02CB"/>
    <w:rsid w:val="00FA2177"/>
    <w:rsid w:val="00FB0783"/>
    <w:rsid w:val="00FB7A8B"/>
    <w:rsid w:val="00FC2485"/>
    <w:rsid w:val="00FD439E"/>
    <w:rsid w:val="00FD76CB"/>
    <w:rsid w:val="00FE152B"/>
    <w:rsid w:val="00FE239E"/>
    <w:rsid w:val="00FE2528"/>
    <w:rsid w:val="00FE399B"/>
    <w:rsid w:val="00FF1151"/>
    <w:rsid w:val="00FF454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275F7"/>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9629A0"/>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9629A0"/>
    <w:pPr>
      <w:spacing w:before="240"/>
      <w:outlineLvl w:val="1"/>
    </w:pPr>
  </w:style>
  <w:style w:type="paragraph" w:styleId="Heading3">
    <w:name w:val="heading 3"/>
    <w:basedOn w:val="Heading1"/>
    <w:next w:val="Normal"/>
    <w:link w:val="Heading3Char"/>
    <w:rsid w:val="009629A0"/>
    <w:pPr>
      <w:spacing w:before="160"/>
      <w:outlineLvl w:val="2"/>
    </w:pPr>
  </w:style>
  <w:style w:type="paragraph" w:styleId="Heading4">
    <w:name w:val="heading 4"/>
    <w:basedOn w:val="Heading3"/>
    <w:next w:val="Normal"/>
    <w:link w:val="Heading4Char"/>
    <w:qFormat/>
    <w:rsid w:val="009629A0"/>
    <w:pPr>
      <w:tabs>
        <w:tab w:val="clear" w:pos="794"/>
        <w:tab w:val="left" w:pos="1021"/>
      </w:tabs>
      <w:ind w:left="1021" w:hanging="1021"/>
      <w:outlineLvl w:val="3"/>
    </w:pPr>
  </w:style>
  <w:style w:type="paragraph" w:styleId="Heading5">
    <w:name w:val="heading 5"/>
    <w:basedOn w:val="Heading4"/>
    <w:next w:val="Normal"/>
    <w:link w:val="Heading5Char"/>
    <w:qFormat/>
    <w:rsid w:val="009629A0"/>
    <w:pPr>
      <w:outlineLvl w:val="4"/>
    </w:pPr>
  </w:style>
  <w:style w:type="paragraph" w:styleId="Heading6">
    <w:name w:val="heading 6"/>
    <w:basedOn w:val="Heading4"/>
    <w:next w:val="Normal"/>
    <w:link w:val="Heading6Char"/>
    <w:rsid w:val="009629A0"/>
    <w:pPr>
      <w:tabs>
        <w:tab w:val="clear" w:pos="1021"/>
        <w:tab w:val="clear" w:pos="1191"/>
      </w:tabs>
      <w:ind w:left="1588" w:hanging="1588"/>
      <w:outlineLvl w:val="5"/>
    </w:pPr>
  </w:style>
  <w:style w:type="paragraph" w:styleId="Heading7">
    <w:name w:val="heading 7"/>
    <w:basedOn w:val="Heading6"/>
    <w:next w:val="Normal"/>
    <w:link w:val="Heading7Char"/>
    <w:rsid w:val="009629A0"/>
    <w:pPr>
      <w:outlineLvl w:val="6"/>
    </w:pPr>
  </w:style>
  <w:style w:type="paragraph" w:styleId="Heading8">
    <w:name w:val="heading 8"/>
    <w:basedOn w:val="Heading6"/>
    <w:next w:val="Normal"/>
    <w:link w:val="Heading8Char"/>
    <w:rsid w:val="009629A0"/>
    <w:pPr>
      <w:outlineLvl w:val="7"/>
    </w:pPr>
  </w:style>
  <w:style w:type="paragraph" w:styleId="Heading9">
    <w:name w:val="heading 9"/>
    <w:basedOn w:val="Heading6"/>
    <w:next w:val="Normal"/>
    <w:link w:val="Heading9Char"/>
    <w:rsid w:val="009629A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7275F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275F7"/>
  </w:style>
  <w:style w:type="paragraph" w:customStyle="1" w:styleId="CorrectionSeparatorBegin">
    <w:name w:val="Correction Separator Begin"/>
    <w:basedOn w:val="Normal"/>
    <w:rsid w:val="007275F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275F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275F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275F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7275F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9629A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9629A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9629A0"/>
    <w:rPr>
      <w:b/>
      <w:bCs/>
    </w:rPr>
  </w:style>
  <w:style w:type="paragraph" w:customStyle="1" w:styleId="Normalbeforetable">
    <w:name w:val="Normal before table"/>
    <w:basedOn w:val="Normal"/>
    <w:rsid w:val="007275F7"/>
    <w:pPr>
      <w:keepNext/>
      <w:spacing w:after="120"/>
    </w:pPr>
    <w:rPr>
      <w:rFonts w:eastAsia="????"/>
      <w:lang w:eastAsia="en-US"/>
    </w:rPr>
  </w:style>
  <w:style w:type="paragraph" w:customStyle="1" w:styleId="RecNo">
    <w:name w:val="Rec_No"/>
    <w:basedOn w:val="Normal"/>
    <w:next w:val="Normal"/>
    <w:rsid w:val="007275F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275F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275F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7275F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275F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7275F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7275F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7275F7"/>
    <w:pPr>
      <w:tabs>
        <w:tab w:val="right" w:leader="dot" w:pos="9639"/>
      </w:tabs>
    </w:pPr>
    <w:rPr>
      <w:rFonts w:eastAsia="MS Mincho"/>
    </w:rPr>
  </w:style>
  <w:style w:type="paragraph" w:styleId="TOC1">
    <w:name w:val="toc 1"/>
    <w:basedOn w:val="Normal"/>
    <w:uiPriority w:val="39"/>
    <w:rsid w:val="007275F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275F7"/>
    <w:pPr>
      <w:tabs>
        <w:tab w:val="clear" w:pos="964"/>
      </w:tabs>
      <w:spacing w:before="80"/>
      <w:ind w:left="1531" w:hanging="851"/>
    </w:pPr>
  </w:style>
  <w:style w:type="paragraph" w:styleId="TOC3">
    <w:name w:val="toc 3"/>
    <w:basedOn w:val="TOC2"/>
    <w:rsid w:val="007275F7"/>
    <w:pPr>
      <w:ind w:left="2269"/>
    </w:pPr>
  </w:style>
  <w:style w:type="character" w:styleId="Hyperlink">
    <w:name w:val="Hyperlink"/>
    <w:basedOn w:val="DefaultParagraphFont"/>
    <w:rsid w:val="007275F7"/>
    <w:rPr>
      <w:color w:val="0000FF"/>
      <w:u w:val="single"/>
    </w:rPr>
  </w:style>
  <w:style w:type="character" w:customStyle="1" w:styleId="Heading1Char">
    <w:name w:val="Heading 1 Char"/>
    <w:basedOn w:val="DefaultParagraphFont"/>
    <w:link w:val="Heading1"/>
    <w:rsid w:val="009629A0"/>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9629A0"/>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9629A0"/>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9629A0"/>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9629A0"/>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9629A0"/>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9629A0"/>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9629A0"/>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9629A0"/>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7275F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275F7"/>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rsid w:val="007275F7"/>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unhideWhenUsed/>
    <w:rsid w:val="00DE1204"/>
    <w:rPr>
      <w:sz w:val="20"/>
      <w:szCs w:val="20"/>
    </w:rPr>
  </w:style>
  <w:style w:type="character" w:customStyle="1" w:styleId="CommentTextChar">
    <w:name w:val="Comment Text Char"/>
    <w:basedOn w:val="DefaultParagraphFont"/>
    <w:link w:val="CommentText"/>
    <w:uiPriority w:val="99"/>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7275F7"/>
    <w:rPr>
      <w:rFonts w:ascii="Arial" w:hAnsi="Arial" w:cs="Arial"/>
      <w:sz w:val="18"/>
      <w:szCs w:val="18"/>
    </w:rPr>
  </w:style>
  <w:style w:type="paragraph" w:customStyle="1" w:styleId="Title4">
    <w:name w:val="Title 4"/>
    <w:basedOn w:val="Normal"/>
    <w:next w:val="Heading1"/>
    <w:rsid w:val="007275F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7275F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1D033C"/>
    <w:pPr>
      <w:spacing w:before="0"/>
    </w:pPr>
    <w:rPr>
      <w:sz w:val="20"/>
      <w:szCs w:val="20"/>
    </w:rPr>
  </w:style>
  <w:style w:type="character" w:customStyle="1" w:styleId="FootnoteTextChar">
    <w:name w:val="Footnote Text Char"/>
    <w:basedOn w:val="DefaultParagraphFont"/>
    <w:link w:val="FootnoteText"/>
    <w:uiPriority w:val="99"/>
    <w:semiHidden/>
    <w:rsid w:val="001D033C"/>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basedOn w:val="Normal"/>
    <w:uiPriority w:val="1"/>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rsid w:val="007275F7"/>
    <w:pPr>
      <w:jc w:val="right"/>
    </w:pPr>
    <w:rPr>
      <w:b/>
      <w:bCs/>
      <w:sz w:val="28"/>
      <w:szCs w:val="28"/>
    </w:rPr>
  </w:style>
  <w:style w:type="paragraph" w:customStyle="1" w:styleId="TSBHeaderQuestion">
    <w:name w:val="TSBHeaderQuestion"/>
    <w:basedOn w:val="Normal"/>
    <w:rsid w:val="007275F7"/>
  </w:style>
  <w:style w:type="paragraph" w:customStyle="1" w:styleId="TSBHeaderSource">
    <w:name w:val="TSBHeaderSource"/>
    <w:basedOn w:val="Normal"/>
    <w:rsid w:val="007275F7"/>
  </w:style>
  <w:style w:type="paragraph" w:customStyle="1" w:styleId="TSBHeaderTitle">
    <w:name w:val="TSBHeaderTitle"/>
    <w:basedOn w:val="Normal"/>
    <w:rsid w:val="007275F7"/>
  </w:style>
  <w:style w:type="paragraph" w:customStyle="1" w:styleId="TSBHeaderSummary">
    <w:name w:val="TSBHeaderSummary"/>
    <w:basedOn w:val="Normal"/>
    <w:rsid w:val="007275F7"/>
  </w:style>
  <w:style w:type="paragraph" w:customStyle="1" w:styleId="toc0">
    <w:name w:val="toc 0"/>
    <w:basedOn w:val="Normal"/>
    <w:next w:val="TOC1"/>
    <w:rsid w:val="007275F7"/>
    <w:pPr>
      <w:tabs>
        <w:tab w:val="right" w:pos="9639"/>
      </w:tabs>
      <w:overflowPunct w:val="0"/>
      <w:autoSpaceDE w:val="0"/>
      <w:autoSpaceDN w:val="0"/>
      <w:adjustRightInd w:val="0"/>
      <w:textAlignment w:val="baseline"/>
    </w:pPr>
    <w:rPr>
      <w:rFonts w:eastAsia="Times New Roman"/>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79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meetingdoc.asp?lang=en&amp;parent=T22-TSAG-221212-TD-GEN-0110" TargetMode="External"/><Relationship Id="rId18" Type="http://schemas.openxmlformats.org/officeDocument/2006/relationships/hyperlink" Target="https://www.itu.int/ifa/t/2022/tsag/exchange/AHG-GME/202204/TSAG%20AHG-GME-DOC10.docx" TargetMode="External"/><Relationship Id="rId3" Type="http://schemas.openxmlformats.org/officeDocument/2006/relationships/customXml" Target="../customXml/item3.xml"/><Relationship Id="rId21" Type="http://schemas.openxmlformats.org/officeDocument/2006/relationships/hyperlink" Target="https://www.itu.int/ifa/t/2022/tsag/exchange/AHG-GME/202211/TSAG_AHG-GME-DOC28.docx" TargetMode="External"/><Relationship Id="rId7" Type="http://schemas.openxmlformats.org/officeDocument/2006/relationships/settings" Target="settings.xml"/><Relationship Id="rId12" Type="http://schemas.openxmlformats.org/officeDocument/2006/relationships/hyperlink" Target="mailto:philrushton@rcc-uk.uk" TargetMode="External"/><Relationship Id="rId17" Type="http://schemas.openxmlformats.org/officeDocument/2006/relationships/hyperlink" Target="https://www.itu.int/ifa/t/2022/tsag/exchange/AHG-GME/202112/TSAG%20AHG-GME-DOC06.docx" TargetMode="External"/><Relationship Id="rId2" Type="http://schemas.openxmlformats.org/officeDocument/2006/relationships/customXml" Target="../customXml/item2.xml"/><Relationship Id="rId16" Type="http://schemas.openxmlformats.org/officeDocument/2006/relationships/hyperlink" Target="https://www.itu.int/md/meetingdoc.asp?lang=en&amp;parent=T22-TSAG-221212-TD-GEN-0110" TargetMode="External"/><Relationship Id="rId20" Type="http://schemas.openxmlformats.org/officeDocument/2006/relationships/hyperlink" Target="https://www.itu.int/ifa/t/2022/tsag/exchange/AHG-GME/202208/TSAG_AHG-GME-DOC21.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ifa/t/2022/tsag/exchange/AHG-GME/Referenc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ifa/t/2022/tsag/exchange/AHG-GME/202206/TSAG%20AHG-GME-DOC16.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meetingdoc.asp?lang=en&amp;parent=T22-TSAG-221212-TD-GEN-0042"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BBA7A6-AE2F-44D1-85FE-811BBDB2A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customXml/itemProps4.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1105</Words>
  <Characters>6303</Characters>
  <Application>Microsoft Office Word</Application>
  <DocSecurity>4</DocSecurity>
  <Lines>52</Lines>
  <Paragraphs>14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Chair’s report of AHG-GME</vt:lpstr>
      <vt:lpstr>Introduction</vt:lpstr>
      <vt:lpstr>Activities</vt:lpstr>
      <vt:lpstr>    1) AHG-GME</vt:lpstr>
      <vt:lpstr>    2) Parallel Activity</vt:lpstr>
      <vt:lpstr>Proposal</vt:lpstr>
    </vt:vector>
  </TitlesOfParts>
  <Manager>ITU-T</Manager>
  <Company>International Telecommunication Union (ITU)</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AHG-GME: Overall activity chair's report (December 2021 – December 2022)</dc:title>
  <dc:subject/>
  <dc:creator>Chairman AHG-GME</dc:creator>
  <cp:keywords/>
  <dc:description>TSAG-TD42/GEN  For: Geneva, 12-16 December 2022_x000d_Document date: _x000d_Saved by ITU51014895 at 20:22:02 on 05/12/2022</dc:description>
  <cp:lastModifiedBy>Al-Mnini, Lara</cp:lastModifiedBy>
  <cp:revision>2</cp:revision>
  <cp:lastPrinted>2016-12-23T12:52:00Z</cp:lastPrinted>
  <dcterms:created xsi:type="dcterms:W3CDTF">2022-12-05T20:15:00Z</dcterms:created>
  <dcterms:modified xsi:type="dcterms:W3CDTF">2022-12-05T20:15:00Z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TSAG-TD42/GEN</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Geneva, 12-16 December 2022</vt:lpwstr>
  </property>
  <property fmtid="{D5CDD505-2E9C-101B-9397-08002B2CF9AE}" pid="8" name="Docauthor">
    <vt:lpwstr>Chairman AHG-GME</vt:lpwstr>
  </property>
</Properties>
</file>