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093CCA" w:rsidRPr="003027BC" w14:paraId="0E2EB4AA" w14:textId="77777777" w:rsidTr="003646BB">
        <w:trPr>
          <w:cantSplit/>
        </w:trPr>
        <w:tc>
          <w:tcPr>
            <w:tcW w:w="1134" w:type="dxa"/>
            <w:vMerge w:val="restart"/>
            <w:vAlign w:val="center"/>
          </w:tcPr>
          <w:p w14:paraId="6029DB04" w14:textId="77777777" w:rsidR="00093CCA" w:rsidRPr="003027BC" w:rsidRDefault="00093CCA" w:rsidP="003646BB">
            <w:pPr>
              <w:spacing w:before="0"/>
              <w:jc w:val="center"/>
              <w:rPr>
                <w:sz w:val="20"/>
                <w:lang w:val="es-ES"/>
              </w:rPr>
            </w:pPr>
            <w:r w:rsidRPr="003027BC">
              <w:rPr>
                <w:noProof/>
                <w:lang w:val="es-ES" w:eastAsia="es-ES"/>
              </w:rPr>
              <w:drawing>
                <wp:inline distT="0" distB="0" distL="0" distR="0" wp14:anchorId="5923698E" wp14:editId="3E954FCB">
                  <wp:extent cx="647700" cy="705600"/>
                  <wp:effectExtent l="0" t="0" r="0" b="0"/>
                  <wp:docPr id="5" name="Picture 5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40C408BC" w14:textId="77777777" w:rsidR="00093CCA" w:rsidRPr="003027BC" w:rsidRDefault="00093CCA" w:rsidP="003646BB">
            <w:pPr>
              <w:rPr>
                <w:sz w:val="16"/>
                <w:szCs w:val="16"/>
                <w:lang w:val="es-ES"/>
              </w:rPr>
            </w:pPr>
            <w:r w:rsidRPr="003027BC">
              <w:rPr>
                <w:sz w:val="16"/>
                <w:szCs w:val="16"/>
                <w:lang w:val="es-ES"/>
              </w:rPr>
              <w:t>UNIÓN INTERNACIONAL DE TELECOMUNICACIONES</w:t>
            </w:r>
          </w:p>
          <w:p w14:paraId="3B8FFDCC" w14:textId="77777777" w:rsidR="00093CCA" w:rsidRPr="003027BC" w:rsidRDefault="00093CCA" w:rsidP="003646BB">
            <w:pPr>
              <w:rPr>
                <w:b/>
                <w:bCs/>
                <w:sz w:val="26"/>
                <w:szCs w:val="26"/>
                <w:lang w:val="es-ES"/>
              </w:rPr>
            </w:pPr>
            <w:r w:rsidRPr="003027BC">
              <w:rPr>
                <w:b/>
                <w:bCs/>
                <w:sz w:val="26"/>
                <w:szCs w:val="26"/>
                <w:lang w:val="es-ES"/>
              </w:rPr>
              <w:t>SECTOR DE NORMALIZACIÓN</w:t>
            </w:r>
            <w:r w:rsidRPr="003027BC">
              <w:rPr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  <w:p w14:paraId="1E084B5C" w14:textId="77777777" w:rsidR="00093CCA" w:rsidRPr="003027BC" w:rsidRDefault="00093CCA" w:rsidP="003646BB">
            <w:pPr>
              <w:rPr>
                <w:sz w:val="20"/>
                <w:lang w:val="es-ES"/>
              </w:rPr>
            </w:pPr>
            <w:r w:rsidRPr="003027BC">
              <w:rPr>
                <w:sz w:val="20"/>
                <w:lang w:val="es-ES"/>
              </w:rPr>
              <w:t>PERIODO DE ESTUDIOS 2022-2024</w:t>
            </w:r>
          </w:p>
        </w:tc>
        <w:tc>
          <w:tcPr>
            <w:tcW w:w="4309" w:type="dxa"/>
            <w:vAlign w:val="center"/>
          </w:tcPr>
          <w:p w14:paraId="3F3FD081" w14:textId="77777777" w:rsidR="00093CCA" w:rsidRPr="003027BC" w:rsidRDefault="00093CCA" w:rsidP="003646BB">
            <w:pPr>
              <w:pStyle w:val="Docnumber"/>
              <w:rPr>
                <w:sz w:val="32"/>
                <w:lang w:val="es-ES"/>
              </w:rPr>
            </w:pPr>
            <w:r w:rsidRPr="003027BC">
              <w:rPr>
                <w:sz w:val="32"/>
                <w:lang w:val="es-ES"/>
              </w:rPr>
              <w:t>TSAG-TD063</w:t>
            </w:r>
          </w:p>
        </w:tc>
      </w:tr>
      <w:tr w:rsidR="00093CCA" w:rsidRPr="003027BC" w14:paraId="1B87B035" w14:textId="77777777" w:rsidTr="003646BB">
        <w:trPr>
          <w:cantSplit/>
        </w:trPr>
        <w:tc>
          <w:tcPr>
            <w:tcW w:w="1134" w:type="dxa"/>
            <w:vMerge/>
          </w:tcPr>
          <w:p w14:paraId="30D5A265" w14:textId="77777777" w:rsidR="00093CCA" w:rsidRPr="003027BC" w:rsidRDefault="00093CCA" w:rsidP="003646BB">
            <w:pPr>
              <w:rPr>
                <w:smallCaps/>
                <w:sz w:val="20"/>
                <w:lang w:val="es-ES"/>
              </w:rPr>
            </w:pPr>
            <w:bookmarkStart w:id="0" w:name="dsg" w:colFirst="2" w:colLast="2"/>
          </w:p>
        </w:tc>
        <w:tc>
          <w:tcPr>
            <w:tcW w:w="4480" w:type="dxa"/>
            <w:gridSpan w:val="4"/>
            <w:vMerge/>
          </w:tcPr>
          <w:p w14:paraId="0EC3BEDB" w14:textId="77777777" w:rsidR="00093CCA" w:rsidRPr="003027BC" w:rsidRDefault="00093CCA" w:rsidP="003646BB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309" w:type="dxa"/>
          </w:tcPr>
          <w:p w14:paraId="067D99F3" w14:textId="77777777" w:rsidR="00093CCA" w:rsidRPr="003027BC" w:rsidRDefault="00093CCA" w:rsidP="003646BB">
            <w:pPr>
              <w:pStyle w:val="TSBHeaderRight14"/>
              <w:rPr>
                <w:smallCaps/>
                <w:lang w:val="es-ES"/>
              </w:rPr>
            </w:pPr>
            <w:proofErr w:type="spellStart"/>
            <w:r w:rsidRPr="003027BC">
              <w:rPr>
                <w:smallCaps/>
                <w:lang w:val="es-ES"/>
              </w:rPr>
              <w:t>gant</w:t>
            </w:r>
            <w:proofErr w:type="spellEnd"/>
          </w:p>
        </w:tc>
      </w:tr>
      <w:bookmarkEnd w:id="0"/>
      <w:tr w:rsidR="00093CCA" w:rsidRPr="003027BC" w14:paraId="224C4AB8" w14:textId="77777777" w:rsidTr="003646BB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F7FAC2F" w14:textId="77777777" w:rsidR="00093CCA" w:rsidRPr="003027BC" w:rsidRDefault="00093CCA" w:rsidP="003646BB">
            <w:pPr>
              <w:rPr>
                <w:b/>
                <w:bCs/>
                <w:sz w:val="26"/>
                <w:lang w:val="es-ES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1FFD5321" w14:textId="77777777" w:rsidR="00093CCA" w:rsidRPr="003027BC" w:rsidRDefault="00093CCA" w:rsidP="003646BB">
            <w:pPr>
              <w:rPr>
                <w:b/>
                <w:bCs/>
                <w:sz w:val="26"/>
                <w:lang w:val="es-ES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546ADA7A" w14:textId="77777777" w:rsidR="00093CCA" w:rsidRPr="003027BC" w:rsidRDefault="00093CCA" w:rsidP="003646BB">
            <w:pPr>
              <w:pStyle w:val="TSBHeaderRight14"/>
              <w:rPr>
                <w:lang w:val="es-ES"/>
              </w:rPr>
            </w:pPr>
            <w:r w:rsidRPr="003027BC">
              <w:rPr>
                <w:lang w:val="es-ES"/>
              </w:rPr>
              <w:t>Original: inglés</w:t>
            </w:r>
          </w:p>
        </w:tc>
      </w:tr>
      <w:tr w:rsidR="00093CCA" w:rsidRPr="003027BC" w14:paraId="04F782D5" w14:textId="77777777" w:rsidTr="003646BB">
        <w:trPr>
          <w:cantSplit/>
        </w:trPr>
        <w:tc>
          <w:tcPr>
            <w:tcW w:w="1589" w:type="dxa"/>
            <w:gridSpan w:val="2"/>
          </w:tcPr>
          <w:p w14:paraId="63DB4ADC" w14:textId="77777777" w:rsidR="00093CCA" w:rsidRPr="003027BC" w:rsidRDefault="00093CCA" w:rsidP="003646BB">
            <w:pPr>
              <w:rPr>
                <w:b/>
                <w:bCs/>
                <w:szCs w:val="24"/>
                <w:lang w:val="es-ES"/>
              </w:rPr>
            </w:pPr>
            <w:r w:rsidRPr="003027BC">
              <w:rPr>
                <w:b/>
                <w:bCs/>
                <w:szCs w:val="24"/>
                <w:lang w:val="es-ES"/>
              </w:rPr>
              <w:t>Cuestión(es):</w:t>
            </w:r>
          </w:p>
        </w:tc>
        <w:tc>
          <w:tcPr>
            <w:tcW w:w="4025" w:type="dxa"/>
            <w:gridSpan w:val="3"/>
          </w:tcPr>
          <w:p w14:paraId="6ED3C7D7" w14:textId="77777777" w:rsidR="00093CCA" w:rsidRPr="003027BC" w:rsidRDefault="00093CCA" w:rsidP="003646BB">
            <w:pPr>
              <w:pStyle w:val="TSBHeaderQuestion"/>
              <w:rPr>
                <w:lang w:val="es-ES"/>
              </w:rPr>
            </w:pPr>
            <w:r w:rsidRPr="003027BC">
              <w:rPr>
                <w:lang w:val="es-ES"/>
              </w:rPr>
              <w:t>No aplica</w:t>
            </w:r>
          </w:p>
        </w:tc>
        <w:tc>
          <w:tcPr>
            <w:tcW w:w="4309" w:type="dxa"/>
          </w:tcPr>
          <w:p w14:paraId="4DA66EDA" w14:textId="77777777" w:rsidR="00093CCA" w:rsidRPr="003027BC" w:rsidRDefault="00093CCA" w:rsidP="003646BB">
            <w:pPr>
              <w:pStyle w:val="VenueDate"/>
              <w:rPr>
                <w:lang w:val="es-ES"/>
              </w:rPr>
            </w:pPr>
            <w:r w:rsidRPr="003027BC">
              <w:rPr>
                <w:lang w:val="es-ES"/>
              </w:rPr>
              <w:t>Ginebra, 12-16 de diciembre de 2022</w:t>
            </w:r>
          </w:p>
        </w:tc>
      </w:tr>
      <w:tr w:rsidR="00093CCA" w:rsidRPr="003027BC" w14:paraId="374BD092" w14:textId="77777777" w:rsidTr="003646BB">
        <w:trPr>
          <w:cantSplit/>
        </w:trPr>
        <w:tc>
          <w:tcPr>
            <w:tcW w:w="9923" w:type="dxa"/>
            <w:gridSpan w:val="6"/>
          </w:tcPr>
          <w:p w14:paraId="2662CC7E" w14:textId="77777777" w:rsidR="00093CCA" w:rsidRPr="003027BC" w:rsidRDefault="00093CCA" w:rsidP="003646BB">
            <w:pPr>
              <w:jc w:val="center"/>
              <w:rPr>
                <w:b/>
                <w:bCs/>
                <w:szCs w:val="24"/>
                <w:lang w:val="es-ES"/>
              </w:rPr>
            </w:pPr>
            <w:bookmarkStart w:id="1" w:name="ddoctype"/>
            <w:r w:rsidRPr="003027BC">
              <w:rPr>
                <w:b/>
                <w:bCs/>
                <w:szCs w:val="24"/>
                <w:lang w:val="es-ES"/>
              </w:rPr>
              <w:t>DT</w:t>
            </w:r>
          </w:p>
        </w:tc>
      </w:tr>
      <w:bookmarkEnd w:id="1"/>
      <w:tr w:rsidR="00093CCA" w:rsidRPr="003027BC" w14:paraId="077CA6AF" w14:textId="77777777" w:rsidTr="003646BB">
        <w:trPr>
          <w:cantSplit/>
        </w:trPr>
        <w:tc>
          <w:tcPr>
            <w:tcW w:w="1589" w:type="dxa"/>
            <w:gridSpan w:val="2"/>
          </w:tcPr>
          <w:p w14:paraId="728D3FDC" w14:textId="77777777" w:rsidR="00093CCA" w:rsidRPr="003027BC" w:rsidRDefault="00093CCA" w:rsidP="003646BB">
            <w:pPr>
              <w:rPr>
                <w:b/>
                <w:bCs/>
                <w:szCs w:val="24"/>
                <w:lang w:val="es-ES"/>
              </w:rPr>
            </w:pPr>
            <w:r w:rsidRPr="003027BC">
              <w:rPr>
                <w:b/>
                <w:bCs/>
                <w:szCs w:val="24"/>
                <w:lang w:val="es-ES"/>
              </w:rPr>
              <w:t>Origen:</w:t>
            </w:r>
          </w:p>
        </w:tc>
        <w:tc>
          <w:tcPr>
            <w:tcW w:w="8334" w:type="dxa"/>
            <w:gridSpan w:val="4"/>
          </w:tcPr>
          <w:p w14:paraId="2FD7DE6C" w14:textId="77777777" w:rsidR="00093CCA" w:rsidRPr="003027BC" w:rsidRDefault="00093CCA" w:rsidP="003646BB">
            <w:pPr>
              <w:pStyle w:val="TSBHeaderSource"/>
              <w:rPr>
                <w:lang w:val="es-ES"/>
              </w:rPr>
            </w:pPr>
            <w:r w:rsidRPr="003027BC">
              <w:rPr>
                <w:lang w:val="es-ES"/>
              </w:rPr>
              <w:t>Presidente del GANT</w:t>
            </w:r>
          </w:p>
        </w:tc>
      </w:tr>
      <w:tr w:rsidR="00093CCA" w:rsidRPr="003027BC" w14:paraId="23A96843" w14:textId="77777777" w:rsidTr="003646BB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54134C0F" w14:textId="77777777" w:rsidR="00093CCA" w:rsidRPr="003027BC" w:rsidRDefault="00093CCA" w:rsidP="003646BB">
            <w:pPr>
              <w:rPr>
                <w:b/>
                <w:bCs/>
                <w:szCs w:val="24"/>
                <w:lang w:val="es-ES"/>
              </w:rPr>
            </w:pPr>
            <w:bookmarkStart w:id="2" w:name="dtitle1" w:colFirst="1" w:colLast="1"/>
            <w:r w:rsidRPr="003027BC">
              <w:rPr>
                <w:b/>
                <w:bCs/>
                <w:szCs w:val="24"/>
                <w:lang w:val="es-ES"/>
              </w:rPr>
              <w:t>Título: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0359B60B" w14:textId="77777777" w:rsidR="00093CCA" w:rsidRPr="003027BC" w:rsidRDefault="00093CCA" w:rsidP="003646BB">
            <w:pPr>
              <w:pStyle w:val="TSBHeaderTitle"/>
              <w:rPr>
                <w:lang w:val="es-ES"/>
              </w:rPr>
            </w:pPr>
            <w:r w:rsidRPr="003027BC">
              <w:rPr>
                <w:lang w:val="es-ES"/>
              </w:rPr>
              <w:t>Nota que se somete a lectura al inicio de la reunión</w:t>
            </w:r>
          </w:p>
        </w:tc>
      </w:tr>
      <w:bookmarkEnd w:id="2"/>
      <w:tr w:rsidR="00093CCA" w:rsidRPr="003027BC" w14:paraId="2ED5BF94" w14:textId="77777777" w:rsidTr="003646BB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511A8E2" w14:textId="77777777" w:rsidR="00093CCA" w:rsidRPr="003027BC" w:rsidRDefault="00093CCA" w:rsidP="003646BB">
            <w:pPr>
              <w:rPr>
                <w:rFonts w:eastAsiaTheme="minorEastAsia"/>
                <w:b/>
                <w:bCs/>
                <w:szCs w:val="24"/>
                <w:lang w:val="es-ES" w:eastAsia="ja-JP"/>
              </w:rPr>
            </w:pPr>
            <w:r w:rsidRPr="003027BC">
              <w:rPr>
                <w:rFonts w:eastAsiaTheme="minorEastAsia"/>
                <w:b/>
                <w:bCs/>
                <w:szCs w:val="24"/>
                <w:lang w:val="es-ES" w:eastAsia="ja-JP"/>
              </w:rPr>
              <w:t>Contacto: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0188B814" w14:textId="77777777" w:rsidR="00093CCA" w:rsidRPr="003027BC" w:rsidRDefault="00472272" w:rsidP="003646BB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alias w:val="ContactNameOrgCountry"/>
                <w:tag w:val="ContactNameOrgCountry"/>
                <w:id w:val="-1632704458"/>
                <w:placeholder>
                  <w:docPart w:val="5C741FF4469E40849F3A5F36ED1BC5AB"/>
                </w:placeholder>
                <w:text w:multiLine="1"/>
              </w:sdtPr>
              <w:sdtEndPr/>
              <w:sdtContent>
                <w:r w:rsidR="00093CCA" w:rsidRPr="003027BC">
                  <w:rPr>
                    <w:lang w:val="es-ES"/>
                  </w:rPr>
                  <w:t>Abdurahman AL HASSAN</w:t>
                </w:r>
                <w:r w:rsidR="00093CCA" w:rsidRPr="003027BC">
                  <w:rPr>
                    <w:lang w:val="es-ES"/>
                  </w:rPr>
                  <w:br/>
                </w:r>
                <w:proofErr w:type="gramStart"/>
                <w:r w:rsidR="00093CCA" w:rsidRPr="003027BC">
                  <w:rPr>
                    <w:lang w:val="es-ES"/>
                  </w:rPr>
                  <w:t>Presidente</w:t>
                </w:r>
                <w:proofErr w:type="gramEnd"/>
                <w:r w:rsidR="00093CCA" w:rsidRPr="003027BC">
                  <w:rPr>
                    <w:lang w:val="es-ES"/>
                  </w:rPr>
                  <w:t xml:space="preserve"> del GANT</w:t>
                </w:r>
              </w:sdtContent>
            </w:sdt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0A7FCD" w14:textId="77777777" w:rsidR="00093CCA" w:rsidRPr="003027BC" w:rsidRDefault="00472272" w:rsidP="003646BB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alias w:val="ContactTelFaxEmail"/>
                <w:tag w:val="ContactTelFaxEmail"/>
                <w:id w:val="1849828291"/>
                <w:placeholder>
                  <w:docPart w:val="DBE3BE3A8DD649D79DA008772C6366DE"/>
                </w:placeholder>
              </w:sdtPr>
              <w:sdtEndPr/>
              <w:sdtContent>
                <w:sdt>
                  <w:sdtPr>
                    <w:rPr>
                      <w:lang w:val="es-ES"/>
                    </w:rPr>
                    <w:alias w:val="ContactTelFaxEmail"/>
                    <w:tag w:val="ContactTelFaxEmail"/>
                    <w:id w:val="1158351679"/>
                    <w:placeholder>
                      <w:docPart w:val="D0D88C52CB76420DB3B35685FC949E6A"/>
                    </w:placeholder>
                  </w:sdtPr>
                  <w:sdtEndPr/>
                  <w:sdtContent>
                    <w:r w:rsidR="00093CCA" w:rsidRPr="003027BC">
                      <w:rPr>
                        <w:lang w:val="es-ES"/>
                      </w:rPr>
                      <w:t>Correo-e:</w:t>
                    </w:r>
                    <w:r w:rsidR="00093CCA" w:rsidRPr="003027BC">
                      <w:rPr>
                        <w:lang w:val="es-ES"/>
                      </w:rPr>
                      <w:tab/>
                    </w:r>
                    <w:hyperlink r:id="rId8" w:history="1">
                      <w:r w:rsidR="00093CCA" w:rsidRPr="003027BC">
                        <w:rPr>
                          <w:rStyle w:val="Hyperlink"/>
                          <w:lang w:val="es-ES"/>
                        </w:rPr>
                        <w:t>tsagChair@nca.gov.sa</w:t>
                      </w:r>
                    </w:hyperlink>
                    <w:r w:rsidR="00093CCA" w:rsidRPr="003027BC">
                      <w:rPr>
                        <w:lang w:val="es-ES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4633E151" w14:textId="77777777" w:rsidR="00093CCA" w:rsidRPr="00093CCA" w:rsidRDefault="00093CCA" w:rsidP="00103412">
      <w:pPr>
        <w:rPr>
          <w:lang w:val="es-E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6215F5" w:rsidRPr="00093CCA" w14:paraId="6FB07E28" w14:textId="77777777" w:rsidTr="003646BB">
        <w:trPr>
          <w:cantSplit/>
          <w:trHeight w:val="56"/>
        </w:trPr>
        <w:tc>
          <w:tcPr>
            <w:tcW w:w="1613" w:type="dxa"/>
          </w:tcPr>
          <w:p w14:paraId="5C14C758" w14:textId="77777777" w:rsidR="006215F5" w:rsidRPr="00093CCA" w:rsidRDefault="006215F5" w:rsidP="003646BB">
            <w:pPr>
              <w:spacing w:after="60"/>
              <w:rPr>
                <w:b/>
                <w:bCs/>
                <w:szCs w:val="24"/>
                <w:highlight w:val="yellow"/>
                <w:lang w:val="es-ES"/>
              </w:rPr>
            </w:pPr>
            <w:r w:rsidRPr="00093CCA">
              <w:rPr>
                <w:b/>
                <w:bCs/>
                <w:szCs w:val="24"/>
                <w:lang w:val="es-ES"/>
              </w:rPr>
              <w:t>Resumen:</w:t>
            </w:r>
          </w:p>
        </w:tc>
        <w:tc>
          <w:tcPr>
            <w:tcW w:w="8310" w:type="dxa"/>
          </w:tcPr>
          <w:p w14:paraId="24306572" w14:textId="77777777" w:rsidR="006215F5" w:rsidRPr="00093CCA" w:rsidRDefault="006215F5" w:rsidP="003646BB">
            <w:pPr>
              <w:spacing w:after="60"/>
              <w:rPr>
                <w:szCs w:val="24"/>
                <w:lang w:val="es-ES"/>
              </w:rPr>
            </w:pPr>
            <w:r w:rsidRPr="00093CCA">
              <w:rPr>
                <w:szCs w:val="24"/>
                <w:lang w:val="es-ES"/>
              </w:rPr>
              <w:t>Se dará lectura a esta nota al principio de la reunión.</w:t>
            </w:r>
          </w:p>
        </w:tc>
      </w:tr>
    </w:tbl>
    <w:p w14:paraId="3ACCED86" w14:textId="77777777" w:rsidR="006215F5" w:rsidRPr="00093CCA" w:rsidRDefault="006215F5" w:rsidP="00093CCA">
      <w:pPr>
        <w:pStyle w:val="Headingb"/>
        <w:spacing w:before="480"/>
        <w:rPr>
          <w:lang w:val="es-ES"/>
        </w:rPr>
      </w:pPr>
      <w:r w:rsidRPr="00093CCA">
        <w:rPr>
          <w:lang w:val="es-ES"/>
        </w:rPr>
        <w:t>NOTA QUE SE SOMETE A LECTURA AL INICIO DE LA REUNIÓN</w:t>
      </w:r>
    </w:p>
    <w:p w14:paraId="2280E888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 xml:space="preserve">En esta reunión del Grupo Asesor de Normalización de las Telecomunicaciones (GANT), utilizaremos </w:t>
      </w:r>
      <w:proofErr w:type="gramStart"/>
      <w:r w:rsidRPr="006215F5">
        <w:rPr>
          <w:lang w:val="es-ES"/>
        </w:rPr>
        <w:t>Zoom</w:t>
      </w:r>
      <w:proofErr w:type="gramEnd"/>
      <w:r w:rsidRPr="006215F5">
        <w:rPr>
          <w:lang w:val="es-ES"/>
        </w:rPr>
        <w:t xml:space="preserve"> como plataforma de participación remota. Con ella, ofreceremos la oportunidad de participar de forma virtual durante toda la reunión del GANT.</w:t>
      </w:r>
    </w:p>
    <w:p w14:paraId="46658139" w14:textId="10026CD8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 xml:space="preserve">La Oficina de Normalización de las Telecomunicaciones (TSB) ha preparado el documento TD054, que incluye una descripción detallada de la herramienta de participación remota </w:t>
      </w:r>
      <w:proofErr w:type="gramStart"/>
      <w:r w:rsidRPr="006215F5">
        <w:rPr>
          <w:lang w:val="es-ES"/>
        </w:rPr>
        <w:t>Zoom</w:t>
      </w:r>
      <w:proofErr w:type="gramEnd"/>
      <w:r w:rsidRPr="006215F5">
        <w:rPr>
          <w:lang w:val="es-ES"/>
        </w:rPr>
        <w:t>. Le</w:t>
      </w:r>
      <w:r w:rsidR="00093CCA">
        <w:rPr>
          <w:lang w:val="es-ES"/>
        </w:rPr>
        <w:t> </w:t>
      </w:r>
      <w:r w:rsidRPr="006215F5">
        <w:rPr>
          <w:lang w:val="es-ES"/>
        </w:rPr>
        <w:t>animamos a leer la guía de usuario conexa que figura en TD054, donde se explica cómo utilizar la herramienta y se ofrece orientación para la resolución de problemas técnicos.</w:t>
      </w:r>
    </w:p>
    <w:p w14:paraId="3F1B3D0D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Al realizar una intervención, recuerde que sus observaciones se reproducen en subtitulado y se interpretan a cinco idiomas.</w:t>
      </w:r>
    </w:p>
    <w:p w14:paraId="1301F14B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También es importante tener en mente los puntos siguientes:</w:t>
      </w:r>
    </w:p>
    <w:p w14:paraId="4C928E5B" w14:textId="299B75EC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>La calidad de audio que un delegado considera satisfactoria puede ser insuficiente para fines de interpretación o subtitulado.</w:t>
      </w:r>
    </w:p>
    <w:p w14:paraId="2D6C172C" w14:textId="5D856E50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 xml:space="preserve">Para los intérpretes y </w:t>
      </w:r>
      <w:proofErr w:type="spellStart"/>
      <w:r w:rsidRPr="00093CCA">
        <w:rPr>
          <w:lang w:val="es-ES"/>
        </w:rPr>
        <w:t>subtituladores</w:t>
      </w:r>
      <w:proofErr w:type="spellEnd"/>
      <w:r w:rsidRPr="00093CCA">
        <w:rPr>
          <w:lang w:val="es-ES"/>
        </w:rPr>
        <w:t>, la calidad de audio debe ser casi perfecta. Se recuerda a los delegados que deben hablar con claridad, en voz alta y con lentitud; es preciso evitar los ruidos de fondo. Se pide a los participantes que silencien sus micrófonos hasta que deseen intervenir.</w:t>
      </w:r>
    </w:p>
    <w:p w14:paraId="26C1ABDB" w14:textId="7576C732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 xml:space="preserve">La calidad del audio puede empeorar sin previo aviso, lo que podría condicionar la capacidad del intérprete o </w:t>
      </w:r>
      <w:proofErr w:type="spellStart"/>
      <w:r w:rsidRPr="00093CCA">
        <w:rPr>
          <w:lang w:val="es-ES"/>
        </w:rPr>
        <w:t>subtitulador</w:t>
      </w:r>
      <w:proofErr w:type="spellEnd"/>
      <w:r w:rsidRPr="00093CCA">
        <w:rPr>
          <w:lang w:val="es-ES"/>
        </w:rPr>
        <w:t xml:space="preserve"> para reproducir la intervención de manera fluida.</w:t>
      </w:r>
    </w:p>
    <w:p w14:paraId="6EEAC53A" w14:textId="0A6E9D33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 xml:space="preserve">En casos extremos, pese a su formación y experiencia, nuestros intérpretes o </w:t>
      </w:r>
      <w:proofErr w:type="spellStart"/>
      <w:r w:rsidRPr="00093CCA">
        <w:rPr>
          <w:lang w:val="es-ES"/>
        </w:rPr>
        <w:t>subtituladores</w:t>
      </w:r>
      <w:proofErr w:type="spellEnd"/>
      <w:r w:rsidRPr="00093CCA">
        <w:rPr>
          <w:lang w:val="es-ES"/>
        </w:rPr>
        <w:t xml:space="preserve"> se verán obligados a dejar de interpretar o subtitular la intervención por completo.</w:t>
      </w:r>
    </w:p>
    <w:p w14:paraId="3F9D25A6" w14:textId="79C033E5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 xml:space="preserve">Se permite al </w:t>
      </w:r>
      <w:proofErr w:type="gramStart"/>
      <w:r w:rsidRPr="00093CCA">
        <w:rPr>
          <w:lang w:val="es-ES"/>
        </w:rPr>
        <w:t>Presidente</w:t>
      </w:r>
      <w:proofErr w:type="gramEnd"/>
      <w:r w:rsidRPr="00093CCA">
        <w:rPr>
          <w:lang w:val="es-ES"/>
        </w:rPr>
        <w:t xml:space="preserve"> o al moderador de la participación a distancia silenciar a los participantes a distancia con mala conexión o cuyas conexiones introduzcan demasiado ruido. Se podrá desconectar a los participantes si la situación no puede remediarse.</w:t>
      </w:r>
    </w:p>
    <w:p w14:paraId="0ABA3A95" w14:textId="37780937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 xml:space="preserve">Cuando un delegado desee realizar una intervención, en primer lugar, tendrá que pedir la palabra utilizando el botón </w:t>
      </w:r>
      <w:r w:rsidR="00093CCA">
        <w:rPr>
          <w:lang w:val="es-ES"/>
        </w:rPr>
        <w:t>"</w:t>
      </w:r>
      <w:proofErr w:type="spellStart"/>
      <w:r w:rsidRPr="00093CCA">
        <w:rPr>
          <w:lang w:val="es-ES"/>
        </w:rPr>
        <w:t>raise</w:t>
      </w:r>
      <w:proofErr w:type="spellEnd"/>
      <w:r w:rsidRPr="00093CCA">
        <w:rPr>
          <w:lang w:val="es-ES"/>
        </w:rPr>
        <w:t xml:space="preserve"> </w:t>
      </w:r>
      <w:proofErr w:type="spellStart"/>
      <w:r w:rsidRPr="00093CCA">
        <w:rPr>
          <w:lang w:val="es-ES"/>
        </w:rPr>
        <w:t>hand</w:t>
      </w:r>
      <w:proofErr w:type="spellEnd"/>
      <w:r w:rsidR="00093CCA">
        <w:rPr>
          <w:lang w:val="es-ES"/>
        </w:rPr>
        <w:t>"</w:t>
      </w:r>
      <w:r w:rsidRPr="00093CCA">
        <w:rPr>
          <w:lang w:val="es-ES"/>
        </w:rPr>
        <w:t xml:space="preserve"> (levantar la mano). El </w:t>
      </w:r>
      <w:proofErr w:type="gramStart"/>
      <w:r w:rsidRPr="00093CCA">
        <w:rPr>
          <w:lang w:val="es-ES"/>
        </w:rPr>
        <w:t>Presidente</w:t>
      </w:r>
      <w:proofErr w:type="gramEnd"/>
      <w:r w:rsidRPr="00093CCA">
        <w:rPr>
          <w:lang w:val="es-ES"/>
        </w:rPr>
        <w:t xml:space="preserve"> concederá la palabra al delegado de acuerdo con las solicitudes de palabra en cola.</w:t>
      </w:r>
    </w:p>
    <w:p w14:paraId="25662179" w14:textId="10E9BB47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lastRenderedPageBreak/>
        <w:t>•</w:t>
      </w:r>
      <w:r w:rsidRPr="00093CCA">
        <w:rPr>
          <w:lang w:val="es-ES"/>
        </w:rPr>
        <w:tab/>
        <w:t xml:space="preserve">Antes de la intervención de audio, asegúrese de establecer el canal de audio de </w:t>
      </w:r>
      <w:proofErr w:type="gramStart"/>
      <w:r w:rsidRPr="00093CCA">
        <w:rPr>
          <w:lang w:val="es-ES"/>
        </w:rPr>
        <w:t>Zoom</w:t>
      </w:r>
      <w:proofErr w:type="gramEnd"/>
      <w:r w:rsidRPr="00093CCA">
        <w:rPr>
          <w:lang w:val="es-ES"/>
        </w:rPr>
        <w:t xml:space="preserve"> en el canal de su idioma o seleccione el canal </w:t>
      </w:r>
      <w:r w:rsidR="00093CCA">
        <w:rPr>
          <w:lang w:val="es-ES"/>
        </w:rPr>
        <w:t>"</w:t>
      </w:r>
      <w:r w:rsidRPr="00093CCA">
        <w:rPr>
          <w:lang w:val="es-ES"/>
        </w:rPr>
        <w:t>off</w:t>
      </w:r>
      <w:r w:rsidR="00093CCA">
        <w:rPr>
          <w:lang w:val="es-ES"/>
        </w:rPr>
        <w:t>"</w:t>
      </w:r>
      <w:r w:rsidRPr="00093CCA">
        <w:rPr>
          <w:lang w:val="es-ES"/>
        </w:rPr>
        <w:t xml:space="preserve"> (desactivado), que corresponde al canal del podio.</w:t>
      </w:r>
    </w:p>
    <w:p w14:paraId="5A1EF366" w14:textId="24C8EDDF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>Todos los participantes deberán presentarse mencionando su nombre y afiliación.</w:t>
      </w:r>
    </w:p>
    <w:p w14:paraId="706C8517" w14:textId="7C380C6C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>Ocasionalmente, se podrá pedir a un delegado que vuelva a pronunciar una declaración y se podrá disponer que un oficial parafrasee su discurso en la sala.</w:t>
      </w:r>
    </w:p>
    <w:p w14:paraId="0E3AB8EC" w14:textId="24C49D43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•</w:t>
      </w:r>
      <w:r w:rsidRPr="00093CCA">
        <w:rPr>
          <w:lang w:val="es-ES"/>
        </w:rPr>
        <w:tab/>
        <w:t>Se anima a los participantes a utilizar auriculares (en lugar del micrófono y el altavoz de su dispositivo). Los participantes deberán asegurarse de estar silenciados cuando no tengan la palabra.</w:t>
      </w:r>
    </w:p>
    <w:p w14:paraId="6BFDCE8C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Es previsible que se produzca un cierto retraso en el tiempo de respuesta de compartición de pantalla por los motivos siguientes:</w:t>
      </w:r>
    </w:p>
    <w:p w14:paraId="02E9B27F" w14:textId="465C1EBD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1)</w:t>
      </w:r>
      <w:r w:rsidRPr="00093CCA">
        <w:rPr>
          <w:lang w:val="es-ES"/>
        </w:rPr>
        <w:tab/>
        <w:t>retardo de audio del orador al asistente de la TSB que comparte la pantalla (descendente)</w:t>
      </w:r>
      <w:r w:rsidR="00093CCA">
        <w:rPr>
          <w:lang w:val="es-ES"/>
        </w:rPr>
        <w:t>;</w:t>
      </w:r>
    </w:p>
    <w:p w14:paraId="5A715953" w14:textId="71019EF8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2)</w:t>
      </w:r>
      <w:r w:rsidRPr="00093CCA">
        <w:rPr>
          <w:lang w:val="es-ES"/>
        </w:rPr>
        <w:tab/>
        <w:t xml:space="preserve">latencia de actualización de pantalla en </w:t>
      </w:r>
      <w:proofErr w:type="gramStart"/>
      <w:r w:rsidRPr="00093CCA">
        <w:rPr>
          <w:lang w:val="es-ES"/>
        </w:rPr>
        <w:t>Zoom</w:t>
      </w:r>
      <w:proofErr w:type="gramEnd"/>
      <w:r w:rsidRPr="00093CCA">
        <w:rPr>
          <w:lang w:val="es-ES"/>
        </w:rPr>
        <w:t xml:space="preserve"> (ascendente)</w:t>
      </w:r>
      <w:r w:rsidR="00093CCA">
        <w:rPr>
          <w:lang w:val="es-ES"/>
        </w:rPr>
        <w:t>;</w:t>
      </w:r>
    </w:p>
    <w:p w14:paraId="497C9EEB" w14:textId="663C9683" w:rsidR="006215F5" w:rsidRPr="00093CCA" w:rsidRDefault="006215F5" w:rsidP="006215F5">
      <w:pPr>
        <w:pStyle w:val="enumlev1"/>
        <w:rPr>
          <w:lang w:val="es-ES"/>
        </w:rPr>
      </w:pPr>
      <w:r w:rsidRPr="00093CCA">
        <w:rPr>
          <w:lang w:val="es-ES"/>
        </w:rPr>
        <w:t>3)</w:t>
      </w:r>
      <w:r w:rsidRPr="00093CCA">
        <w:rPr>
          <w:lang w:val="es-ES"/>
        </w:rPr>
        <w:tab/>
        <w:t>estos retardos se agravan cuando se utiliza interpretación por relé.</w:t>
      </w:r>
    </w:p>
    <w:p w14:paraId="4CE97F14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Le rogamos que facilite la demora necesaria cuando detecte que el movimiento de los documentos compartidos en pantalla se ralentiza.</w:t>
      </w:r>
    </w:p>
    <w:p w14:paraId="505172CB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Se podrá utilizar el chat público para formular comentarios. Aunque no se considera un registro oficial de la reunión, muchas Comisiones de Estudio del UIT-T han observado que permite mejorar la comunicación y dirigir la reunión con eficacia.</w:t>
      </w:r>
    </w:p>
    <w:p w14:paraId="5FADA4F2" w14:textId="5225E40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 xml:space="preserve">El chat público </w:t>
      </w:r>
      <w:r w:rsidRPr="006215F5">
        <w:rPr>
          <w:b/>
          <w:bCs/>
          <w:u w:val="single"/>
          <w:lang w:val="es-ES"/>
        </w:rPr>
        <w:t>no</w:t>
      </w:r>
      <w:r w:rsidRPr="006215F5">
        <w:rPr>
          <w:lang w:val="es-ES"/>
        </w:rPr>
        <w:t xml:space="preserve"> se podrá utilizar para pedir la palabra. La </w:t>
      </w:r>
      <w:r w:rsidRPr="006215F5">
        <w:rPr>
          <w:b/>
          <w:bCs/>
          <w:lang w:val="es-ES"/>
        </w:rPr>
        <w:t>única</w:t>
      </w:r>
      <w:r w:rsidRPr="006215F5">
        <w:rPr>
          <w:lang w:val="es-ES"/>
        </w:rPr>
        <w:t xml:space="preserve"> manera de pedir la palabra es pulsando el </w:t>
      </w:r>
      <w:r w:rsidRPr="006215F5">
        <w:rPr>
          <w:b/>
          <w:bCs/>
          <w:lang w:val="es-ES"/>
        </w:rPr>
        <w:t xml:space="preserve">botón </w:t>
      </w:r>
      <w:r w:rsidRPr="00093CCA">
        <w:rPr>
          <w:b/>
          <w:bCs/>
          <w:lang w:val="es-ES"/>
        </w:rPr>
        <w:t>"</w:t>
      </w:r>
      <w:proofErr w:type="spellStart"/>
      <w:r w:rsidRPr="006215F5">
        <w:rPr>
          <w:b/>
          <w:bCs/>
          <w:lang w:val="es-ES"/>
        </w:rPr>
        <w:t>raise</w:t>
      </w:r>
      <w:proofErr w:type="spellEnd"/>
      <w:r w:rsidRPr="006215F5">
        <w:rPr>
          <w:b/>
          <w:bCs/>
          <w:lang w:val="es-ES"/>
        </w:rPr>
        <w:t xml:space="preserve"> </w:t>
      </w:r>
      <w:proofErr w:type="spellStart"/>
      <w:r w:rsidRPr="006215F5">
        <w:rPr>
          <w:b/>
          <w:bCs/>
          <w:lang w:val="es-ES"/>
        </w:rPr>
        <w:t>hand</w:t>
      </w:r>
      <w:proofErr w:type="spellEnd"/>
      <w:r w:rsidRPr="00093CCA">
        <w:rPr>
          <w:b/>
          <w:bCs/>
          <w:lang w:val="es-ES"/>
        </w:rPr>
        <w:t>"</w:t>
      </w:r>
      <w:r w:rsidRPr="006215F5">
        <w:rPr>
          <w:lang w:val="es-ES"/>
        </w:rPr>
        <w:t xml:space="preserve"> (levantar la mano).</w:t>
      </w:r>
    </w:p>
    <w:p w14:paraId="73B06B2C" w14:textId="77777777" w:rsidR="006215F5" w:rsidRPr="006215F5" w:rsidRDefault="006215F5" w:rsidP="006215F5">
      <w:pPr>
        <w:rPr>
          <w:lang w:val="es-ES"/>
        </w:rPr>
      </w:pPr>
      <w:r w:rsidRPr="006215F5">
        <w:rPr>
          <w:lang w:val="es-ES"/>
        </w:rPr>
        <w:t>Muchas gracias por su comprensión y colaboración. Con esto concluye este anuncio.</w:t>
      </w:r>
    </w:p>
    <w:p w14:paraId="0F9E448C" w14:textId="77777777" w:rsidR="006215F5" w:rsidRPr="00093CCA" w:rsidRDefault="006215F5" w:rsidP="00411C49">
      <w:pPr>
        <w:pStyle w:val="Reasons"/>
        <w:rPr>
          <w:lang w:val="es-ES"/>
        </w:rPr>
      </w:pPr>
    </w:p>
    <w:p w14:paraId="45B86C9A" w14:textId="77777777" w:rsidR="006215F5" w:rsidRPr="00093CCA" w:rsidRDefault="006215F5">
      <w:pPr>
        <w:jc w:val="center"/>
        <w:rPr>
          <w:lang w:val="es-ES"/>
        </w:rPr>
      </w:pPr>
      <w:r w:rsidRPr="00093CCA">
        <w:rPr>
          <w:lang w:val="es-ES"/>
        </w:rPr>
        <w:t>______________</w:t>
      </w:r>
    </w:p>
    <w:sectPr w:rsidR="006215F5" w:rsidRPr="00093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56DF" w14:textId="77777777" w:rsidR="006215F5" w:rsidRDefault="006215F5">
      <w:r>
        <w:separator/>
      </w:r>
    </w:p>
  </w:endnote>
  <w:endnote w:type="continuationSeparator" w:id="0">
    <w:p w14:paraId="4BC62E13" w14:textId="77777777" w:rsidR="006215F5" w:rsidRDefault="0062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F296" w14:textId="77777777" w:rsidR="00472272" w:rsidRDefault="00472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F703" w14:textId="06940CF3" w:rsidR="008B60AF" w:rsidRPr="00472272" w:rsidRDefault="008B60AF" w:rsidP="00472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093E" w14:textId="77777777" w:rsidR="00472272" w:rsidRDefault="0047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21A5" w14:textId="77777777" w:rsidR="006215F5" w:rsidRDefault="006215F5">
      <w:r>
        <w:t>____________________</w:t>
      </w:r>
    </w:p>
  </w:footnote>
  <w:footnote w:type="continuationSeparator" w:id="0">
    <w:p w14:paraId="1624C786" w14:textId="77777777" w:rsidR="006215F5" w:rsidRDefault="0062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DDD2" w14:textId="77777777" w:rsidR="00472272" w:rsidRDefault="00472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42D1" w14:textId="77777777" w:rsidR="008B60AF" w:rsidRPr="008B60AF" w:rsidRDefault="008B60AF" w:rsidP="008B60AF">
    <w:pPr>
      <w:pStyle w:val="Header"/>
      <w:rPr>
        <w:lang w:val="en-GB"/>
      </w:rPr>
    </w:pPr>
    <w:r w:rsidRPr="008B60AF">
      <w:rPr>
        <w:lang w:val="en-GB"/>
      </w:rPr>
      <w:t xml:space="preserve">- </w:t>
    </w:r>
    <w:r w:rsidRPr="008B60AF">
      <w:rPr>
        <w:lang w:val="en-GB"/>
      </w:rPr>
      <w:fldChar w:fldCharType="begin"/>
    </w:r>
    <w:r w:rsidRPr="008B60AF">
      <w:rPr>
        <w:lang w:val="en-GB"/>
      </w:rPr>
      <w:instrText xml:space="preserve"> PAGE  \* MERGEFORMAT </w:instrText>
    </w:r>
    <w:r w:rsidRPr="008B60AF">
      <w:rPr>
        <w:lang w:val="en-GB"/>
      </w:rPr>
      <w:fldChar w:fldCharType="separate"/>
    </w:r>
    <w:r w:rsidRPr="008B60AF">
      <w:rPr>
        <w:lang w:val="en-GB"/>
      </w:rPr>
      <w:t>3</w:t>
    </w:r>
    <w:r w:rsidRPr="008B60AF">
      <w:fldChar w:fldCharType="end"/>
    </w:r>
    <w:r w:rsidRPr="008B60AF">
      <w:rPr>
        <w:lang w:val="en-GB"/>
      </w:rPr>
      <w:t xml:space="preserve"> -</w:t>
    </w:r>
  </w:p>
  <w:p w14:paraId="2DAA99D9" w14:textId="32170625" w:rsidR="008B60AF" w:rsidRDefault="008B60AF" w:rsidP="008B60AF">
    <w:pPr>
      <w:pStyle w:val="Header"/>
    </w:pPr>
    <w:r w:rsidRPr="008B60AF">
      <w:rPr>
        <w:lang w:val="en-GB"/>
      </w:rPr>
      <w:t>TSAG-TD063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BD9A" w14:textId="77777777" w:rsidR="00472272" w:rsidRDefault="00472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629199">
    <w:abstractNumId w:val="0"/>
  </w:num>
  <w:num w:numId="2" w16cid:durableId="59836666">
    <w:abstractNumId w:val="2"/>
  </w:num>
  <w:num w:numId="3" w16cid:durableId="146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5"/>
    <w:rsid w:val="00093CCA"/>
    <w:rsid w:val="000D200E"/>
    <w:rsid w:val="00103412"/>
    <w:rsid w:val="003865B1"/>
    <w:rsid w:val="00472272"/>
    <w:rsid w:val="006215F5"/>
    <w:rsid w:val="00896626"/>
    <w:rsid w:val="008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CF677"/>
  <w15:docId w15:val="{E10FA62C-1091-445B-953F-AF8EB30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6215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F5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6215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Docnumber">
    <w:name w:val="Docnumber"/>
    <w:basedOn w:val="Normal"/>
    <w:link w:val="DocnumberChar"/>
    <w:qFormat/>
    <w:rsid w:val="00093CCA"/>
    <w:pPr>
      <w:jc w:val="right"/>
    </w:pPr>
    <w:rPr>
      <w:b/>
      <w:bCs/>
      <w:sz w:val="40"/>
      <w:lang w:val="en-GB"/>
    </w:rPr>
  </w:style>
  <w:style w:type="character" w:customStyle="1" w:styleId="DocnumberChar">
    <w:name w:val="Docnumber Char"/>
    <w:basedOn w:val="DefaultParagraphFont"/>
    <w:link w:val="Docnumber"/>
    <w:rsid w:val="00093CCA"/>
    <w:rPr>
      <w:rFonts w:ascii="Times New Roman" w:hAnsi="Times New Roman"/>
      <w:b/>
      <w:bCs/>
      <w:sz w:val="40"/>
      <w:lang w:val="en-GB" w:eastAsia="en-US"/>
    </w:rPr>
  </w:style>
  <w:style w:type="paragraph" w:customStyle="1" w:styleId="TSBHeaderQuestion">
    <w:name w:val="TSBHeaderQuestion"/>
    <w:basedOn w:val="Normal"/>
    <w:qFormat/>
    <w:rsid w:val="00093CCA"/>
    <w:rPr>
      <w:szCs w:val="24"/>
      <w:lang w:val="en-GB"/>
    </w:rPr>
  </w:style>
  <w:style w:type="paragraph" w:customStyle="1" w:styleId="TSBHeaderSource">
    <w:name w:val="TSBHeaderSource"/>
    <w:basedOn w:val="Normal"/>
    <w:qFormat/>
    <w:rsid w:val="00093CCA"/>
    <w:rPr>
      <w:szCs w:val="24"/>
      <w:lang w:val="en-GB"/>
    </w:rPr>
  </w:style>
  <w:style w:type="paragraph" w:customStyle="1" w:styleId="TSBHeaderTitle">
    <w:name w:val="TSBHeaderTitle"/>
    <w:basedOn w:val="Normal"/>
    <w:qFormat/>
    <w:rsid w:val="00093CCA"/>
    <w:rPr>
      <w:szCs w:val="24"/>
      <w:lang w:val="en-GB"/>
    </w:rPr>
  </w:style>
  <w:style w:type="paragraph" w:customStyle="1" w:styleId="TSBHeaderRight14">
    <w:name w:val="TSBHeaderRight14"/>
    <w:basedOn w:val="Normal"/>
    <w:qFormat/>
    <w:rsid w:val="00093CCA"/>
    <w:pPr>
      <w:jc w:val="right"/>
    </w:pPr>
    <w:rPr>
      <w:b/>
      <w:bCs/>
      <w:sz w:val="28"/>
      <w:szCs w:val="28"/>
      <w:lang w:val="en-GB"/>
    </w:rPr>
  </w:style>
  <w:style w:type="paragraph" w:customStyle="1" w:styleId="VenueDate">
    <w:name w:val="VenueDate"/>
    <w:basedOn w:val="Normal"/>
    <w:qFormat/>
    <w:rsid w:val="00093CCA"/>
    <w:pPr>
      <w:jc w:val="right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gChair@nca.gov.s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741FF4469E40849F3A5F36ED1B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62A1-DFF0-4B86-AA48-F0207D64A9C9}"/>
      </w:docPartPr>
      <w:docPartBody>
        <w:p w:rsidR="00DD27DD" w:rsidRDefault="008756FD" w:rsidP="008756FD">
          <w:pPr>
            <w:pStyle w:val="5C741FF4469E40849F3A5F36ED1BC5A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BE3BE3A8DD649D79DA008772C63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8C6C-82D3-476B-9F3F-D2311744F273}"/>
      </w:docPartPr>
      <w:docPartBody>
        <w:p w:rsidR="00DD27DD" w:rsidRDefault="008756FD" w:rsidP="008756FD">
          <w:pPr>
            <w:pStyle w:val="DBE3BE3A8DD649D79DA008772C6366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0D88C52CB76420DB3B35685FC94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0AF8-D225-467C-9436-230915ADDFA6}"/>
      </w:docPartPr>
      <w:docPartBody>
        <w:p w:rsidR="00DD27DD" w:rsidRDefault="008756FD" w:rsidP="008756FD">
          <w:pPr>
            <w:pStyle w:val="D0D88C52CB76420DB3B35685FC949E6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D"/>
    <w:rsid w:val="008756FD"/>
    <w:rsid w:val="00D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6FD"/>
    <w:rPr>
      <w:rFonts w:ascii="Times New Roman" w:hAnsi="Times New Roman"/>
      <w:color w:val="808080"/>
    </w:rPr>
  </w:style>
  <w:style w:type="paragraph" w:customStyle="1" w:styleId="5C741FF4469E40849F3A5F36ED1BC5AB">
    <w:name w:val="5C741FF4469E40849F3A5F36ED1BC5AB"/>
    <w:rsid w:val="008756FD"/>
  </w:style>
  <w:style w:type="paragraph" w:customStyle="1" w:styleId="DBE3BE3A8DD649D79DA008772C6366DE">
    <w:name w:val="DBE3BE3A8DD649D79DA008772C6366DE"/>
    <w:rsid w:val="008756FD"/>
  </w:style>
  <w:style w:type="paragraph" w:customStyle="1" w:styleId="D0D88C52CB76420DB3B35685FC949E6A">
    <w:name w:val="D0D88C52CB76420DB3B35685FC949E6A"/>
    <w:rsid w:val="00875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17</TotalTime>
  <Pages>2</Pages>
  <Words>644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	</vt:lpstr>
    </vt:vector>
  </TitlesOfParts>
  <Company>ITU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Al-Mnini, Lara</cp:lastModifiedBy>
  <cp:revision>3</cp:revision>
  <cp:lastPrinted>2002-04-25T20:14:00Z</cp:lastPrinted>
  <dcterms:created xsi:type="dcterms:W3CDTF">2022-12-06T09:21:00Z</dcterms:created>
  <dcterms:modified xsi:type="dcterms:W3CDTF">2022-12-07T14:52:00Z</dcterms:modified>
</cp:coreProperties>
</file>