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342"/>
        <w:gridCol w:w="585"/>
        <w:gridCol w:w="3525"/>
      </w:tblGrid>
      <w:tr w:rsidR="00F55356" w:rsidRPr="00DF47EB" w14:paraId="6A58FF8B" w14:textId="77777777" w:rsidTr="00380A8F">
        <w:trPr>
          <w:cantSplit/>
        </w:trPr>
        <w:tc>
          <w:tcPr>
            <w:tcW w:w="1160" w:type="dxa"/>
            <w:vMerge w:val="restart"/>
            <w:vAlign w:val="center"/>
          </w:tcPr>
          <w:p w14:paraId="54A151B1" w14:textId="77777777" w:rsidR="00F55356" w:rsidRPr="00DF47EB" w:rsidRDefault="00F55356" w:rsidP="00DF47EB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bookmarkStart w:id="0" w:name="dnum" w:colFirst="2" w:colLast="2"/>
            <w:bookmarkStart w:id="1" w:name="dtableau"/>
            <w:r w:rsidRPr="00DF47EB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45363CD8" wp14:editId="4CC90DD3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4BC7C44C" w14:textId="77777777" w:rsidR="00F55356" w:rsidRPr="00DF47EB" w:rsidRDefault="00F55356" w:rsidP="00DF47EB">
            <w:pPr>
              <w:spacing w:before="240" w:after="0"/>
              <w:rPr>
                <w:rFonts w:asciiTheme="majorBidi" w:hAnsiTheme="majorBidi" w:cstheme="majorBidi"/>
                <w:sz w:val="16"/>
              </w:rPr>
            </w:pPr>
            <w:r w:rsidRPr="00DF47EB">
              <w:rPr>
                <w:rFonts w:asciiTheme="majorBidi" w:hAnsiTheme="majorBidi" w:cstheme="majorBidi"/>
                <w:sz w:val="16"/>
              </w:rPr>
              <w:t>INTERNATIONAL TELECOMMUNICATION UNION</w:t>
            </w:r>
          </w:p>
          <w:p w14:paraId="49C27F03" w14:textId="77777777" w:rsidR="00F55356" w:rsidRPr="00DF47EB" w:rsidRDefault="00F55356" w:rsidP="00DF47EB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</w:rPr>
            </w:pPr>
            <w:r w:rsidRPr="00DF47EB">
              <w:rPr>
                <w:rFonts w:asciiTheme="majorBidi" w:hAnsiTheme="majorBidi" w:cstheme="majorBidi"/>
                <w:b/>
                <w:bCs/>
                <w:sz w:val="26"/>
              </w:rPr>
              <w:t>TELECOMMUNICATION STANDARDIZATION SECTOR</w:t>
            </w:r>
          </w:p>
          <w:p w14:paraId="458F630B" w14:textId="77777777" w:rsidR="00F55356" w:rsidRPr="00DF47EB" w:rsidRDefault="00F55356" w:rsidP="00DF47EB">
            <w:pPr>
              <w:spacing w:after="0"/>
              <w:rPr>
                <w:rFonts w:asciiTheme="majorBidi" w:hAnsiTheme="majorBidi" w:cstheme="majorBidi"/>
                <w:sz w:val="20"/>
              </w:rPr>
            </w:pPr>
            <w:r w:rsidRPr="00DF47EB">
              <w:rPr>
                <w:rFonts w:asciiTheme="majorBidi" w:hAnsiTheme="majorBidi" w:cstheme="majorBidi"/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28D76561" w14:textId="77777777" w:rsidR="00F55356" w:rsidRPr="00DF47EB" w:rsidRDefault="00F55356" w:rsidP="00DF47EB">
            <w:pPr>
              <w:pStyle w:val="Docnumber"/>
              <w:rPr>
                <w:rFonts w:asciiTheme="majorBidi" w:hAnsiTheme="majorBidi" w:cstheme="majorBidi"/>
                <w:sz w:val="32"/>
                <w:szCs w:val="32"/>
              </w:rPr>
            </w:pPr>
            <w:r w:rsidRPr="00DF47EB">
              <w:rPr>
                <w:rFonts w:asciiTheme="majorBidi" w:hAnsiTheme="majorBidi" w:cstheme="majorBidi"/>
                <w:sz w:val="32"/>
                <w:szCs w:val="32"/>
              </w:rPr>
              <w:t>TSAG-TD108</w:t>
            </w:r>
          </w:p>
        </w:tc>
      </w:tr>
      <w:tr w:rsidR="00F55356" w:rsidRPr="00DF47EB" w14:paraId="1E7E1BDE" w14:textId="77777777" w:rsidTr="00380A8F">
        <w:trPr>
          <w:cantSplit/>
          <w:trHeight w:val="461"/>
        </w:trPr>
        <w:tc>
          <w:tcPr>
            <w:tcW w:w="1160" w:type="dxa"/>
            <w:vMerge/>
          </w:tcPr>
          <w:p w14:paraId="7350785F" w14:textId="77777777" w:rsidR="00F55356" w:rsidRPr="00DF47EB" w:rsidRDefault="00F55356" w:rsidP="00DF47EB">
            <w:pPr>
              <w:spacing w:after="0"/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7126BE88" w14:textId="77777777" w:rsidR="00F55356" w:rsidRPr="00DF47EB" w:rsidRDefault="00F55356" w:rsidP="00DF47EB">
            <w:pPr>
              <w:spacing w:after="0"/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76686881" w14:textId="77777777" w:rsidR="00F55356" w:rsidRPr="00DF47EB" w:rsidRDefault="00F55356" w:rsidP="00DF47EB">
            <w:pPr>
              <w:pStyle w:val="TSBHeaderRight14"/>
              <w:rPr>
                <w:rFonts w:asciiTheme="majorBidi" w:hAnsiTheme="majorBidi" w:cstheme="majorBidi"/>
              </w:rPr>
            </w:pPr>
            <w:r w:rsidRPr="00DF47EB">
              <w:rPr>
                <w:rFonts w:asciiTheme="majorBidi" w:hAnsiTheme="majorBidi" w:cstheme="majorBidi"/>
              </w:rPr>
              <w:t>TSAG</w:t>
            </w:r>
          </w:p>
        </w:tc>
      </w:tr>
      <w:tr w:rsidR="00F55356" w:rsidRPr="00DF47EB" w14:paraId="1EDABAE1" w14:textId="77777777" w:rsidTr="00380A8F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66FFE8FD" w14:textId="77777777" w:rsidR="00F55356" w:rsidRPr="00DF47EB" w:rsidRDefault="00F55356" w:rsidP="00DF47EB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029A2DD8" w14:textId="77777777" w:rsidR="00F55356" w:rsidRPr="00DF47EB" w:rsidRDefault="00F55356" w:rsidP="00DF47EB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6FDD7B93" w14:textId="77777777" w:rsidR="00F55356" w:rsidRPr="00DF47EB" w:rsidRDefault="00F55356" w:rsidP="00DF47EB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47EB">
              <w:rPr>
                <w:rFonts w:asciiTheme="majorBidi" w:hAnsiTheme="majorBidi" w:cstheme="majorBidi"/>
                <w:b/>
                <w:bCs/>
                <w:sz w:val="28"/>
              </w:rPr>
              <w:t>Original: English</w:t>
            </w:r>
          </w:p>
        </w:tc>
      </w:tr>
      <w:bookmarkEnd w:id="2"/>
      <w:tr w:rsidR="00F55356" w:rsidRPr="00380A8F" w14:paraId="6ADC32B9" w14:textId="77777777" w:rsidTr="00380A8F">
        <w:trPr>
          <w:cantSplit/>
          <w:trHeight w:val="357"/>
        </w:trPr>
        <w:tc>
          <w:tcPr>
            <w:tcW w:w="1508" w:type="dxa"/>
            <w:gridSpan w:val="2"/>
          </w:tcPr>
          <w:p w14:paraId="484019B0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606" w:type="dxa"/>
            <w:gridSpan w:val="3"/>
          </w:tcPr>
          <w:p w14:paraId="5E264782" w14:textId="3408FA39" w:rsidR="00F55356" w:rsidRPr="00380A8F" w:rsidRDefault="00DF47EB" w:rsidP="00DF47EB">
            <w:pPr>
              <w:pStyle w:val="TSBHeaderQuestion"/>
              <w:rPr>
                <w:rFonts w:asciiTheme="majorBidi" w:hAnsiTheme="majorBidi" w:cstheme="majorBidi"/>
              </w:rPr>
            </w:pPr>
            <w:r w:rsidRPr="00380A8F">
              <w:rPr>
                <w:rFonts w:asciiTheme="majorBidi" w:hAnsiTheme="majorBidi" w:cstheme="majorBidi"/>
              </w:rPr>
              <w:t>N/</w:t>
            </w:r>
            <w:r w:rsidR="00F55356" w:rsidRPr="00380A8F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5" w:type="dxa"/>
          </w:tcPr>
          <w:p w14:paraId="7D922682" w14:textId="77777777" w:rsidR="00F55356" w:rsidRPr="00380A8F" w:rsidRDefault="00F55356" w:rsidP="00DF47EB">
            <w:pPr>
              <w:pStyle w:val="VenueDate"/>
              <w:rPr>
                <w:rFonts w:asciiTheme="majorBidi" w:hAnsiTheme="majorBidi" w:cstheme="majorBidi"/>
              </w:rPr>
            </w:pPr>
            <w:r w:rsidRPr="00380A8F">
              <w:rPr>
                <w:rFonts w:asciiTheme="majorBidi" w:hAnsiTheme="majorBidi" w:cstheme="majorBidi"/>
              </w:rPr>
              <w:t>Geneva, 12-16 December 2022</w:t>
            </w:r>
          </w:p>
        </w:tc>
      </w:tr>
      <w:tr w:rsidR="00F55356" w:rsidRPr="00380A8F" w14:paraId="48BB1572" w14:textId="77777777" w:rsidTr="008D66C9">
        <w:trPr>
          <w:cantSplit/>
          <w:trHeight w:val="357"/>
        </w:trPr>
        <w:tc>
          <w:tcPr>
            <w:tcW w:w="9639" w:type="dxa"/>
            <w:gridSpan w:val="6"/>
          </w:tcPr>
          <w:p w14:paraId="1C92D9D2" w14:textId="57742ED4" w:rsidR="00F55356" w:rsidRPr="00380A8F" w:rsidRDefault="00F55356" w:rsidP="00DF47EB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3" w:name="dtitle" w:colFirst="0" w:colLast="0"/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(Ref</w:t>
            </w:r>
            <w:r w:rsidR="00DF47EB"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hyperlink r:id="rId8" w:tooltip="ITU-T ftp file restricted to TIES access only" w:history="1">
              <w:r w:rsidRPr="00380A8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SG5-LS46</w:t>
              </w:r>
            </w:hyperlink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bookmarkEnd w:id="3"/>
      <w:tr w:rsidR="00F55356" w:rsidRPr="00380A8F" w14:paraId="3A3FD764" w14:textId="77777777" w:rsidTr="00380A8F">
        <w:trPr>
          <w:cantSplit/>
          <w:trHeight w:val="357"/>
        </w:trPr>
        <w:tc>
          <w:tcPr>
            <w:tcW w:w="1508" w:type="dxa"/>
            <w:gridSpan w:val="2"/>
          </w:tcPr>
          <w:p w14:paraId="4C328D2E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131" w:type="dxa"/>
            <w:gridSpan w:val="4"/>
          </w:tcPr>
          <w:p w14:paraId="4A5F0496" w14:textId="77777777" w:rsidR="00F55356" w:rsidRPr="00380A8F" w:rsidRDefault="00F55356" w:rsidP="00DF47EB">
            <w:pPr>
              <w:pStyle w:val="TSBHeaderSource"/>
              <w:rPr>
                <w:rFonts w:asciiTheme="majorBidi" w:hAnsiTheme="majorBidi" w:cstheme="majorBidi"/>
              </w:rPr>
            </w:pPr>
            <w:r w:rsidRPr="00380A8F">
              <w:rPr>
                <w:rFonts w:asciiTheme="majorBidi" w:hAnsiTheme="majorBidi" w:cstheme="majorBidi"/>
              </w:rPr>
              <w:t>ITU-T Study Group 5</w:t>
            </w:r>
          </w:p>
        </w:tc>
      </w:tr>
      <w:tr w:rsidR="00F55356" w:rsidRPr="00380A8F" w14:paraId="7EE88603" w14:textId="77777777" w:rsidTr="00380A8F">
        <w:trPr>
          <w:cantSplit/>
          <w:trHeight w:val="357"/>
        </w:trPr>
        <w:tc>
          <w:tcPr>
            <w:tcW w:w="1508" w:type="dxa"/>
            <w:gridSpan w:val="2"/>
          </w:tcPr>
          <w:p w14:paraId="3E36FC8F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131" w:type="dxa"/>
            <w:gridSpan w:val="4"/>
          </w:tcPr>
          <w:p w14:paraId="5E83BCA2" w14:textId="758D7644" w:rsidR="00F55356" w:rsidRPr="00380A8F" w:rsidRDefault="00F55356" w:rsidP="00DF47EB">
            <w:pPr>
              <w:pStyle w:val="TSBHeaderTitle"/>
              <w:rPr>
                <w:rFonts w:asciiTheme="majorBidi" w:hAnsiTheme="majorBidi" w:cstheme="majorBidi"/>
              </w:rPr>
            </w:pPr>
            <w:r w:rsidRPr="00380A8F">
              <w:rPr>
                <w:rFonts w:asciiTheme="majorBidi" w:hAnsiTheme="majorBidi" w:cstheme="majorBidi"/>
              </w:rPr>
              <w:t>LS</w:t>
            </w:r>
            <w:r w:rsidR="00DF47EB" w:rsidRPr="00380A8F">
              <w:rPr>
                <w:rFonts w:asciiTheme="majorBidi" w:hAnsiTheme="majorBidi" w:cstheme="majorBidi"/>
              </w:rPr>
              <w:t>/i</w:t>
            </w:r>
            <w:r w:rsidRPr="00380A8F">
              <w:rPr>
                <w:rFonts w:asciiTheme="majorBidi" w:hAnsiTheme="majorBidi" w:cstheme="majorBidi"/>
              </w:rPr>
              <w:t xml:space="preserve"> on PP Resolution 176 on Measurement and assessment concerns related to human exposure to electromagnetic fields</w:t>
            </w:r>
            <w:r w:rsidR="00DF47EB" w:rsidRPr="00380A8F">
              <w:rPr>
                <w:rFonts w:asciiTheme="majorBidi" w:hAnsiTheme="majorBidi" w:cstheme="majorBidi"/>
              </w:rPr>
              <w:t xml:space="preserve"> [from ITU-T SG5]</w:t>
            </w:r>
          </w:p>
        </w:tc>
      </w:tr>
      <w:tr w:rsidR="00F55356" w:rsidRPr="00380A8F" w14:paraId="38975FE4" w14:textId="77777777" w:rsidTr="008D66C9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396A2843" w14:textId="77777777" w:rsidR="00F55356" w:rsidRPr="00380A8F" w:rsidRDefault="00F55356" w:rsidP="00DF47EB">
            <w:pPr>
              <w:spacing w:before="120"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sz w:val="24"/>
                <w:szCs w:val="24"/>
              </w:rPr>
              <w:t>LIAISON STATEMENT</w:t>
            </w:r>
          </w:p>
        </w:tc>
      </w:tr>
      <w:tr w:rsidR="00F55356" w:rsidRPr="00380A8F" w14:paraId="72ACE73E" w14:textId="77777777" w:rsidTr="00380A8F">
        <w:trPr>
          <w:cantSplit/>
          <w:trHeight w:val="357"/>
        </w:trPr>
        <w:tc>
          <w:tcPr>
            <w:tcW w:w="2187" w:type="dxa"/>
            <w:gridSpan w:val="3"/>
          </w:tcPr>
          <w:p w14:paraId="22468798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06CC9CED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F55356" w:rsidRPr="00380A8F" w14:paraId="3D1FBF5A" w14:textId="77777777" w:rsidTr="00380A8F">
        <w:trPr>
          <w:cantSplit/>
          <w:trHeight w:val="357"/>
        </w:trPr>
        <w:tc>
          <w:tcPr>
            <w:tcW w:w="2187" w:type="dxa"/>
            <w:gridSpan w:val="3"/>
          </w:tcPr>
          <w:p w14:paraId="6E3029BC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48BE0702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TSAG</w:t>
            </w:r>
          </w:p>
        </w:tc>
      </w:tr>
      <w:tr w:rsidR="00F55356" w:rsidRPr="00380A8F" w14:paraId="4FE1A0BE" w14:textId="77777777" w:rsidTr="00380A8F">
        <w:trPr>
          <w:cantSplit/>
          <w:trHeight w:val="357"/>
        </w:trPr>
        <w:tc>
          <w:tcPr>
            <w:tcW w:w="2187" w:type="dxa"/>
            <w:gridSpan w:val="3"/>
          </w:tcPr>
          <w:p w14:paraId="05FCC18E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Approval:</w:t>
            </w:r>
          </w:p>
        </w:tc>
        <w:tc>
          <w:tcPr>
            <w:tcW w:w="7452" w:type="dxa"/>
            <w:gridSpan w:val="3"/>
          </w:tcPr>
          <w:p w14:paraId="4C9A209A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ITU-T Study Group 5 meeting (Rome, 27 October 2022)</w:t>
            </w:r>
          </w:p>
        </w:tc>
      </w:tr>
      <w:tr w:rsidR="00F55356" w:rsidRPr="00380A8F" w14:paraId="27704BD4" w14:textId="77777777" w:rsidTr="00380A8F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DE068F9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sz w:val="24"/>
                <w:szCs w:val="24"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527EB07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F55356" w:rsidRPr="00380A8F" w14:paraId="462FBB70" w14:textId="77777777" w:rsidTr="00380A8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A19C727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69F9F36A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Dominique WÜRGES</w:t>
            </w:r>
            <w:r w:rsidRPr="00380A8F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Orange </w:t>
            </w:r>
            <w:r w:rsidRPr="00380A8F">
              <w:rPr>
                <w:rFonts w:asciiTheme="majorBidi" w:hAnsiTheme="majorBidi" w:cstheme="majorBidi"/>
                <w:sz w:val="24"/>
                <w:szCs w:val="24"/>
              </w:rPr>
              <w:br/>
              <w:t>France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34FC17F4" w14:textId="190D3D7B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Tel: 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ab/>
              <w:t>+33 157395024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br/>
              <w:t xml:space="preserve">E-mail: </w:t>
            </w:r>
            <w:hyperlink r:id="rId9" w:history="1">
              <w:r w:rsidR="00380A8F" w:rsidRPr="00380A8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de-DE"/>
                </w:rPr>
                <w:t>dominique.wurges@orange.com</w:t>
              </w:r>
            </w:hyperlink>
            <w:r w:rsidR="00380A8F"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</w:p>
        </w:tc>
      </w:tr>
      <w:tr w:rsidR="00F55356" w:rsidRPr="00380A8F" w14:paraId="227849AC" w14:textId="77777777" w:rsidTr="00380A8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036A2B0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3B0BFC1A" w14:textId="77777777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Fryderyk Lewicki</w:t>
            </w:r>
            <w:r w:rsidRPr="00380A8F">
              <w:rPr>
                <w:rFonts w:asciiTheme="majorBidi" w:hAnsiTheme="majorBidi" w:cstheme="majorBidi"/>
                <w:sz w:val="24"/>
                <w:szCs w:val="24"/>
              </w:rPr>
              <w:br/>
              <w:t>Orange Polska</w:t>
            </w:r>
            <w:r w:rsidRPr="00380A8F">
              <w:rPr>
                <w:rFonts w:asciiTheme="majorBidi" w:hAnsiTheme="majorBidi" w:cstheme="majorBidi"/>
                <w:sz w:val="24"/>
                <w:szCs w:val="24"/>
              </w:rPr>
              <w:br/>
              <w:t>Poland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55D333D5" w14:textId="0DCB6059" w:rsidR="00F55356" w:rsidRPr="00380A8F" w:rsidRDefault="00F55356" w:rsidP="00DF47E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Tel: 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ab/>
              <w:t>+48 71 321 0924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br/>
              <w:t xml:space="preserve">E-mail: </w:t>
            </w:r>
            <w:hyperlink r:id="rId10" w:history="1">
              <w:r w:rsidR="00380A8F" w:rsidRPr="00380A8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de-DE"/>
                </w:rPr>
                <w:t>fryderyk.lewicki@orange.com</w:t>
              </w:r>
            </w:hyperlink>
            <w:r w:rsidR="00380A8F"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</w:p>
        </w:tc>
      </w:tr>
    </w:tbl>
    <w:p w14:paraId="7BAF1669" w14:textId="77777777" w:rsidR="00F55356" w:rsidRPr="00380A8F" w:rsidRDefault="00F55356" w:rsidP="00F55356">
      <w:pPr>
        <w:rPr>
          <w:rFonts w:asciiTheme="majorBidi" w:hAnsiTheme="majorBidi" w:cstheme="majorBidi"/>
          <w:sz w:val="24"/>
          <w:szCs w:val="24"/>
          <w:lang w:val="de-DE"/>
        </w:rPr>
      </w:pPr>
    </w:p>
    <w:p w14:paraId="2B22D24E" w14:textId="77777777" w:rsidR="00F55356" w:rsidRPr="00380A8F" w:rsidRDefault="00F55356" w:rsidP="00F55356">
      <w:pPr>
        <w:rPr>
          <w:rFonts w:asciiTheme="majorBidi" w:hAnsiTheme="majorBidi" w:cstheme="majorBidi"/>
          <w:sz w:val="24"/>
          <w:szCs w:val="24"/>
        </w:rPr>
      </w:pPr>
      <w:r w:rsidRPr="00380A8F">
        <w:rPr>
          <w:rFonts w:asciiTheme="majorBidi" w:hAnsiTheme="majorBidi" w:cstheme="majorBidi"/>
          <w:sz w:val="24"/>
          <w:szCs w:val="24"/>
        </w:rPr>
        <w:t>A new liaison statement has been received from SG5.</w:t>
      </w:r>
    </w:p>
    <w:p w14:paraId="71EABE98" w14:textId="77777777" w:rsidR="00F55356" w:rsidRPr="00380A8F" w:rsidRDefault="00F55356" w:rsidP="00F55356">
      <w:pPr>
        <w:rPr>
          <w:rFonts w:asciiTheme="majorBidi" w:hAnsiTheme="majorBidi" w:cstheme="majorBidi"/>
          <w:sz w:val="24"/>
          <w:szCs w:val="24"/>
        </w:rPr>
      </w:pPr>
      <w:r w:rsidRPr="00380A8F">
        <w:rPr>
          <w:rFonts w:asciiTheme="majorBidi" w:hAnsiTheme="majorBidi" w:cstheme="majorBidi"/>
          <w:sz w:val="24"/>
          <w:szCs w:val="24"/>
        </w:rPr>
        <w:t xml:space="preserve">This liaison statement follows and the original file can be downloaded from the ITU ftp server at </w:t>
      </w:r>
      <w:hyperlink r:id="rId11" w:tooltip="ITU-T ftp file restricted to TIES access only" w:history="1">
        <w:r w:rsidRPr="00380A8F">
          <w:rPr>
            <w:rStyle w:val="Hyperlink"/>
            <w:rFonts w:asciiTheme="majorBidi" w:hAnsiTheme="majorBidi" w:cstheme="majorBidi"/>
            <w:sz w:val="24"/>
            <w:szCs w:val="24"/>
          </w:rPr>
          <w:t>http://handle.itu.int/11.1002/ls/sp17-sg5-oLS-00046.docx</w:t>
        </w:r>
      </w:hyperlink>
      <w:r w:rsidRPr="00380A8F">
        <w:rPr>
          <w:rFonts w:asciiTheme="majorBidi" w:hAnsiTheme="majorBidi" w:cstheme="majorBidi"/>
          <w:sz w:val="24"/>
          <w:szCs w:val="24"/>
        </w:rPr>
        <w:t>.</w:t>
      </w:r>
    </w:p>
    <w:p w14:paraId="559EB944" w14:textId="77777777" w:rsidR="00F55356" w:rsidRPr="00380A8F" w:rsidRDefault="00F55356" w:rsidP="00F5535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510B710" w14:textId="77777777" w:rsidR="00F55356" w:rsidRPr="00380A8F" w:rsidRDefault="00F55356">
      <w:pPr>
        <w:rPr>
          <w:rFonts w:asciiTheme="majorBidi" w:hAnsiTheme="majorBidi" w:cstheme="majorBidi"/>
          <w:sz w:val="24"/>
          <w:szCs w:val="24"/>
        </w:rPr>
      </w:pPr>
      <w:r w:rsidRPr="00380A8F"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42"/>
        <w:gridCol w:w="2916"/>
        <w:gridCol w:w="352"/>
        <w:gridCol w:w="4184"/>
      </w:tblGrid>
      <w:tr w:rsidR="00540658" w:rsidRPr="00380A8F" w14:paraId="59A8ECEA" w14:textId="77777777" w:rsidTr="00540658">
        <w:trPr>
          <w:cantSplit/>
        </w:trPr>
        <w:tc>
          <w:tcPr>
            <w:tcW w:w="1104" w:type="dxa"/>
            <w:vMerge w:val="restart"/>
            <w:vAlign w:val="center"/>
          </w:tcPr>
          <w:p w14:paraId="64295EA3" w14:textId="0CBA6065" w:rsidR="00540658" w:rsidRPr="00380A8F" w:rsidRDefault="00540658" w:rsidP="00540658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80A8F">
              <w:rPr>
                <w:rFonts w:asciiTheme="majorBidi" w:hAnsiTheme="majorBidi" w:cstheme="majorBidi"/>
                <w:noProof/>
              </w:rPr>
              <w:lastRenderedPageBreak/>
              <w:drawing>
                <wp:inline distT="0" distB="0" distL="0" distR="0" wp14:anchorId="43653B54" wp14:editId="1DA1E9FF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</w:tcPr>
          <w:p w14:paraId="22206C9B" w14:textId="77777777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80A8F">
              <w:rPr>
                <w:rFonts w:asciiTheme="majorBidi" w:hAnsiTheme="majorBidi" w:cstheme="majorBidi"/>
                <w:sz w:val="16"/>
                <w:szCs w:val="16"/>
              </w:rPr>
              <w:t>INTERNATIONAL TELECOMMUNICATION UNION</w:t>
            </w:r>
          </w:p>
          <w:p w14:paraId="50F34488" w14:textId="77777777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TELECOMMUNICATION</w:t>
            </w:r>
            <w:r w:rsidRPr="00380A8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990786" w14:textId="77777777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80A8F">
              <w:rPr>
                <w:rFonts w:asciiTheme="majorBidi" w:hAnsiTheme="majorBidi" w:cstheme="majorBidi"/>
                <w:sz w:val="20"/>
                <w:szCs w:val="20"/>
              </w:rPr>
              <w:t xml:space="preserve">STUDY PERIOD </w:t>
            </w:r>
            <w:bookmarkStart w:id="4" w:name="dstudyperiod"/>
            <w:r w:rsidRPr="00380A8F">
              <w:rPr>
                <w:rFonts w:asciiTheme="majorBidi" w:hAnsiTheme="majorBidi" w:cstheme="majorBidi"/>
                <w:sz w:val="20"/>
              </w:rPr>
              <w:t>2022</w:t>
            </w:r>
            <w:r w:rsidRPr="00380A8F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80A8F">
              <w:rPr>
                <w:rFonts w:asciiTheme="majorBidi" w:hAnsiTheme="majorBidi" w:cstheme="majorBidi"/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4CC26BA8" w14:textId="34240F4B" w:rsidR="00540658" w:rsidRPr="00380A8F" w:rsidRDefault="00540658" w:rsidP="00380A8F">
            <w:pPr>
              <w:spacing w:before="120" w:after="120"/>
              <w:jc w:val="right"/>
              <w:rPr>
                <w:rFonts w:asciiTheme="majorBidi" w:hAnsiTheme="majorBidi" w:cstheme="majorBidi"/>
                <w:b/>
                <w:sz w:val="28"/>
              </w:rPr>
            </w:pPr>
            <w:r w:rsidRPr="00380A8F">
              <w:rPr>
                <w:rFonts w:asciiTheme="majorBidi" w:hAnsiTheme="majorBidi" w:cstheme="majorBidi"/>
                <w:b/>
                <w:sz w:val="28"/>
              </w:rPr>
              <w:t>SG5-LS46</w:t>
            </w:r>
          </w:p>
        </w:tc>
      </w:tr>
      <w:tr w:rsidR="00540658" w:rsidRPr="00380A8F" w14:paraId="4A23C771" w14:textId="77777777" w:rsidTr="00540658">
        <w:trPr>
          <w:cantSplit/>
        </w:trPr>
        <w:tc>
          <w:tcPr>
            <w:tcW w:w="1104" w:type="dxa"/>
            <w:vMerge/>
          </w:tcPr>
          <w:p w14:paraId="4095A187" w14:textId="77777777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4"/>
            <w:vMerge/>
          </w:tcPr>
          <w:p w14:paraId="47628DB0" w14:textId="77777777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4184" w:type="dxa"/>
          </w:tcPr>
          <w:p w14:paraId="2AE26404" w14:textId="1C1386B8" w:rsidR="00540658" w:rsidRPr="00380A8F" w:rsidRDefault="00540658" w:rsidP="00540658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</w:pPr>
            <w:r w:rsidRPr="00380A8F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5"/>
      <w:tr w:rsidR="00540658" w:rsidRPr="00380A8F" w14:paraId="30DADED1" w14:textId="77777777" w:rsidTr="00540658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59A719A8" w14:textId="77777777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351" w:type="dxa"/>
            <w:gridSpan w:val="4"/>
            <w:vMerge/>
            <w:tcBorders>
              <w:bottom w:val="single" w:sz="12" w:space="0" w:color="auto"/>
            </w:tcBorders>
          </w:tcPr>
          <w:p w14:paraId="7A90398A" w14:textId="77777777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09FC5879" w14:textId="77777777" w:rsidR="00540658" w:rsidRPr="00380A8F" w:rsidRDefault="00540658" w:rsidP="00540658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Original: English</w:t>
            </w:r>
          </w:p>
        </w:tc>
      </w:tr>
      <w:tr w:rsidR="00540658" w:rsidRPr="00380A8F" w14:paraId="5AC0DCED" w14:textId="77777777" w:rsidTr="00540658">
        <w:trPr>
          <w:cantSplit/>
        </w:trPr>
        <w:tc>
          <w:tcPr>
            <w:tcW w:w="1545" w:type="dxa"/>
            <w:gridSpan w:val="2"/>
          </w:tcPr>
          <w:p w14:paraId="57A2CEFE" w14:textId="77777777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910" w:type="dxa"/>
            <w:gridSpan w:val="3"/>
          </w:tcPr>
          <w:p w14:paraId="1BEBC2AA" w14:textId="666B90E7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3/5</w:t>
            </w:r>
          </w:p>
        </w:tc>
        <w:tc>
          <w:tcPr>
            <w:tcW w:w="4184" w:type="dxa"/>
          </w:tcPr>
          <w:p w14:paraId="3E97A5CF" w14:textId="47A2D3E5" w:rsidR="00540658" w:rsidRPr="00380A8F" w:rsidRDefault="00540658" w:rsidP="00540658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Rome, 17-27 October 2022</w:t>
            </w:r>
          </w:p>
        </w:tc>
      </w:tr>
      <w:tr w:rsidR="00540658" w:rsidRPr="00380A8F" w14:paraId="71946BEB" w14:textId="77777777" w:rsidTr="00540658">
        <w:trPr>
          <w:cantSplit/>
        </w:trPr>
        <w:tc>
          <w:tcPr>
            <w:tcW w:w="9639" w:type="dxa"/>
            <w:gridSpan w:val="6"/>
          </w:tcPr>
          <w:p w14:paraId="33E84B10" w14:textId="68DADBDC" w:rsidR="00540658" w:rsidRPr="00380A8F" w:rsidRDefault="00540658" w:rsidP="00540658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" w:name="ddoctype"/>
            <w:bookmarkEnd w:id="6"/>
            <w:bookmarkEnd w:id="7"/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Ref.: SG5-TD507</w:t>
            </w:r>
          </w:p>
        </w:tc>
      </w:tr>
      <w:tr w:rsidR="00540658" w:rsidRPr="00380A8F" w14:paraId="1024DA2C" w14:textId="77777777" w:rsidTr="00540658">
        <w:trPr>
          <w:cantSplit/>
        </w:trPr>
        <w:tc>
          <w:tcPr>
            <w:tcW w:w="1545" w:type="dxa"/>
            <w:gridSpan w:val="2"/>
          </w:tcPr>
          <w:p w14:paraId="65FCFEAB" w14:textId="77777777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9" w:name="dsource" w:colFirst="1" w:colLast="1"/>
            <w:bookmarkEnd w:id="8"/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094" w:type="dxa"/>
            <w:gridSpan w:val="4"/>
          </w:tcPr>
          <w:p w14:paraId="35C2E055" w14:textId="4CA7DA32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ITU-T Study Group 5</w:t>
            </w:r>
          </w:p>
        </w:tc>
      </w:tr>
      <w:tr w:rsidR="00540658" w:rsidRPr="00380A8F" w14:paraId="18BA6FF1" w14:textId="77777777" w:rsidTr="00540658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70D293C9" w14:textId="77777777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0" w:name="dtitle1" w:colFirst="1" w:colLast="1"/>
            <w:bookmarkEnd w:id="9"/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094" w:type="dxa"/>
            <w:gridSpan w:val="4"/>
            <w:tcBorders>
              <w:bottom w:val="single" w:sz="8" w:space="0" w:color="auto"/>
            </w:tcBorders>
          </w:tcPr>
          <w:p w14:paraId="597C8300" w14:textId="015FC834" w:rsidR="00540658" w:rsidRPr="00380A8F" w:rsidRDefault="00540658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 xml:space="preserve">LS on PP Resolution 176 on Measurement and assessment concerns related to human exposure to electromagnetic fields </w:t>
            </w:r>
          </w:p>
        </w:tc>
      </w:tr>
      <w:bookmarkEnd w:id="1"/>
      <w:bookmarkEnd w:id="10"/>
      <w:tr w:rsidR="00D32CC6" w:rsidRPr="00380A8F" w14:paraId="76030231" w14:textId="77777777" w:rsidTr="005D1277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62C9E27F" w14:textId="77777777" w:rsidR="00D32CC6" w:rsidRPr="00380A8F" w:rsidRDefault="00D32CC6" w:rsidP="00540658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sz w:val="24"/>
                <w:szCs w:val="24"/>
              </w:rPr>
              <w:t>LIAISON STATEMENT</w:t>
            </w:r>
          </w:p>
        </w:tc>
      </w:tr>
      <w:tr w:rsidR="00D32CC6" w:rsidRPr="00380A8F" w14:paraId="71E65841" w14:textId="77777777" w:rsidTr="005D1277">
        <w:trPr>
          <w:cantSplit/>
          <w:trHeight w:val="357"/>
        </w:trPr>
        <w:tc>
          <w:tcPr>
            <w:tcW w:w="2187" w:type="dxa"/>
            <w:gridSpan w:val="3"/>
          </w:tcPr>
          <w:p w14:paraId="6C780CC1" w14:textId="77777777" w:rsidR="00D32CC6" w:rsidRPr="00380A8F" w:rsidRDefault="00D32CC6" w:rsidP="0054065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548E4B29" w14:textId="238A908F" w:rsidR="00D32CC6" w:rsidRPr="00380A8F" w:rsidRDefault="00371428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D32CC6" w:rsidRPr="00380A8F" w14:paraId="3162380D" w14:textId="77777777" w:rsidTr="005D1277">
        <w:trPr>
          <w:cantSplit/>
          <w:trHeight w:val="357"/>
        </w:trPr>
        <w:tc>
          <w:tcPr>
            <w:tcW w:w="2187" w:type="dxa"/>
            <w:gridSpan w:val="3"/>
          </w:tcPr>
          <w:p w14:paraId="2CD4B930" w14:textId="77777777" w:rsidR="00D32CC6" w:rsidRPr="00380A8F" w:rsidRDefault="00D32CC6" w:rsidP="0054065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77D13EC6" w14:textId="69B14D85" w:rsidR="00D32CC6" w:rsidRPr="00380A8F" w:rsidRDefault="00B6642B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TSAG</w:t>
            </w:r>
          </w:p>
        </w:tc>
      </w:tr>
      <w:tr w:rsidR="00D32CC6" w:rsidRPr="00380A8F" w14:paraId="4F625A10" w14:textId="77777777" w:rsidTr="005D1277">
        <w:trPr>
          <w:cantSplit/>
          <w:trHeight w:val="357"/>
        </w:trPr>
        <w:tc>
          <w:tcPr>
            <w:tcW w:w="2187" w:type="dxa"/>
            <w:gridSpan w:val="3"/>
          </w:tcPr>
          <w:p w14:paraId="200D29F5" w14:textId="77777777" w:rsidR="00D32CC6" w:rsidRPr="00380A8F" w:rsidRDefault="00D32CC6" w:rsidP="0054065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Approval:</w:t>
            </w:r>
          </w:p>
        </w:tc>
        <w:tc>
          <w:tcPr>
            <w:tcW w:w="7452" w:type="dxa"/>
            <w:gridSpan w:val="3"/>
          </w:tcPr>
          <w:p w14:paraId="340F70AD" w14:textId="43FD189A" w:rsidR="00D32CC6" w:rsidRPr="00380A8F" w:rsidRDefault="00B6642B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ITU-T Study Group 5 meeting (Rome, 27 October 2022)</w:t>
            </w:r>
          </w:p>
        </w:tc>
      </w:tr>
      <w:tr w:rsidR="00D32CC6" w:rsidRPr="00380A8F" w14:paraId="77035F94" w14:textId="77777777" w:rsidTr="005D1277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B260104" w14:textId="77777777" w:rsidR="00D32CC6" w:rsidRPr="00380A8F" w:rsidRDefault="00D32CC6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sz w:val="24"/>
                <w:szCs w:val="24"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C01AAD4" w14:textId="77777777" w:rsidR="00D32CC6" w:rsidRPr="00380A8F" w:rsidRDefault="00D32CC6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  <w:tr w:rsidR="00842ACF" w:rsidRPr="00380A8F" w14:paraId="34869B1C" w14:textId="77777777" w:rsidTr="00A0019A">
        <w:trPr>
          <w:trHeight w:val="204"/>
        </w:trPr>
        <w:tc>
          <w:tcPr>
            <w:tcW w:w="218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776A56E" w14:textId="17881247" w:rsidR="00842ACF" w:rsidRPr="00380A8F" w:rsidRDefault="00842ACF" w:rsidP="0054065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2916" w:type="dxa"/>
            <w:tcBorders>
              <w:top w:val="single" w:sz="8" w:space="0" w:color="auto"/>
              <w:bottom w:val="single" w:sz="8" w:space="0" w:color="auto"/>
            </w:tcBorders>
          </w:tcPr>
          <w:p w14:paraId="7DB53FC1" w14:textId="5A31E025" w:rsidR="00842ACF" w:rsidRPr="00380A8F" w:rsidRDefault="00842ACF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Dominique WÜRGES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 xml:space="preserve">Orange 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  <w:t>France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D5BC44D" w14:textId="4670D32E" w:rsidR="00842ACF" w:rsidRPr="00380A8F" w:rsidRDefault="00842ACF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  <w:lang w:val="pt-BR"/>
              </w:rPr>
              <w:t xml:space="preserve">Tel: 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pt-BR"/>
              </w:rPr>
              <w:tab/>
              <w:t>+33 157395024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pt-BR"/>
              </w:rPr>
              <w:br/>
              <w:t xml:space="preserve">E-mail: </w:t>
            </w:r>
            <w:hyperlink r:id="rId12" w:history="1">
              <w:r w:rsidRPr="00380A8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de-DE"/>
                </w:rPr>
                <w:t>dominique.wurges@orange.com</w:t>
              </w:r>
            </w:hyperlink>
            <w:r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pt-BR"/>
              </w:rPr>
              <w:t xml:space="preserve"> </w:t>
            </w:r>
          </w:p>
        </w:tc>
      </w:tr>
      <w:tr w:rsidR="00842ACF" w:rsidRPr="00380A8F" w14:paraId="2EEFF3BF" w14:textId="77777777" w:rsidTr="0024564C">
        <w:trPr>
          <w:trHeight w:val="204"/>
        </w:trPr>
        <w:tc>
          <w:tcPr>
            <w:tcW w:w="218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AF9528C" w14:textId="5E1AC778" w:rsidR="00842ACF" w:rsidRPr="00380A8F" w:rsidRDefault="00842ACF" w:rsidP="0054065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Contact:</w:t>
            </w:r>
          </w:p>
        </w:tc>
        <w:tc>
          <w:tcPr>
            <w:tcW w:w="2916" w:type="dxa"/>
            <w:tcBorders>
              <w:top w:val="single" w:sz="8" w:space="0" w:color="auto"/>
              <w:bottom w:val="single" w:sz="8" w:space="0" w:color="auto"/>
            </w:tcBorders>
          </w:tcPr>
          <w:p w14:paraId="39E08260" w14:textId="446325AE" w:rsidR="00842ACF" w:rsidRPr="00380A8F" w:rsidRDefault="00842ACF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  <w:lang w:val="pl-PL"/>
              </w:rPr>
              <w:t>Fryderyk Lewicki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pl-PL"/>
              </w:rPr>
              <w:br/>
              <w:t>Orange Polska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pl-PL"/>
              </w:rPr>
              <w:br/>
              <w:t>Poland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F67B95" w14:textId="3DDE5B5C" w:rsidR="00842ACF" w:rsidRPr="00380A8F" w:rsidRDefault="00842ACF" w:rsidP="0054065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Tel: 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ab/>
              <w:t>+48 71 321 0924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br/>
              <w:t>E</w:t>
            </w:r>
            <w:r w:rsidR="00792860"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>-</w:t>
            </w:r>
            <w:r w:rsidRPr="00380A8F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mail: </w:t>
            </w:r>
            <w:hyperlink r:id="rId13" w:history="1">
              <w:r w:rsidRPr="00380A8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de-DE"/>
                </w:rPr>
                <w:t>fryderyk.lewicki@orange.com</w:t>
              </w:r>
            </w:hyperlink>
          </w:p>
        </w:tc>
      </w:tr>
    </w:tbl>
    <w:p w14:paraId="344E21ED" w14:textId="5DA36C03" w:rsidR="00D32CC6" w:rsidRPr="00380A8F" w:rsidRDefault="00D32CC6" w:rsidP="00893782">
      <w:pPr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D32CC6" w:rsidRPr="00380A8F" w14:paraId="745F0DD0" w14:textId="77777777" w:rsidTr="001E25FF">
        <w:trPr>
          <w:cantSplit/>
        </w:trPr>
        <w:tc>
          <w:tcPr>
            <w:tcW w:w="1588" w:type="dxa"/>
            <w:hideMark/>
          </w:tcPr>
          <w:p w14:paraId="2D15ED8F" w14:textId="77777777" w:rsidR="00D32CC6" w:rsidRPr="00380A8F" w:rsidRDefault="00D32CC6">
            <w:pPr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380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051" w:type="dxa"/>
            <w:hideMark/>
          </w:tcPr>
          <w:p w14:paraId="3D47539A" w14:textId="5E00236E" w:rsidR="00D32CC6" w:rsidRPr="00380A8F" w:rsidRDefault="00D32CC6">
            <w:pPr>
              <w:pStyle w:val="TSBHeaderSummary"/>
              <w:spacing w:line="256" w:lineRule="auto"/>
              <w:rPr>
                <w:rFonts w:asciiTheme="majorBidi" w:hAnsiTheme="majorBidi" w:cstheme="majorBidi"/>
                <w:highlight w:val="yellow"/>
                <w:lang w:val="en-US"/>
              </w:rPr>
            </w:pPr>
            <w:r w:rsidRPr="00380A8F">
              <w:rPr>
                <w:rFonts w:asciiTheme="majorBidi" w:hAnsiTheme="majorBidi" w:cstheme="majorBidi"/>
                <w:lang w:val="en-US"/>
              </w:rPr>
              <w:t>This L</w:t>
            </w:r>
            <w:r w:rsidR="00792860" w:rsidRPr="00380A8F">
              <w:rPr>
                <w:rFonts w:asciiTheme="majorBidi" w:hAnsiTheme="majorBidi" w:cstheme="majorBidi"/>
                <w:lang w:val="en-US"/>
              </w:rPr>
              <w:t>S</w:t>
            </w:r>
            <w:r w:rsidRPr="00380A8F">
              <w:rPr>
                <w:rFonts w:asciiTheme="majorBidi" w:hAnsiTheme="majorBidi" w:cstheme="majorBidi"/>
                <w:lang w:val="en-US"/>
              </w:rPr>
              <w:t xml:space="preserve"> contains </w:t>
            </w:r>
            <w:r w:rsidR="008B471F" w:rsidRPr="00380A8F">
              <w:rPr>
                <w:rFonts w:asciiTheme="majorBidi" w:hAnsiTheme="majorBidi" w:cstheme="majorBidi"/>
                <w:lang w:val="en-US"/>
              </w:rPr>
              <w:t>information on PP Resolution 176 (rev. Bucharest 2022).</w:t>
            </w:r>
          </w:p>
        </w:tc>
      </w:tr>
    </w:tbl>
    <w:p w14:paraId="085099C2" w14:textId="77777777" w:rsidR="00D32CC6" w:rsidRPr="00380A8F" w:rsidRDefault="00D32CC6" w:rsidP="0089378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A990A84" w14:textId="465C09C4" w:rsidR="00317470" w:rsidRPr="00380A8F" w:rsidRDefault="00893782" w:rsidP="00D32CC6">
      <w:pPr>
        <w:jc w:val="both"/>
        <w:rPr>
          <w:rFonts w:asciiTheme="majorBidi" w:hAnsiTheme="majorBidi" w:cstheme="majorBidi"/>
          <w:sz w:val="24"/>
          <w:szCs w:val="24"/>
        </w:rPr>
      </w:pPr>
      <w:r w:rsidRPr="00380A8F">
        <w:rPr>
          <w:rFonts w:asciiTheme="majorBidi" w:hAnsiTheme="majorBidi" w:cstheme="majorBidi"/>
          <w:sz w:val="24"/>
          <w:szCs w:val="24"/>
        </w:rPr>
        <w:t>ITU-T S</w:t>
      </w:r>
      <w:r w:rsidR="00317470" w:rsidRPr="00380A8F">
        <w:rPr>
          <w:rFonts w:asciiTheme="majorBidi" w:hAnsiTheme="majorBidi" w:cstheme="majorBidi"/>
          <w:sz w:val="24"/>
          <w:szCs w:val="24"/>
        </w:rPr>
        <w:t xml:space="preserve">tudy </w:t>
      </w:r>
      <w:r w:rsidRPr="00380A8F">
        <w:rPr>
          <w:rFonts w:asciiTheme="majorBidi" w:hAnsiTheme="majorBidi" w:cstheme="majorBidi"/>
          <w:sz w:val="24"/>
          <w:szCs w:val="24"/>
        </w:rPr>
        <w:t>G</w:t>
      </w:r>
      <w:r w:rsidR="00317470" w:rsidRPr="00380A8F">
        <w:rPr>
          <w:rFonts w:asciiTheme="majorBidi" w:hAnsiTheme="majorBidi" w:cstheme="majorBidi"/>
          <w:sz w:val="24"/>
          <w:szCs w:val="24"/>
        </w:rPr>
        <w:t xml:space="preserve">roup </w:t>
      </w:r>
      <w:r w:rsidRPr="00380A8F">
        <w:rPr>
          <w:rFonts w:asciiTheme="majorBidi" w:hAnsiTheme="majorBidi" w:cstheme="majorBidi"/>
          <w:sz w:val="24"/>
          <w:szCs w:val="24"/>
        </w:rPr>
        <w:t xml:space="preserve">5 </w:t>
      </w:r>
      <w:r w:rsidR="00317470" w:rsidRPr="00380A8F">
        <w:rPr>
          <w:rFonts w:asciiTheme="majorBidi" w:hAnsiTheme="majorBidi" w:cstheme="majorBidi"/>
          <w:sz w:val="24"/>
          <w:szCs w:val="24"/>
        </w:rPr>
        <w:t>would like to inform TSAG that during its meeting (17</w:t>
      </w:r>
      <w:r w:rsidR="00792860" w:rsidRPr="00380A8F">
        <w:rPr>
          <w:rFonts w:asciiTheme="majorBidi" w:hAnsiTheme="majorBidi" w:cstheme="majorBidi"/>
          <w:sz w:val="24"/>
          <w:szCs w:val="24"/>
        </w:rPr>
        <w:t>–</w:t>
      </w:r>
      <w:r w:rsidR="00317470" w:rsidRPr="00380A8F">
        <w:rPr>
          <w:rFonts w:asciiTheme="majorBidi" w:hAnsiTheme="majorBidi" w:cstheme="majorBidi"/>
          <w:sz w:val="24"/>
          <w:szCs w:val="24"/>
        </w:rPr>
        <w:t>27 October 2022), ITU</w:t>
      </w:r>
      <w:r w:rsidR="008B471F" w:rsidRPr="00380A8F">
        <w:rPr>
          <w:rFonts w:asciiTheme="majorBidi" w:hAnsiTheme="majorBidi" w:cstheme="majorBidi"/>
          <w:sz w:val="24"/>
          <w:szCs w:val="24"/>
        </w:rPr>
        <w:noBreakHyphen/>
      </w:r>
      <w:r w:rsidR="00317470" w:rsidRPr="00380A8F">
        <w:rPr>
          <w:rFonts w:asciiTheme="majorBidi" w:hAnsiTheme="majorBidi" w:cstheme="majorBidi"/>
          <w:sz w:val="24"/>
          <w:szCs w:val="24"/>
        </w:rPr>
        <w:t>T SG5 acknowledged the revision of PP Resolution 176 (rev. Bucharest) on Measurement and assessment concerns related to human exposure to electromagnetic fields”</w:t>
      </w:r>
      <w:r w:rsidR="008B471F" w:rsidRPr="00380A8F">
        <w:rPr>
          <w:rFonts w:asciiTheme="majorBidi" w:hAnsiTheme="majorBidi" w:cstheme="majorBidi"/>
          <w:sz w:val="24"/>
          <w:szCs w:val="24"/>
        </w:rPr>
        <w:t>.</w:t>
      </w:r>
    </w:p>
    <w:p w14:paraId="3E58FF6F" w14:textId="601E4C3C" w:rsidR="00B6642B" w:rsidRPr="00380A8F" w:rsidRDefault="00317470" w:rsidP="00D32CC6">
      <w:pPr>
        <w:jc w:val="both"/>
        <w:rPr>
          <w:rFonts w:asciiTheme="majorBidi" w:hAnsiTheme="majorBidi" w:cstheme="majorBidi"/>
          <w:sz w:val="24"/>
          <w:szCs w:val="24"/>
        </w:rPr>
      </w:pPr>
      <w:r w:rsidRPr="00380A8F">
        <w:rPr>
          <w:rFonts w:asciiTheme="majorBidi" w:hAnsiTheme="majorBidi" w:cstheme="majorBidi"/>
          <w:sz w:val="24"/>
          <w:szCs w:val="24"/>
        </w:rPr>
        <w:t xml:space="preserve">ITU-T SG5, within </w:t>
      </w:r>
      <w:r w:rsidR="00893782" w:rsidRPr="00380A8F">
        <w:rPr>
          <w:rFonts w:asciiTheme="majorBidi" w:hAnsiTheme="majorBidi" w:cstheme="majorBidi"/>
          <w:sz w:val="24"/>
          <w:szCs w:val="24"/>
        </w:rPr>
        <w:t>Q3/5</w:t>
      </w:r>
      <w:r w:rsidR="00CB1644" w:rsidRPr="00380A8F">
        <w:rPr>
          <w:rFonts w:asciiTheme="majorBidi" w:hAnsiTheme="majorBidi" w:cstheme="majorBidi"/>
          <w:sz w:val="24"/>
          <w:szCs w:val="24"/>
        </w:rPr>
        <w:t>,</w:t>
      </w:r>
      <w:r w:rsidRPr="00380A8F">
        <w:rPr>
          <w:rFonts w:asciiTheme="majorBidi" w:hAnsiTheme="majorBidi" w:cstheme="majorBidi"/>
          <w:sz w:val="24"/>
          <w:szCs w:val="24"/>
        </w:rPr>
        <w:t xml:space="preserve"> noticed that the Resolution under the part on considering</w:t>
      </w:r>
      <w:r w:rsidR="008B471F" w:rsidRPr="00380A8F">
        <w:rPr>
          <w:rFonts w:asciiTheme="majorBidi" w:hAnsiTheme="majorBidi" w:cstheme="majorBidi"/>
          <w:sz w:val="24"/>
          <w:szCs w:val="24"/>
        </w:rPr>
        <w:t xml:space="preserve"> </w:t>
      </w:r>
      <w:r w:rsidR="008B471F" w:rsidRPr="00380A8F">
        <w:rPr>
          <w:rFonts w:asciiTheme="majorBidi" w:hAnsiTheme="majorBidi" w:cstheme="majorBidi"/>
          <w:i/>
          <w:iCs/>
          <w:sz w:val="24"/>
          <w:szCs w:val="24"/>
        </w:rPr>
        <w:t>(h)</w:t>
      </w:r>
      <w:r w:rsidRPr="00380A8F">
        <w:rPr>
          <w:rFonts w:asciiTheme="majorBidi" w:hAnsiTheme="majorBidi" w:cstheme="majorBidi"/>
          <w:sz w:val="24"/>
          <w:szCs w:val="24"/>
        </w:rPr>
        <w:t xml:space="preserve"> refer</w:t>
      </w:r>
      <w:r w:rsidR="00D45645" w:rsidRPr="00380A8F">
        <w:rPr>
          <w:rFonts w:asciiTheme="majorBidi" w:hAnsiTheme="majorBidi" w:cstheme="majorBidi"/>
          <w:sz w:val="24"/>
          <w:szCs w:val="24"/>
        </w:rPr>
        <w:t>s</w:t>
      </w:r>
      <w:r w:rsidRPr="00380A8F">
        <w:rPr>
          <w:rFonts w:asciiTheme="majorBidi" w:hAnsiTheme="majorBidi" w:cstheme="majorBidi"/>
          <w:sz w:val="24"/>
          <w:szCs w:val="24"/>
        </w:rPr>
        <w:t xml:space="preserve"> to </w:t>
      </w:r>
      <w:r w:rsidR="00B6642B" w:rsidRPr="00380A8F">
        <w:rPr>
          <w:rFonts w:asciiTheme="majorBidi" w:hAnsiTheme="majorBidi" w:cstheme="majorBidi"/>
          <w:sz w:val="24"/>
          <w:szCs w:val="24"/>
        </w:rPr>
        <w:t>ISO</w:t>
      </w:r>
      <w:r w:rsidR="008B471F" w:rsidRPr="00380A8F">
        <w:rPr>
          <w:rFonts w:asciiTheme="majorBidi" w:hAnsiTheme="majorBidi" w:cstheme="majorBidi"/>
          <w:sz w:val="24"/>
          <w:szCs w:val="24"/>
        </w:rPr>
        <w:t>/</w:t>
      </w:r>
      <w:r w:rsidR="00B6642B" w:rsidRPr="00380A8F">
        <w:rPr>
          <w:rFonts w:asciiTheme="majorBidi" w:hAnsiTheme="majorBidi" w:cstheme="majorBidi"/>
          <w:sz w:val="24"/>
          <w:szCs w:val="24"/>
        </w:rPr>
        <w:t>IEC as entities that provide guidelines on limits of exposure to EMF</w:t>
      </w:r>
      <w:r w:rsidR="008B471F" w:rsidRPr="00380A8F">
        <w:rPr>
          <w:rFonts w:asciiTheme="majorBidi" w:hAnsiTheme="majorBidi" w:cstheme="majorBidi"/>
          <w:sz w:val="24"/>
          <w:szCs w:val="24"/>
        </w:rPr>
        <w:t>. ISO/IEC do</w:t>
      </w:r>
      <w:r w:rsidR="00CB1644" w:rsidRPr="00380A8F">
        <w:rPr>
          <w:rFonts w:asciiTheme="majorBidi" w:hAnsiTheme="majorBidi" w:cstheme="majorBidi"/>
          <w:sz w:val="24"/>
          <w:szCs w:val="24"/>
        </w:rPr>
        <w:t>es</w:t>
      </w:r>
      <w:r w:rsidR="008B471F" w:rsidRPr="00380A8F">
        <w:rPr>
          <w:rFonts w:asciiTheme="majorBidi" w:hAnsiTheme="majorBidi" w:cstheme="majorBidi"/>
          <w:sz w:val="24"/>
          <w:szCs w:val="24"/>
        </w:rPr>
        <w:t xml:space="preserve"> not provide guidelines on limits of exposure to </w:t>
      </w:r>
      <w:r w:rsidR="00CB1644" w:rsidRPr="00380A8F">
        <w:rPr>
          <w:rFonts w:asciiTheme="majorBidi" w:hAnsiTheme="majorBidi" w:cstheme="majorBidi"/>
          <w:sz w:val="24"/>
          <w:szCs w:val="24"/>
        </w:rPr>
        <w:t>EMF but</w:t>
      </w:r>
      <w:r w:rsidR="008B471F" w:rsidRPr="00380A8F">
        <w:rPr>
          <w:rFonts w:asciiTheme="majorBidi" w:hAnsiTheme="majorBidi" w:cstheme="majorBidi"/>
          <w:sz w:val="24"/>
          <w:szCs w:val="24"/>
        </w:rPr>
        <w:t xml:space="preserve"> </w:t>
      </w:r>
      <w:r w:rsidR="00B6642B" w:rsidRPr="00380A8F">
        <w:rPr>
          <w:rFonts w:asciiTheme="majorBidi" w:hAnsiTheme="majorBidi" w:cstheme="majorBidi"/>
          <w:sz w:val="24"/>
          <w:szCs w:val="24"/>
        </w:rPr>
        <w:t>develop</w:t>
      </w:r>
      <w:r w:rsidR="008B471F" w:rsidRPr="00380A8F">
        <w:rPr>
          <w:rFonts w:asciiTheme="majorBidi" w:hAnsiTheme="majorBidi" w:cstheme="majorBidi"/>
          <w:sz w:val="24"/>
          <w:szCs w:val="24"/>
        </w:rPr>
        <w:t xml:space="preserve"> </w:t>
      </w:r>
      <w:r w:rsidR="00B6642B" w:rsidRPr="00380A8F">
        <w:rPr>
          <w:rFonts w:asciiTheme="majorBidi" w:hAnsiTheme="majorBidi" w:cstheme="majorBidi"/>
          <w:sz w:val="24"/>
          <w:szCs w:val="24"/>
        </w:rPr>
        <w:t>international standards that describe methods for the assessment of electric, magnetic</w:t>
      </w:r>
      <w:r w:rsidR="00CB1644" w:rsidRPr="00380A8F">
        <w:rPr>
          <w:rFonts w:asciiTheme="majorBidi" w:hAnsiTheme="majorBidi" w:cstheme="majorBidi"/>
          <w:sz w:val="24"/>
          <w:szCs w:val="24"/>
        </w:rPr>
        <w:t>,</w:t>
      </w:r>
      <w:r w:rsidR="00B6642B" w:rsidRPr="00380A8F">
        <w:rPr>
          <w:rFonts w:asciiTheme="majorBidi" w:hAnsiTheme="majorBidi" w:cstheme="majorBidi"/>
          <w:sz w:val="24"/>
          <w:szCs w:val="24"/>
        </w:rPr>
        <w:t xml:space="preserve"> and electromagnetic fields associated with human exposure that could be used by any national authority”.</w:t>
      </w:r>
    </w:p>
    <w:p w14:paraId="482F3827" w14:textId="3A812857" w:rsidR="00B6642B" w:rsidRPr="00380A8F" w:rsidRDefault="00B6642B" w:rsidP="00D32CC6">
      <w:pPr>
        <w:jc w:val="both"/>
        <w:rPr>
          <w:rFonts w:asciiTheme="majorBidi" w:hAnsiTheme="majorBidi" w:cstheme="majorBidi"/>
          <w:sz w:val="24"/>
          <w:szCs w:val="24"/>
        </w:rPr>
      </w:pPr>
      <w:r w:rsidRPr="00380A8F">
        <w:rPr>
          <w:rFonts w:asciiTheme="majorBidi" w:hAnsiTheme="majorBidi" w:cstheme="majorBidi"/>
          <w:sz w:val="24"/>
          <w:szCs w:val="24"/>
        </w:rPr>
        <w:t xml:space="preserve">ITU-T SG5 would like to make TSAG aware of this inaccuracy and would like to suggest </w:t>
      </w:r>
      <w:r w:rsidR="00CB1644" w:rsidRPr="00380A8F">
        <w:rPr>
          <w:rFonts w:asciiTheme="majorBidi" w:hAnsiTheme="majorBidi" w:cstheme="majorBidi"/>
          <w:sz w:val="24"/>
          <w:szCs w:val="24"/>
        </w:rPr>
        <w:t xml:space="preserve">to </w:t>
      </w:r>
      <w:r w:rsidRPr="00380A8F">
        <w:rPr>
          <w:rFonts w:asciiTheme="majorBidi" w:hAnsiTheme="majorBidi" w:cstheme="majorBidi"/>
          <w:sz w:val="24"/>
          <w:szCs w:val="24"/>
        </w:rPr>
        <w:t xml:space="preserve">TSAG </w:t>
      </w:r>
      <w:r w:rsidR="00792860" w:rsidRPr="00380A8F">
        <w:rPr>
          <w:rFonts w:asciiTheme="majorBidi" w:hAnsiTheme="majorBidi" w:cstheme="majorBidi"/>
          <w:sz w:val="24"/>
          <w:szCs w:val="24"/>
        </w:rPr>
        <w:t xml:space="preserve">that they </w:t>
      </w:r>
      <w:r w:rsidRPr="00380A8F">
        <w:rPr>
          <w:rFonts w:asciiTheme="majorBidi" w:hAnsiTheme="majorBidi" w:cstheme="majorBidi"/>
          <w:sz w:val="24"/>
          <w:szCs w:val="24"/>
        </w:rPr>
        <w:t>take th</w:t>
      </w:r>
      <w:r w:rsidR="008B471F" w:rsidRPr="00380A8F">
        <w:rPr>
          <w:rFonts w:asciiTheme="majorBidi" w:hAnsiTheme="majorBidi" w:cstheme="majorBidi"/>
          <w:sz w:val="24"/>
          <w:szCs w:val="24"/>
        </w:rPr>
        <w:t xml:space="preserve">e above </w:t>
      </w:r>
      <w:r w:rsidRPr="00380A8F">
        <w:rPr>
          <w:rFonts w:asciiTheme="majorBidi" w:hAnsiTheme="majorBidi" w:cstheme="majorBidi"/>
          <w:sz w:val="24"/>
          <w:szCs w:val="24"/>
        </w:rPr>
        <w:t xml:space="preserve">into consideration in any work to be engaged for the revision of Resolution 176 for the next Plenipotentiary conference. </w:t>
      </w:r>
    </w:p>
    <w:p w14:paraId="7EDD4B95" w14:textId="14C50106" w:rsidR="00B6642B" w:rsidRPr="00380A8F" w:rsidRDefault="008B471F" w:rsidP="00D32CC6">
      <w:pPr>
        <w:jc w:val="both"/>
        <w:rPr>
          <w:rFonts w:asciiTheme="majorBidi" w:hAnsiTheme="majorBidi" w:cstheme="majorBidi"/>
          <w:sz w:val="24"/>
          <w:szCs w:val="24"/>
        </w:rPr>
      </w:pPr>
      <w:r w:rsidRPr="00380A8F">
        <w:rPr>
          <w:rFonts w:asciiTheme="majorBidi" w:hAnsiTheme="majorBidi" w:cstheme="majorBidi"/>
          <w:sz w:val="24"/>
          <w:szCs w:val="24"/>
        </w:rPr>
        <w:t>ITU-T SG5 looks forward to collaborating further with TSAG.</w:t>
      </w:r>
    </w:p>
    <w:p w14:paraId="64C4F83A" w14:textId="01374936" w:rsidR="008B471F" w:rsidRPr="00380A8F" w:rsidRDefault="008B471F" w:rsidP="00D32CC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D9ADE69" w14:textId="75191B0B" w:rsidR="00D32CC6" w:rsidRPr="00380A8F" w:rsidRDefault="00D32CC6" w:rsidP="00D32CC6">
      <w:pPr>
        <w:jc w:val="center"/>
        <w:rPr>
          <w:rFonts w:asciiTheme="majorBidi" w:hAnsiTheme="majorBidi" w:cstheme="majorBidi"/>
          <w:sz w:val="24"/>
          <w:szCs w:val="24"/>
        </w:rPr>
      </w:pPr>
      <w:r w:rsidRPr="00380A8F">
        <w:rPr>
          <w:rFonts w:asciiTheme="majorBidi" w:hAnsiTheme="majorBidi" w:cstheme="majorBidi"/>
          <w:b/>
          <w:bCs/>
          <w:sz w:val="24"/>
          <w:szCs w:val="24"/>
        </w:rPr>
        <w:t>_______________</w:t>
      </w:r>
    </w:p>
    <w:sectPr w:rsidR="00D32CC6" w:rsidRPr="00380A8F" w:rsidSect="00F55356">
      <w:headerReference w:type="default" r:id="rId14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0C0F" w14:textId="77777777" w:rsidR="00315C34" w:rsidRDefault="00315C34" w:rsidP="003E5FC1">
      <w:pPr>
        <w:spacing w:after="0" w:line="240" w:lineRule="auto"/>
      </w:pPr>
      <w:r>
        <w:separator/>
      </w:r>
    </w:p>
  </w:endnote>
  <w:endnote w:type="continuationSeparator" w:id="0">
    <w:p w14:paraId="490284A0" w14:textId="77777777" w:rsidR="00315C34" w:rsidRDefault="00315C34" w:rsidP="003E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1088" w14:textId="77777777" w:rsidR="00315C34" w:rsidRDefault="00315C34" w:rsidP="003E5FC1">
      <w:pPr>
        <w:spacing w:after="0" w:line="240" w:lineRule="auto"/>
      </w:pPr>
      <w:r>
        <w:separator/>
      </w:r>
    </w:p>
  </w:footnote>
  <w:footnote w:type="continuationSeparator" w:id="0">
    <w:p w14:paraId="4F479EF9" w14:textId="77777777" w:rsidR="00315C34" w:rsidRDefault="00315C34" w:rsidP="003E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7091" w14:textId="5F4671F2" w:rsidR="00D32CC6" w:rsidRPr="00540658" w:rsidRDefault="00540658" w:rsidP="00540658">
    <w:pPr>
      <w:pStyle w:val="Header"/>
      <w:jc w:val="center"/>
      <w:rPr>
        <w:rFonts w:ascii="Times New Roman" w:hAnsi="Times New Roman" w:cs="Times New Roman"/>
        <w:sz w:val="18"/>
      </w:rPr>
    </w:pPr>
    <w:r w:rsidRPr="00540658">
      <w:rPr>
        <w:rFonts w:ascii="Times New Roman" w:hAnsi="Times New Roman" w:cs="Times New Roman"/>
        <w:sz w:val="18"/>
      </w:rPr>
      <w:t xml:space="preserve">- </w:t>
    </w:r>
    <w:r w:rsidRPr="00540658">
      <w:rPr>
        <w:rFonts w:ascii="Times New Roman" w:hAnsi="Times New Roman" w:cs="Times New Roman"/>
        <w:sz w:val="18"/>
      </w:rPr>
      <w:fldChar w:fldCharType="begin"/>
    </w:r>
    <w:r w:rsidRPr="00540658">
      <w:rPr>
        <w:rFonts w:ascii="Times New Roman" w:hAnsi="Times New Roman" w:cs="Times New Roman"/>
        <w:sz w:val="18"/>
      </w:rPr>
      <w:instrText xml:space="preserve"> PAGE  \* MERGEFORMAT </w:instrText>
    </w:r>
    <w:r w:rsidRPr="00540658">
      <w:rPr>
        <w:rFonts w:ascii="Times New Roman" w:hAnsi="Times New Roman" w:cs="Times New Roman"/>
        <w:sz w:val="18"/>
      </w:rPr>
      <w:fldChar w:fldCharType="separate"/>
    </w:r>
    <w:r w:rsidRPr="00540658">
      <w:rPr>
        <w:rFonts w:ascii="Times New Roman" w:hAnsi="Times New Roman" w:cs="Times New Roman"/>
        <w:noProof/>
        <w:sz w:val="18"/>
      </w:rPr>
      <w:t>1</w:t>
    </w:r>
    <w:r w:rsidRPr="00540658">
      <w:rPr>
        <w:rFonts w:ascii="Times New Roman" w:hAnsi="Times New Roman" w:cs="Times New Roman"/>
        <w:sz w:val="18"/>
      </w:rPr>
      <w:fldChar w:fldCharType="end"/>
    </w:r>
    <w:r w:rsidRPr="00540658">
      <w:rPr>
        <w:rFonts w:ascii="Times New Roman" w:hAnsi="Times New Roman" w:cs="Times New Roman"/>
        <w:sz w:val="18"/>
      </w:rPr>
      <w:t xml:space="preserve"> -</w:t>
    </w:r>
  </w:p>
  <w:p w14:paraId="2C8E46C7" w14:textId="12137B30" w:rsidR="00540658" w:rsidRPr="00540658" w:rsidRDefault="00540658" w:rsidP="00540658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 w:rsidRPr="00540658">
      <w:rPr>
        <w:rFonts w:ascii="Times New Roman" w:hAnsi="Times New Roman" w:cs="Times New Roman"/>
        <w:sz w:val="18"/>
      </w:rPr>
      <w:fldChar w:fldCharType="begin"/>
    </w:r>
    <w:r w:rsidRPr="00540658">
      <w:rPr>
        <w:rFonts w:ascii="Times New Roman" w:hAnsi="Times New Roman" w:cs="Times New Roman"/>
        <w:sz w:val="18"/>
      </w:rPr>
      <w:instrText xml:space="preserve"> STYLEREF  Docnumber  </w:instrText>
    </w:r>
    <w:r w:rsidRPr="00540658">
      <w:rPr>
        <w:rFonts w:ascii="Times New Roman" w:hAnsi="Times New Roman" w:cs="Times New Roman"/>
        <w:sz w:val="18"/>
      </w:rPr>
      <w:fldChar w:fldCharType="separate"/>
    </w:r>
    <w:r w:rsidR="00380A8F">
      <w:rPr>
        <w:rFonts w:ascii="Times New Roman" w:hAnsi="Times New Roman" w:cs="Times New Roman"/>
        <w:noProof/>
        <w:sz w:val="18"/>
      </w:rPr>
      <w:t>TSAG-TD108</w:t>
    </w:r>
    <w:r w:rsidRPr="00540658">
      <w:rPr>
        <w:rFonts w:ascii="Times New Roman" w:hAnsi="Times New Roman" w:cs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833AA"/>
    <w:multiLevelType w:val="hybridMultilevel"/>
    <w:tmpl w:val="EF8E9BC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16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C1"/>
    <w:rsid w:val="00095C46"/>
    <w:rsid w:val="001C2F8F"/>
    <w:rsid w:val="00267239"/>
    <w:rsid w:val="002C69C1"/>
    <w:rsid w:val="00315C34"/>
    <w:rsid w:val="00317470"/>
    <w:rsid w:val="00335D64"/>
    <w:rsid w:val="00371428"/>
    <w:rsid w:val="00380A8F"/>
    <w:rsid w:val="003C6887"/>
    <w:rsid w:val="003E5FC1"/>
    <w:rsid w:val="0044415F"/>
    <w:rsid w:val="00467227"/>
    <w:rsid w:val="004F08D7"/>
    <w:rsid w:val="00540658"/>
    <w:rsid w:val="00542063"/>
    <w:rsid w:val="005E1F70"/>
    <w:rsid w:val="00681900"/>
    <w:rsid w:val="006D264F"/>
    <w:rsid w:val="006D3A90"/>
    <w:rsid w:val="00711CBD"/>
    <w:rsid w:val="007163DB"/>
    <w:rsid w:val="007170AA"/>
    <w:rsid w:val="0077648E"/>
    <w:rsid w:val="00787892"/>
    <w:rsid w:val="00792860"/>
    <w:rsid w:val="007A7727"/>
    <w:rsid w:val="00842ACF"/>
    <w:rsid w:val="00893782"/>
    <w:rsid w:val="008B471F"/>
    <w:rsid w:val="009A55EB"/>
    <w:rsid w:val="00AB25D9"/>
    <w:rsid w:val="00AF6C5B"/>
    <w:rsid w:val="00B26F0B"/>
    <w:rsid w:val="00B6642B"/>
    <w:rsid w:val="00BB7567"/>
    <w:rsid w:val="00C756E5"/>
    <w:rsid w:val="00CB1644"/>
    <w:rsid w:val="00D32CC6"/>
    <w:rsid w:val="00D45645"/>
    <w:rsid w:val="00D85076"/>
    <w:rsid w:val="00DF47EB"/>
    <w:rsid w:val="00EF21BB"/>
    <w:rsid w:val="00F55356"/>
    <w:rsid w:val="00F60082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B71F69"/>
  <w15:docId w15:val="{D88F3E32-66BD-499A-A1C0-93852E33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892"/>
    <w:pPr>
      <w:ind w:left="720"/>
      <w:contextualSpacing/>
    </w:pPr>
  </w:style>
  <w:style w:type="character" w:styleId="Hyperlink">
    <w:name w:val="Hyperlink"/>
    <w:aliases w:val="CEO_Hyperlink,超级链接,超?级链,Style 58,超????,하이퍼링크2,超链接1,超?级链?,Style?,S,하이퍼링크21,ECC Hyperlink,超?级链ïÈ,õ±?级链,õ±链ïÈ1,õ±???"/>
    <w:basedOn w:val="DefaultParagraphFont"/>
    <w:unhideWhenUsed/>
    <w:qFormat/>
    <w:rsid w:val="007163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3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2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2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C6"/>
    <w:rPr>
      <w:lang w:val="en-GB"/>
    </w:rPr>
  </w:style>
  <w:style w:type="paragraph" w:customStyle="1" w:styleId="Docnumber">
    <w:name w:val="Docnumber"/>
    <w:basedOn w:val="Normal"/>
    <w:link w:val="DocnumberChar"/>
    <w:qFormat/>
    <w:rsid w:val="00D32C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DocnumberChar">
    <w:name w:val="Docnumber Char"/>
    <w:basedOn w:val="DefaultParagraphFont"/>
    <w:link w:val="Docnumber"/>
    <w:qFormat/>
    <w:rsid w:val="00D32CC6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paragraph" w:customStyle="1" w:styleId="TSBHeaderSummary">
    <w:name w:val="TSBHeaderSummary"/>
    <w:basedOn w:val="Normal"/>
    <w:rsid w:val="00D32CC6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TSBHeaderQuestion">
    <w:name w:val="TSBHeaderQuestion"/>
    <w:basedOn w:val="Normal"/>
    <w:rsid w:val="00D32CC6"/>
    <w:pPr>
      <w:spacing w:before="120" w:after="0" w:line="240" w:lineRule="auto"/>
    </w:pPr>
    <w:rPr>
      <w:rFonts w:ascii="Times New Roman" w:eastAsia="DengXian" w:hAnsi="Times New Roman" w:cs="Times New Roman"/>
      <w:sz w:val="24"/>
      <w:szCs w:val="24"/>
      <w:lang w:eastAsia="en-GB"/>
    </w:rPr>
  </w:style>
  <w:style w:type="paragraph" w:customStyle="1" w:styleId="TSBHeaderRight14">
    <w:name w:val="TSBHeaderRight14"/>
    <w:basedOn w:val="Normal"/>
    <w:rsid w:val="00D32CC6"/>
    <w:pPr>
      <w:spacing w:before="120" w:after="0" w:line="240" w:lineRule="auto"/>
      <w:jc w:val="right"/>
    </w:pPr>
    <w:rPr>
      <w:rFonts w:ascii="Times New Roman" w:eastAsia="DengXian" w:hAnsi="Times New Roman" w:cs="Times New Rom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D32CC6"/>
    <w:pPr>
      <w:spacing w:before="120" w:after="0" w:line="240" w:lineRule="auto"/>
    </w:pPr>
    <w:rPr>
      <w:rFonts w:ascii="Times New Roman" w:eastAsia="DengXian" w:hAnsi="Times New Roman" w:cs="Times New Roman"/>
      <w:sz w:val="24"/>
      <w:szCs w:val="24"/>
      <w:lang w:eastAsia="en-GB"/>
    </w:rPr>
  </w:style>
  <w:style w:type="paragraph" w:customStyle="1" w:styleId="TSBHeaderTitle">
    <w:name w:val="TSBHeaderTitle"/>
    <w:basedOn w:val="Normal"/>
    <w:rsid w:val="00D32CC6"/>
    <w:pPr>
      <w:spacing w:before="120" w:after="0" w:line="240" w:lineRule="auto"/>
    </w:pPr>
    <w:rPr>
      <w:rFonts w:ascii="Times New Roman" w:eastAsia="DengXian" w:hAnsi="Times New Roman" w:cs="Times New Roman"/>
      <w:sz w:val="24"/>
      <w:szCs w:val="24"/>
      <w:lang w:eastAsia="en-GB"/>
    </w:rPr>
  </w:style>
  <w:style w:type="paragraph" w:customStyle="1" w:styleId="VenueDate">
    <w:name w:val="VenueDate"/>
    <w:basedOn w:val="Normal"/>
    <w:rsid w:val="00D32CC6"/>
    <w:pPr>
      <w:spacing w:before="120" w:after="0" w:line="240" w:lineRule="auto"/>
      <w:jc w:val="right"/>
    </w:pPr>
    <w:rPr>
      <w:rFonts w:ascii="Times New Roman" w:eastAsia="DengXi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32CC6"/>
    <w:pPr>
      <w:spacing w:after="0" w:line="240" w:lineRule="auto"/>
    </w:pPr>
    <w:rPr>
      <w:lang w:val="en-GB"/>
    </w:rPr>
  </w:style>
  <w:style w:type="paragraph" w:styleId="FootnoteText">
    <w:name w:val="footnote text"/>
    <w:basedOn w:val="Normal"/>
    <w:link w:val="FootnoteTextChar"/>
    <w:unhideWhenUsed/>
    <w:rsid w:val="00B664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B6642B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nhideWhenUsed/>
    <w:rsid w:val="00B664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D9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0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7-sg5-oLS-00046.docx" TargetMode="External"/><Relationship Id="rId13" Type="http://schemas.openxmlformats.org/officeDocument/2006/relationships/hyperlink" Target="mailto:fryderyk.lewicki@oran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minique.wurges@orang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ndle.itu.int/11.1002/ls/sp17-sg5-oLS-00046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ryderyk.lewicki@oran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que.wurges@orange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Draft LS/o on PP Resolution 176 on Measurement and assessment concerns related to human exposure to electromagnetic fields [to TSAG]</vt:lpstr>
      <vt:lpstr/>
    </vt:vector>
  </TitlesOfParts>
  <Manager>ITU-T</Manager>
  <Company>International Telecommunication Union (ITU)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PP Resolution 176 on Measurement and assessment concerns related to human exposure to electromagnetic fields [to TSAG]</dc:title>
  <dc:creator>ITU-T Study Group 5</dc:creator>
  <dc:description>SG5-LS46  For: Rome, 17-27 October 2022_x000d_Document date: _x000d_Saved by ITU51014277 at 15:18:38 on 31.10.22</dc:description>
  <cp:lastModifiedBy>Al-Mnini, Lara</cp:lastModifiedBy>
  <cp:revision>3</cp:revision>
  <dcterms:created xsi:type="dcterms:W3CDTF">2022-11-08T10:32:00Z</dcterms:created>
  <dcterms:modified xsi:type="dcterms:W3CDTF">2022-11-08T10:44:00Z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SG5-LS46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3/5</vt:lpwstr>
  </property>
  <property fmtid="{D5CDD505-2E9C-101B-9397-08002B2CF9AE}" pid="6" name="Docdest">
    <vt:lpwstr>Rome, 17-27 October 2022</vt:lpwstr>
  </property>
  <property fmtid="{D5CDD505-2E9C-101B-9397-08002B2CF9AE}" pid="7" name="Docauthor">
    <vt:lpwstr>ITU-T Study Group 5</vt:lpwstr>
  </property>
</Properties>
</file>