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7E0C96" w:rsidRPr="007E0C96" w14:paraId="33DC6375" w14:textId="77777777" w:rsidTr="007E0C96">
        <w:trPr>
          <w:cantSplit/>
        </w:trPr>
        <w:tc>
          <w:tcPr>
            <w:tcW w:w="1132" w:type="dxa"/>
            <w:vMerge w:val="restart"/>
            <w:vAlign w:val="center"/>
          </w:tcPr>
          <w:p w14:paraId="7F5FFD7B" w14:textId="77777777" w:rsidR="007E0C96" w:rsidRPr="007E0C96" w:rsidRDefault="007E0C96" w:rsidP="007E0C96">
            <w:pPr>
              <w:spacing w:before="0"/>
              <w:jc w:val="center"/>
              <w:rPr>
                <w:sz w:val="20"/>
                <w:szCs w:val="20"/>
              </w:rPr>
            </w:pPr>
            <w:bookmarkStart w:id="0" w:name="dnum" w:colFirst="2" w:colLast="2"/>
            <w:bookmarkStart w:id="1" w:name="dtableau"/>
            <w:r w:rsidRPr="007E0C96">
              <w:rPr>
                <w:noProof/>
              </w:rPr>
              <w:drawing>
                <wp:inline distT="0" distB="0" distL="0" distR="0" wp14:anchorId="7B116170" wp14:editId="64D3F182">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208C617B" w14:textId="77777777" w:rsidR="007E0C96" w:rsidRPr="007E0C96" w:rsidRDefault="007E0C96" w:rsidP="007E0C96">
            <w:pPr>
              <w:rPr>
                <w:sz w:val="16"/>
                <w:szCs w:val="16"/>
              </w:rPr>
            </w:pPr>
            <w:r w:rsidRPr="007E0C96">
              <w:rPr>
                <w:sz w:val="16"/>
                <w:szCs w:val="16"/>
              </w:rPr>
              <w:t>INTERNATIONAL TELECOMMUNICATION UNION</w:t>
            </w:r>
          </w:p>
          <w:p w14:paraId="448460A8" w14:textId="77777777" w:rsidR="007E0C96" w:rsidRPr="007E0C96" w:rsidRDefault="007E0C96" w:rsidP="007E0C96">
            <w:pPr>
              <w:rPr>
                <w:b/>
                <w:bCs/>
                <w:sz w:val="26"/>
                <w:szCs w:val="26"/>
              </w:rPr>
            </w:pPr>
            <w:r w:rsidRPr="007E0C96">
              <w:rPr>
                <w:b/>
                <w:bCs/>
                <w:sz w:val="26"/>
                <w:szCs w:val="26"/>
              </w:rPr>
              <w:t>TELECOMMUNICATION</w:t>
            </w:r>
            <w:r w:rsidRPr="007E0C96">
              <w:rPr>
                <w:b/>
                <w:bCs/>
                <w:sz w:val="26"/>
                <w:szCs w:val="26"/>
              </w:rPr>
              <w:br/>
              <w:t>STANDARDIZATION SECTOR</w:t>
            </w:r>
          </w:p>
          <w:p w14:paraId="257CF6FB" w14:textId="77777777" w:rsidR="007E0C96" w:rsidRPr="007E0C96" w:rsidRDefault="007E0C96" w:rsidP="007E0C96">
            <w:pPr>
              <w:rPr>
                <w:sz w:val="20"/>
                <w:szCs w:val="20"/>
              </w:rPr>
            </w:pPr>
            <w:r w:rsidRPr="007E0C96">
              <w:rPr>
                <w:sz w:val="20"/>
                <w:szCs w:val="20"/>
              </w:rPr>
              <w:t xml:space="preserve">STUDY PERIOD </w:t>
            </w:r>
            <w:bookmarkStart w:id="2" w:name="dstudyperiod"/>
            <w:r w:rsidRPr="007E0C96">
              <w:rPr>
                <w:sz w:val="20"/>
              </w:rPr>
              <w:t>2022</w:t>
            </w:r>
            <w:r w:rsidRPr="007E0C96">
              <w:rPr>
                <w:sz w:val="20"/>
                <w:szCs w:val="20"/>
              </w:rPr>
              <w:t>-</w:t>
            </w:r>
            <w:r w:rsidRPr="007E0C96">
              <w:rPr>
                <w:sz w:val="20"/>
              </w:rPr>
              <w:t>2024</w:t>
            </w:r>
            <w:bookmarkEnd w:id="2"/>
          </w:p>
        </w:tc>
        <w:tc>
          <w:tcPr>
            <w:tcW w:w="4026" w:type="dxa"/>
            <w:vAlign w:val="center"/>
          </w:tcPr>
          <w:p w14:paraId="461BCEE1" w14:textId="1585CBFE" w:rsidR="007E0C96" w:rsidRPr="007E0C96" w:rsidRDefault="007E0C96" w:rsidP="007E0C96">
            <w:pPr>
              <w:pStyle w:val="Docnumber"/>
            </w:pPr>
            <w:r>
              <w:t>TSAG-TD124</w:t>
            </w:r>
            <w:r w:rsidR="007E73A8">
              <w:t>R1</w:t>
            </w:r>
          </w:p>
        </w:tc>
      </w:tr>
      <w:tr w:rsidR="007E0C96" w:rsidRPr="007E0C96" w14:paraId="54E3253B" w14:textId="77777777" w:rsidTr="007E0C96">
        <w:trPr>
          <w:cantSplit/>
        </w:trPr>
        <w:tc>
          <w:tcPr>
            <w:tcW w:w="1132" w:type="dxa"/>
            <w:vMerge/>
          </w:tcPr>
          <w:p w14:paraId="28E0518D" w14:textId="77777777" w:rsidR="007E0C96" w:rsidRPr="007E0C96" w:rsidRDefault="007E0C96" w:rsidP="007E0C96">
            <w:pPr>
              <w:rPr>
                <w:smallCaps/>
                <w:sz w:val="20"/>
              </w:rPr>
            </w:pPr>
            <w:bookmarkStart w:id="3" w:name="dsg" w:colFirst="2" w:colLast="2"/>
            <w:bookmarkEnd w:id="0"/>
          </w:p>
        </w:tc>
        <w:tc>
          <w:tcPr>
            <w:tcW w:w="4481" w:type="dxa"/>
            <w:gridSpan w:val="2"/>
            <w:vMerge/>
          </w:tcPr>
          <w:p w14:paraId="40A56417" w14:textId="77777777" w:rsidR="007E0C96" w:rsidRPr="007E0C96" w:rsidRDefault="007E0C96" w:rsidP="007E0C96">
            <w:pPr>
              <w:rPr>
                <w:smallCaps/>
                <w:sz w:val="20"/>
              </w:rPr>
            </w:pPr>
          </w:p>
        </w:tc>
        <w:tc>
          <w:tcPr>
            <w:tcW w:w="4026" w:type="dxa"/>
          </w:tcPr>
          <w:p w14:paraId="23FDA657" w14:textId="71987D8F" w:rsidR="007E0C96" w:rsidRPr="007E0C96" w:rsidRDefault="007E0C96" w:rsidP="007E0C96">
            <w:pPr>
              <w:pStyle w:val="TSBHeaderRight14"/>
              <w:rPr>
                <w:smallCaps/>
              </w:rPr>
            </w:pPr>
            <w:r>
              <w:rPr>
                <w:smallCaps/>
              </w:rPr>
              <w:t>TSAG</w:t>
            </w:r>
          </w:p>
        </w:tc>
      </w:tr>
      <w:bookmarkEnd w:id="3"/>
      <w:tr w:rsidR="007E0C96" w:rsidRPr="007E0C96" w14:paraId="358B699F" w14:textId="77777777" w:rsidTr="007E0C96">
        <w:trPr>
          <w:cantSplit/>
        </w:trPr>
        <w:tc>
          <w:tcPr>
            <w:tcW w:w="1132" w:type="dxa"/>
            <w:vMerge/>
            <w:tcBorders>
              <w:bottom w:val="single" w:sz="12" w:space="0" w:color="auto"/>
            </w:tcBorders>
          </w:tcPr>
          <w:p w14:paraId="2918292B" w14:textId="77777777" w:rsidR="007E0C96" w:rsidRPr="007E0C96" w:rsidRDefault="007E0C96" w:rsidP="007E0C96">
            <w:pPr>
              <w:rPr>
                <w:b/>
                <w:bCs/>
                <w:sz w:val="26"/>
              </w:rPr>
            </w:pPr>
          </w:p>
        </w:tc>
        <w:tc>
          <w:tcPr>
            <w:tcW w:w="4481" w:type="dxa"/>
            <w:gridSpan w:val="2"/>
            <w:vMerge/>
            <w:tcBorders>
              <w:bottom w:val="single" w:sz="12" w:space="0" w:color="auto"/>
            </w:tcBorders>
          </w:tcPr>
          <w:p w14:paraId="1EF01D35" w14:textId="77777777" w:rsidR="007E0C96" w:rsidRPr="007E0C96" w:rsidRDefault="007E0C96" w:rsidP="007E0C96">
            <w:pPr>
              <w:rPr>
                <w:b/>
                <w:bCs/>
                <w:sz w:val="26"/>
              </w:rPr>
            </w:pPr>
          </w:p>
        </w:tc>
        <w:tc>
          <w:tcPr>
            <w:tcW w:w="4026" w:type="dxa"/>
            <w:tcBorders>
              <w:bottom w:val="single" w:sz="12" w:space="0" w:color="auto"/>
            </w:tcBorders>
            <w:vAlign w:val="center"/>
          </w:tcPr>
          <w:p w14:paraId="7C9D31C6" w14:textId="77777777" w:rsidR="007E0C96" w:rsidRPr="007E0C96" w:rsidRDefault="007E0C96" w:rsidP="007E0C96">
            <w:pPr>
              <w:pStyle w:val="TSBHeaderRight14"/>
            </w:pPr>
            <w:r w:rsidRPr="007E0C96">
              <w:t>Original: English</w:t>
            </w:r>
          </w:p>
        </w:tc>
      </w:tr>
      <w:tr w:rsidR="007E0C96" w:rsidRPr="007E0C96" w14:paraId="7E20BC12" w14:textId="77777777" w:rsidTr="007E0C96">
        <w:trPr>
          <w:cantSplit/>
        </w:trPr>
        <w:tc>
          <w:tcPr>
            <w:tcW w:w="1587" w:type="dxa"/>
            <w:gridSpan w:val="2"/>
          </w:tcPr>
          <w:p w14:paraId="405FD9CB" w14:textId="77777777" w:rsidR="007E0C96" w:rsidRPr="007E0C96" w:rsidRDefault="007E0C96" w:rsidP="007E0C96">
            <w:pPr>
              <w:rPr>
                <w:b/>
                <w:bCs/>
              </w:rPr>
            </w:pPr>
            <w:bookmarkStart w:id="4" w:name="dbluepink" w:colFirst="1" w:colLast="1"/>
            <w:bookmarkStart w:id="5" w:name="dmeeting" w:colFirst="2" w:colLast="2"/>
            <w:r w:rsidRPr="007E0C96">
              <w:rPr>
                <w:b/>
                <w:bCs/>
              </w:rPr>
              <w:t>Question(s):</w:t>
            </w:r>
          </w:p>
        </w:tc>
        <w:tc>
          <w:tcPr>
            <w:tcW w:w="4026" w:type="dxa"/>
          </w:tcPr>
          <w:p w14:paraId="38332334" w14:textId="2603C4BF" w:rsidR="007E0C96" w:rsidRPr="007E0C96" w:rsidRDefault="007E0C96" w:rsidP="007E0C96">
            <w:pPr>
              <w:pStyle w:val="TSBHeaderQuestion"/>
            </w:pPr>
            <w:r w:rsidRPr="007E0C96">
              <w:t>RG-WPR</w:t>
            </w:r>
            <w:r w:rsidR="00190983">
              <w:t>**</w:t>
            </w:r>
          </w:p>
        </w:tc>
        <w:tc>
          <w:tcPr>
            <w:tcW w:w="4026" w:type="dxa"/>
          </w:tcPr>
          <w:p w14:paraId="1CDA4F4B" w14:textId="3E492B7B" w:rsidR="007E0C96" w:rsidRPr="007E0C96" w:rsidRDefault="007E0C96" w:rsidP="007E0C96">
            <w:pPr>
              <w:pStyle w:val="VenueDate"/>
            </w:pPr>
            <w:r w:rsidRPr="007E0C96">
              <w:t>Geneva, 12-16 December 2022</w:t>
            </w:r>
          </w:p>
        </w:tc>
      </w:tr>
      <w:tr w:rsidR="007E0C96" w:rsidRPr="007E0C96" w14:paraId="39C01CAB" w14:textId="77777777" w:rsidTr="005F7827">
        <w:trPr>
          <w:cantSplit/>
        </w:trPr>
        <w:tc>
          <w:tcPr>
            <w:tcW w:w="9639" w:type="dxa"/>
            <w:gridSpan w:val="4"/>
          </w:tcPr>
          <w:p w14:paraId="48DBF7D9" w14:textId="7CDFAD55" w:rsidR="007E0C96" w:rsidRPr="007E0C96" w:rsidRDefault="007E0C96" w:rsidP="007E0C96">
            <w:pPr>
              <w:jc w:val="center"/>
              <w:rPr>
                <w:b/>
                <w:bCs/>
              </w:rPr>
            </w:pPr>
            <w:bookmarkStart w:id="6" w:name="ddoctype"/>
            <w:bookmarkEnd w:id="4"/>
            <w:bookmarkEnd w:id="5"/>
            <w:r w:rsidRPr="007E0C96">
              <w:rPr>
                <w:b/>
                <w:bCs/>
              </w:rPr>
              <w:t>TD</w:t>
            </w:r>
          </w:p>
        </w:tc>
      </w:tr>
      <w:tr w:rsidR="007E0C96" w:rsidRPr="007E0C96" w14:paraId="47ACA412" w14:textId="77777777" w:rsidTr="007E0C96">
        <w:trPr>
          <w:cantSplit/>
        </w:trPr>
        <w:tc>
          <w:tcPr>
            <w:tcW w:w="1587" w:type="dxa"/>
            <w:gridSpan w:val="2"/>
          </w:tcPr>
          <w:p w14:paraId="1A18A7FC" w14:textId="77777777" w:rsidR="007E0C96" w:rsidRPr="007E0C96" w:rsidRDefault="007E0C96" w:rsidP="007E0C96">
            <w:pPr>
              <w:rPr>
                <w:b/>
                <w:bCs/>
              </w:rPr>
            </w:pPr>
            <w:bookmarkStart w:id="7" w:name="dsource" w:colFirst="1" w:colLast="1"/>
            <w:bookmarkEnd w:id="6"/>
            <w:r w:rsidRPr="007E0C96">
              <w:rPr>
                <w:b/>
                <w:bCs/>
              </w:rPr>
              <w:t>Source:</w:t>
            </w:r>
          </w:p>
        </w:tc>
        <w:tc>
          <w:tcPr>
            <w:tcW w:w="8052" w:type="dxa"/>
            <w:gridSpan w:val="2"/>
          </w:tcPr>
          <w:p w14:paraId="3EF13C8C" w14:textId="7BDCEF31" w:rsidR="007E0C96" w:rsidRPr="007E0C96" w:rsidRDefault="007E0C96" w:rsidP="007E0C96">
            <w:pPr>
              <w:pStyle w:val="TSBHeaderSource"/>
            </w:pPr>
            <w:r w:rsidRPr="007E0C96">
              <w:t xml:space="preserve">TSAG </w:t>
            </w:r>
            <w:r w:rsidR="00190983">
              <w:t>management team</w:t>
            </w:r>
          </w:p>
        </w:tc>
      </w:tr>
      <w:tr w:rsidR="007E0C96" w:rsidRPr="007E0C96" w14:paraId="060B5039" w14:textId="77777777" w:rsidTr="007E0C96">
        <w:trPr>
          <w:cantSplit/>
        </w:trPr>
        <w:tc>
          <w:tcPr>
            <w:tcW w:w="1587" w:type="dxa"/>
            <w:gridSpan w:val="2"/>
            <w:tcBorders>
              <w:bottom w:val="single" w:sz="8" w:space="0" w:color="auto"/>
            </w:tcBorders>
          </w:tcPr>
          <w:p w14:paraId="451F1EE1" w14:textId="77777777" w:rsidR="007E0C96" w:rsidRPr="007E0C96" w:rsidRDefault="007E0C96" w:rsidP="007E0C96">
            <w:pPr>
              <w:rPr>
                <w:b/>
                <w:bCs/>
              </w:rPr>
            </w:pPr>
            <w:bookmarkStart w:id="8" w:name="dtitle1" w:colFirst="1" w:colLast="1"/>
            <w:bookmarkEnd w:id="7"/>
            <w:r w:rsidRPr="007E0C96">
              <w:rPr>
                <w:b/>
                <w:bCs/>
              </w:rPr>
              <w:t>Title:</w:t>
            </w:r>
          </w:p>
        </w:tc>
        <w:tc>
          <w:tcPr>
            <w:tcW w:w="8052" w:type="dxa"/>
            <w:gridSpan w:val="2"/>
            <w:tcBorders>
              <w:bottom w:val="single" w:sz="8" w:space="0" w:color="auto"/>
            </w:tcBorders>
          </w:tcPr>
          <w:p w14:paraId="55F07D7F" w14:textId="7D836B9B" w:rsidR="007E0C96" w:rsidRPr="007E0C96" w:rsidRDefault="007E0C96" w:rsidP="007E0C96">
            <w:pPr>
              <w:pStyle w:val="TSBHeaderTitle"/>
            </w:pPr>
            <w:r w:rsidRPr="007E0C96">
              <w:t>TSAG, WTSA20 and PP22 results and reference materials related Work Programme and Restructuring, SG work, and SG Coordination (RG-WPR)</w:t>
            </w:r>
          </w:p>
        </w:tc>
      </w:tr>
      <w:tr w:rsidR="001C4B91" w:rsidRPr="008770E8"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9" w:name="dcontact"/>
            <w:bookmarkStart w:id="10" w:name="dcontact1"/>
            <w:bookmarkStart w:id="11" w:name="dcontent1" w:colFirst="1" w:colLast="1"/>
            <w:bookmarkStart w:id="12" w:name="_Hlk98768222"/>
            <w:bookmarkEnd w:id="1"/>
            <w:bookmarkEnd w:id="8"/>
            <w:r w:rsidRPr="2149A48D">
              <w:rPr>
                <w:b/>
                <w:bCs/>
              </w:rPr>
              <w:t>Contact:</w:t>
            </w:r>
          </w:p>
        </w:tc>
        <w:tc>
          <w:tcPr>
            <w:tcW w:w="4026" w:type="dxa"/>
            <w:tcBorders>
              <w:top w:val="single" w:sz="8" w:space="0" w:color="auto"/>
              <w:bottom w:val="single" w:sz="8" w:space="0" w:color="auto"/>
            </w:tcBorders>
          </w:tcPr>
          <w:p w14:paraId="62ADEF8F" w14:textId="7319A48E" w:rsidR="001C4B91" w:rsidRPr="00203F41" w:rsidRDefault="004F2FF3" w:rsidP="0060045D">
            <w:r w:rsidRPr="004F2FF3">
              <w:t>Ms Miho NAGANUMA</w:t>
            </w:r>
            <w:r w:rsidR="001C4B91" w:rsidRPr="00203F41">
              <w:br/>
            </w:r>
            <w:r w:rsidR="006B507B" w:rsidRPr="006B507B">
              <w:t>NEC Corporation</w:t>
            </w:r>
            <w:r w:rsidR="00203F41">
              <w:br/>
            </w:r>
            <w:r w:rsidR="006B507B">
              <w:t>Japan</w:t>
            </w:r>
          </w:p>
        </w:tc>
        <w:tc>
          <w:tcPr>
            <w:tcW w:w="4026" w:type="dxa"/>
            <w:tcBorders>
              <w:top w:val="single" w:sz="8" w:space="0" w:color="auto"/>
              <w:bottom w:val="single" w:sz="8" w:space="0" w:color="auto"/>
            </w:tcBorders>
          </w:tcPr>
          <w:p w14:paraId="45CC2940" w14:textId="0F8AED13" w:rsidR="001C4B91" w:rsidRPr="007E0C96" w:rsidRDefault="001C4B91" w:rsidP="00B86602">
            <w:pPr>
              <w:tabs>
                <w:tab w:val="left" w:pos="794"/>
              </w:tabs>
              <w:rPr>
                <w:lang w:val="de-DE"/>
              </w:rPr>
            </w:pPr>
            <w:r w:rsidRPr="007E0C96">
              <w:rPr>
                <w:lang w:val="de-DE"/>
              </w:rPr>
              <w:t>Tel:</w:t>
            </w:r>
            <w:r w:rsidRPr="007E0C96">
              <w:rPr>
                <w:lang w:val="de-DE"/>
              </w:rPr>
              <w:tab/>
            </w:r>
            <w:r w:rsidR="009837DC" w:rsidRPr="007E0C96">
              <w:rPr>
                <w:lang w:val="de-DE"/>
              </w:rPr>
              <w:t>+81 70 1000 7370</w:t>
            </w:r>
            <w:r w:rsidR="00F32691">
              <w:rPr>
                <w:lang w:val="de-DE"/>
              </w:rPr>
              <w:t xml:space="preserve"> </w:t>
            </w:r>
            <w:r w:rsidRPr="007E0C96">
              <w:rPr>
                <w:lang w:val="de-DE"/>
              </w:rPr>
              <w:br/>
              <w:t>E-mail:</w:t>
            </w:r>
            <w:r w:rsidR="009837DC" w:rsidRPr="007E0C96">
              <w:rPr>
                <w:lang w:val="de-DE"/>
              </w:rPr>
              <w:t xml:space="preserve"> </w:t>
            </w:r>
            <w:hyperlink r:id="rId12" w:history="1">
              <w:r w:rsidR="00F32691" w:rsidRPr="0089757A">
                <w:rPr>
                  <w:rStyle w:val="Hyperlink"/>
                  <w:lang w:val="de-DE"/>
                </w:rPr>
                <w:t>m_naganuma@nec.com</w:t>
              </w:r>
            </w:hyperlink>
            <w:r w:rsidR="00F32691">
              <w:rPr>
                <w:lang w:val="de-DE"/>
              </w:rPr>
              <w:t xml:space="preserve"> </w:t>
            </w:r>
          </w:p>
        </w:tc>
      </w:tr>
      <w:bookmarkEnd w:id="9"/>
      <w:bookmarkEnd w:id="10"/>
      <w:bookmarkEnd w:id="11"/>
      <w:tr w:rsidR="0089088E" w:rsidRPr="00136DDD" w14:paraId="101F633C" w14:textId="77777777" w:rsidTr="00F5313B">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39BEEAA8" w:rsidR="0089088E" w:rsidRPr="00DF27DC" w:rsidRDefault="00DF27DC" w:rsidP="00397713">
            <w:pPr>
              <w:pStyle w:val="TSBHeaderSummary"/>
            </w:pPr>
            <w:r w:rsidRPr="00DF27DC">
              <w:t xml:space="preserve">This TD, which is not necessarily exhaustive, </w:t>
            </w:r>
            <w:r>
              <w:t>is a collection of excerpts o</w:t>
            </w:r>
            <w:r w:rsidR="0064087B">
              <w:t xml:space="preserve">f </w:t>
            </w:r>
            <w:r w:rsidR="00E9285E">
              <w:t xml:space="preserve">output documents of </w:t>
            </w:r>
            <w:r w:rsidR="0064087B">
              <w:t>past TSAG meeting</w:t>
            </w:r>
            <w:r w:rsidR="00E9285E">
              <w:t>s</w:t>
            </w:r>
            <w:r w:rsidR="0064087B">
              <w:t>, WTSA20 and PP22 which are potentially relevant to the work of RG-W</w:t>
            </w:r>
            <w:r w:rsidR="00091308">
              <w:t>PR</w:t>
            </w:r>
            <w:r w:rsidR="0064087B">
              <w:t xml:space="preserve">. </w:t>
            </w:r>
          </w:p>
        </w:tc>
      </w:tr>
    </w:tbl>
    <w:bookmarkEnd w:id="12"/>
    <w:p w14:paraId="10021DE0" w14:textId="799FAA00"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61278">
        <w:rPr>
          <w:rFonts w:asciiTheme="majorBidi" w:hAnsiTheme="majorBidi" w:cstheme="majorBidi"/>
        </w:rPr>
        <w:t>RG-</w:t>
      </w:r>
      <w:r w:rsidR="00091308">
        <w:rPr>
          <w:rFonts w:asciiTheme="majorBidi" w:hAnsiTheme="majorBidi" w:cstheme="majorBidi"/>
        </w:rPr>
        <w:t>WPR</w:t>
      </w:r>
      <w:r w:rsidR="00C61278">
        <w:rPr>
          <w:rFonts w:asciiTheme="majorBidi" w:hAnsiTheme="majorBidi" w:cstheme="majorBidi"/>
        </w:rPr>
        <w:t xml:space="preserve"> is asked to note this document. </w:t>
      </w:r>
      <w:r w:rsidRPr="008F7D1F">
        <w:rPr>
          <w:rFonts w:asciiTheme="majorBidi" w:hAnsiTheme="majorBidi" w:cstheme="majorBidi"/>
        </w:rPr>
        <w:t>RG-</w:t>
      </w:r>
      <w:r w:rsidR="00091308">
        <w:rPr>
          <w:rFonts w:asciiTheme="majorBidi" w:hAnsiTheme="majorBidi" w:cstheme="majorBidi"/>
        </w:rPr>
        <w:t>WPR</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1AE2BFAA" w14:textId="05BA2E75" w:rsidR="00190983" w:rsidRPr="008F7D1F" w:rsidRDefault="00190983" w:rsidP="00190983">
      <w:pPr>
        <w:spacing w:before="240" w:after="240"/>
        <w:rPr>
          <w:rFonts w:asciiTheme="majorBidi" w:hAnsiTheme="majorBidi" w:cstheme="majorBidi"/>
        </w:rPr>
      </w:pPr>
      <w:r>
        <w:rPr>
          <w:rFonts w:asciiTheme="majorBidi" w:hAnsiTheme="majorBidi" w:cstheme="majorBidi"/>
        </w:rPr>
        <w:t>** Disclaimer: This document is allocated to RG-WPR, assuming pending the approval of the new TSAG structure.</w:t>
      </w:r>
    </w:p>
    <w:p w14:paraId="7D49C14D" w14:textId="77777777" w:rsidR="00190983" w:rsidRPr="008F7D1F" w:rsidRDefault="00190983" w:rsidP="00F5313B">
      <w:pPr>
        <w:spacing w:before="240" w:after="240"/>
        <w:rPr>
          <w:rFonts w:asciiTheme="majorBidi" w:hAnsiTheme="majorBidi" w:cstheme="majorBidi"/>
        </w:rPr>
      </w:pPr>
    </w:p>
    <w:p w14:paraId="619DFCE9" w14:textId="78952FF3" w:rsidR="00030E8A" w:rsidRPr="004C4246" w:rsidRDefault="004C4246" w:rsidP="004C4246">
      <w:pPr>
        <w:spacing w:before="240"/>
        <w:rPr>
          <w:b/>
          <w:bCs/>
        </w:rPr>
      </w:pPr>
      <w:r w:rsidRPr="00843837">
        <w:rPr>
          <w:b/>
          <w:bCs/>
        </w:rPr>
        <w:t>ToR for Rapporteur Group on</w:t>
      </w:r>
      <w:r>
        <w:rPr>
          <w:b/>
          <w:bCs/>
        </w:rPr>
        <w:t xml:space="preserve"> </w:t>
      </w:r>
      <w:r w:rsidRPr="00843837">
        <w:rPr>
          <w:b/>
          <w:bCs/>
        </w:rPr>
        <w:t>Work Programme and Restructuring, SG work,</w:t>
      </w:r>
      <w:r>
        <w:rPr>
          <w:b/>
          <w:bCs/>
        </w:rPr>
        <w:t xml:space="preserve"> </w:t>
      </w:r>
      <w:r w:rsidRPr="00843837">
        <w:rPr>
          <w:b/>
          <w:bCs/>
        </w:rPr>
        <w:t>SG Coordination (RG-WPR)</w:t>
      </w:r>
      <w:r>
        <w:rPr>
          <w:b/>
          <w:bCs/>
        </w:rPr>
        <w:t xml:space="preserve"> </w:t>
      </w:r>
      <w:r w:rsidR="00B82A3C" w:rsidRPr="00B82A3C">
        <w:t xml:space="preserve">(copied from </w:t>
      </w:r>
      <w:hyperlink r:id="rId13" w:history="1">
        <w:r w:rsidR="00B82A3C" w:rsidRPr="00B82A3C">
          <w:rPr>
            <w:rStyle w:val="Hyperlink"/>
          </w:rPr>
          <w:t>TD64</w:t>
        </w:r>
      </w:hyperlink>
      <w:r w:rsidR="00B82A3C" w:rsidRPr="00B82A3C">
        <w:t>)</w:t>
      </w:r>
    </w:p>
    <w:p w14:paraId="478B8291" w14:textId="77777777" w:rsidR="00DB0F97" w:rsidRPr="00271360" w:rsidRDefault="00DB0F97" w:rsidP="00DB0F97">
      <w:pPr>
        <w:pStyle w:val="ListParagraph"/>
        <w:numPr>
          <w:ilvl w:val="0"/>
          <w:numId w:val="36"/>
        </w:numPr>
        <w:spacing w:before="0"/>
      </w:pPr>
      <w:r w:rsidRPr="00271360">
        <w:t>Consider issues related to work programme and study group structure for 2022-2024 study period.</w:t>
      </w:r>
    </w:p>
    <w:p w14:paraId="4E1CE0B9" w14:textId="77777777" w:rsidR="00DB0F97" w:rsidRPr="00271360" w:rsidRDefault="00DB0F97" w:rsidP="00DB0F97">
      <w:pPr>
        <w:pStyle w:val="ListParagraph"/>
        <w:numPr>
          <w:ilvl w:val="0"/>
          <w:numId w:val="36"/>
        </w:numPr>
        <w:spacing w:before="0"/>
      </w:pPr>
      <w:r w:rsidRPr="00271360">
        <w:t>Develop the detailed study group structure for the next study period.</w:t>
      </w:r>
    </w:p>
    <w:p w14:paraId="44E5F033" w14:textId="77777777" w:rsidR="00DB0F97" w:rsidRPr="00271360" w:rsidRDefault="00DB0F97" w:rsidP="00DB0F97">
      <w:pPr>
        <w:pStyle w:val="ListParagraph"/>
        <w:numPr>
          <w:ilvl w:val="0"/>
          <w:numId w:val="36"/>
        </w:numPr>
        <w:spacing w:before="0"/>
      </w:pPr>
      <w:r w:rsidRPr="00271360">
        <w:t>Develop a report and proposal(s) to be submitted by TSAG to WTSA-24 on study group responsibilities, mandates and allocation of work to be defined in WTSA Resolution 2.</w:t>
      </w:r>
    </w:p>
    <w:p w14:paraId="443CA9F2" w14:textId="77777777" w:rsidR="00DB0F97" w:rsidRPr="00271360" w:rsidRDefault="00DB0F97" w:rsidP="00DB0F97">
      <w:pPr>
        <w:pStyle w:val="ListParagraph"/>
        <w:numPr>
          <w:ilvl w:val="0"/>
          <w:numId w:val="36"/>
        </w:numPr>
        <w:spacing w:before="0"/>
      </w:pPr>
      <w:r w:rsidRPr="00271360">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66508573" w14:textId="77777777" w:rsidR="00DB0F97" w:rsidRPr="00271360" w:rsidRDefault="00DB0F97" w:rsidP="00DB0F97">
      <w:pPr>
        <w:pStyle w:val="ListParagraph"/>
        <w:numPr>
          <w:ilvl w:val="0"/>
          <w:numId w:val="36"/>
        </w:numPr>
        <w:spacing w:before="0"/>
      </w:pPr>
      <w:r w:rsidRPr="00271360">
        <w:t>TSAG to submit a report with recommendations for consideration by the next WTSA (WTSA Res.99 instructs TSAG 3).</w:t>
      </w:r>
    </w:p>
    <w:p w14:paraId="3A1C7321" w14:textId="77777777" w:rsidR="00DB0F97" w:rsidRPr="00271360" w:rsidRDefault="00DB0F97" w:rsidP="00DB0F97">
      <w:pPr>
        <w:pStyle w:val="ListParagraph"/>
        <w:numPr>
          <w:ilvl w:val="0"/>
          <w:numId w:val="36"/>
        </w:numPr>
        <w:spacing w:before="0"/>
      </w:pPr>
      <w:r w:rsidRPr="00271360">
        <w:t>In collaboration with study groups, develop guidelines for study groups on efficiency measures, processes, possible work organization, suitable structures.</w:t>
      </w:r>
    </w:p>
    <w:p w14:paraId="70799778" w14:textId="77777777" w:rsidR="00DB0F97" w:rsidRPr="00271360" w:rsidRDefault="00DB0F97" w:rsidP="00DB0F97">
      <w:pPr>
        <w:pStyle w:val="ListParagraph"/>
        <w:numPr>
          <w:ilvl w:val="0"/>
          <w:numId w:val="36"/>
        </w:numPr>
        <w:spacing w:before="0"/>
      </w:pPr>
      <w:r w:rsidRPr="00271360">
        <w:t>Review of the Lead Study Group reports.</w:t>
      </w:r>
    </w:p>
    <w:p w14:paraId="03B4D8AC" w14:textId="77777777" w:rsidR="00DB0F97" w:rsidRPr="00271360" w:rsidRDefault="00DB0F97" w:rsidP="00DB0F97">
      <w:pPr>
        <w:pStyle w:val="ListParagraph"/>
        <w:numPr>
          <w:ilvl w:val="0"/>
          <w:numId w:val="36"/>
        </w:numPr>
        <w:spacing w:before="0"/>
      </w:pPr>
      <w:r w:rsidRPr="00271360">
        <w:t>Review of proposed new or modified ITU-T study group Questions.</w:t>
      </w:r>
    </w:p>
    <w:p w14:paraId="4BE8FE8C" w14:textId="77777777" w:rsidR="00DB0F97" w:rsidRPr="00271360" w:rsidRDefault="00DB0F97" w:rsidP="00DB0F97">
      <w:pPr>
        <w:pStyle w:val="ListParagraph"/>
        <w:numPr>
          <w:ilvl w:val="0"/>
          <w:numId w:val="36"/>
        </w:numPr>
        <w:spacing w:before="0"/>
      </w:pPr>
      <w:r w:rsidRPr="00271360">
        <w:t>Coordination of matters crossing ITU-T study groups.</w:t>
      </w:r>
    </w:p>
    <w:p w14:paraId="6D3D4717" w14:textId="4F2B8016" w:rsidR="00F85A75" w:rsidRPr="008171C1" w:rsidRDefault="00DB0F97" w:rsidP="00C955D0">
      <w:pPr>
        <w:pStyle w:val="ListParagraph"/>
        <w:numPr>
          <w:ilvl w:val="0"/>
          <w:numId w:val="36"/>
        </w:numPr>
        <w:spacing w:before="0"/>
      </w:pPr>
      <w:r w:rsidRPr="00271360">
        <w:t>To coordinate on “SMART Submarine Cable Systems” with relevant ITU-T study groups.</w:t>
      </w:r>
    </w:p>
    <w:p w14:paraId="066345BF" w14:textId="3B4A5D24" w:rsidR="00922BAD" w:rsidRDefault="00922BAD">
      <w:pPr>
        <w:spacing w:before="0" w:after="160" w:line="259" w:lineRule="auto"/>
        <w:rPr>
          <w:i/>
          <w:iCs/>
        </w:rPr>
      </w:pPr>
      <w:r>
        <w:rPr>
          <w:i/>
          <w:iCs/>
        </w:rPr>
        <w:br w:type="page"/>
      </w:r>
    </w:p>
    <w:p w14:paraId="7FBA7D8E" w14:textId="702B29C8" w:rsidR="008C6D10" w:rsidRPr="008C6D10" w:rsidRDefault="00171172" w:rsidP="00055A93">
      <w:pPr>
        <w:pStyle w:val="ListParagraph"/>
        <w:numPr>
          <w:ilvl w:val="0"/>
          <w:numId w:val="13"/>
        </w:numPr>
        <w:tabs>
          <w:tab w:val="left" w:pos="360"/>
        </w:tabs>
        <w:ind w:left="360"/>
        <w:rPr>
          <w:b/>
          <w:bCs/>
          <w:sz w:val="32"/>
          <w:szCs w:val="32"/>
        </w:rPr>
      </w:pPr>
      <w:r>
        <w:rPr>
          <w:b/>
          <w:bCs/>
          <w:sz w:val="32"/>
          <w:szCs w:val="32"/>
        </w:rPr>
        <w:lastRenderedPageBreak/>
        <w:t>Reference material</w:t>
      </w:r>
      <w:r w:rsidR="00BE04DD" w:rsidRPr="00D10BBA">
        <w:rPr>
          <w:b/>
          <w:bCs/>
          <w:sz w:val="32"/>
          <w:szCs w:val="32"/>
        </w:rPr>
        <w:t xml:space="preserve"> related to </w:t>
      </w:r>
      <w:r w:rsidR="00D10BBA" w:rsidRPr="00D10BBA">
        <w:rPr>
          <w:b/>
          <w:bCs/>
          <w:sz w:val="32"/>
          <w:szCs w:val="32"/>
        </w:rPr>
        <w:t xml:space="preserve">Work Programme, SG work, </w:t>
      </w:r>
      <w:r>
        <w:rPr>
          <w:b/>
          <w:bCs/>
          <w:sz w:val="32"/>
          <w:szCs w:val="32"/>
        </w:rPr>
        <w:t xml:space="preserve">and </w:t>
      </w:r>
      <w:r w:rsidR="00D10BBA" w:rsidRPr="00D10BBA">
        <w:rPr>
          <w:b/>
          <w:bCs/>
          <w:sz w:val="32"/>
          <w:szCs w:val="32"/>
        </w:rPr>
        <w:t>SG Coordination</w:t>
      </w:r>
    </w:p>
    <w:p w14:paraId="3C4A8BD3" w14:textId="2D58E905" w:rsidR="00055A93" w:rsidRDefault="008171C1" w:rsidP="00055A93">
      <w:r>
        <w:t xml:space="preserve">This part indicates RG-WPR relevant WTSA Resolutions with WTSA-20 and PP-22 results and action items </w:t>
      </w:r>
      <w:r w:rsidR="00636746">
        <w:t xml:space="preserve">assigned by </w:t>
      </w:r>
      <w:hyperlink r:id="rId14" w:history="1">
        <w:r w:rsidR="00055A93" w:rsidRPr="00D57D9C">
          <w:rPr>
            <w:rStyle w:val="Hyperlink"/>
          </w:rPr>
          <w:t>TD65</w:t>
        </w:r>
      </w:hyperlink>
      <w:r>
        <w:rPr>
          <w:rStyle w:val="Hyperlink"/>
        </w:rPr>
        <w:t xml:space="preserve">. </w:t>
      </w:r>
      <w:r w:rsidR="00F62434">
        <w:t xml:space="preserve"> The WTSA-20 result and Resolutions are</w:t>
      </w:r>
      <w:r>
        <w:t xml:space="preserve"> </w:t>
      </w:r>
      <w:r w:rsidR="002A20B2">
        <w:t>based on</w:t>
      </w:r>
      <w:r w:rsidR="00636746">
        <w:t xml:space="preserve"> </w:t>
      </w:r>
      <w:hyperlink r:id="rId15" w:history="1">
        <w:r w:rsidR="00107E12" w:rsidRPr="00107E12">
          <w:rPr>
            <w:rStyle w:val="Hyperlink"/>
          </w:rPr>
          <w:t>Resolutions and Opinions</w:t>
        </w:r>
      </w:hyperlink>
      <w:r w:rsidR="00107E12">
        <w:t xml:space="preserve"> and </w:t>
      </w:r>
      <w:hyperlink r:id="rId16" w:history="1">
        <w:r w:rsidR="00D57D9C" w:rsidRPr="00967A92">
          <w:rPr>
            <w:rStyle w:val="Hyperlink"/>
          </w:rPr>
          <w:t>WTSA20 Proceedings</w:t>
        </w:r>
      </w:hyperlink>
      <w:r w:rsidR="00D57D9C">
        <w:rPr>
          <w:rStyle w:val="Hyperlink"/>
        </w:rPr>
        <w:t>.</w:t>
      </w:r>
      <w:r w:rsidR="00D57D9C">
        <w:t xml:space="preserve"> </w:t>
      </w:r>
    </w:p>
    <w:p w14:paraId="436B92DE" w14:textId="5F4DA3F4" w:rsidR="007E624E" w:rsidRDefault="007E624E" w:rsidP="00055A93"/>
    <w:tbl>
      <w:tblPr>
        <w:tblStyle w:val="TableGrid"/>
        <w:tblpPr w:leftFromText="142" w:rightFromText="142" w:vertAnchor="text" w:horzAnchor="margin" w:tblpY="81"/>
        <w:tblW w:w="5000" w:type="pct"/>
        <w:tblLook w:val="04A0" w:firstRow="1" w:lastRow="0" w:firstColumn="1" w:lastColumn="0" w:noHBand="0" w:noVBand="1"/>
      </w:tblPr>
      <w:tblGrid>
        <w:gridCol w:w="7083"/>
        <w:gridCol w:w="1277"/>
        <w:gridCol w:w="1269"/>
      </w:tblGrid>
      <w:tr w:rsidR="007E624E" w:rsidRPr="002F183F" w14:paraId="4E66CDBC" w14:textId="77777777" w:rsidTr="00FA19F4">
        <w:trPr>
          <w:cantSplit/>
        </w:trPr>
        <w:tc>
          <w:tcPr>
            <w:tcW w:w="3678" w:type="pct"/>
            <w:shd w:val="clear" w:color="auto" w:fill="auto"/>
            <w:vAlign w:val="center"/>
          </w:tcPr>
          <w:p w14:paraId="13E13FF2" w14:textId="77777777" w:rsidR="007E624E" w:rsidRPr="002F183F" w:rsidRDefault="007E624E" w:rsidP="00FA19F4">
            <w:pPr>
              <w:pStyle w:val="Tabletext"/>
              <w:jc w:val="center"/>
              <w:rPr>
                <w:rFonts w:eastAsia="SimSun"/>
              </w:rPr>
            </w:pPr>
            <w:r w:rsidRPr="002F183F">
              <w:t>Resolution</w:t>
            </w:r>
          </w:p>
        </w:tc>
        <w:tc>
          <w:tcPr>
            <w:tcW w:w="663" w:type="pct"/>
            <w:shd w:val="clear" w:color="auto" w:fill="auto"/>
            <w:vAlign w:val="center"/>
          </w:tcPr>
          <w:p w14:paraId="435EDFA3" w14:textId="77777777" w:rsidR="007E624E" w:rsidRPr="002F183F" w:rsidRDefault="007E624E" w:rsidP="00FA19F4">
            <w:pPr>
              <w:pStyle w:val="Tabletext"/>
              <w:jc w:val="center"/>
            </w:pPr>
            <w:r w:rsidRPr="002F183F">
              <w:t>Action</w:t>
            </w:r>
          </w:p>
        </w:tc>
        <w:tc>
          <w:tcPr>
            <w:tcW w:w="659" w:type="pct"/>
            <w:shd w:val="clear" w:color="auto" w:fill="auto"/>
            <w:vAlign w:val="center"/>
          </w:tcPr>
          <w:p w14:paraId="29B636F3" w14:textId="77777777" w:rsidR="007E624E" w:rsidRPr="002F183F" w:rsidRDefault="007E624E" w:rsidP="00FA19F4">
            <w:pPr>
              <w:pStyle w:val="Tabletext"/>
              <w:jc w:val="center"/>
            </w:pPr>
            <w:r w:rsidRPr="002F183F">
              <w:t>Document</w:t>
            </w:r>
          </w:p>
        </w:tc>
      </w:tr>
      <w:tr w:rsidR="007E624E" w:rsidRPr="00380B40" w14:paraId="1F2826D3" w14:textId="77777777" w:rsidTr="00FA19F4">
        <w:trPr>
          <w:cantSplit/>
        </w:trPr>
        <w:tc>
          <w:tcPr>
            <w:tcW w:w="3678" w:type="pct"/>
            <w:shd w:val="clear" w:color="auto" w:fill="auto"/>
            <w:vAlign w:val="center"/>
          </w:tcPr>
          <w:p w14:paraId="58EF8DBF" w14:textId="21617479" w:rsidR="007E624E" w:rsidRPr="00636746" w:rsidRDefault="007E624E" w:rsidP="00FA19F4">
            <w:pPr>
              <w:pStyle w:val="Tabletext"/>
              <w:rPr>
                <w:b/>
                <w:bCs/>
              </w:rPr>
            </w:pPr>
            <w:r w:rsidRPr="00636746">
              <w:rPr>
                <w:rFonts w:eastAsia="SimSun"/>
                <w:b/>
                <w:bCs/>
              </w:rPr>
              <w:t xml:space="preserve">Resolution </w:t>
            </w:r>
            <w:r>
              <w:rPr>
                <w:rFonts w:eastAsia="SimSun" w:hint="eastAsia"/>
                <w:b/>
                <w:bCs/>
                <w:lang w:eastAsia="ja-JP"/>
              </w:rPr>
              <w:t>22</w:t>
            </w:r>
            <w:r w:rsidR="00330305">
              <w:rPr>
                <w:rFonts w:eastAsia="SimSun" w:hint="eastAsia"/>
                <w:b/>
                <w:bCs/>
                <w:lang w:eastAsia="ja-JP"/>
              </w:rPr>
              <w:t>:</w:t>
            </w:r>
            <w:r w:rsidR="009C1BEB">
              <w:rPr>
                <w:rFonts w:eastAsia="SimSun"/>
                <w:b/>
                <w:bCs/>
                <w:lang w:eastAsia="ja-JP"/>
              </w:rPr>
              <w:t xml:space="preserve"> </w:t>
            </w:r>
            <w:r w:rsidR="00330305" w:rsidRPr="00380B40">
              <w:rPr>
                <w:i/>
                <w:iCs/>
                <w:szCs w:val="22"/>
              </w:rPr>
              <w:t>Authorization for the Telecommunication</w:t>
            </w:r>
            <w:r w:rsidR="00330305" w:rsidRPr="00380B40">
              <w:rPr>
                <w:szCs w:val="22"/>
              </w:rPr>
              <w:t xml:space="preserve"> Standardization Advisory Group to act between world telecommunication standardization assemblies</w:t>
            </w:r>
          </w:p>
        </w:tc>
        <w:tc>
          <w:tcPr>
            <w:tcW w:w="663" w:type="pct"/>
            <w:shd w:val="clear" w:color="auto" w:fill="auto"/>
            <w:vAlign w:val="center"/>
          </w:tcPr>
          <w:p w14:paraId="791DBA2A" w14:textId="28727859" w:rsidR="007E624E" w:rsidRPr="00380B40" w:rsidRDefault="00F93E7F" w:rsidP="00FA19F4">
            <w:pPr>
              <w:pStyle w:val="Tabletext"/>
              <w:jc w:val="center"/>
            </w:pPr>
            <w:r>
              <w:rPr>
                <w:rFonts w:hint="eastAsia"/>
              </w:rPr>
              <w:t>M</w:t>
            </w:r>
            <w:r>
              <w:t>OD</w:t>
            </w:r>
          </w:p>
        </w:tc>
        <w:tc>
          <w:tcPr>
            <w:tcW w:w="659" w:type="pct"/>
            <w:shd w:val="clear" w:color="auto" w:fill="auto"/>
            <w:vAlign w:val="center"/>
          </w:tcPr>
          <w:p w14:paraId="047BDF0A" w14:textId="20AB2EA1" w:rsidR="007E624E" w:rsidRPr="00380B40" w:rsidRDefault="00922BAD" w:rsidP="00FA19F4">
            <w:pPr>
              <w:pStyle w:val="Tabletext"/>
              <w:jc w:val="center"/>
            </w:pPr>
            <w:hyperlink r:id="rId17" w:history="1">
              <w:r w:rsidR="00F93E7F" w:rsidRPr="00380B40">
                <w:rPr>
                  <w:bCs/>
                  <w:color w:val="3333FF"/>
                  <w:szCs w:val="24"/>
                  <w:u w:val="single"/>
                </w:rPr>
                <w:t>92</w:t>
              </w:r>
            </w:hyperlink>
          </w:p>
        </w:tc>
      </w:tr>
    </w:tbl>
    <w:p w14:paraId="40979FFB" w14:textId="77777777" w:rsidR="007E624E" w:rsidRDefault="007E624E" w:rsidP="00055A9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63"/>
        <w:gridCol w:w="1100"/>
      </w:tblGrid>
      <w:tr w:rsidR="007E624E" w:rsidRPr="005410F4" w14:paraId="06F8974A" w14:textId="77777777" w:rsidTr="007E624E">
        <w:tc>
          <w:tcPr>
            <w:tcW w:w="1276" w:type="dxa"/>
            <w:shd w:val="clear" w:color="auto" w:fill="auto"/>
          </w:tcPr>
          <w:p w14:paraId="57A2F1BF" w14:textId="77777777" w:rsidR="007E624E" w:rsidRPr="005410F4" w:rsidRDefault="007E624E" w:rsidP="00FA19F4">
            <w:pPr>
              <w:pStyle w:val="Tabletext"/>
              <w:keepNext/>
              <w:keepLines/>
              <w:rPr>
                <w:b/>
                <w:bCs/>
                <w:szCs w:val="22"/>
              </w:rPr>
            </w:pPr>
            <w:r w:rsidRPr="005410F4">
              <w:rPr>
                <w:b/>
                <w:bCs/>
                <w:szCs w:val="22"/>
              </w:rPr>
              <w:t>22-19</w:t>
            </w:r>
          </w:p>
        </w:tc>
        <w:tc>
          <w:tcPr>
            <w:tcW w:w="7263" w:type="dxa"/>
            <w:shd w:val="clear" w:color="auto" w:fill="auto"/>
          </w:tcPr>
          <w:p w14:paraId="21211CEE" w14:textId="77777777" w:rsidR="007E624E" w:rsidRPr="005410F4" w:rsidRDefault="007E624E" w:rsidP="00FA19F4">
            <w:pPr>
              <w:pStyle w:val="Tabletext"/>
              <w:keepNext/>
              <w:keepLines/>
              <w:rPr>
                <w:b/>
                <w:bCs/>
                <w:szCs w:val="22"/>
              </w:rPr>
            </w:pPr>
            <w:r w:rsidRPr="005410F4">
              <w:rPr>
                <w:b/>
                <w:bCs/>
                <w:szCs w:val="22"/>
              </w:rPr>
              <w:t>WTSA-20 to forward the text on “SMART Submarine Cable Systems” to TSAG for coordination and to the relevant study groups for action, as appropriate. (WTSA-20 Action 3)</w:t>
            </w:r>
          </w:p>
        </w:tc>
        <w:tc>
          <w:tcPr>
            <w:tcW w:w="1100" w:type="dxa"/>
          </w:tcPr>
          <w:p w14:paraId="0E5FA98F" w14:textId="77777777" w:rsidR="007E624E" w:rsidRPr="005410F4" w:rsidRDefault="007E624E" w:rsidP="00FA19F4">
            <w:pPr>
              <w:pStyle w:val="Tabletext"/>
              <w:keepNext/>
              <w:keepLines/>
              <w:rPr>
                <w:szCs w:val="22"/>
              </w:rPr>
            </w:pPr>
            <w:r w:rsidRPr="005410F4">
              <w:rPr>
                <w:szCs w:val="22"/>
              </w:rPr>
              <w:t>For RG-WPR</w:t>
            </w:r>
          </w:p>
        </w:tc>
      </w:tr>
    </w:tbl>
    <w:p w14:paraId="7F4A433F" w14:textId="186A19DB" w:rsidR="002A20B2" w:rsidRPr="002A20B2" w:rsidRDefault="00922BAD" w:rsidP="002A20B2">
      <w:pPr>
        <w:tabs>
          <w:tab w:val="left" w:pos="843"/>
        </w:tabs>
        <w:ind w:left="5"/>
      </w:pPr>
      <w:hyperlink r:id="rId18" w:history="1">
        <w:r w:rsidR="002A20B2" w:rsidRPr="002A20B2">
          <w:rPr>
            <w:rStyle w:val="Hyperlink"/>
          </w:rPr>
          <w:t>Resolution 22 - (Rev. Geneva, 2022) - Authorization for the Telecommunication Standardization Advisory Group to act between world telecommunication standardization assemblies</w:t>
        </w:r>
      </w:hyperlink>
    </w:p>
    <w:p w14:paraId="45100793" w14:textId="4A45F06B" w:rsidR="002A20B2" w:rsidRDefault="00922BAD" w:rsidP="002A20B2">
      <w:pPr>
        <w:tabs>
          <w:tab w:val="left" w:pos="843"/>
        </w:tabs>
        <w:ind w:left="5"/>
        <w:rPr>
          <w:i/>
          <w:iCs/>
        </w:rPr>
      </w:pPr>
      <w:hyperlink r:id="rId19" w:history="1">
        <w:r w:rsidR="002A20B2" w:rsidRPr="00967A92">
          <w:rPr>
            <w:rStyle w:val="Hyperlink"/>
          </w:rPr>
          <w:t>WTSA20 Proceedings</w:t>
        </w:r>
      </w:hyperlink>
      <w:r w:rsidR="002A20B2">
        <w:rPr>
          <w:rFonts w:hint="eastAsia"/>
          <w:i/>
          <w:iCs/>
        </w:rPr>
        <w:t xml:space="preserve"> </w:t>
      </w:r>
      <w:r w:rsidR="002A20B2">
        <w:rPr>
          <w:i/>
          <w:iCs/>
        </w:rPr>
        <w:t>(p499)</w:t>
      </w:r>
    </w:p>
    <w:p w14:paraId="5A499A48" w14:textId="27A56BC1" w:rsidR="002A20B2" w:rsidRDefault="002A20B2" w:rsidP="002A20B2">
      <w:pPr>
        <w:tabs>
          <w:tab w:val="left" w:pos="843"/>
        </w:tabs>
        <w:ind w:left="5"/>
        <w:rPr>
          <w:i/>
          <w:iCs/>
        </w:rPr>
      </w:pPr>
      <w:r w:rsidRPr="00380B40">
        <w:rPr>
          <w:i/>
          <w:iCs/>
        </w:rPr>
        <w:t>Considering that standardization of the submarine SMART cables is needed in order to ensure harmonized development, implementation and operation of these systems globally, making it possible to use submarine SMART cables for climate and ocean observation, sea level monitoring, observations of Earth structure, and tsunami and earthquake early warning and disaster risk reduction.</w:t>
      </w:r>
    </w:p>
    <w:p w14:paraId="4045AFCA" w14:textId="77777777" w:rsidR="008B5695" w:rsidRPr="00380B40" w:rsidRDefault="008B5695" w:rsidP="008B5695">
      <w:pPr>
        <w:tabs>
          <w:tab w:val="left" w:pos="843"/>
        </w:tabs>
        <w:ind w:left="5"/>
      </w:pPr>
      <w:r w:rsidRPr="00380B40">
        <w:t>4.4.4</w:t>
      </w:r>
      <w:r w:rsidRPr="00380B40">
        <w:tab/>
      </w:r>
      <w:r w:rsidRPr="00380B40">
        <w:rPr>
          <w:b/>
        </w:rPr>
        <w:t xml:space="preserve">WTSA-20 Action 3: </w:t>
      </w:r>
      <w:r w:rsidRPr="00380B40">
        <w:t>To forward the text above to TSAG for coordination and to the relevant study groups for action, as appropriate.</w:t>
      </w:r>
    </w:p>
    <w:p w14:paraId="10239632" w14:textId="77777777" w:rsidR="008B5695" w:rsidRPr="008B5695" w:rsidRDefault="008B5695" w:rsidP="002A20B2">
      <w:pPr>
        <w:tabs>
          <w:tab w:val="left" w:pos="843"/>
        </w:tabs>
        <w:ind w:left="5"/>
        <w:rPr>
          <w:i/>
          <w:iCs/>
        </w:rPr>
      </w:pPr>
    </w:p>
    <w:p w14:paraId="2C005A02" w14:textId="31123921" w:rsidR="00AE5334" w:rsidRDefault="00AE5334" w:rsidP="002A20B2">
      <w:pPr>
        <w:tabs>
          <w:tab w:val="left" w:pos="843"/>
        </w:tabs>
        <w:ind w:left="5"/>
      </w:pPr>
      <w:r w:rsidRPr="001941E5">
        <w:rPr>
          <w:u w:val="single"/>
        </w:rPr>
        <w:t>Discussion point</w:t>
      </w:r>
      <w:r>
        <w:t>: it should be noted that SG-15 has an ongoing activity related to SMART cable an</w:t>
      </w:r>
      <w:r w:rsidR="0035573C">
        <w:t>d TSAG via the RG-WPR is encouraged to check whether coordination with other groups is needed (for instance with SG5 on climate change impact).</w:t>
      </w:r>
    </w:p>
    <w:p w14:paraId="5DD541DB" w14:textId="77777777" w:rsidR="007E624E" w:rsidRPr="00140644" w:rsidRDefault="007E624E" w:rsidP="00055A93"/>
    <w:tbl>
      <w:tblPr>
        <w:tblStyle w:val="TableGrid"/>
        <w:tblpPr w:leftFromText="142" w:rightFromText="142" w:vertAnchor="text" w:horzAnchor="margin" w:tblpY="81"/>
        <w:tblW w:w="5000" w:type="pct"/>
        <w:tblLook w:val="04A0" w:firstRow="1" w:lastRow="0" w:firstColumn="1" w:lastColumn="0" w:noHBand="0" w:noVBand="1"/>
      </w:tblPr>
      <w:tblGrid>
        <w:gridCol w:w="7083"/>
        <w:gridCol w:w="1277"/>
        <w:gridCol w:w="1269"/>
      </w:tblGrid>
      <w:tr w:rsidR="00636746" w:rsidRPr="00380B40" w14:paraId="2177E991" w14:textId="77777777" w:rsidTr="00636746">
        <w:trPr>
          <w:cantSplit/>
        </w:trPr>
        <w:tc>
          <w:tcPr>
            <w:tcW w:w="3678" w:type="pct"/>
            <w:shd w:val="clear" w:color="auto" w:fill="auto"/>
            <w:vAlign w:val="center"/>
          </w:tcPr>
          <w:p w14:paraId="7B77C681" w14:textId="7F21E37D" w:rsidR="00636746" w:rsidRPr="002F183F" w:rsidRDefault="00636746" w:rsidP="002F183F">
            <w:pPr>
              <w:pStyle w:val="Tabletext"/>
              <w:jc w:val="center"/>
              <w:rPr>
                <w:rFonts w:eastAsia="SimSun"/>
              </w:rPr>
            </w:pPr>
            <w:bookmarkStart w:id="13" w:name="_Toc104459719"/>
            <w:bookmarkStart w:id="14" w:name="_Toc104476527"/>
            <w:bookmarkStart w:id="15" w:name="_Toc111636766"/>
            <w:bookmarkStart w:id="16" w:name="_Toc111638420"/>
            <w:r w:rsidRPr="002F183F">
              <w:t>Resolution</w:t>
            </w:r>
          </w:p>
        </w:tc>
        <w:tc>
          <w:tcPr>
            <w:tcW w:w="663" w:type="pct"/>
            <w:shd w:val="clear" w:color="auto" w:fill="auto"/>
            <w:vAlign w:val="center"/>
          </w:tcPr>
          <w:p w14:paraId="3D073701" w14:textId="77777777" w:rsidR="00636746" w:rsidRPr="002F183F" w:rsidRDefault="00636746" w:rsidP="002F183F">
            <w:pPr>
              <w:pStyle w:val="Tabletext"/>
              <w:jc w:val="center"/>
            </w:pPr>
            <w:r w:rsidRPr="002F183F">
              <w:t>Action</w:t>
            </w:r>
          </w:p>
        </w:tc>
        <w:tc>
          <w:tcPr>
            <w:tcW w:w="659" w:type="pct"/>
            <w:shd w:val="clear" w:color="auto" w:fill="auto"/>
            <w:vAlign w:val="center"/>
          </w:tcPr>
          <w:p w14:paraId="58D5E9D1" w14:textId="77777777" w:rsidR="00636746" w:rsidRPr="002F183F" w:rsidRDefault="00636746" w:rsidP="002F183F">
            <w:pPr>
              <w:pStyle w:val="Tabletext"/>
              <w:jc w:val="center"/>
            </w:pPr>
            <w:r w:rsidRPr="002F183F">
              <w:t>Document</w:t>
            </w:r>
          </w:p>
        </w:tc>
      </w:tr>
      <w:tr w:rsidR="00636746" w:rsidRPr="00380B40" w14:paraId="149B11DB" w14:textId="77777777" w:rsidTr="00636746">
        <w:trPr>
          <w:cantSplit/>
        </w:trPr>
        <w:tc>
          <w:tcPr>
            <w:tcW w:w="3678" w:type="pct"/>
            <w:shd w:val="clear" w:color="auto" w:fill="auto"/>
            <w:vAlign w:val="center"/>
          </w:tcPr>
          <w:p w14:paraId="10483612" w14:textId="77777777" w:rsidR="00636746" w:rsidRPr="00636746" w:rsidRDefault="00636746" w:rsidP="00636746">
            <w:pPr>
              <w:pStyle w:val="Tabletext"/>
              <w:rPr>
                <w:b/>
                <w:bCs/>
              </w:rPr>
            </w:pPr>
            <w:r w:rsidRPr="00636746">
              <w:rPr>
                <w:rFonts w:eastAsia="SimSun"/>
                <w:b/>
                <w:bCs/>
              </w:rPr>
              <w:t xml:space="preserve">Resolution 44 (Rev. Hammamet, 2016) </w:t>
            </w:r>
            <w:r w:rsidRPr="00636746">
              <w:rPr>
                <w:b/>
                <w:bCs/>
              </w:rPr>
              <w:t>–</w:t>
            </w:r>
            <w:r w:rsidRPr="00636746">
              <w:rPr>
                <w:rFonts w:eastAsia="SimSun"/>
                <w:b/>
                <w:bCs/>
              </w:rPr>
              <w:t>Bridging the standardization gap between developing and developed countries</w:t>
            </w:r>
          </w:p>
        </w:tc>
        <w:tc>
          <w:tcPr>
            <w:tcW w:w="663" w:type="pct"/>
            <w:shd w:val="clear" w:color="auto" w:fill="auto"/>
            <w:vAlign w:val="center"/>
          </w:tcPr>
          <w:p w14:paraId="3D4F1493" w14:textId="77777777" w:rsidR="00636746" w:rsidRPr="00380B40" w:rsidRDefault="00636746" w:rsidP="00636746">
            <w:pPr>
              <w:pStyle w:val="Tabletext"/>
              <w:jc w:val="center"/>
            </w:pPr>
            <w:r w:rsidRPr="00380B40">
              <w:t>MOD</w:t>
            </w:r>
          </w:p>
        </w:tc>
        <w:tc>
          <w:tcPr>
            <w:tcW w:w="659" w:type="pct"/>
            <w:shd w:val="clear" w:color="auto" w:fill="auto"/>
            <w:vAlign w:val="center"/>
          </w:tcPr>
          <w:p w14:paraId="1DD5228C" w14:textId="77777777" w:rsidR="00636746" w:rsidRPr="00380B40" w:rsidRDefault="00636746" w:rsidP="00636746">
            <w:pPr>
              <w:pStyle w:val="Tabletext"/>
              <w:jc w:val="center"/>
            </w:pPr>
            <w:r w:rsidRPr="00380B40">
              <w:t>DT/</w:t>
            </w:r>
            <w:hyperlink r:id="rId20" w:history="1">
              <w:r w:rsidRPr="00380B40">
                <w:rPr>
                  <w:rStyle w:val="Hyperlink"/>
                  <w:szCs w:val="24"/>
                </w:rPr>
                <w:t>66</w:t>
              </w:r>
            </w:hyperlink>
          </w:p>
        </w:tc>
      </w:tr>
      <w:bookmarkEnd w:id="13"/>
      <w:bookmarkEnd w:id="14"/>
      <w:bookmarkEnd w:id="15"/>
      <w:bookmarkEnd w:id="16"/>
    </w:tbl>
    <w:p w14:paraId="728D6719" w14:textId="77777777" w:rsidR="00ED6AA3" w:rsidRPr="002F183F" w:rsidRDefault="00ED6AA3" w:rsidP="00ED6AA3">
      <w:pPr>
        <w:spacing w:before="0"/>
      </w:pPr>
    </w:p>
    <w:tbl>
      <w:tblPr>
        <w:tblpPr w:leftFromText="142" w:rightFromText="142" w:vertAnchor="text" w:horzAnchor="margin" w:tblpY="20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945"/>
        <w:gridCol w:w="1408"/>
      </w:tblGrid>
      <w:tr w:rsidR="002F183F" w:rsidRPr="005410F4" w14:paraId="1C565201" w14:textId="77777777" w:rsidTr="002F183F">
        <w:tc>
          <w:tcPr>
            <w:tcW w:w="1277" w:type="dxa"/>
            <w:shd w:val="clear" w:color="auto" w:fill="auto"/>
          </w:tcPr>
          <w:p w14:paraId="224A7B5F" w14:textId="77777777" w:rsidR="002F183F" w:rsidRPr="005410F4" w:rsidRDefault="002F183F" w:rsidP="002F183F">
            <w:pPr>
              <w:pStyle w:val="Tabletext"/>
              <w:keepNext/>
              <w:keepLines/>
              <w:rPr>
                <w:b/>
                <w:bCs/>
                <w:szCs w:val="22"/>
              </w:rPr>
            </w:pPr>
            <w:r w:rsidRPr="005410F4">
              <w:rPr>
                <w:b/>
                <w:bCs/>
                <w:szCs w:val="22"/>
              </w:rPr>
              <w:t>44-14</w:t>
            </w:r>
          </w:p>
        </w:tc>
        <w:tc>
          <w:tcPr>
            <w:tcW w:w="6945" w:type="dxa"/>
            <w:shd w:val="clear" w:color="auto" w:fill="auto"/>
          </w:tcPr>
          <w:p w14:paraId="1E6BB804" w14:textId="77777777" w:rsidR="002F183F" w:rsidRPr="005410F4" w:rsidRDefault="002F183F" w:rsidP="002F183F">
            <w:pPr>
              <w:pStyle w:val="Tabletext"/>
              <w:keepNext/>
              <w:keepLines/>
              <w:rPr>
                <w:b/>
                <w:bCs/>
                <w:szCs w:val="22"/>
              </w:rPr>
            </w:pPr>
            <w:r w:rsidRPr="005410F4">
              <w:rPr>
                <w:b/>
                <w:bCs/>
                <w:szCs w:val="22"/>
              </w:rPr>
              <w:t>SGs and TSAG to coordinate joint meetings of regional groups. (instructs SGs + TSAG 3)</w:t>
            </w:r>
          </w:p>
        </w:tc>
        <w:tc>
          <w:tcPr>
            <w:tcW w:w="1408" w:type="dxa"/>
          </w:tcPr>
          <w:p w14:paraId="257F3664" w14:textId="77777777" w:rsidR="002F183F" w:rsidRPr="005410F4" w:rsidRDefault="002F183F" w:rsidP="002F183F">
            <w:pPr>
              <w:pStyle w:val="Tabletext"/>
              <w:keepNext/>
              <w:keepLines/>
              <w:rPr>
                <w:szCs w:val="22"/>
              </w:rPr>
            </w:pPr>
            <w:r w:rsidRPr="005410F4">
              <w:rPr>
                <w:szCs w:val="22"/>
              </w:rPr>
              <w:t xml:space="preserve">For </w:t>
            </w:r>
            <w:r>
              <w:rPr>
                <w:szCs w:val="22"/>
              </w:rPr>
              <w:t>RG-WPR</w:t>
            </w:r>
          </w:p>
        </w:tc>
      </w:tr>
    </w:tbl>
    <w:p w14:paraId="3A5FE847" w14:textId="77777777" w:rsidR="002F183F" w:rsidRPr="00550B37" w:rsidRDefault="00922BAD" w:rsidP="002F183F">
      <w:hyperlink r:id="rId21" w:history="1">
        <w:r w:rsidR="002F183F" w:rsidRPr="00550B37">
          <w:rPr>
            <w:rStyle w:val="Hyperlink"/>
          </w:rPr>
          <w:t>RESOLUTION 44 (Rev. Geneva, 2022)</w:t>
        </w:r>
        <w:bookmarkStart w:id="17" w:name="_Toc104459720"/>
        <w:bookmarkStart w:id="18" w:name="_Toc104476528"/>
        <w:bookmarkStart w:id="19" w:name="_Toc111638421"/>
        <w:r w:rsidR="002F183F">
          <w:rPr>
            <w:rStyle w:val="Hyperlink"/>
          </w:rPr>
          <w:t xml:space="preserve">, </w:t>
        </w:r>
        <w:r w:rsidR="002F183F" w:rsidRPr="00550B37">
          <w:rPr>
            <w:rStyle w:val="Hyperlink"/>
          </w:rPr>
          <w:t>Bridging the standardization gap between developing</w:t>
        </w:r>
        <w:r w:rsidR="002F183F" w:rsidRPr="00550B37">
          <w:rPr>
            <w:rStyle w:val="Hyperlink"/>
          </w:rPr>
          <w:footnoteReference w:id="1"/>
        </w:r>
        <w:r w:rsidR="002F183F" w:rsidRPr="00550B37">
          <w:rPr>
            <w:rStyle w:val="Hyperlink"/>
          </w:rPr>
          <w:t>and developed countries</w:t>
        </w:r>
        <w:bookmarkEnd w:id="17"/>
        <w:bookmarkEnd w:id="18"/>
        <w:bookmarkEnd w:id="19"/>
      </w:hyperlink>
    </w:p>
    <w:p w14:paraId="0C5EB00E" w14:textId="200D91A1" w:rsidR="002F183F" w:rsidRDefault="002F183F" w:rsidP="002F183F">
      <w:pPr>
        <w:rPr>
          <w:i/>
          <w:iCs/>
        </w:rPr>
      </w:pPr>
      <w:r w:rsidRPr="00550B37">
        <w:rPr>
          <w:i/>
          <w:iCs/>
        </w:rPr>
        <w:t>instructs study groups of the ITU Telecommunication Standardization Sector and the Telecommunication Standardization Advisory Group</w:t>
      </w:r>
    </w:p>
    <w:p w14:paraId="43988ADB" w14:textId="06EFD2E9" w:rsidR="002F183F" w:rsidRPr="002F183F" w:rsidRDefault="002F183F" w:rsidP="002F183F">
      <w:pPr>
        <w:rPr>
          <w:i/>
          <w:iCs/>
        </w:rPr>
      </w:pPr>
      <w:r w:rsidRPr="002F183F">
        <w:rPr>
          <w:i/>
          <w:iCs/>
        </w:rPr>
        <w:t>3</w:t>
      </w:r>
      <w:r w:rsidRPr="002F183F">
        <w:rPr>
          <w:i/>
          <w:iCs/>
        </w:rPr>
        <w:tab/>
        <w:t>to coordinate joint meetings of regional groups of ITU T study groups,</w:t>
      </w:r>
    </w:p>
    <w:p w14:paraId="7F597443" w14:textId="77777777" w:rsidR="00ED6AA3" w:rsidRDefault="00ED6AA3" w:rsidP="00140644">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2F183F" w:rsidRPr="00380B40" w14:paraId="4724C159" w14:textId="77777777" w:rsidTr="002F183F">
        <w:trPr>
          <w:cantSplit/>
        </w:trPr>
        <w:tc>
          <w:tcPr>
            <w:tcW w:w="3678" w:type="pct"/>
            <w:shd w:val="clear" w:color="auto" w:fill="auto"/>
            <w:vAlign w:val="center"/>
          </w:tcPr>
          <w:p w14:paraId="60340A1B" w14:textId="31C23B18" w:rsidR="002F183F" w:rsidRPr="00380B40" w:rsidRDefault="002F183F" w:rsidP="002F183F">
            <w:pPr>
              <w:pStyle w:val="Tabletext"/>
              <w:jc w:val="center"/>
              <w:rPr>
                <w:rFonts w:eastAsia="SimSun"/>
              </w:rPr>
            </w:pPr>
            <w:r w:rsidRPr="002F183F">
              <w:t>Resolution</w:t>
            </w:r>
          </w:p>
        </w:tc>
        <w:tc>
          <w:tcPr>
            <w:tcW w:w="663" w:type="pct"/>
            <w:shd w:val="clear" w:color="auto" w:fill="auto"/>
            <w:vAlign w:val="center"/>
          </w:tcPr>
          <w:p w14:paraId="4774A505" w14:textId="7DC23C88" w:rsidR="002F183F" w:rsidRPr="00380B40" w:rsidRDefault="002F183F" w:rsidP="002F183F">
            <w:pPr>
              <w:pStyle w:val="Tabletext"/>
              <w:jc w:val="center"/>
            </w:pPr>
            <w:r w:rsidRPr="002F183F">
              <w:t>Action</w:t>
            </w:r>
          </w:p>
        </w:tc>
        <w:tc>
          <w:tcPr>
            <w:tcW w:w="659" w:type="pct"/>
            <w:shd w:val="clear" w:color="auto" w:fill="auto"/>
            <w:vAlign w:val="center"/>
          </w:tcPr>
          <w:p w14:paraId="60EB8A47" w14:textId="1F99310F" w:rsidR="002F183F" w:rsidRPr="00380B40" w:rsidRDefault="002F183F" w:rsidP="002F183F">
            <w:pPr>
              <w:pStyle w:val="Tabletext"/>
              <w:jc w:val="center"/>
            </w:pPr>
            <w:r w:rsidRPr="002F183F">
              <w:t>Document</w:t>
            </w:r>
          </w:p>
        </w:tc>
      </w:tr>
      <w:tr w:rsidR="002F183F" w:rsidRPr="00380B40" w14:paraId="5A24A062" w14:textId="77777777" w:rsidTr="002F183F">
        <w:trPr>
          <w:cantSplit/>
        </w:trPr>
        <w:tc>
          <w:tcPr>
            <w:tcW w:w="3678" w:type="pct"/>
            <w:shd w:val="clear" w:color="auto" w:fill="auto"/>
            <w:vAlign w:val="center"/>
          </w:tcPr>
          <w:p w14:paraId="14AC3E49" w14:textId="77777777" w:rsidR="002F183F" w:rsidRPr="002F183F" w:rsidRDefault="002F183F" w:rsidP="002F183F">
            <w:pPr>
              <w:pStyle w:val="Tabletext"/>
              <w:rPr>
                <w:b/>
                <w:bCs/>
                <w:lang w:eastAsia="ja-JP"/>
              </w:rPr>
            </w:pPr>
            <w:r w:rsidRPr="002F183F">
              <w:rPr>
                <w:rFonts w:eastAsia="SimSun"/>
                <w:b/>
                <w:bCs/>
              </w:rPr>
              <w:t>Resolution 54 (Rev. Hammamet, 2016)</w:t>
            </w:r>
            <w:r w:rsidRPr="002F183F">
              <w:rPr>
                <w:b/>
                <w:bCs/>
              </w:rPr>
              <w:t xml:space="preserve"> – </w:t>
            </w:r>
            <w:r w:rsidRPr="002F183F">
              <w:rPr>
                <w:rFonts w:eastAsia="SimSun"/>
                <w:b/>
                <w:bCs/>
              </w:rPr>
              <w:t>Creation of, and assistance to, regional groups</w:t>
            </w:r>
          </w:p>
        </w:tc>
        <w:tc>
          <w:tcPr>
            <w:tcW w:w="663" w:type="pct"/>
            <w:shd w:val="clear" w:color="auto" w:fill="auto"/>
            <w:vAlign w:val="center"/>
          </w:tcPr>
          <w:p w14:paraId="2EDE23A1" w14:textId="77777777" w:rsidR="002F183F" w:rsidRPr="00380B40" w:rsidRDefault="002F183F" w:rsidP="002F183F">
            <w:pPr>
              <w:pStyle w:val="Tabletext"/>
              <w:jc w:val="center"/>
            </w:pPr>
            <w:r w:rsidRPr="00380B40">
              <w:t>MOD</w:t>
            </w:r>
          </w:p>
        </w:tc>
        <w:tc>
          <w:tcPr>
            <w:tcW w:w="659" w:type="pct"/>
            <w:shd w:val="clear" w:color="auto" w:fill="auto"/>
            <w:vAlign w:val="center"/>
          </w:tcPr>
          <w:p w14:paraId="1B09984E" w14:textId="77777777" w:rsidR="002F183F" w:rsidRPr="00380B40" w:rsidRDefault="002F183F" w:rsidP="002F183F">
            <w:pPr>
              <w:pStyle w:val="Tabletext"/>
              <w:jc w:val="center"/>
            </w:pPr>
            <w:r w:rsidRPr="00380B40">
              <w:t>DT/</w:t>
            </w:r>
            <w:hyperlink r:id="rId22" w:history="1">
              <w:r w:rsidRPr="00380B40">
                <w:rPr>
                  <w:rStyle w:val="Hyperlink"/>
                  <w:szCs w:val="24"/>
                </w:rPr>
                <w:t>8</w:t>
              </w:r>
              <w:r w:rsidRPr="00380B40">
                <w:rPr>
                  <w:rStyle w:val="Hyperlink"/>
                </w:rPr>
                <w:t>1R1</w:t>
              </w:r>
            </w:hyperlink>
          </w:p>
        </w:tc>
      </w:tr>
    </w:tbl>
    <w:p w14:paraId="36522363" w14:textId="77777777" w:rsidR="002F183F" w:rsidRPr="00140644" w:rsidRDefault="002F183F" w:rsidP="00ED6AA3">
      <w:pPr>
        <w:spacing w:before="0"/>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61"/>
        <w:gridCol w:w="1244"/>
      </w:tblGrid>
      <w:tr w:rsidR="00FE6990" w:rsidRPr="005410F4" w14:paraId="48E3F8FC" w14:textId="77777777" w:rsidTr="008B47FE">
        <w:tc>
          <w:tcPr>
            <w:tcW w:w="1276" w:type="dxa"/>
            <w:shd w:val="clear" w:color="auto" w:fill="auto"/>
            <w:tcMar>
              <w:left w:w="57" w:type="dxa"/>
              <w:right w:w="57" w:type="dxa"/>
            </w:tcMar>
          </w:tcPr>
          <w:p w14:paraId="6F259973" w14:textId="77777777" w:rsidR="00FE6990" w:rsidRPr="005410F4" w:rsidRDefault="00FE6990" w:rsidP="008B47FE">
            <w:pPr>
              <w:pStyle w:val="Tabletext"/>
              <w:keepNext/>
              <w:ind w:left="87"/>
              <w:rPr>
                <w:szCs w:val="22"/>
              </w:rPr>
            </w:pPr>
            <w:r w:rsidRPr="005410F4">
              <w:rPr>
                <w:b/>
                <w:bCs/>
                <w:szCs w:val="22"/>
              </w:rPr>
              <w:t>54-04</w:t>
            </w:r>
          </w:p>
          <w:p w14:paraId="107CBE07" w14:textId="77777777" w:rsidR="00FE6990" w:rsidRPr="005410F4" w:rsidRDefault="00FE6990" w:rsidP="00FA19F4">
            <w:pPr>
              <w:pStyle w:val="Tabletext"/>
              <w:keepNext/>
              <w:keepLines/>
              <w:rPr>
                <w:b/>
                <w:bCs/>
                <w:szCs w:val="22"/>
              </w:rPr>
            </w:pPr>
            <w:r w:rsidRPr="005410F4">
              <w:rPr>
                <w:b/>
                <w:bCs/>
                <w:szCs w:val="22"/>
              </w:rPr>
              <w:t>(</w:t>
            </w:r>
            <w:hyperlink w:anchor="Item44_14" w:history="1">
              <w:r w:rsidRPr="005410F4">
                <w:rPr>
                  <w:b/>
                  <w:bCs/>
                  <w:szCs w:val="22"/>
                </w:rPr>
                <w:t>44-14</w:t>
              </w:r>
            </w:hyperlink>
            <w:r w:rsidRPr="005410F4">
              <w:rPr>
                <w:b/>
                <w:bCs/>
                <w:szCs w:val="22"/>
              </w:rPr>
              <w:t>)</w:t>
            </w:r>
          </w:p>
        </w:tc>
        <w:tc>
          <w:tcPr>
            <w:tcW w:w="7261" w:type="dxa"/>
            <w:shd w:val="clear" w:color="auto" w:fill="auto"/>
            <w:hideMark/>
          </w:tcPr>
          <w:p w14:paraId="1C92BFBA" w14:textId="77777777" w:rsidR="00FE6990" w:rsidRPr="005410F4" w:rsidRDefault="00FE6990" w:rsidP="00FA19F4">
            <w:pPr>
              <w:pStyle w:val="Tabletext"/>
              <w:keepNext/>
              <w:keepLines/>
              <w:rPr>
                <w:b/>
                <w:bCs/>
                <w:szCs w:val="22"/>
              </w:rPr>
            </w:pPr>
            <w:r w:rsidRPr="005410F4">
              <w:rPr>
                <w:b/>
                <w:bCs/>
                <w:szCs w:val="22"/>
              </w:rPr>
              <w:t>SGs and TSAG to coordinate joint meetings of regional groups (instructs SGs 1 + TSAG)</w:t>
            </w:r>
          </w:p>
        </w:tc>
        <w:tc>
          <w:tcPr>
            <w:tcW w:w="1244" w:type="dxa"/>
          </w:tcPr>
          <w:p w14:paraId="44D20A5A" w14:textId="77777777" w:rsidR="00FE6990" w:rsidRPr="005410F4" w:rsidRDefault="00FE6990" w:rsidP="00FA19F4">
            <w:pPr>
              <w:pStyle w:val="Tabletext"/>
              <w:keepNext/>
              <w:keepLines/>
              <w:rPr>
                <w:szCs w:val="22"/>
              </w:rPr>
            </w:pPr>
            <w:r w:rsidRPr="005410F4">
              <w:rPr>
                <w:szCs w:val="22"/>
              </w:rPr>
              <w:t xml:space="preserve">For </w:t>
            </w:r>
            <w:r>
              <w:rPr>
                <w:szCs w:val="22"/>
              </w:rPr>
              <w:t>RG-WPR</w:t>
            </w:r>
          </w:p>
        </w:tc>
      </w:tr>
    </w:tbl>
    <w:bookmarkStart w:id="20" w:name="_Toc104459731"/>
    <w:bookmarkStart w:id="21" w:name="_Toc104476539"/>
    <w:bookmarkStart w:id="22" w:name="_Toc111636777"/>
    <w:bookmarkStart w:id="23" w:name="_Toc111638432"/>
    <w:p w14:paraId="0D83141F" w14:textId="15FEFC04" w:rsidR="00107E12" w:rsidRPr="008B47FE" w:rsidRDefault="00107E12" w:rsidP="00ED6AA3">
      <w:pPr>
        <w:rPr>
          <w:rStyle w:val="Hyperlink"/>
        </w:rPr>
      </w:pPr>
      <w:r w:rsidRPr="008B47FE">
        <w:rPr>
          <w:rStyle w:val="Hyperlink"/>
        </w:rPr>
        <w:fldChar w:fldCharType="begin"/>
      </w:r>
      <w:r w:rsidRPr="008B47FE">
        <w:rPr>
          <w:rStyle w:val="Hyperlink"/>
        </w:rPr>
        <w:instrText xml:space="preserve"> HYPERLINK "https://www.itu.int/pub/T-RES-T.54-2022" </w:instrText>
      </w:r>
      <w:r w:rsidRPr="008B47FE">
        <w:rPr>
          <w:rStyle w:val="Hyperlink"/>
        </w:rPr>
      </w:r>
      <w:r w:rsidRPr="008B47FE">
        <w:rPr>
          <w:rStyle w:val="Hyperlink"/>
        </w:rPr>
        <w:fldChar w:fldCharType="separate"/>
      </w:r>
      <w:r w:rsidR="00B83F86" w:rsidRPr="00107E12">
        <w:rPr>
          <w:rStyle w:val="Hyperlink"/>
        </w:rPr>
        <w:t>RESOLUTION 54 (Rev. Geneva, 2022)</w:t>
      </w:r>
      <w:bookmarkStart w:id="24" w:name="_Toc104459732"/>
      <w:bookmarkStart w:id="25" w:name="_Toc104476540"/>
      <w:bookmarkStart w:id="26" w:name="_Toc111638433"/>
      <w:bookmarkEnd w:id="20"/>
      <w:bookmarkEnd w:id="21"/>
      <w:bookmarkEnd w:id="22"/>
      <w:bookmarkEnd w:id="23"/>
      <w:r w:rsidR="00550B37" w:rsidRPr="00107E12">
        <w:rPr>
          <w:rStyle w:val="Hyperlink"/>
          <w:rFonts w:hint="eastAsia"/>
        </w:rPr>
        <w:t>,</w:t>
      </w:r>
      <w:r w:rsidR="00550B37" w:rsidRPr="00107E12">
        <w:rPr>
          <w:rStyle w:val="Hyperlink"/>
        </w:rPr>
        <w:t xml:space="preserve"> </w:t>
      </w:r>
      <w:r w:rsidR="00B83F86" w:rsidRPr="00107E12">
        <w:rPr>
          <w:rStyle w:val="Hyperlink"/>
        </w:rPr>
        <w:t>Regional groups of study groups of the ITU Telecommunication Standardization Sector</w:t>
      </w:r>
      <w:bookmarkEnd w:id="24"/>
      <w:bookmarkEnd w:id="25"/>
      <w:bookmarkEnd w:id="26"/>
      <w:r w:rsidRPr="008B47FE">
        <w:rPr>
          <w:rStyle w:val="Hyperlink"/>
        </w:rPr>
        <w:fldChar w:fldCharType="end"/>
      </w:r>
    </w:p>
    <w:p w14:paraId="3D1C349C" w14:textId="40A177F0" w:rsidR="00B83F86" w:rsidRPr="008B47FE" w:rsidRDefault="00B83F86" w:rsidP="00ED6AA3">
      <w:pPr>
        <w:rPr>
          <w:i/>
          <w:iCs/>
        </w:rPr>
      </w:pPr>
      <w:r w:rsidRPr="008B47FE">
        <w:rPr>
          <w:i/>
          <w:iCs/>
        </w:rPr>
        <w:t>instructs study groups and the Telecommunication Standardization Advisory Group</w:t>
      </w:r>
    </w:p>
    <w:p w14:paraId="7E1B112C" w14:textId="77777777" w:rsidR="00B83F86" w:rsidRPr="008B47FE" w:rsidRDefault="00B83F86" w:rsidP="00ED6AA3">
      <w:r w:rsidRPr="008B47FE">
        <w:t>1</w:t>
      </w:r>
      <w:r w:rsidRPr="008B47FE">
        <w:tab/>
        <w:t>to coordinate joint meetings of the regional groups of ITU</w:t>
      </w:r>
      <w:r w:rsidRPr="008B47FE">
        <w:noBreakHyphen/>
        <w:t>T study groups;</w:t>
      </w:r>
    </w:p>
    <w:p w14:paraId="6491897B" w14:textId="546B1BA3" w:rsidR="00B83F86" w:rsidRDefault="00B83F86" w:rsidP="00FE6990"/>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ED6AA3" w:rsidRPr="00380B40" w14:paraId="0C6757C3" w14:textId="77777777" w:rsidTr="00FA19F4">
        <w:trPr>
          <w:cantSplit/>
        </w:trPr>
        <w:tc>
          <w:tcPr>
            <w:tcW w:w="3678" w:type="pct"/>
            <w:shd w:val="clear" w:color="auto" w:fill="auto"/>
            <w:vAlign w:val="center"/>
          </w:tcPr>
          <w:p w14:paraId="0EA32C6E" w14:textId="77777777" w:rsidR="00ED6AA3" w:rsidRPr="00380B40" w:rsidRDefault="00ED6AA3" w:rsidP="00FA19F4">
            <w:pPr>
              <w:pStyle w:val="Tabletext"/>
              <w:jc w:val="center"/>
              <w:rPr>
                <w:rFonts w:eastAsia="SimSun"/>
              </w:rPr>
            </w:pPr>
            <w:r w:rsidRPr="002F183F">
              <w:t>Resolution</w:t>
            </w:r>
          </w:p>
        </w:tc>
        <w:tc>
          <w:tcPr>
            <w:tcW w:w="663" w:type="pct"/>
            <w:shd w:val="clear" w:color="auto" w:fill="auto"/>
            <w:vAlign w:val="center"/>
          </w:tcPr>
          <w:p w14:paraId="24EC3BEC" w14:textId="77777777" w:rsidR="00ED6AA3" w:rsidRPr="00380B40" w:rsidRDefault="00ED6AA3" w:rsidP="00FA19F4">
            <w:pPr>
              <w:pStyle w:val="Tabletext"/>
              <w:jc w:val="center"/>
            </w:pPr>
            <w:r w:rsidRPr="002F183F">
              <w:t>Action</w:t>
            </w:r>
          </w:p>
        </w:tc>
        <w:tc>
          <w:tcPr>
            <w:tcW w:w="659" w:type="pct"/>
            <w:shd w:val="clear" w:color="auto" w:fill="auto"/>
            <w:vAlign w:val="center"/>
          </w:tcPr>
          <w:p w14:paraId="15C39CE9" w14:textId="77777777" w:rsidR="00ED6AA3" w:rsidRPr="00380B40" w:rsidRDefault="00ED6AA3" w:rsidP="00FA19F4">
            <w:pPr>
              <w:pStyle w:val="Tabletext"/>
              <w:jc w:val="center"/>
            </w:pPr>
            <w:r w:rsidRPr="002F183F">
              <w:t>Document</w:t>
            </w:r>
          </w:p>
        </w:tc>
      </w:tr>
      <w:tr w:rsidR="00ED6AA3" w:rsidRPr="00380B40" w14:paraId="6C3AC1C3" w14:textId="77777777" w:rsidTr="00FA19F4">
        <w:trPr>
          <w:cantSplit/>
        </w:trPr>
        <w:tc>
          <w:tcPr>
            <w:tcW w:w="3678" w:type="pct"/>
            <w:shd w:val="clear" w:color="auto" w:fill="auto"/>
            <w:vAlign w:val="center"/>
          </w:tcPr>
          <w:p w14:paraId="377D0C7E" w14:textId="67682BF2" w:rsidR="00ED6AA3" w:rsidRPr="00ED6AA3" w:rsidRDefault="00ED6AA3" w:rsidP="00ED6AA3">
            <w:pPr>
              <w:pStyle w:val="Tabletext"/>
              <w:rPr>
                <w:b/>
                <w:bCs/>
              </w:rPr>
            </w:pPr>
            <w:r w:rsidRPr="00ED6AA3">
              <w:rPr>
                <w:rFonts w:eastAsia="SimSun"/>
                <w:b/>
                <w:bCs/>
              </w:rPr>
              <w:t xml:space="preserve">Resolution 73 (Rev. Hammamet, 2016) </w:t>
            </w:r>
            <w:r w:rsidRPr="00ED6AA3">
              <w:rPr>
                <w:b/>
                <w:bCs/>
              </w:rPr>
              <w:t xml:space="preserve">– </w:t>
            </w:r>
            <w:r w:rsidRPr="00ED6AA3">
              <w:rPr>
                <w:rFonts w:eastAsia="SimSun"/>
                <w:b/>
                <w:bCs/>
              </w:rPr>
              <w:t>Information and communication technologies, environment and climate change</w:t>
            </w:r>
          </w:p>
        </w:tc>
        <w:tc>
          <w:tcPr>
            <w:tcW w:w="663" w:type="pct"/>
            <w:shd w:val="clear" w:color="auto" w:fill="auto"/>
            <w:vAlign w:val="center"/>
          </w:tcPr>
          <w:p w14:paraId="53551298" w14:textId="09A33A0C" w:rsidR="00ED6AA3" w:rsidRPr="002F183F" w:rsidRDefault="00ED6AA3" w:rsidP="00ED6AA3">
            <w:pPr>
              <w:pStyle w:val="Tabletext"/>
              <w:jc w:val="center"/>
            </w:pPr>
            <w:r w:rsidRPr="00380B40">
              <w:t>MOD</w:t>
            </w:r>
          </w:p>
        </w:tc>
        <w:tc>
          <w:tcPr>
            <w:tcW w:w="659" w:type="pct"/>
            <w:shd w:val="clear" w:color="auto" w:fill="auto"/>
            <w:vAlign w:val="center"/>
          </w:tcPr>
          <w:p w14:paraId="01B73361" w14:textId="42C9897E" w:rsidR="00ED6AA3" w:rsidRPr="002F183F" w:rsidRDefault="00922BAD" w:rsidP="00ED6AA3">
            <w:pPr>
              <w:pStyle w:val="Tabletext"/>
              <w:jc w:val="center"/>
            </w:pPr>
            <w:hyperlink r:id="rId23" w:history="1">
              <w:r w:rsidR="00ED6AA3" w:rsidRPr="00380B40">
                <w:rPr>
                  <w:rStyle w:val="Hyperlink"/>
                </w:rPr>
                <w:t>79</w:t>
              </w:r>
            </w:hyperlink>
          </w:p>
        </w:tc>
      </w:tr>
    </w:tbl>
    <w:p w14:paraId="7EAC624B" w14:textId="77777777" w:rsidR="00ED6AA3" w:rsidRDefault="00ED6AA3" w:rsidP="00ED6AA3">
      <w:pPr>
        <w:spacing w:before="0"/>
      </w:pPr>
    </w:p>
    <w:tbl>
      <w:tblPr>
        <w:tblW w:w="9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830"/>
        <w:gridCol w:w="1392"/>
      </w:tblGrid>
      <w:tr w:rsidR="00FE6990" w:rsidRPr="005410F4" w14:paraId="57634D46" w14:textId="77777777" w:rsidTr="008B47FE">
        <w:tc>
          <w:tcPr>
            <w:tcW w:w="1552" w:type="dxa"/>
            <w:shd w:val="clear" w:color="auto" w:fill="auto"/>
          </w:tcPr>
          <w:p w14:paraId="21A9F00A" w14:textId="77777777" w:rsidR="00FE6990" w:rsidRPr="005410F4" w:rsidRDefault="00FE6990" w:rsidP="00FA19F4">
            <w:pPr>
              <w:pStyle w:val="Tabletext"/>
              <w:keepNext/>
              <w:keepLines/>
              <w:rPr>
                <w:b/>
                <w:bCs/>
                <w:szCs w:val="22"/>
              </w:rPr>
            </w:pPr>
            <w:r w:rsidRPr="005410F4">
              <w:rPr>
                <w:b/>
                <w:bCs/>
                <w:szCs w:val="22"/>
              </w:rPr>
              <w:t>73-06</w:t>
            </w:r>
          </w:p>
        </w:tc>
        <w:tc>
          <w:tcPr>
            <w:tcW w:w="6830" w:type="dxa"/>
            <w:shd w:val="clear" w:color="auto" w:fill="auto"/>
            <w:hideMark/>
          </w:tcPr>
          <w:p w14:paraId="0F6A7971" w14:textId="77777777" w:rsidR="00FE6990" w:rsidRPr="005410F4" w:rsidRDefault="00FE6990" w:rsidP="00FA19F4">
            <w:pPr>
              <w:pStyle w:val="Tabletext"/>
              <w:keepNext/>
              <w:keepLines/>
              <w:rPr>
                <w:b/>
                <w:bCs/>
                <w:szCs w:val="22"/>
              </w:rPr>
            </w:pPr>
            <w:r w:rsidRPr="005410F4">
              <w:rPr>
                <w:b/>
                <w:bCs/>
                <w:szCs w:val="22"/>
              </w:rPr>
              <w:t>TSAG to coordinate the activities of ITU-T study groups in relation to their review of relevant standardization activities of other standards development organizations (SDOs) and facilitate collaboration between ITU and those SDOs in order to avoid duplication of, or overlap in, international standards (instructs TSAG 1)</w:t>
            </w:r>
          </w:p>
        </w:tc>
        <w:tc>
          <w:tcPr>
            <w:tcW w:w="1392" w:type="dxa"/>
          </w:tcPr>
          <w:p w14:paraId="02C1944F" w14:textId="77777777" w:rsidR="00FE6990" w:rsidRPr="005410F4" w:rsidRDefault="00FE6990" w:rsidP="00FA19F4">
            <w:pPr>
              <w:pStyle w:val="Tabletext"/>
              <w:keepNext/>
              <w:keepLines/>
              <w:rPr>
                <w:szCs w:val="22"/>
              </w:rPr>
            </w:pPr>
            <w:r w:rsidRPr="005410F4">
              <w:rPr>
                <w:szCs w:val="22"/>
              </w:rPr>
              <w:t>For RG-WPR</w:t>
            </w:r>
          </w:p>
        </w:tc>
      </w:tr>
      <w:tr w:rsidR="00FE6990" w:rsidRPr="005410F4" w14:paraId="31E7FA76" w14:textId="77777777" w:rsidTr="008B47FE">
        <w:tc>
          <w:tcPr>
            <w:tcW w:w="1552" w:type="dxa"/>
            <w:shd w:val="clear" w:color="auto" w:fill="auto"/>
          </w:tcPr>
          <w:p w14:paraId="51036C09" w14:textId="77777777" w:rsidR="00FE6990" w:rsidRPr="005410F4" w:rsidRDefault="00FE6990" w:rsidP="00FA19F4">
            <w:pPr>
              <w:pStyle w:val="Tabletext"/>
              <w:keepNext/>
              <w:keepLines/>
              <w:rPr>
                <w:b/>
                <w:bCs/>
                <w:szCs w:val="22"/>
              </w:rPr>
            </w:pPr>
            <w:r w:rsidRPr="005410F4">
              <w:rPr>
                <w:b/>
                <w:bCs/>
                <w:szCs w:val="22"/>
              </w:rPr>
              <w:t>73-17</w:t>
            </w:r>
          </w:p>
        </w:tc>
        <w:tc>
          <w:tcPr>
            <w:tcW w:w="6830" w:type="dxa"/>
            <w:shd w:val="clear" w:color="auto" w:fill="auto"/>
            <w:hideMark/>
          </w:tcPr>
          <w:p w14:paraId="0B547F26" w14:textId="77777777" w:rsidR="00FE6990" w:rsidRPr="005410F4" w:rsidRDefault="00FE6990" w:rsidP="00FA19F4">
            <w:pPr>
              <w:pStyle w:val="Tabletext"/>
              <w:keepNext/>
              <w:keepLines/>
              <w:rPr>
                <w:b/>
                <w:bCs/>
                <w:szCs w:val="22"/>
              </w:rPr>
            </w:pPr>
            <w:r w:rsidRPr="005410F4">
              <w:rPr>
                <w:b/>
                <w:bCs/>
                <w:szCs w:val="22"/>
              </w:rPr>
              <w:t>TSAG to ensure that study groups carry out a review of both the appropriate existing ITU-T Recommendations and all future Recommendations in order to assess their implications and the application of best practices in the light of protection of the environment, climate change and circular economy (instructs TSAG 2)</w:t>
            </w:r>
          </w:p>
        </w:tc>
        <w:tc>
          <w:tcPr>
            <w:tcW w:w="1392" w:type="dxa"/>
          </w:tcPr>
          <w:p w14:paraId="439E7B2B" w14:textId="77777777" w:rsidR="00FE6990" w:rsidRPr="005410F4" w:rsidRDefault="00FE6990" w:rsidP="00FA19F4">
            <w:pPr>
              <w:pStyle w:val="Tabletext"/>
              <w:keepNext/>
              <w:keepLines/>
              <w:rPr>
                <w:szCs w:val="22"/>
              </w:rPr>
            </w:pPr>
            <w:r w:rsidRPr="005410F4">
              <w:rPr>
                <w:szCs w:val="22"/>
              </w:rPr>
              <w:t>For RG-WPR</w:t>
            </w:r>
          </w:p>
        </w:tc>
      </w:tr>
    </w:tbl>
    <w:bookmarkStart w:id="27" w:name="_Toc104459757"/>
    <w:bookmarkStart w:id="28" w:name="_Toc104476565"/>
    <w:bookmarkStart w:id="29" w:name="_Toc111636792"/>
    <w:bookmarkStart w:id="30" w:name="_Toc111638458"/>
    <w:p w14:paraId="1A1DD22A" w14:textId="2FFFA81C" w:rsidR="00B83F86" w:rsidRPr="008B47FE" w:rsidRDefault="00107E12" w:rsidP="00ED6AA3">
      <w:pPr>
        <w:rPr>
          <w:rStyle w:val="Hyperlink"/>
        </w:rPr>
      </w:pPr>
      <w:r w:rsidRPr="008B47FE">
        <w:rPr>
          <w:rStyle w:val="Hyperlink"/>
        </w:rPr>
        <w:fldChar w:fldCharType="begin"/>
      </w:r>
      <w:r w:rsidRPr="008B47FE">
        <w:rPr>
          <w:rStyle w:val="Hyperlink"/>
        </w:rPr>
        <w:instrText xml:space="preserve"> HYPERLINK "https://www.itu.int/pub/T-RES-T.73-2022" </w:instrText>
      </w:r>
      <w:r w:rsidRPr="008B47FE">
        <w:rPr>
          <w:rStyle w:val="Hyperlink"/>
        </w:rPr>
      </w:r>
      <w:r w:rsidRPr="008B47FE">
        <w:rPr>
          <w:rStyle w:val="Hyperlink"/>
        </w:rPr>
        <w:fldChar w:fldCharType="separate"/>
      </w:r>
      <w:r w:rsidR="00B83F86" w:rsidRPr="00107E12">
        <w:rPr>
          <w:rStyle w:val="Hyperlink"/>
        </w:rPr>
        <w:t>RESOLUTION 73 (Rev. Geneva, 2022)</w:t>
      </w:r>
      <w:bookmarkStart w:id="31" w:name="_Toc104459758"/>
      <w:bookmarkStart w:id="32" w:name="_Toc104476566"/>
      <w:bookmarkStart w:id="33" w:name="_Toc111638459"/>
      <w:bookmarkEnd w:id="27"/>
      <w:bookmarkEnd w:id="28"/>
      <w:bookmarkEnd w:id="29"/>
      <w:bookmarkEnd w:id="30"/>
      <w:r w:rsidRPr="00107E12">
        <w:rPr>
          <w:rStyle w:val="Hyperlink"/>
        </w:rPr>
        <w:t xml:space="preserve">, </w:t>
      </w:r>
      <w:r w:rsidR="00B83F86" w:rsidRPr="00107E12">
        <w:rPr>
          <w:rStyle w:val="Hyperlink"/>
        </w:rPr>
        <w:t>Information and communication technologies, environment, climate change and circular economy</w:t>
      </w:r>
      <w:bookmarkEnd w:id="31"/>
      <w:bookmarkEnd w:id="32"/>
      <w:bookmarkEnd w:id="33"/>
      <w:r w:rsidRPr="008B47FE">
        <w:rPr>
          <w:rStyle w:val="Hyperlink"/>
        </w:rPr>
        <w:fldChar w:fldCharType="end"/>
      </w:r>
    </w:p>
    <w:p w14:paraId="77D3D90A" w14:textId="77777777" w:rsidR="00B83F86" w:rsidRPr="008B47FE" w:rsidRDefault="00B83F86" w:rsidP="00ED6AA3">
      <w:pPr>
        <w:rPr>
          <w:i/>
          <w:iCs/>
        </w:rPr>
      </w:pPr>
      <w:r w:rsidRPr="008B47FE">
        <w:rPr>
          <w:i/>
          <w:iCs/>
        </w:rPr>
        <w:t>instructs the Telecommunication Standardization Advisory Group</w:t>
      </w:r>
    </w:p>
    <w:p w14:paraId="153A5CB5" w14:textId="77777777" w:rsidR="00B83F86" w:rsidRPr="008B47FE" w:rsidRDefault="00B83F86" w:rsidP="00ED6AA3">
      <w:r w:rsidRPr="008B47FE">
        <w:t>1</w:t>
      </w:r>
      <w:r w:rsidRPr="008B47FE">
        <w:tab/>
        <w:t>to coordinate the activities of ITU</w:t>
      </w:r>
      <w:r w:rsidRPr="008B47FE">
        <w:noBreakHyphen/>
        <w:t>T study groups in relation to their review of relevant standardization activities of other standards-development organizations (SDOs) and facilitate collaboration between ITU and those SDOs in order to avoid duplication of, or overlap in, international standards;</w:t>
      </w:r>
    </w:p>
    <w:p w14:paraId="7B0339D5" w14:textId="77777777" w:rsidR="00B83F86" w:rsidRPr="008B47FE" w:rsidRDefault="00B83F86" w:rsidP="00ED6AA3">
      <w:r w:rsidRPr="008B47FE">
        <w:t>2</w:t>
      </w:r>
      <w:r w:rsidRPr="008B47FE">
        <w:tab/>
        <w:t>to ensure that study groups carry out a review of all future Recommendations in order to assess their implications and the application of best practices from the standpoint of protection of the environment, climate change and circular economy;</w:t>
      </w:r>
    </w:p>
    <w:p w14:paraId="1BD14B92" w14:textId="119DC946" w:rsidR="00B83F86" w:rsidRDefault="00B83F86" w:rsidP="008B47FE">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B6AA9" w:rsidRPr="00380B40" w14:paraId="78F7947C" w14:textId="77777777" w:rsidTr="00FA19F4">
        <w:trPr>
          <w:cantSplit/>
        </w:trPr>
        <w:tc>
          <w:tcPr>
            <w:tcW w:w="3678" w:type="pct"/>
            <w:shd w:val="clear" w:color="auto" w:fill="auto"/>
            <w:vAlign w:val="center"/>
          </w:tcPr>
          <w:p w14:paraId="5CD6F7AE" w14:textId="77777777" w:rsidR="008B6AA9" w:rsidRPr="00380B40" w:rsidRDefault="008B6AA9" w:rsidP="00FA19F4">
            <w:pPr>
              <w:pStyle w:val="Tabletext"/>
              <w:jc w:val="center"/>
              <w:rPr>
                <w:rFonts w:eastAsia="SimSun"/>
              </w:rPr>
            </w:pPr>
            <w:r w:rsidRPr="002F183F">
              <w:t>Resolution</w:t>
            </w:r>
          </w:p>
        </w:tc>
        <w:tc>
          <w:tcPr>
            <w:tcW w:w="663" w:type="pct"/>
            <w:shd w:val="clear" w:color="auto" w:fill="auto"/>
            <w:vAlign w:val="center"/>
          </w:tcPr>
          <w:p w14:paraId="3DE8C74C" w14:textId="77777777" w:rsidR="008B6AA9" w:rsidRPr="00380B40" w:rsidRDefault="008B6AA9" w:rsidP="00FA19F4">
            <w:pPr>
              <w:pStyle w:val="Tabletext"/>
              <w:jc w:val="center"/>
            </w:pPr>
            <w:r w:rsidRPr="002F183F">
              <w:t>Action</w:t>
            </w:r>
          </w:p>
        </w:tc>
        <w:tc>
          <w:tcPr>
            <w:tcW w:w="659" w:type="pct"/>
            <w:shd w:val="clear" w:color="auto" w:fill="auto"/>
            <w:vAlign w:val="center"/>
          </w:tcPr>
          <w:p w14:paraId="26327678" w14:textId="77777777" w:rsidR="008B6AA9" w:rsidRPr="00380B40" w:rsidRDefault="008B6AA9" w:rsidP="00FA19F4">
            <w:pPr>
              <w:pStyle w:val="Tabletext"/>
              <w:jc w:val="center"/>
            </w:pPr>
            <w:r w:rsidRPr="002F183F">
              <w:t>Document</w:t>
            </w:r>
          </w:p>
        </w:tc>
      </w:tr>
      <w:tr w:rsidR="008B6AA9" w:rsidRPr="00380B40" w14:paraId="04519B17" w14:textId="77777777" w:rsidTr="00FA19F4">
        <w:trPr>
          <w:cantSplit/>
        </w:trPr>
        <w:tc>
          <w:tcPr>
            <w:tcW w:w="3678" w:type="pct"/>
            <w:shd w:val="clear" w:color="auto" w:fill="auto"/>
            <w:vAlign w:val="center"/>
          </w:tcPr>
          <w:p w14:paraId="1D36F6B0" w14:textId="00513583" w:rsidR="008B6AA9" w:rsidRPr="008B6AA9" w:rsidRDefault="008B6AA9" w:rsidP="008B6AA9">
            <w:pPr>
              <w:pStyle w:val="Tabletext"/>
              <w:rPr>
                <w:b/>
                <w:bCs/>
              </w:rPr>
            </w:pPr>
            <w:r w:rsidRPr="008B6AA9">
              <w:rPr>
                <w:rFonts w:eastAsia="SimSun"/>
                <w:b/>
                <w:bCs/>
              </w:rPr>
              <w:t>Resolution 92 (Hammamet, 2016)</w:t>
            </w:r>
            <w:r w:rsidRPr="008B6AA9">
              <w:rPr>
                <w:b/>
                <w:bCs/>
              </w:rPr>
              <w:t xml:space="preserve"> – </w:t>
            </w:r>
            <w:r w:rsidRPr="008B6AA9">
              <w:rPr>
                <w:rFonts w:eastAsia="SimSun"/>
                <w:b/>
                <w:bCs/>
              </w:rPr>
              <w:t>Enhancing the standardization activities in the ITU Telecommunication Standardization Sector related to non-radio aspects of international mobile telecommunications</w:t>
            </w:r>
          </w:p>
        </w:tc>
        <w:tc>
          <w:tcPr>
            <w:tcW w:w="663" w:type="pct"/>
            <w:shd w:val="clear" w:color="auto" w:fill="auto"/>
            <w:vAlign w:val="center"/>
          </w:tcPr>
          <w:p w14:paraId="60A27588" w14:textId="37482BC2" w:rsidR="008B6AA9" w:rsidRPr="002F183F" w:rsidRDefault="008B6AA9" w:rsidP="008B6AA9">
            <w:pPr>
              <w:pStyle w:val="Tabletext"/>
              <w:jc w:val="center"/>
            </w:pPr>
            <w:r w:rsidRPr="00380B40">
              <w:t>MOD</w:t>
            </w:r>
          </w:p>
        </w:tc>
        <w:tc>
          <w:tcPr>
            <w:tcW w:w="659" w:type="pct"/>
            <w:shd w:val="clear" w:color="auto" w:fill="auto"/>
            <w:vAlign w:val="center"/>
          </w:tcPr>
          <w:p w14:paraId="5383DA11" w14:textId="5C04F8BF" w:rsidR="008B6AA9" w:rsidRPr="002F183F" w:rsidRDefault="00922BAD" w:rsidP="008B6AA9">
            <w:pPr>
              <w:pStyle w:val="Tabletext"/>
              <w:jc w:val="center"/>
            </w:pPr>
            <w:hyperlink r:id="rId24" w:history="1">
              <w:r w:rsidR="008B6AA9" w:rsidRPr="00380B40">
                <w:rPr>
                  <w:rStyle w:val="Hyperlink"/>
                  <w:szCs w:val="24"/>
                </w:rPr>
                <w:t>85R1</w:t>
              </w:r>
            </w:hyperlink>
          </w:p>
        </w:tc>
      </w:tr>
    </w:tbl>
    <w:p w14:paraId="6D3F3468" w14:textId="77777777" w:rsidR="008B6AA9" w:rsidRPr="008B47FE" w:rsidRDefault="008B6AA9" w:rsidP="008B6AA9">
      <w:pPr>
        <w:spacing w:before="0"/>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837"/>
        <w:gridCol w:w="1392"/>
      </w:tblGrid>
      <w:tr w:rsidR="00B83F86" w:rsidRPr="005410F4" w14:paraId="025A85A0" w14:textId="77777777" w:rsidTr="008B47FE">
        <w:tc>
          <w:tcPr>
            <w:tcW w:w="1552" w:type="dxa"/>
            <w:shd w:val="clear" w:color="auto" w:fill="auto"/>
          </w:tcPr>
          <w:p w14:paraId="635EA143" w14:textId="77777777" w:rsidR="00B83F86" w:rsidRPr="005410F4" w:rsidRDefault="00B83F86" w:rsidP="00FA19F4">
            <w:pPr>
              <w:pStyle w:val="Tabletext"/>
              <w:rPr>
                <w:b/>
                <w:bCs/>
                <w:szCs w:val="22"/>
              </w:rPr>
            </w:pPr>
            <w:r w:rsidRPr="005410F4">
              <w:rPr>
                <w:b/>
                <w:bCs/>
                <w:szCs w:val="22"/>
              </w:rPr>
              <w:lastRenderedPageBreak/>
              <w:t>92-01</w:t>
            </w:r>
          </w:p>
        </w:tc>
        <w:tc>
          <w:tcPr>
            <w:tcW w:w="6837" w:type="dxa"/>
            <w:shd w:val="clear" w:color="auto" w:fill="auto"/>
          </w:tcPr>
          <w:p w14:paraId="405D6D2B" w14:textId="77777777" w:rsidR="00B83F86" w:rsidRPr="005410F4" w:rsidRDefault="00B83F86" w:rsidP="00FA19F4">
            <w:pPr>
              <w:pStyle w:val="Tabletext"/>
              <w:rPr>
                <w:b/>
                <w:bCs/>
                <w:szCs w:val="22"/>
              </w:rPr>
            </w:pPr>
            <w:r w:rsidRPr="005410F4">
              <w:rPr>
                <w:b/>
                <w:bCs/>
                <w:szCs w:val="22"/>
              </w:rPr>
              <w:t>TSAG to facilitate coordination of the standardization activities related to the non-radio side of IMT systems (including IMT-2020 and beyond) among all relevant study groups, focus groups, joint coordination activities, etc.;</w:t>
            </w:r>
          </w:p>
          <w:p w14:paraId="5B31DEB0" w14:textId="77777777" w:rsidR="00B83F86" w:rsidRPr="005410F4" w:rsidRDefault="00B83F86" w:rsidP="00FA19F4">
            <w:pPr>
              <w:pStyle w:val="Tabletext"/>
              <w:rPr>
                <w:b/>
                <w:bCs/>
                <w:szCs w:val="22"/>
              </w:rPr>
            </w:pPr>
            <w:r w:rsidRPr="005410F4">
              <w:rPr>
                <w:b/>
                <w:bCs/>
                <w:szCs w:val="22"/>
              </w:rPr>
              <w:t>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countries;</w:t>
            </w:r>
          </w:p>
          <w:p w14:paraId="2338FE80" w14:textId="77777777" w:rsidR="00B83F86" w:rsidRPr="005410F4" w:rsidRDefault="00B83F86" w:rsidP="00FA19F4">
            <w:pPr>
              <w:pStyle w:val="Tabletext"/>
              <w:rPr>
                <w:b/>
                <w:bCs/>
                <w:szCs w:val="22"/>
              </w:rPr>
            </w:pPr>
            <w:r w:rsidRPr="005410F4">
              <w:rPr>
                <w:b/>
                <w:bCs/>
                <w:szCs w:val="22"/>
              </w:rPr>
              <w:t>and to encourage, in cooperation with Study Group 13 and other relevant study groups, collaboration with other standards development organizations (SDOs) on a wide range of issues associated with the non-radio aspects of IMT;</w:t>
            </w:r>
          </w:p>
          <w:p w14:paraId="5C8831F1" w14:textId="77777777" w:rsidR="00B83F86" w:rsidRPr="005410F4" w:rsidRDefault="00B83F86" w:rsidP="00FA19F4">
            <w:pPr>
              <w:pStyle w:val="Tabletext"/>
              <w:rPr>
                <w:b/>
                <w:bCs/>
                <w:szCs w:val="22"/>
              </w:rPr>
            </w:pPr>
            <w:r w:rsidRPr="005410F4">
              <w:rPr>
                <w:b/>
                <w:bCs/>
                <w:szCs w:val="22"/>
              </w:rPr>
              <w:t>to ensure collaboration among relevant ITU-T study groups and with relevant SDOs and forums and consortia for open and interoperable network technologies and solutions, including non-radio aspects of IMT systems for access networks (resolves TSAG 1, 2, 3, 4)</w:t>
            </w:r>
          </w:p>
        </w:tc>
        <w:tc>
          <w:tcPr>
            <w:tcW w:w="1392" w:type="dxa"/>
          </w:tcPr>
          <w:p w14:paraId="6FF0C24A" w14:textId="77777777" w:rsidR="00B83F86" w:rsidRPr="005410F4" w:rsidRDefault="00B83F86" w:rsidP="00FA19F4">
            <w:pPr>
              <w:pStyle w:val="Tabletext"/>
              <w:rPr>
                <w:szCs w:val="22"/>
              </w:rPr>
            </w:pPr>
            <w:r w:rsidRPr="005410F4">
              <w:rPr>
                <w:szCs w:val="22"/>
              </w:rPr>
              <w:t>For RG-WPR</w:t>
            </w:r>
          </w:p>
        </w:tc>
      </w:tr>
    </w:tbl>
    <w:bookmarkStart w:id="34" w:name="_Toc104459791"/>
    <w:bookmarkStart w:id="35" w:name="_Toc104476599"/>
    <w:bookmarkStart w:id="36" w:name="_Toc111636809"/>
    <w:bookmarkStart w:id="37" w:name="_Toc111638492"/>
    <w:p w14:paraId="7AD78F28" w14:textId="49E2BE79" w:rsidR="00B83F86" w:rsidRPr="008B47FE" w:rsidRDefault="00107E12" w:rsidP="008B6AA9">
      <w:pPr>
        <w:rPr>
          <w:rStyle w:val="Hyperlink"/>
        </w:rPr>
      </w:pPr>
      <w:r w:rsidRPr="008B47FE">
        <w:rPr>
          <w:rStyle w:val="Hyperlink"/>
        </w:rPr>
        <w:fldChar w:fldCharType="begin"/>
      </w:r>
      <w:r w:rsidRPr="008B47FE">
        <w:rPr>
          <w:rStyle w:val="Hyperlink"/>
        </w:rPr>
        <w:instrText xml:space="preserve"> HYPERLINK "https://www.itu.int/pub/T-RES-T.92-2022" </w:instrText>
      </w:r>
      <w:r w:rsidRPr="008B47FE">
        <w:rPr>
          <w:rStyle w:val="Hyperlink"/>
        </w:rPr>
      </w:r>
      <w:r w:rsidRPr="008B47FE">
        <w:rPr>
          <w:rStyle w:val="Hyperlink"/>
        </w:rPr>
        <w:fldChar w:fldCharType="separate"/>
      </w:r>
      <w:r w:rsidR="00B83F86" w:rsidRPr="00107E12">
        <w:rPr>
          <w:rStyle w:val="Hyperlink"/>
        </w:rPr>
        <w:t>RESOLUTION 92 (Rev. Geneva, 2022)</w:t>
      </w:r>
      <w:bookmarkStart w:id="38" w:name="_Toc104459792"/>
      <w:bookmarkStart w:id="39" w:name="_Toc104476600"/>
      <w:bookmarkStart w:id="40" w:name="_Toc111638493"/>
      <w:bookmarkEnd w:id="34"/>
      <w:bookmarkEnd w:id="35"/>
      <w:bookmarkEnd w:id="36"/>
      <w:bookmarkEnd w:id="37"/>
      <w:r w:rsidRPr="00107E12">
        <w:rPr>
          <w:rStyle w:val="Hyperlink"/>
          <w:rFonts w:hint="eastAsia"/>
        </w:rPr>
        <w:t>,</w:t>
      </w:r>
      <w:r w:rsidRPr="00107E12">
        <w:rPr>
          <w:rStyle w:val="Hyperlink"/>
        </w:rPr>
        <w:t xml:space="preserve"> </w:t>
      </w:r>
      <w:r w:rsidR="00B83F86" w:rsidRPr="00107E12">
        <w:rPr>
          <w:rStyle w:val="Hyperlink"/>
        </w:rPr>
        <w:t xml:space="preserve">Enhancing the standardization activities in the ITU Telecommunication Standardization Sector related to non-radio aspects of international </w:t>
      </w:r>
      <w:r w:rsidR="00B83F86" w:rsidRPr="00107E12">
        <w:rPr>
          <w:rStyle w:val="Hyperlink"/>
        </w:rPr>
        <w:br/>
        <w:t>mobile telecommunications</w:t>
      </w:r>
      <w:bookmarkEnd w:id="38"/>
      <w:bookmarkEnd w:id="39"/>
      <w:bookmarkEnd w:id="40"/>
      <w:r w:rsidRPr="008B47FE">
        <w:rPr>
          <w:rStyle w:val="Hyperlink"/>
        </w:rPr>
        <w:fldChar w:fldCharType="end"/>
      </w:r>
    </w:p>
    <w:p w14:paraId="7840C21A" w14:textId="77777777" w:rsidR="00B83F86" w:rsidRPr="008B47FE" w:rsidRDefault="00B83F86" w:rsidP="008B6AA9">
      <w:pPr>
        <w:rPr>
          <w:i/>
          <w:iCs/>
        </w:rPr>
      </w:pPr>
      <w:r w:rsidRPr="008B47FE">
        <w:rPr>
          <w:i/>
          <w:iCs/>
        </w:rPr>
        <w:t>resolves to invite the Telecommunication Standardization Advisory Group</w:t>
      </w:r>
    </w:p>
    <w:p w14:paraId="676357DA" w14:textId="77777777" w:rsidR="00B83F86" w:rsidRPr="008B47FE" w:rsidRDefault="00B83F86" w:rsidP="008B6AA9">
      <w:r w:rsidRPr="008B47FE">
        <w:rPr>
          <w:i/>
          <w:iCs/>
        </w:rPr>
        <w:t>1</w:t>
      </w:r>
      <w:r w:rsidRPr="008B47FE">
        <w:rPr>
          <w:i/>
          <w:iCs/>
        </w:rPr>
        <w:tab/>
      </w:r>
      <w:r w:rsidRPr="008B47FE">
        <w:t>to facilitate coordination of the standardization activities related to the non-radio side of IMT systems (including IMT-2020 and beyond) among all relevant study groups, focus groups, joint coordination activities, etc.;</w:t>
      </w:r>
    </w:p>
    <w:p w14:paraId="692E4280" w14:textId="77777777" w:rsidR="00B83F86" w:rsidRPr="008B47FE" w:rsidRDefault="00B83F86" w:rsidP="008B6AA9">
      <w:r w:rsidRPr="008B47FE">
        <w:t>2</w:t>
      </w:r>
      <w:r w:rsidRPr="008B47FE">
        <w:tab/>
        <w:t xml:space="preserve">to strengthen and accelerate activities related to the development and deployment of IMT systems based on standards for </w:t>
      </w:r>
      <w:bookmarkStart w:id="41" w:name="_Hlk97577160"/>
      <w:r w:rsidRPr="008B47FE">
        <w:t xml:space="preserve">open and interoperable network technologies and solutions, such as non-radio aspects of IMT systems for access networks, </w:t>
      </w:r>
      <w:bookmarkEnd w:id="41"/>
      <w:r w:rsidRPr="008B47FE">
        <w:t>particularly recognizing challenges in developing countries;</w:t>
      </w:r>
    </w:p>
    <w:p w14:paraId="2EBA0F74" w14:textId="77777777" w:rsidR="00B83F86" w:rsidRPr="008B47FE" w:rsidRDefault="00B83F86" w:rsidP="008B6AA9">
      <w:r w:rsidRPr="008B47FE">
        <w:t>3</w:t>
      </w:r>
      <w:r w:rsidRPr="008B47FE">
        <w:tab/>
        <w:t xml:space="preserve">to ensure collaboration among relevant ITU-T study groups and with relevant SDOs and forums and consortia for open and interoperable network technologies and solutions, including non-radio aspects of IMT systems for access networks; </w:t>
      </w:r>
    </w:p>
    <w:p w14:paraId="32EF9EA5" w14:textId="77777777" w:rsidR="00B83F86" w:rsidRPr="008B47FE" w:rsidRDefault="00B83F86" w:rsidP="008B6AA9">
      <w:r w:rsidRPr="008B47FE">
        <w:t>4</w:t>
      </w:r>
      <w:r w:rsidRPr="008B47FE">
        <w:tab/>
        <w:t>to encourage, in cooperation with Study Group 13 and other relevant study groups, collaboration with other SDOs on a wide range of issues associated with the non-radio aspects of IMT systems,</w:t>
      </w:r>
    </w:p>
    <w:p w14:paraId="0C6A417A" w14:textId="430B15E2" w:rsidR="00B83F86" w:rsidRDefault="00B83F86" w:rsidP="00FE6990">
      <w:pPr>
        <w:pStyle w:val="ListParagraph"/>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B6AA9" w:rsidRPr="00380B40" w14:paraId="6B84CBCF" w14:textId="77777777" w:rsidTr="00FA19F4">
        <w:trPr>
          <w:cantSplit/>
        </w:trPr>
        <w:tc>
          <w:tcPr>
            <w:tcW w:w="3678" w:type="pct"/>
            <w:shd w:val="clear" w:color="auto" w:fill="auto"/>
            <w:vAlign w:val="center"/>
          </w:tcPr>
          <w:p w14:paraId="2C5DACFB" w14:textId="77777777" w:rsidR="008B6AA9" w:rsidRPr="00380B40" w:rsidRDefault="008B6AA9" w:rsidP="00FA19F4">
            <w:pPr>
              <w:pStyle w:val="Tabletext"/>
              <w:jc w:val="center"/>
              <w:rPr>
                <w:rFonts w:eastAsia="SimSun"/>
              </w:rPr>
            </w:pPr>
            <w:r w:rsidRPr="002F183F">
              <w:t>Resolution</w:t>
            </w:r>
          </w:p>
        </w:tc>
        <w:tc>
          <w:tcPr>
            <w:tcW w:w="663" w:type="pct"/>
            <w:shd w:val="clear" w:color="auto" w:fill="auto"/>
            <w:vAlign w:val="center"/>
          </w:tcPr>
          <w:p w14:paraId="20C1E05E" w14:textId="77777777" w:rsidR="008B6AA9" w:rsidRPr="00380B40" w:rsidRDefault="008B6AA9" w:rsidP="00FA19F4">
            <w:pPr>
              <w:pStyle w:val="Tabletext"/>
              <w:jc w:val="center"/>
            </w:pPr>
            <w:r w:rsidRPr="002F183F">
              <w:t>Action</w:t>
            </w:r>
          </w:p>
        </w:tc>
        <w:tc>
          <w:tcPr>
            <w:tcW w:w="659" w:type="pct"/>
            <w:shd w:val="clear" w:color="auto" w:fill="auto"/>
            <w:vAlign w:val="center"/>
          </w:tcPr>
          <w:p w14:paraId="48C93F0E" w14:textId="77777777" w:rsidR="008B6AA9" w:rsidRPr="00380B40" w:rsidRDefault="008B6AA9" w:rsidP="00FA19F4">
            <w:pPr>
              <w:pStyle w:val="Tabletext"/>
              <w:jc w:val="center"/>
            </w:pPr>
            <w:r w:rsidRPr="002F183F">
              <w:t>Document</w:t>
            </w:r>
          </w:p>
        </w:tc>
      </w:tr>
      <w:tr w:rsidR="008B6AA9" w:rsidRPr="00380B40" w14:paraId="356E2743" w14:textId="77777777" w:rsidTr="00FA19F4">
        <w:trPr>
          <w:cantSplit/>
        </w:trPr>
        <w:tc>
          <w:tcPr>
            <w:tcW w:w="3678" w:type="pct"/>
            <w:shd w:val="clear" w:color="auto" w:fill="auto"/>
            <w:vAlign w:val="center"/>
          </w:tcPr>
          <w:p w14:paraId="608BA83A" w14:textId="3709F086" w:rsidR="008B6AA9" w:rsidRPr="008B6AA9" w:rsidRDefault="008B6AA9" w:rsidP="00FA19F4">
            <w:pPr>
              <w:pStyle w:val="Tabletext"/>
              <w:rPr>
                <w:b/>
                <w:bCs/>
              </w:rPr>
            </w:pPr>
            <w:r w:rsidRPr="008B6AA9">
              <w:rPr>
                <w:rFonts w:eastAsia="SimSun"/>
                <w:b/>
                <w:bCs/>
              </w:rPr>
              <w:t>Resolution</w:t>
            </w:r>
            <w:r w:rsidR="0088144D">
              <w:rPr>
                <w:rFonts w:eastAsia="SimSun"/>
                <w:b/>
                <w:bCs/>
              </w:rPr>
              <w:t xml:space="preserve"> </w:t>
            </w:r>
            <w:r w:rsidRPr="008B6AA9">
              <w:rPr>
                <w:rFonts w:eastAsia="SimSun"/>
                <w:b/>
                <w:bCs/>
              </w:rPr>
              <w:t>94 (Hammamet, 2016)</w:t>
            </w:r>
            <w:r w:rsidRPr="008B6AA9">
              <w:rPr>
                <w:rFonts w:eastAsia="SimSun" w:hint="eastAsia"/>
                <w:b/>
                <w:bCs/>
              </w:rPr>
              <w:t>,</w:t>
            </w:r>
            <w:r w:rsidRPr="008B6AA9">
              <w:rPr>
                <w:rFonts w:eastAsia="SimSun"/>
                <w:b/>
                <w:bCs/>
              </w:rPr>
              <w:t xml:space="preserve"> Standardization work in the ITU Telecommunication Standardization Sector for cloud</w:t>
            </w:r>
            <w:r w:rsidRPr="008B6AA9">
              <w:rPr>
                <w:rFonts w:eastAsia="SimSun"/>
                <w:b/>
                <w:bCs/>
              </w:rPr>
              <w:noBreakHyphen/>
              <w:t>based event data technology</w:t>
            </w:r>
          </w:p>
        </w:tc>
        <w:tc>
          <w:tcPr>
            <w:tcW w:w="663" w:type="pct"/>
            <w:shd w:val="clear" w:color="auto" w:fill="auto"/>
            <w:vAlign w:val="center"/>
          </w:tcPr>
          <w:p w14:paraId="68C1A5CA" w14:textId="48B32EB7" w:rsidR="008B6AA9" w:rsidRPr="002F183F" w:rsidRDefault="008B6AA9" w:rsidP="008B6AA9">
            <w:pPr>
              <w:pStyle w:val="Tabletext"/>
              <w:jc w:val="center"/>
            </w:pPr>
          </w:p>
        </w:tc>
        <w:tc>
          <w:tcPr>
            <w:tcW w:w="659" w:type="pct"/>
            <w:shd w:val="clear" w:color="auto" w:fill="auto"/>
            <w:vAlign w:val="center"/>
          </w:tcPr>
          <w:p w14:paraId="680225B9" w14:textId="4A44C85A" w:rsidR="008B6AA9" w:rsidRPr="002F183F" w:rsidRDefault="008B6AA9" w:rsidP="00FA19F4">
            <w:pPr>
              <w:pStyle w:val="Tabletext"/>
              <w:jc w:val="center"/>
            </w:pPr>
          </w:p>
        </w:tc>
      </w:tr>
    </w:tbl>
    <w:p w14:paraId="013E94EA" w14:textId="77777777" w:rsidR="008B6AA9" w:rsidRPr="008B6AA9" w:rsidRDefault="008B6AA9" w:rsidP="008B6AA9">
      <w:pPr>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2"/>
        <w:gridCol w:w="1279"/>
      </w:tblGrid>
      <w:tr w:rsidR="00FE6990" w:rsidRPr="005410F4" w14:paraId="67DED505" w14:textId="77777777" w:rsidTr="000D2161">
        <w:trPr>
          <w:cantSplit/>
        </w:trPr>
        <w:tc>
          <w:tcPr>
            <w:tcW w:w="1560" w:type="dxa"/>
            <w:shd w:val="clear" w:color="auto" w:fill="auto"/>
          </w:tcPr>
          <w:p w14:paraId="0614BF1B" w14:textId="77777777" w:rsidR="00FE6990" w:rsidRPr="005410F4" w:rsidRDefault="00FE6990" w:rsidP="00FA19F4">
            <w:pPr>
              <w:pStyle w:val="Tabletext"/>
              <w:rPr>
                <w:b/>
                <w:bCs/>
                <w:szCs w:val="22"/>
              </w:rPr>
            </w:pPr>
            <w:r w:rsidRPr="005410F4">
              <w:rPr>
                <w:b/>
                <w:bCs/>
                <w:szCs w:val="22"/>
              </w:rPr>
              <w:t>94-03</w:t>
            </w:r>
          </w:p>
        </w:tc>
        <w:tc>
          <w:tcPr>
            <w:tcW w:w="6942" w:type="dxa"/>
            <w:shd w:val="clear" w:color="auto" w:fill="auto"/>
          </w:tcPr>
          <w:p w14:paraId="64F42940" w14:textId="77777777" w:rsidR="00FE6990" w:rsidRPr="005410F4" w:rsidRDefault="00FE6990" w:rsidP="00FA19F4">
            <w:pPr>
              <w:pStyle w:val="Tabletext"/>
              <w:rPr>
                <w:b/>
                <w:bCs/>
                <w:szCs w:val="22"/>
              </w:rPr>
            </w:pPr>
            <w:r w:rsidRPr="005410F4">
              <w:rPr>
                <w:b/>
                <w:bCs/>
                <w:szCs w:val="22"/>
              </w:rPr>
              <w:t>TSAG to drive a concerted effort across relevant study groups to accelerate standardization work on cloud-based event data technology (instructs TSAG)</w:t>
            </w:r>
          </w:p>
        </w:tc>
        <w:tc>
          <w:tcPr>
            <w:tcW w:w="1279" w:type="dxa"/>
          </w:tcPr>
          <w:p w14:paraId="05DF702B" w14:textId="77777777" w:rsidR="00FE6990" w:rsidRPr="005410F4" w:rsidRDefault="00FE6990" w:rsidP="00FA19F4">
            <w:pPr>
              <w:pStyle w:val="Tabletext"/>
              <w:rPr>
                <w:szCs w:val="22"/>
              </w:rPr>
            </w:pPr>
            <w:r w:rsidRPr="005410F4">
              <w:rPr>
                <w:szCs w:val="22"/>
              </w:rPr>
              <w:t>For RG-WPR</w:t>
            </w:r>
          </w:p>
        </w:tc>
      </w:tr>
    </w:tbl>
    <w:bookmarkStart w:id="42" w:name="_Toc104459795"/>
    <w:bookmarkStart w:id="43" w:name="_Toc104476603"/>
    <w:bookmarkStart w:id="44" w:name="_Toc111636811"/>
    <w:bookmarkStart w:id="45" w:name="_Toc111638496"/>
    <w:p w14:paraId="6E935B28" w14:textId="21FE37C2" w:rsidR="00B83F86" w:rsidRPr="000D2161" w:rsidRDefault="00107E12" w:rsidP="008B6AA9">
      <w:pPr>
        <w:rPr>
          <w:rStyle w:val="Hyperlink"/>
        </w:rPr>
      </w:pPr>
      <w:r w:rsidRPr="000D2161">
        <w:rPr>
          <w:rStyle w:val="Hyperlink"/>
        </w:rPr>
        <w:fldChar w:fldCharType="begin"/>
      </w:r>
      <w:r w:rsidRPr="000D2161">
        <w:rPr>
          <w:rStyle w:val="Hyperlink"/>
        </w:rPr>
        <w:instrText xml:space="preserve"> HYPERLINK "https://www.itu.int/pub/T-RES-T.94-2022" </w:instrText>
      </w:r>
      <w:r w:rsidRPr="000D2161">
        <w:rPr>
          <w:rStyle w:val="Hyperlink"/>
        </w:rPr>
      </w:r>
      <w:r w:rsidRPr="000D2161">
        <w:rPr>
          <w:rStyle w:val="Hyperlink"/>
        </w:rPr>
        <w:fldChar w:fldCharType="separate"/>
      </w:r>
      <w:r w:rsidR="00A7015D" w:rsidRPr="00107E12">
        <w:rPr>
          <w:rStyle w:val="Hyperlink"/>
        </w:rPr>
        <w:t>RESOLUTION 94 (Hammamet, 2016)</w:t>
      </w:r>
      <w:bookmarkStart w:id="46" w:name="_Toc104459796"/>
      <w:bookmarkStart w:id="47" w:name="_Toc104476604"/>
      <w:bookmarkStart w:id="48" w:name="_Toc111638497"/>
      <w:bookmarkEnd w:id="42"/>
      <w:bookmarkEnd w:id="43"/>
      <w:bookmarkEnd w:id="44"/>
      <w:bookmarkEnd w:id="45"/>
      <w:r w:rsidRPr="00107E12">
        <w:rPr>
          <w:rStyle w:val="Hyperlink"/>
          <w:rFonts w:hint="eastAsia"/>
        </w:rPr>
        <w:t>,</w:t>
      </w:r>
      <w:r w:rsidRPr="00107E12">
        <w:rPr>
          <w:rStyle w:val="Hyperlink"/>
        </w:rPr>
        <w:t xml:space="preserve"> </w:t>
      </w:r>
      <w:r w:rsidR="00A7015D" w:rsidRPr="00107E12">
        <w:rPr>
          <w:rStyle w:val="Hyperlink"/>
        </w:rPr>
        <w:t xml:space="preserve">Standardization work in the ITU Telecommunication Standardization </w:t>
      </w:r>
      <w:r w:rsidRPr="00107E12">
        <w:rPr>
          <w:rStyle w:val="Hyperlink"/>
        </w:rPr>
        <w:t xml:space="preserve"> </w:t>
      </w:r>
      <w:r w:rsidR="00A7015D" w:rsidRPr="00107E12">
        <w:rPr>
          <w:rStyle w:val="Hyperlink"/>
        </w:rPr>
        <w:t>Sector for cloud</w:t>
      </w:r>
      <w:r w:rsidR="00A7015D" w:rsidRPr="00107E12">
        <w:rPr>
          <w:rStyle w:val="Hyperlink"/>
        </w:rPr>
        <w:noBreakHyphen/>
        <w:t>based event data technology</w:t>
      </w:r>
      <w:bookmarkEnd w:id="46"/>
      <w:bookmarkEnd w:id="47"/>
      <w:bookmarkEnd w:id="48"/>
      <w:r w:rsidRPr="000D2161">
        <w:rPr>
          <w:rStyle w:val="Hyperlink"/>
        </w:rPr>
        <w:fldChar w:fldCharType="end"/>
      </w:r>
    </w:p>
    <w:p w14:paraId="2EBCE289" w14:textId="77777777" w:rsidR="00A7015D" w:rsidRPr="000D2161" w:rsidRDefault="00A7015D" w:rsidP="008B6AA9">
      <w:pPr>
        <w:rPr>
          <w:i/>
          <w:iCs/>
        </w:rPr>
      </w:pPr>
      <w:r w:rsidRPr="000D2161">
        <w:rPr>
          <w:i/>
          <w:iCs/>
        </w:rPr>
        <w:t>instructs the Telecommunication Standardization Advisory Group</w:t>
      </w:r>
    </w:p>
    <w:p w14:paraId="1F4B7252" w14:textId="77777777" w:rsidR="00A7015D" w:rsidRPr="000D2161" w:rsidRDefault="00A7015D" w:rsidP="008B6AA9">
      <w:r w:rsidRPr="000D2161">
        <w:lastRenderedPageBreak/>
        <w:t>to drive a concerted effort across relevant study groups to accelerate standardization work on cloud</w:t>
      </w:r>
      <w:r w:rsidRPr="000D2161">
        <w:noBreakHyphen/>
        <w:t>based event data technology,</w:t>
      </w:r>
    </w:p>
    <w:p w14:paraId="5D523D97" w14:textId="77777777" w:rsidR="0088144D" w:rsidRDefault="0088144D" w:rsidP="000D2161">
      <w:pPr>
        <w:rPr>
          <w:b/>
          <w:bCs/>
        </w:rPr>
      </w:pPr>
    </w:p>
    <w:tbl>
      <w:tblPr>
        <w:tblStyle w:val="TableGrid"/>
        <w:tblpPr w:leftFromText="142" w:rightFromText="142" w:vertAnchor="text" w:horzAnchor="margin" w:tblpY="137"/>
        <w:tblW w:w="5000" w:type="pct"/>
        <w:tblLook w:val="04A0" w:firstRow="1" w:lastRow="0" w:firstColumn="1" w:lastColumn="0" w:noHBand="0" w:noVBand="1"/>
      </w:tblPr>
      <w:tblGrid>
        <w:gridCol w:w="7083"/>
        <w:gridCol w:w="1277"/>
        <w:gridCol w:w="1269"/>
      </w:tblGrid>
      <w:tr w:rsidR="0088144D" w:rsidRPr="00380B40" w14:paraId="5225EDE4" w14:textId="77777777" w:rsidTr="00FA19F4">
        <w:trPr>
          <w:cantSplit/>
        </w:trPr>
        <w:tc>
          <w:tcPr>
            <w:tcW w:w="3678" w:type="pct"/>
            <w:shd w:val="clear" w:color="auto" w:fill="auto"/>
            <w:vAlign w:val="center"/>
          </w:tcPr>
          <w:p w14:paraId="69575FE6" w14:textId="77777777" w:rsidR="0088144D" w:rsidRPr="00380B40" w:rsidRDefault="0088144D" w:rsidP="00FA19F4">
            <w:pPr>
              <w:pStyle w:val="Tabletext"/>
              <w:jc w:val="center"/>
              <w:rPr>
                <w:rFonts w:eastAsia="SimSun"/>
              </w:rPr>
            </w:pPr>
            <w:r w:rsidRPr="002F183F">
              <w:t>Resolution</w:t>
            </w:r>
          </w:p>
        </w:tc>
        <w:tc>
          <w:tcPr>
            <w:tcW w:w="663" w:type="pct"/>
            <w:shd w:val="clear" w:color="auto" w:fill="auto"/>
            <w:vAlign w:val="center"/>
          </w:tcPr>
          <w:p w14:paraId="5806EDF1" w14:textId="77777777" w:rsidR="0088144D" w:rsidRPr="00380B40" w:rsidRDefault="0088144D" w:rsidP="00FA19F4">
            <w:pPr>
              <w:pStyle w:val="Tabletext"/>
              <w:jc w:val="center"/>
            </w:pPr>
            <w:r w:rsidRPr="002F183F">
              <w:t>Action</w:t>
            </w:r>
          </w:p>
        </w:tc>
        <w:tc>
          <w:tcPr>
            <w:tcW w:w="659" w:type="pct"/>
            <w:shd w:val="clear" w:color="auto" w:fill="auto"/>
            <w:vAlign w:val="center"/>
          </w:tcPr>
          <w:p w14:paraId="1CE32C44" w14:textId="77777777" w:rsidR="0088144D" w:rsidRPr="00380B40" w:rsidRDefault="0088144D" w:rsidP="00FA19F4">
            <w:pPr>
              <w:pStyle w:val="Tabletext"/>
              <w:jc w:val="center"/>
            </w:pPr>
            <w:r w:rsidRPr="002F183F">
              <w:t>Document</w:t>
            </w:r>
          </w:p>
        </w:tc>
      </w:tr>
      <w:tr w:rsidR="0088144D" w:rsidRPr="00380B40" w14:paraId="00ECA2C7" w14:textId="77777777" w:rsidTr="00FA19F4">
        <w:trPr>
          <w:cantSplit/>
        </w:trPr>
        <w:tc>
          <w:tcPr>
            <w:tcW w:w="3678" w:type="pct"/>
            <w:shd w:val="clear" w:color="auto" w:fill="auto"/>
            <w:vAlign w:val="center"/>
          </w:tcPr>
          <w:p w14:paraId="2E6A1A12" w14:textId="77777777" w:rsidR="0088144D" w:rsidRPr="0088144D" w:rsidRDefault="0088144D" w:rsidP="0088144D">
            <w:pPr>
              <w:pStyle w:val="Tabletext"/>
              <w:rPr>
                <w:b/>
                <w:bCs/>
                <w:iCs/>
                <w:lang w:eastAsia="ja-JP"/>
              </w:rPr>
            </w:pPr>
            <w:r w:rsidRPr="0088144D">
              <w:rPr>
                <w:rFonts w:eastAsia="SimSun"/>
                <w:b/>
                <w:bCs/>
              </w:rPr>
              <w:t xml:space="preserve">New Resolution [ARB-3] </w:t>
            </w:r>
            <w:r w:rsidRPr="0088144D">
              <w:rPr>
                <w:b/>
                <w:bCs/>
              </w:rPr>
              <w:t xml:space="preserve">– </w:t>
            </w:r>
            <w:r w:rsidRPr="0088144D">
              <w:rPr>
                <w:b/>
                <w:bCs/>
                <w:iCs/>
                <w:lang w:eastAsia="ja-JP"/>
              </w:rPr>
              <w:t>An analysis of Organizational Reform of ITU Standardization Sector study groups</w:t>
            </w:r>
          </w:p>
          <w:p w14:paraId="7B8BE5D1" w14:textId="3776EA00" w:rsidR="0088144D" w:rsidRPr="008B6AA9" w:rsidRDefault="0088144D" w:rsidP="0088144D">
            <w:pPr>
              <w:pStyle w:val="Tabletext"/>
              <w:rPr>
                <w:rFonts w:eastAsia="SimSun"/>
                <w:b/>
                <w:bCs/>
              </w:rPr>
            </w:pPr>
            <w:r w:rsidRPr="0088144D">
              <w:rPr>
                <w:rFonts w:eastAsia="SimSun"/>
                <w:b/>
                <w:bCs/>
              </w:rPr>
              <w:t>New Resolution [</w:t>
            </w:r>
            <w:r w:rsidRPr="0088144D">
              <w:rPr>
                <w:b/>
                <w:bCs/>
                <w:iCs/>
                <w:lang w:eastAsia="ja-JP"/>
              </w:rPr>
              <w:t>IAP-1</w:t>
            </w:r>
            <w:r w:rsidRPr="0088144D">
              <w:rPr>
                <w:rFonts w:eastAsia="SimSun"/>
                <w:b/>
                <w:bCs/>
              </w:rPr>
              <w:t xml:space="preserve">] </w:t>
            </w:r>
            <w:r w:rsidRPr="0088144D">
              <w:rPr>
                <w:b/>
                <w:bCs/>
              </w:rPr>
              <w:t xml:space="preserve">– </w:t>
            </w:r>
            <w:r w:rsidRPr="0088144D">
              <w:rPr>
                <w:b/>
                <w:bCs/>
                <w:iCs/>
                <w:lang w:eastAsia="ja-JP"/>
              </w:rPr>
              <w:t>Towards a more effective, efficient, fit for purpose, and inclusive ITU Standardization Sector</w:t>
            </w:r>
          </w:p>
        </w:tc>
        <w:tc>
          <w:tcPr>
            <w:tcW w:w="663" w:type="pct"/>
            <w:shd w:val="clear" w:color="auto" w:fill="auto"/>
            <w:vAlign w:val="center"/>
          </w:tcPr>
          <w:p w14:paraId="40FC7557" w14:textId="528E2E86" w:rsidR="0088144D" w:rsidRPr="0088144D" w:rsidRDefault="0088144D" w:rsidP="0088144D">
            <w:pPr>
              <w:pStyle w:val="Tabletext"/>
              <w:jc w:val="center"/>
            </w:pPr>
            <w:r w:rsidRPr="00380B40">
              <w:t>ADD</w:t>
            </w:r>
          </w:p>
        </w:tc>
        <w:tc>
          <w:tcPr>
            <w:tcW w:w="659" w:type="pct"/>
            <w:shd w:val="clear" w:color="auto" w:fill="auto"/>
            <w:vAlign w:val="center"/>
          </w:tcPr>
          <w:p w14:paraId="302E7288" w14:textId="339B9A41" w:rsidR="0088144D" w:rsidRPr="002F183F" w:rsidRDefault="00922BAD" w:rsidP="0088144D">
            <w:pPr>
              <w:pStyle w:val="Tabletext"/>
              <w:jc w:val="center"/>
            </w:pPr>
            <w:hyperlink r:id="rId25" w:history="1">
              <w:r w:rsidR="0088144D" w:rsidRPr="00380B40">
                <w:rPr>
                  <w:rStyle w:val="Hyperlink"/>
                  <w:szCs w:val="24"/>
                </w:rPr>
                <w:t>86</w:t>
              </w:r>
            </w:hyperlink>
          </w:p>
        </w:tc>
      </w:tr>
    </w:tbl>
    <w:p w14:paraId="50901564" w14:textId="6C073BE5" w:rsidR="000D2161" w:rsidRPr="000D2161" w:rsidRDefault="000D2161" w:rsidP="000D2161">
      <w:pPr>
        <w:rPr>
          <w:rStyle w:val="Hyperlink"/>
        </w:rPr>
      </w:pPr>
    </w:p>
    <w:p w14:paraId="594D9DFF" w14:textId="77777777" w:rsidR="000D2161" w:rsidRPr="000D2161" w:rsidRDefault="000D2161" w:rsidP="00D117EA"/>
    <w:p w14:paraId="6FB6E625" w14:textId="0EF30BB5" w:rsidR="00171172" w:rsidRPr="00171172" w:rsidRDefault="00171172" w:rsidP="00D117EA">
      <w:pPr>
        <w:pStyle w:val="ListParagraph"/>
        <w:numPr>
          <w:ilvl w:val="0"/>
          <w:numId w:val="13"/>
        </w:numPr>
        <w:tabs>
          <w:tab w:val="left" w:pos="630"/>
        </w:tabs>
        <w:ind w:left="360"/>
        <w:rPr>
          <w:b/>
          <w:bCs/>
          <w:sz w:val="32"/>
          <w:szCs w:val="32"/>
        </w:rPr>
      </w:pPr>
      <w:r>
        <w:rPr>
          <w:b/>
          <w:bCs/>
          <w:sz w:val="32"/>
          <w:szCs w:val="32"/>
        </w:rPr>
        <w:t>Reference material</w:t>
      </w:r>
      <w:r w:rsidRPr="00D10BBA">
        <w:rPr>
          <w:b/>
          <w:bCs/>
          <w:sz w:val="32"/>
          <w:szCs w:val="32"/>
        </w:rPr>
        <w:t xml:space="preserve"> related to </w:t>
      </w:r>
      <w:r w:rsidRPr="00171172">
        <w:rPr>
          <w:b/>
          <w:bCs/>
          <w:sz w:val="32"/>
          <w:szCs w:val="32"/>
        </w:rPr>
        <w:t>Restructuring</w:t>
      </w:r>
    </w:p>
    <w:p w14:paraId="5881D666" w14:textId="3F967BCB" w:rsidR="00A42C39" w:rsidRPr="00A42C39" w:rsidRDefault="00A42C39" w:rsidP="00D117EA">
      <w:pPr>
        <w:pStyle w:val="ListParagraph"/>
        <w:keepNext/>
        <w:numPr>
          <w:ilvl w:val="0"/>
          <w:numId w:val="38"/>
        </w:numPr>
        <w:tabs>
          <w:tab w:val="left" w:pos="630"/>
        </w:tabs>
        <w:spacing w:before="360"/>
        <w:ind w:left="360"/>
        <w:outlineLvl w:val="0"/>
        <w:rPr>
          <w:b/>
          <w:bCs/>
          <w:sz w:val="32"/>
          <w:szCs w:val="32"/>
        </w:rPr>
      </w:pPr>
      <w:r w:rsidRPr="00A42C39">
        <w:rPr>
          <w:b/>
          <w:bCs/>
          <w:sz w:val="32"/>
          <w:szCs w:val="32"/>
        </w:rPr>
        <w:t xml:space="preserve">WTSA20 results related to </w:t>
      </w:r>
      <w:r w:rsidRPr="00171172">
        <w:rPr>
          <w:b/>
          <w:bCs/>
          <w:sz w:val="32"/>
          <w:szCs w:val="32"/>
        </w:rPr>
        <w:t>Restructuring</w:t>
      </w:r>
      <w:r w:rsidRPr="00A42C39">
        <w:rPr>
          <w:b/>
          <w:bCs/>
          <w:sz w:val="32"/>
          <w:szCs w:val="32"/>
        </w:rPr>
        <w:t xml:space="preserve"> </w:t>
      </w:r>
    </w:p>
    <w:p w14:paraId="4ACAC488" w14:textId="590B8AAB" w:rsidR="00C4772E" w:rsidRDefault="00A15F0A" w:rsidP="003605EF">
      <w:pPr>
        <w:spacing w:after="120"/>
      </w:pPr>
      <w:r>
        <w:t>WTSA20 added a new Resolution</w:t>
      </w:r>
      <w:r w:rsidR="00992C4F">
        <w:t xml:space="preserve"> 99</w:t>
      </w:r>
      <w:r>
        <w:t>, a copy of which appears in Annex 1 of this TD, that resolve</w:t>
      </w:r>
      <w:r w:rsidR="00D117EA">
        <w:t>s</w:t>
      </w:r>
      <w:r>
        <w:t xml:space="preserve"> </w:t>
      </w:r>
      <w:r w:rsidR="003C0297">
        <w:t>to implement the action plan for the analysis of ITU-T study group restructuring that was</w:t>
      </w:r>
      <w:r w:rsidR="008C6D10">
        <w:rPr>
          <w:rFonts w:hint="eastAsia"/>
        </w:rPr>
        <w:t xml:space="preserve"> </w:t>
      </w:r>
      <w:r w:rsidR="003C0297">
        <w:t>produced by TSAG;</w:t>
      </w:r>
      <w:r w:rsidR="00D117EA">
        <w:t xml:space="preserve"> </w:t>
      </w:r>
      <w:r w:rsidR="003C0297">
        <w:t>that TSAG has the responsibility to manage the analysis of ITU-T study group restructuring</w:t>
      </w:r>
      <w:r w:rsidR="00D117EA">
        <w:t xml:space="preserve"> </w:t>
      </w:r>
      <w:r w:rsidR="003C0297">
        <w:t>based upon contributions to TSAG from Member States and ITU-T Sector Members;</w:t>
      </w:r>
      <w:r w:rsidR="00D117EA">
        <w:t xml:space="preserve"> and t</w:t>
      </w:r>
      <w:r w:rsidR="003C0297">
        <w:t>hat the output of the possible reform and review is guidance for the next WTSA and its</w:t>
      </w:r>
      <w:r w:rsidR="00D117EA">
        <w:t xml:space="preserve"> </w:t>
      </w:r>
      <w:r w:rsidR="003C0297">
        <w:t>implementation is not mandatory</w:t>
      </w:r>
      <w:r w:rsidR="00D117EA">
        <w:t>.</w:t>
      </w:r>
      <w:r w:rsidR="003605EF">
        <w:t xml:space="preserve">  It specifically </w:t>
      </w:r>
      <w:r w:rsidR="003C0297">
        <w:t xml:space="preserve">instructs </w:t>
      </w:r>
      <w:r w:rsidR="003605EF">
        <w:t xml:space="preserve">TSAG </w:t>
      </w:r>
      <w:r w:rsidR="003C0297">
        <w:t>to undertake, monitor and guide the work through a rapporteur group or other appropriate</w:t>
      </w:r>
      <w:r w:rsidR="003605EF">
        <w:t xml:space="preserve"> </w:t>
      </w:r>
      <w:r w:rsidR="003C0297">
        <w:t>group, and make a progress report on the analysis at each TSAG meeting;</w:t>
      </w:r>
      <w:r w:rsidR="003605EF">
        <w:t xml:space="preserve"> </w:t>
      </w:r>
      <w:r w:rsidR="003C0297">
        <w:t>to provide a progress report on the analysis to the study groups after each TSAG meeting;</w:t>
      </w:r>
      <w:r w:rsidR="003605EF">
        <w:t xml:space="preserve"> and </w:t>
      </w:r>
      <w:r w:rsidR="003C0297">
        <w:t>to submit a report with recommendations for consideration by the next WTSA</w:t>
      </w:r>
      <w:r w:rsidR="003605EF">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gridCol w:w="1276"/>
      </w:tblGrid>
      <w:tr w:rsidR="00781625" w:rsidRPr="005410F4" w14:paraId="0083A7E0" w14:textId="77777777" w:rsidTr="00A8369A">
        <w:trPr>
          <w:cantSplit/>
        </w:trPr>
        <w:tc>
          <w:tcPr>
            <w:tcW w:w="1560" w:type="dxa"/>
            <w:shd w:val="clear" w:color="auto" w:fill="auto"/>
          </w:tcPr>
          <w:p w14:paraId="151586E5" w14:textId="77777777" w:rsidR="00781625" w:rsidRPr="005410F4" w:rsidRDefault="00781625" w:rsidP="00A8369A">
            <w:pPr>
              <w:pStyle w:val="Tabletext"/>
              <w:rPr>
                <w:b/>
                <w:bCs/>
                <w:szCs w:val="22"/>
              </w:rPr>
            </w:pPr>
            <w:r w:rsidRPr="005410F4">
              <w:rPr>
                <w:b/>
                <w:bCs/>
                <w:szCs w:val="22"/>
              </w:rPr>
              <w:t>99-01</w:t>
            </w:r>
          </w:p>
          <w:p w14:paraId="75E4A973" w14:textId="77777777" w:rsidR="00781625" w:rsidRPr="005410F4" w:rsidRDefault="00781625" w:rsidP="00A8369A">
            <w:pPr>
              <w:pStyle w:val="Tabletext"/>
              <w:keepNext/>
              <w:keepLines/>
              <w:rPr>
                <w:b/>
                <w:bCs/>
                <w:szCs w:val="22"/>
              </w:rPr>
            </w:pPr>
            <w:r w:rsidRPr="005410F4">
              <w:rPr>
                <w:b/>
                <w:bCs/>
                <w:szCs w:val="22"/>
              </w:rPr>
              <w:t>ITU-T SG restructuring</w:t>
            </w:r>
          </w:p>
        </w:tc>
        <w:tc>
          <w:tcPr>
            <w:tcW w:w="6945" w:type="dxa"/>
            <w:shd w:val="clear" w:color="auto" w:fill="auto"/>
          </w:tcPr>
          <w:p w14:paraId="60458BB3" w14:textId="77777777" w:rsidR="00781625" w:rsidRPr="005410F4" w:rsidRDefault="00781625" w:rsidP="00A8369A">
            <w:pPr>
              <w:pStyle w:val="Tabletext"/>
              <w:keepNext/>
              <w:keepLines/>
              <w:rPr>
                <w:b/>
                <w:bCs/>
                <w:szCs w:val="22"/>
              </w:rPr>
            </w:pPr>
            <w:r w:rsidRPr="005410F4">
              <w:rPr>
                <w:b/>
                <w:bCs/>
                <w:szCs w:val="22"/>
              </w:rPr>
              <w:t>TSAG to implement the action plan for the analysis of ITU-T study group restructuring, and to undertake, monitor and guide the work through a rapporteur group or other appropriate group, and make a progress report on the analysis at each TSAG meeting (instructs TSAG 1)</w:t>
            </w:r>
          </w:p>
        </w:tc>
        <w:tc>
          <w:tcPr>
            <w:tcW w:w="1276" w:type="dxa"/>
          </w:tcPr>
          <w:p w14:paraId="670D33A8" w14:textId="77777777" w:rsidR="00781625" w:rsidRPr="005410F4" w:rsidRDefault="00781625" w:rsidP="00A8369A">
            <w:pPr>
              <w:pStyle w:val="Tabletext"/>
              <w:keepNext/>
              <w:keepLines/>
              <w:rPr>
                <w:szCs w:val="22"/>
              </w:rPr>
            </w:pPr>
            <w:r w:rsidRPr="005410F4">
              <w:rPr>
                <w:szCs w:val="22"/>
              </w:rPr>
              <w:t>For RG-WPR</w:t>
            </w:r>
          </w:p>
        </w:tc>
      </w:tr>
      <w:tr w:rsidR="00781625" w:rsidRPr="005410F4" w14:paraId="0AEB9404" w14:textId="77777777" w:rsidTr="00A8369A">
        <w:trPr>
          <w:cantSplit/>
        </w:trPr>
        <w:tc>
          <w:tcPr>
            <w:tcW w:w="1560" w:type="dxa"/>
            <w:shd w:val="clear" w:color="auto" w:fill="auto"/>
          </w:tcPr>
          <w:p w14:paraId="55CBE8CE" w14:textId="77777777" w:rsidR="00781625" w:rsidRPr="005410F4" w:rsidRDefault="00781625" w:rsidP="00A8369A">
            <w:pPr>
              <w:pStyle w:val="Tabletext"/>
              <w:rPr>
                <w:b/>
                <w:bCs/>
                <w:szCs w:val="22"/>
              </w:rPr>
            </w:pPr>
            <w:r w:rsidRPr="005410F4">
              <w:rPr>
                <w:b/>
                <w:bCs/>
                <w:szCs w:val="22"/>
              </w:rPr>
              <w:t>99-02</w:t>
            </w:r>
          </w:p>
        </w:tc>
        <w:tc>
          <w:tcPr>
            <w:tcW w:w="6945" w:type="dxa"/>
            <w:shd w:val="clear" w:color="auto" w:fill="auto"/>
          </w:tcPr>
          <w:p w14:paraId="0AAF1C07" w14:textId="77777777" w:rsidR="00781625" w:rsidRPr="005410F4" w:rsidRDefault="00781625" w:rsidP="00A8369A">
            <w:pPr>
              <w:pStyle w:val="Tabletext"/>
              <w:keepNext/>
              <w:keepLines/>
              <w:rPr>
                <w:b/>
                <w:bCs/>
                <w:szCs w:val="22"/>
              </w:rPr>
            </w:pPr>
            <w:r w:rsidRPr="005410F4">
              <w:rPr>
                <w:b/>
                <w:bCs/>
                <w:szCs w:val="22"/>
              </w:rPr>
              <w:t>TSAG to provide a progress report on the analysis to the study groups after each TSAG meeting (instructs TSAG 2)</w:t>
            </w:r>
          </w:p>
        </w:tc>
        <w:tc>
          <w:tcPr>
            <w:tcW w:w="1276" w:type="dxa"/>
          </w:tcPr>
          <w:p w14:paraId="7AD2FAC7" w14:textId="77777777" w:rsidR="00781625" w:rsidRPr="005410F4" w:rsidRDefault="00781625" w:rsidP="00A8369A">
            <w:pPr>
              <w:pStyle w:val="Tabletext"/>
              <w:keepNext/>
              <w:keepLines/>
              <w:rPr>
                <w:szCs w:val="22"/>
              </w:rPr>
            </w:pPr>
            <w:r w:rsidRPr="005410F4">
              <w:rPr>
                <w:szCs w:val="22"/>
              </w:rPr>
              <w:t>For RG-WPR</w:t>
            </w:r>
          </w:p>
        </w:tc>
      </w:tr>
      <w:tr w:rsidR="00781625" w:rsidRPr="005410F4" w14:paraId="6257EE67" w14:textId="77777777" w:rsidTr="00A8369A">
        <w:trPr>
          <w:cantSplit/>
        </w:trPr>
        <w:tc>
          <w:tcPr>
            <w:tcW w:w="1560" w:type="dxa"/>
            <w:shd w:val="clear" w:color="auto" w:fill="auto"/>
          </w:tcPr>
          <w:p w14:paraId="0A9A0A57" w14:textId="77777777" w:rsidR="00781625" w:rsidRPr="005410F4" w:rsidRDefault="00781625" w:rsidP="00A8369A">
            <w:pPr>
              <w:pStyle w:val="Tabletext"/>
              <w:keepNext/>
              <w:keepLines/>
              <w:rPr>
                <w:b/>
                <w:bCs/>
                <w:szCs w:val="22"/>
              </w:rPr>
            </w:pPr>
            <w:r w:rsidRPr="005410F4">
              <w:rPr>
                <w:b/>
                <w:bCs/>
                <w:szCs w:val="22"/>
              </w:rPr>
              <w:t>99-03</w:t>
            </w:r>
          </w:p>
        </w:tc>
        <w:tc>
          <w:tcPr>
            <w:tcW w:w="6945" w:type="dxa"/>
            <w:shd w:val="clear" w:color="auto" w:fill="auto"/>
          </w:tcPr>
          <w:p w14:paraId="528B5783" w14:textId="77777777" w:rsidR="00781625" w:rsidRPr="005410F4" w:rsidRDefault="00781625" w:rsidP="00A8369A">
            <w:pPr>
              <w:pStyle w:val="Tabletext"/>
              <w:keepNext/>
              <w:keepLines/>
              <w:rPr>
                <w:b/>
                <w:bCs/>
                <w:szCs w:val="22"/>
              </w:rPr>
            </w:pPr>
            <w:r w:rsidRPr="005410F4">
              <w:rPr>
                <w:b/>
                <w:bCs/>
                <w:szCs w:val="22"/>
              </w:rPr>
              <w:t>TSAG to submit a report with recommendations for consideration by the next WTSA (instructs TSAG 3)</w:t>
            </w:r>
          </w:p>
        </w:tc>
        <w:tc>
          <w:tcPr>
            <w:tcW w:w="1276" w:type="dxa"/>
          </w:tcPr>
          <w:p w14:paraId="46A9275D" w14:textId="77777777" w:rsidR="00781625" w:rsidRPr="005410F4" w:rsidRDefault="00781625" w:rsidP="00A8369A">
            <w:pPr>
              <w:pStyle w:val="Tabletext"/>
              <w:keepNext/>
              <w:keepLines/>
              <w:rPr>
                <w:szCs w:val="22"/>
              </w:rPr>
            </w:pPr>
            <w:r w:rsidRPr="005410F4">
              <w:rPr>
                <w:szCs w:val="22"/>
              </w:rPr>
              <w:t>For RG-WPR</w:t>
            </w:r>
          </w:p>
        </w:tc>
      </w:tr>
    </w:tbl>
    <w:p w14:paraId="34A33B99" w14:textId="50D39564" w:rsidR="003605EF" w:rsidRPr="003605EF" w:rsidRDefault="003605EF" w:rsidP="003605EF">
      <w:pPr>
        <w:pStyle w:val="ListParagraph"/>
        <w:keepNext/>
        <w:numPr>
          <w:ilvl w:val="0"/>
          <w:numId w:val="38"/>
        </w:numPr>
        <w:tabs>
          <w:tab w:val="left" w:pos="630"/>
        </w:tabs>
        <w:spacing w:before="360"/>
        <w:ind w:left="360"/>
        <w:outlineLvl w:val="0"/>
        <w:rPr>
          <w:b/>
          <w:bCs/>
          <w:sz w:val="32"/>
          <w:szCs w:val="32"/>
        </w:rPr>
      </w:pPr>
      <w:r w:rsidRPr="003605EF">
        <w:rPr>
          <w:b/>
          <w:bCs/>
          <w:sz w:val="32"/>
          <w:szCs w:val="32"/>
        </w:rPr>
        <w:t xml:space="preserve">Action plan for the analysis of ITU-T study group restructuring that was </w:t>
      </w:r>
      <w:r>
        <w:rPr>
          <w:b/>
          <w:bCs/>
          <w:sz w:val="32"/>
          <w:szCs w:val="32"/>
        </w:rPr>
        <w:t>p</w:t>
      </w:r>
      <w:r w:rsidRPr="003605EF">
        <w:rPr>
          <w:b/>
          <w:bCs/>
          <w:sz w:val="32"/>
          <w:szCs w:val="32"/>
        </w:rPr>
        <w:t xml:space="preserve">roduced by TSAG </w:t>
      </w:r>
    </w:p>
    <w:p w14:paraId="222D0846" w14:textId="536CAA03" w:rsidR="003605EF" w:rsidRDefault="007C2F5A" w:rsidP="003605EF">
      <w:pPr>
        <w:spacing w:after="120"/>
      </w:pPr>
      <w:r>
        <w:t xml:space="preserve">During the study period that led up to WTSA20, TSAG created an </w:t>
      </w:r>
      <w:r w:rsidR="001D5EB1">
        <w:t xml:space="preserve">draft </w:t>
      </w:r>
      <w:r>
        <w:t>action plan</w:t>
      </w:r>
      <w:r w:rsidR="001D5EB1">
        <w:t xml:space="preserve"> </w:t>
      </w:r>
      <w:r w:rsidR="001D5EB1" w:rsidRPr="001D5EB1">
        <w:t>for the analysis of ITU-T Study group restructuring</w:t>
      </w:r>
      <w:r w:rsidR="00D93E3A">
        <w:t>,</w:t>
      </w:r>
      <w:r w:rsidR="00D93E3A" w:rsidRPr="00D93E3A">
        <w:t xml:space="preserve"> </w:t>
      </w:r>
      <w:r w:rsidR="00D93E3A">
        <w:t>a copy of which appears in Annex 2 of this TD,</w:t>
      </w:r>
      <w:r w:rsidR="00741F48">
        <w:t xml:space="preserve"> that was submitted to WTSA20 in </w:t>
      </w:r>
      <w:hyperlink r:id="rId26" w:history="1">
        <w:r w:rsidR="00741F48" w:rsidRPr="00477FFC">
          <w:rPr>
            <w:rStyle w:val="Hyperlink"/>
          </w:rPr>
          <w:t>C23</w:t>
        </w:r>
      </w:hyperlink>
      <w:r w:rsidR="00741F48">
        <w:t>.</w:t>
      </w:r>
      <w:r w:rsidR="001D5EB1">
        <w:t xml:space="preserve">  It is this action plan that is referenced in WTSA Resolution [COM4-1] and which has been assigned to RG-WPR to </w:t>
      </w:r>
      <w:r w:rsidR="005F6549" w:rsidRPr="005F6549">
        <w:t>manage the analysis of ITU-T study group restructuring based upon contributions to TSAG from Member States and ITU-T Sector Members</w:t>
      </w:r>
      <w:r w:rsidR="001D5EB1">
        <w:t>.</w:t>
      </w:r>
    </w:p>
    <w:p w14:paraId="53B4E575" w14:textId="77777777" w:rsidR="00AE0C0F" w:rsidRDefault="00AE0C0F" w:rsidP="003605EF">
      <w:pPr>
        <w:spacing w:after="120"/>
      </w:pPr>
      <w:r>
        <w:t xml:space="preserve">In reporting the draft action plan to WTSA-20, TSAG reported the following in </w:t>
      </w:r>
      <w:hyperlink r:id="rId27" w:history="1">
        <w:r w:rsidRPr="00477FFC">
          <w:rPr>
            <w:rStyle w:val="Hyperlink"/>
          </w:rPr>
          <w:t>C23</w:t>
        </w:r>
      </w:hyperlink>
      <w:r>
        <w:t>:</w:t>
      </w:r>
    </w:p>
    <w:p w14:paraId="0AC30484" w14:textId="5BBAEEC4" w:rsidR="00AE0C0F" w:rsidRPr="00B21CBD" w:rsidRDefault="007229DE" w:rsidP="00115BC6">
      <w:pPr>
        <w:keepNext/>
        <w:keepLines/>
      </w:pPr>
      <w:r>
        <w:lastRenderedPageBreak/>
        <w:t>RG-WP considered several contributions that proposed principles for restructuring of ITU-T study groups, and initial restructuring proposals. The high-level restructuring principles and various restructuring proposals were collected and consolidated. TSAG liaised the material with the ITU-T study groups and the regional organizations.</w:t>
      </w:r>
      <w:r w:rsidR="001A4C61">
        <w:t xml:space="preserve"> … </w:t>
      </w:r>
      <w:r w:rsidRPr="00B24AA1">
        <w:t xml:space="preserve">There was wide support and general thrust </w:t>
      </w:r>
      <w:r>
        <w:t>at TSAG</w:t>
      </w:r>
      <w:r w:rsidRPr="00B24AA1">
        <w:t xml:space="preserve"> for maintaining the current study group structure at WTSA</w:t>
      </w:r>
      <w:r>
        <w:t>-</w:t>
      </w:r>
      <w:r w:rsidR="00115BC6">
        <w:t>20</w:t>
      </w:r>
      <w:r w:rsidR="00C363E0">
        <w:t xml:space="preserve"> …</w:t>
      </w:r>
      <w:r>
        <w:t xml:space="preserve"> However,</w:t>
      </w:r>
      <w:r w:rsidRPr="00B24AA1">
        <w:t xml:space="preserve"> </w:t>
      </w:r>
      <w:r>
        <w:t xml:space="preserve">TSAG recognized </w:t>
      </w:r>
      <w:r w:rsidRPr="00B24AA1">
        <w:t>the need to conduct a thorough analysis of the feasibility of revising the study group structure before WTSA-24.</w:t>
      </w:r>
    </w:p>
    <w:p w14:paraId="170A39FD" w14:textId="633EE53D" w:rsidR="006C05F5" w:rsidRDefault="006C05F5">
      <w:pPr>
        <w:spacing w:before="0" w:after="160" w:line="259" w:lineRule="auto"/>
        <w:rPr>
          <w:lang w:val="en-US"/>
        </w:rPr>
      </w:pPr>
      <w:r>
        <w:rPr>
          <w:lang w:val="en-US"/>
        </w:rPr>
        <w:br w:type="page"/>
      </w:r>
    </w:p>
    <w:p w14:paraId="7EED3763" w14:textId="1F11A000" w:rsidR="006C05F5" w:rsidRDefault="006C05F5" w:rsidP="008C5A9A">
      <w:pPr>
        <w:jc w:val="center"/>
        <w:rPr>
          <w:lang w:val="en-US"/>
        </w:rPr>
      </w:pPr>
      <w:r>
        <w:rPr>
          <w:lang w:val="en-US"/>
        </w:rPr>
        <w:lastRenderedPageBreak/>
        <w:t>Annex 1</w:t>
      </w:r>
    </w:p>
    <w:p w14:paraId="35BD048D" w14:textId="4833020D" w:rsidR="006C05F5" w:rsidRDefault="006C05F5" w:rsidP="006C05F5">
      <w:pPr>
        <w:autoSpaceDE w:val="0"/>
        <w:autoSpaceDN w:val="0"/>
        <w:adjustRightInd w:val="0"/>
        <w:spacing w:before="0"/>
        <w:jc w:val="center"/>
        <w:rPr>
          <w:rFonts w:ascii="TimesNewRomanPSMT" w:hAnsi="TimesNewRomanPSMT" w:cs="TimesNewRomanPSMT"/>
          <w:sz w:val="27"/>
          <w:szCs w:val="27"/>
          <w:lang w:val="en-US" w:eastAsia="zh-CN"/>
        </w:rPr>
      </w:pPr>
      <w:r>
        <w:rPr>
          <w:rFonts w:ascii="TimesNewRomanPSMT" w:hAnsi="TimesNewRomanPSMT" w:cs="TimesNewRomanPSMT"/>
          <w:sz w:val="28"/>
          <w:szCs w:val="28"/>
          <w:lang w:val="en-US" w:eastAsia="zh-CN"/>
        </w:rPr>
        <w:t xml:space="preserve">RESOLUTION </w:t>
      </w:r>
      <w:r w:rsidR="00992C4F">
        <w:rPr>
          <w:rFonts w:ascii="TimesNewRomanPSMT" w:hAnsi="TimesNewRomanPSMT" w:cs="TimesNewRomanPSMT"/>
          <w:sz w:val="28"/>
          <w:szCs w:val="28"/>
          <w:lang w:val="en-US" w:eastAsia="zh-CN"/>
        </w:rPr>
        <w:t>99</w:t>
      </w:r>
    </w:p>
    <w:p w14:paraId="3B788550" w14:textId="29924DCA" w:rsidR="006C05F5" w:rsidRDefault="006C05F5" w:rsidP="006C05F5">
      <w:pPr>
        <w:autoSpaceDE w:val="0"/>
        <w:autoSpaceDN w:val="0"/>
        <w:adjustRightInd w:val="0"/>
        <w:spacing w:before="0"/>
        <w:jc w:val="center"/>
        <w:rPr>
          <w:rFonts w:ascii="TimesNewRomanPS-BoldMT" w:hAnsi="TimesNewRomanPS-BoldMT" w:cs="TimesNewRomanPS-BoldMT"/>
          <w:b/>
          <w:bCs/>
          <w:sz w:val="28"/>
          <w:szCs w:val="28"/>
          <w:lang w:val="en-US" w:eastAsia="zh-CN"/>
        </w:rPr>
      </w:pPr>
      <w:r>
        <w:rPr>
          <w:rFonts w:ascii="TimesNewRomanPS-BoldMT" w:hAnsi="TimesNewRomanPS-BoldMT" w:cs="TimesNewRomanPS-BoldMT"/>
          <w:b/>
          <w:bCs/>
          <w:sz w:val="28"/>
          <w:szCs w:val="28"/>
          <w:lang w:val="en-US" w:eastAsia="zh-CN"/>
        </w:rPr>
        <w:t>Consideration of organizational reform of the ITU Telecommunication Standardization Sector study groups</w:t>
      </w:r>
    </w:p>
    <w:p w14:paraId="199F1C11" w14:textId="6CBF0A0F" w:rsidR="006C05F5" w:rsidRDefault="006C05F5" w:rsidP="006C05F5">
      <w:pPr>
        <w:autoSpaceDE w:val="0"/>
        <w:autoSpaceDN w:val="0"/>
        <w:adjustRightInd w:val="0"/>
        <w:spacing w:before="0"/>
        <w:jc w:val="center"/>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(Geneva, 2022)</w:t>
      </w:r>
    </w:p>
    <w:p w14:paraId="77F1CCD2" w14:textId="77777777" w:rsidR="006C05F5" w:rsidRDefault="006C05F5" w:rsidP="006C05F5">
      <w:pPr>
        <w:autoSpaceDE w:val="0"/>
        <w:autoSpaceDN w:val="0"/>
        <w:adjustRightInd w:val="0"/>
        <w:spacing w:before="0"/>
        <w:jc w:val="center"/>
        <w:rPr>
          <w:rFonts w:ascii="TimesNewRomanPS-ItalicMT" w:hAnsi="TimesNewRomanPS-ItalicMT" w:cs="TimesNewRomanPS-ItalicMT"/>
          <w:i/>
          <w:iCs/>
          <w:lang w:val="en-US" w:eastAsia="zh-CN"/>
        </w:rPr>
      </w:pPr>
    </w:p>
    <w:p w14:paraId="08046F07"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World Telecommunication Standardization Assembly (Geneva, 2022),</w:t>
      </w:r>
    </w:p>
    <w:p w14:paraId="2D241186"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recalling</w:t>
      </w:r>
    </w:p>
    <w:p w14:paraId="5BC0FB13" w14:textId="5A43217D"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No. 105 of the ITU Constitution and No. 197 of the ITU Convention;</w:t>
      </w:r>
      <w:r w:rsidR="00D93E3A">
        <w:rPr>
          <w:rFonts w:ascii="TimesNewRomanPSMT" w:hAnsi="TimesNewRomanPSMT" w:cs="TimesNewRomanPSMT"/>
          <w:lang w:val="en-US" w:eastAsia="zh-CN"/>
        </w:rPr>
        <w:t xml:space="preserve"> </w:t>
      </w:r>
    </w:p>
    <w:p w14:paraId="156CE6FD"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Resolution 151 (Rev. Dubai, 2018) of the Plenipotentiary Conference, on improvement of</w:t>
      </w:r>
    </w:p>
    <w:p w14:paraId="0DE63EA5"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results-based management in ITU,</w:t>
      </w:r>
    </w:p>
    <w:p w14:paraId="54FE0566"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considering</w:t>
      </w:r>
    </w:p>
    <w:p w14:paraId="23C6F0A6" w14:textId="2144B3B9"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the provisions of the Constitution and Convention related to strategic goals and objectives</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of the Union;</w:t>
      </w:r>
    </w:p>
    <w:p w14:paraId="08D19C9D" w14:textId="555FEE0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the strategic objectives and goals of the ITU Telecommunication Standardization Sector</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(ITU-T) and their implementation criteria, set out in Annex 1 to Resolution 71 (Rev. Dubai, 2018)</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of the Plenipotentiary Conference;</w:t>
      </w:r>
      <w:r w:rsidR="00FF05A2">
        <w:rPr>
          <w:rFonts w:ascii="TimesNewRomanPSMT" w:hAnsi="TimesNewRomanPSMT" w:cs="TimesNewRomanPSMT"/>
          <w:lang w:val="en-US" w:eastAsia="zh-CN"/>
        </w:rPr>
        <w:t xml:space="preserve"> </w:t>
      </w:r>
    </w:p>
    <w:p w14:paraId="681547BA" w14:textId="4282EBD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c) </w:t>
      </w:r>
      <w:r>
        <w:rPr>
          <w:rFonts w:ascii="TimesNewRomanPSMT" w:hAnsi="TimesNewRomanPSMT" w:cs="TimesNewRomanPSMT"/>
          <w:lang w:val="en-US" w:eastAsia="zh-CN"/>
        </w:rPr>
        <w:t>Resolution 122 (Rev. Guadalajara, 2010) of the Plenipotentiary Conference, on the</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evolving role of the World Telecommunication Standardization Assembly (WTSA);</w:t>
      </w:r>
    </w:p>
    <w:p w14:paraId="6D8E6A05" w14:textId="0BCCA27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d) </w:t>
      </w:r>
      <w:r>
        <w:rPr>
          <w:rFonts w:ascii="TimesNewRomanPSMT" w:hAnsi="TimesNewRomanPSMT" w:cs="TimesNewRomanPSMT"/>
          <w:lang w:val="en-US" w:eastAsia="zh-CN"/>
        </w:rPr>
        <w:t>Resolution 2 (Rev. Geneva, 2022) of this assembly, on ITU-T study group responsibilities</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and mandates;</w:t>
      </w:r>
    </w:p>
    <w:p w14:paraId="6A41532F" w14:textId="48511C6E"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e) </w:t>
      </w:r>
      <w:r>
        <w:rPr>
          <w:rFonts w:ascii="TimesNewRomanPSMT" w:hAnsi="TimesNewRomanPSMT" w:cs="TimesNewRomanPSMT"/>
          <w:lang w:val="en-US" w:eastAsia="zh-CN"/>
        </w:rPr>
        <w:t>§ 44 of the Declaration of Principles of the World Summit on the Information Society</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(WSIS), emphasizing that standardization is one of the essential building blocks of the information</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society,</w:t>
      </w:r>
    </w:p>
    <w:p w14:paraId="672126E3"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recognizing</w:t>
      </w:r>
    </w:p>
    <w:p w14:paraId="528BEB72" w14:textId="2E86304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a) </w:t>
      </w:r>
      <w:r>
        <w:rPr>
          <w:rFonts w:ascii="TimesNewRomanPSMT" w:hAnsi="TimesNewRomanPSMT" w:cs="TimesNewRomanPSMT"/>
          <w:lang w:val="en-US" w:eastAsia="zh-CN"/>
        </w:rPr>
        <w:t>that, since the standardization landscape has changed significantly, ITU-T should consider</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if and how to adapt to the rapidly changing circumstances in line with the expectations of public</w:t>
      </w:r>
      <w:r w:rsidR="00FF05A2">
        <w:rPr>
          <w:rFonts w:ascii="TimesNewRomanPSMT" w:hAnsi="TimesNewRomanPSMT" w:cs="TimesNewRomanPSMT"/>
          <w:lang w:val="en-US" w:eastAsia="zh-CN"/>
        </w:rPr>
        <w:t xml:space="preserve"> </w:t>
      </w:r>
      <w:r>
        <w:rPr>
          <w:rFonts w:ascii="TimesNewRomanPSMT" w:hAnsi="TimesNewRomanPSMT" w:cs="TimesNewRomanPSMT"/>
          <w:lang w:val="en-US" w:eastAsia="zh-CN"/>
        </w:rPr>
        <w:t xml:space="preserve">and </w:t>
      </w:r>
      <w:r w:rsidR="00F0725D">
        <w:rPr>
          <w:rFonts w:ascii="TimesNewRomanPSMT" w:hAnsi="TimesNewRomanPSMT" w:cs="TimesNewRomanPSMT"/>
          <w:lang w:val="en-US" w:eastAsia="zh-CN"/>
        </w:rPr>
        <w:t>p</w:t>
      </w:r>
      <w:r>
        <w:rPr>
          <w:rFonts w:ascii="TimesNewRomanPSMT" w:hAnsi="TimesNewRomanPSMT" w:cs="TimesNewRomanPSMT"/>
          <w:lang w:val="en-US" w:eastAsia="zh-CN"/>
        </w:rPr>
        <w:t>rivate-sector participants through, among other aspects, a review of the study group structure</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and a thorough analysis of the organizational reform of ITU-T study groups;</w:t>
      </w:r>
    </w:p>
    <w:p w14:paraId="58C7D9E7" w14:textId="1BDDFED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b) </w:t>
      </w:r>
      <w:r>
        <w:rPr>
          <w:rFonts w:ascii="TimesNewRomanPSMT" w:hAnsi="TimesNewRomanPSMT" w:cs="TimesNewRomanPSMT"/>
          <w:lang w:val="en-US" w:eastAsia="zh-CN"/>
        </w:rPr>
        <w:t>that reaching a re-engineered ITU-T study group structure requires that it be a consequence</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and the result of a clear and a thorough analysis that will allow mandates to address the evolution of</w:t>
      </w:r>
    </w:p>
    <w:p w14:paraId="05FF614B"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telecommunications/information and communication technologies (ICTs);</w:t>
      </w:r>
    </w:p>
    <w:p w14:paraId="1D0E613D" w14:textId="1E476F12"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ItalicMT" w:hAnsi="TimesNewRomanPS-ItalicMT" w:cs="TimesNewRomanPS-ItalicMT"/>
          <w:i/>
          <w:iCs/>
          <w:lang w:val="en-US" w:eastAsia="zh-CN"/>
        </w:rPr>
        <w:t xml:space="preserve">c) </w:t>
      </w:r>
      <w:r>
        <w:rPr>
          <w:rFonts w:ascii="TimesNewRomanPSMT" w:hAnsi="TimesNewRomanPSMT" w:cs="TimesNewRomanPSMT"/>
          <w:lang w:val="en-US" w:eastAsia="zh-CN"/>
        </w:rPr>
        <w:t>that a re-engineered ITU-T study group structure needs to increase the efficiency of</w:t>
      </w:r>
      <w:r w:rsidR="00F0725D">
        <w:rPr>
          <w:rFonts w:ascii="TimesNewRomanPSMT" w:hAnsi="TimesNewRomanPSMT" w:cs="TimesNewRomanPSMT"/>
          <w:lang w:val="en-US" w:eastAsia="zh-CN"/>
        </w:rPr>
        <w:t xml:space="preserve"> </w:t>
      </w:r>
      <w:r>
        <w:rPr>
          <w:rFonts w:ascii="TimesNewRomanPSMT" w:hAnsi="TimesNewRomanPSMT" w:cs="TimesNewRomanPSMT"/>
          <w:lang w:val="en-US" w:eastAsia="zh-CN"/>
        </w:rPr>
        <w:t>collaboration within ITU and with other organizations,</w:t>
      </w:r>
    </w:p>
    <w:p w14:paraId="4BB522F2"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noting</w:t>
      </w:r>
    </w:p>
    <w:p w14:paraId="7F0A8A2F"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discussions in the Telecommunication Standardization Advisory Group (TSAG) meetings that</w:t>
      </w:r>
    </w:p>
    <w:p w14:paraId="526418F8"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have resulted in the action plan proposed to this assembly by TSAG entitled “Draft action plan for</w:t>
      </w:r>
    </w:p>
    <w:p w14:paraId="651ED183"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the analysis of ITU-T study group restructuring”,</w:t>
      </w:r>
    </w:p>
    <w:p w14:paraId="6A586C3F"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resolves</w:t>
      </w:r>
    </w:p>
    <w:p w14:paraId="2270D9AB" w14:textId="592A217C"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implement the action plan for the analysis of ITU-T study group restructuring that was</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produced by TSAG;</w:t>
      </w:r>
    </w:p>
    <w:p w14:paraId="1308BF12" w14:textId="0A0AE96F"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that TSAG has the responsibility to manage the analysis of ITU-T study group restructuring</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based upon contributions to TSAG from Member States and ITU-T Sector Members;</w:t>
      </w:r>
    </w:p>
    <w:p w14:paraId="248D0361" w14:textId="1D359DE2"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3 that the output of the possible reform and review is guidance for the next WTSA and its</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implementation is not mandatory,</w:t>
      </w:r>
    </w:p>
    <w:p w14:paraId="50C7732F"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the Telecommunication Standardization Advisory Group</w:t>
      </w:r>
    </w:p>
    <w:p w14:paraId="5F321CA2" w14:textId="34E68F89"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undertake, monitor and guide the work through a rapporteur group or other appropriate</w:t>
      </w:r>
      <w:r w:rsidR="00DD3ED7">
        <w:rPr>
          <w:rFonts w:ascii="TimesNewRomanPSMT" w:hAnsi="TimesNewRomanPSMT" w:cs="TimesNewRomanPSMT"/>
          <w:lang w:val="en-US" w:eastAsia="zh-CN"/>
        </w:rPr>
        <w:t xml:space="preserve"> </w:t>
      </w:r>
      <w:r>
        <w:rPr>
          <w:rFonts w:ascii="TimesNewRomanPSMT" w:hAnsi="TimesNewRomanPSMT" w:cs="TimesNewRomanPSMT"/>
          <w:lang w:val="en-US" w:eastAsia="zh-CN"/>
        </w:rPr>
        <w:t>group, and make a progress report on the analysis at each TSAG meeting;</w:t>
      </w:r>
    </w:p>
    <w:p w14:paraId="20816B57"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to provide a progress report on the analysis to the study groups after each TSAG meeting;</w:t>
      </w:r>
    </w:p>
    <w:p w14:paraId="1FFF9F15"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lastRenderedPageBreak/>
        <w:t>3 to submit a report with recommendations for consideration by the next WTSA,</w:t>
      </w:r>
    </w:p>
    <w:p w14:paraId="2C869E21"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study groups</w:t>
      </w:r>
    </w:p>
    <w:p w14:paraId="436D25FD"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1 to consider the progress reports from TSAG;</w:t>
      </w:r>
    </w:p>
    <w:p w14:paraId="4D57381F"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2 to review and share feedback, as appropriate, on the progress reports to TSAG,</w:t>
      </w:r>
    </w:p>
    <w:p w14:paraId="2610D59B"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instructs the Director of the Telecommunication Standardization Bureau</w:t>
      </w:r>
    </w:p>
    <w:p w14:paraId="6EDF54B3" w14:textId="77777777" w:rsidR="006C05F5" w:rsidRDefault="006C05F5" w:rsidP="006C05F5">
      <w:pPr>
        <w:autoSpaceDE w:val="0"/>
        <w:autoSpaceDN w:val="0"/>
        <w:adjustRightInd w:val="0"/>
        <w:spacing w:before="0"/>
        <w:rPr>
          <w:rFonts w:ascii="TimesNewRomanPSMT" w:hAnsi="TimesNewRomanPSMT" w:cs="TimesNewRomanPSMT"/>
          <w:lang w:val="en-US" w:eastAsia="zh-CN"/>
        </w:rPr>
      </w:pPr>
      <w:r>
        <w:rPr>
          <w:rFonts w:ascii="TimesNewRomanPSMT" w:hAnsi="TimesNewRomanPSMT" w:cs="TimesNewRomanPSMT"/>
          <w:lang w:val="en-US" w:eastAsia="zh-CN"/>
        </w:rPr>
        <w:t>to provide the necessary assistance to TSAG in the implementation of this resolution,</w:t>
      </w:r>
    </w:p>
    <w:p w14:paraId="08C15C7A" w14:textId="77777777" w:rsidR="006C05F5" w:rsidRDefault="006C05F5" w:rsidP="006C05F5">
      <w:pPr>
        <w:autoSpaceDE w:val="0"/>
        <w:autoSpaceDN w:val="0"/>
        <w:adjustRightInd w:val="0"/>
        <w:rPr>
          <w:rFonts w:ascii="TimesNewRomanPS-ItalicMT" w:hAnsi="TimesNewRomanPS-ItalicMT" w:cs="TimesNewRomanPS-ItalicMT"/>
          <w:i/>
          <w:iCs/>
          <w:lang w:val="en-US" w:eastAsia="zh-CN"/>
        </w:rPr>
      </w:pPr>
      <w:r>
        <w:rPr>
          <w:rFonts w:ascii="TimesNewRomanPS-ItalicMT" w:hAnsi="TimesNewRomanPS-ItalicMT" w:cs="TimesNewRomanPS-ItalicMT"/>
          <w:i/>
          <w:iCs/>
          <w:lang w:val="en-US" w:eastAsia="zh-CN"/>
        </w:rPr>
        <w:t>invites ITU Member States and Sector Members</w:t>
      </w:r>
    </w:p>
    <w:p w14:paraId="0233D6ED" w14:textId="1DF4BEF6" w:rsidR="006C05F5" w:rsidRDefault="006C05F5" w:rsidP="00DD3ED7">
      <w:pPr>
        <w:spacing w:before="0"/>
        <w:rPr>
          <w:rFonts w:ascii="TimesNewRomanPSMT" w:hAnsi="TimesNewRomanPSMT" w:cs="TimesNewRomanPSMT"/>
          <w:lang w:val="en-US" w:eastAsia="zh-CN"/>
        </w:rPr>
      </w:pPr>
      <w:r>
        <w:rPr>
          <w:rFonts w:ascii="TimesNewRomanPSMT" w:hAnsi="TimesNewRomanPSMT" w:cs="TimesNewRomanPSMT"/>
          <w:lang w:val="en-US" w:eastAsia="zh-CN"/>
        </w:rPr>
        <w:t>to participate in and contribute to the implementation of this resolution.</w:t>
      </w:r>
    </w:p>
    <w:p w14:paraId="514E9F4F" w14:textId="50427F87" w:rsidR="005F6549" w:rsidRDefault="005F6549">
      <w:pPr>
        <w:spacing w:before="0" w:after="160" w:line="259" w:lineRule="auto"/>
        <w:rPr>
          <w:rFonts w:ascii="TimesNewRomanPSMT" w:hAnsi="TimesNewRomanPSMT" w:cs="TimesNewRomanPSMT"/>
          <w:lang w:val="en-US" w:eastAsia="zh-CN"/>
        </w:rPr>
      </w:pPr>
      <w:r>
        <w:rPr>
          <w:rFonts w:ascii="TimesNewRomanPSMT" w:hAnsi="TimesNewRomanPSMT" w:cs="TimesNewRomanPSMT"/>
          <w:lang w:val="en-US" w:eastAsia="zh-CN"/>
        </w:rPr>
        <w:br w:type="page"/>
      </w:r>
    </w:p>
    <w:p w14:paraId="61076551" w14:textId="0CDEAF17" w:rsidR="001553A1" w:rsidRPr="001553A1" w:rsidRDefault="005F6549" w:rsidP="001553A1">
      <w:pPr>
        <w:spacing w:before="0"/>
        <w:jc w:val="center"/>
        <w:rPr>
          <w:b/>
          <w:bCs/>
        </w:rPr>
      </w:pPr>
      <w:r w:rsidRPr="001553A1">
        <w:rPr>
          <w:b/>
          <w:bCs/>
          <w:lang w:val="en-US"/>
        </w:rPr>
        <w:lastRenderedPageBreak/>
        <w:t>Annex 2</w:t>
      </w:r>
      <w:bookmarkStart w:id="49" w:name="_Toc93408229"/>
      <w:r w:rsidR="001553A1" w:rsidRPr="001553A1">
        <w:rPr>
          <w:b/>
          <w:bCs/>
        </w:rPr>
        <w:br/>
        <w:t>Action plan for the analysis of ITU-T Study group restructuring</w:t>
      </w:r>
      <w:bookmarkEnd w:id="49"/>
    </w:p>
    <w:p w14:paraId="73C6ADD0" w14:textId="7DE01954" w:rsidR="001553A1" w:rsidRPr="000B536C" w:rsidRDefault="001553A1" w:rsidP="001553A1">
      <w:pPr>
        <w:pStyle w:val="Heading2"/>
        <w:ind w:left="576" w:hanging="576"/>
      </w:pPr>
      <w:r>
        <w:t>A2</w:t>
      </w:r>
      <w:r w:rsidRPr="000B536C">
        <w:t>.1</w:t>
      </w:r>
      <w:r w:rsidRPr="000B536C">
        <w:tab/>
        <w:t>Introduction</w:t>
      </w:r>
    </w:p>
    <w:p w14:paraId="2806F927" w14:textId="77777777" w:rsidR="001553A1" w:rsidRDefault="001553A1" w:rsidP="001553A1">
      <w:r>
        <w:t>This action plan initiates a thorough review of ITU-T potential restructuring options, based on empirical analysis, with a view to having a more effective, efficient, fit-for-purpose, forward-looking and inclusive ITU-T. It focuses on the concrete way to proceed with the analysis of ITU-T structure with a view to potentially approving restructuring at WTSA-24, rather than simply discussing general high-level principles.</w:t>
      </w:r>
    </w:p>
    <w:p w14:paraId="2E9118EC" w14:textId="77777777" w:rsidR="001553A1" w:rsidRDefault="001553A1" w:rsidP="001553A1">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0F75E1B7" w14:textId="589D5870" w:rsidR="001553A1" w:rsidRPr="000B536C" w:rsidRDefault="001553A1" w:rsidP="001553A1">
      <w:pPr>
        <w:pStyle w:val="Heading2"/>
        <w:ind w:left="576" w:hanging="576"/>
      </w:pPr>
      <w:r>
        <w:t>A2</w:t>
      </w:r>
      <w:r w:rsidRPr="000B536C">
        <w:t>.2</w:t>
      </w:r>
      <w:r w:rsidRPr="000B536C">
        <w:tab/>
        <w:t>Background</w:t>
      </w:r>
    </w:p>
    <w:p w14:paraId="3860E400" w14:textId="77777777" w:rsidR="001553A1" w:rsidRPr="00BF23F9" w:rsidRDefault="001553A1" w:rsidP="001553A1">
      <w:r>
        <w:t>The efforts of the proposal, “Food for thought”, from Director TSB on Study Groups’ restructuring for WTSA-20 preparations provided the impetus for discussion amongst TSAG participants for the possible future re-structuring of the ITU-T study groups (SGs).</w:t>
      </w:r>
      <w:r w:rsidRPr="001C021D">
        <w:rPr>
          <w:rFonts w:cstheme="minorHAnsi"/>
        </w:rPr>
        <w:t xml:space="preserve"> </w:t>
      </w:r>
      <w:r w:rsidRPr="00E903D2">
        <w:rPr>
          <w:rFonts w:cstheme="minorHAnsi"/>
        </w:rPr>
        <w:t>It is considered as a positive step for developing the work of the sector and ensuring the compliance of technology evolution and the business continuity of the sector’s work in all circumstances as well as accelerating the work in order to come up with the best recommendations and desired standards from the sector.</w:t>
      </w:r>
    </w:p>
    <w:p w14:paraId="7817A884" w14:textId="77777777" w:rsidR="001553A1" w:rsidRPr="00DD1347" w:rsidRDefault="001553A1" w:rsidP="001553A1">
      <w:pPr>
        <w:rPr>
          <w:rFonts w:cstheme="minorHAnsi"/>
        </w:rPr>
      </w:pPr>
      <w:r>
        <w:rPr>
          <w:rFonts w:cstheme="minorHAnsi"/>
        </w:rPr>
        <w:t xml:space="preserve">A number of </w:t>
      </w:r>
      <w:r w:rsidRPr="00DD1347">
        <w:rPr>
          <w:rFonts w:cstheme="minorHAnsi"/>
        </w:rPr>
        <w:t xml:space="preserve">TSAG members recognized the importance of considering the structure of ITU-T study groups because it has not changed </w:t>
      </w:r>
      <w:r>
        <w:rPr>
          <w:rFonts w:cstheme="minorHAnsi"/>
        </w:rPr>
        <w:t xml:space="preserve">significantly </w:t>
      </w:r>
      <w:r w:rsidRPr="00DD1347">
        <w:rPr>
          <w:rFonts w:cstheme="minorHAnsi"/>
        </w:rPr>
        <w:t xml:space="preserve">since 2008 yet technology has advanced. </w:t>
      </w:r>
    </w:p>
    <w:p w14:paraId="3EA8CBF6" w14:textId="77777777" w:rsidR="001553A1" w:rsidRPr="00DD1347" w:rsidRDefault="001553A1" w:rsidP="001553A1">
      <w:pPr>
        <w:rPr>
          <w:rFonts w:cstheme="minorHAnsi"/>
        </w:rPr>
      </w:pPr>
      <w:r>
        <w:rPr>
          <w:rFonts w:cstheme="minorHAnsi"/>
        </w:rPr>
        <w:t xml:space="preserve">A number of </w:t>
      </w:r>
      <w:r w:rsidRPr="00DD1347">
        <w:rPr>
          <w:rFonts w:cstheme="minorHAnsi"/>
        </w:rPr>
        <w:t>TSAG members identified the need for a study that calls for an examination of the ITU-T’s standardization functions to ensure that the ITU-T structure supports the standardization needs of the membership</w:t>
      </w:r>
      <w:r>
        <w:rPr>
          <w:rFonts w:cstheme="minorHAnsi"/>
        </w:rPr>
        <w:t xml:space="preserve"> and the industry at large</w:t>
      </w:r>
      <w:r w:rsidRPr="00DD1347">
        <w:rPr>
          <w:rFonts w:cstheme="minorHAnsi"/>
        </w:rPr>
        <w:t>.</w:t>
      </w:r>
    </w:p>
    <w:p w14:paraId="6CA56785" w14:textId="58F3F24B" w:rsidR="001553A1" w:rsidRPr="000B536C" w:rsidRDefault="001553A1" w:rsidP="001553A1">
      <w:pPr>
        <w:pStyle w:val="Heading2"/>
        <w:ind w:left="576" w:hanging="576"/>
      </w:pPr>
      <w:r>
        <w:t>A2</w:t>
      </w:r>
      <w:r w:rsidRPr="000B536C">
        <w:t>.3</w:t>
      </w:r>
      <w:r w:rsidRPr="000B536C">
        <w:tab/>
        <w:t>Information required to analyse the restructuring (principles and metrics)</w:t>
      </w:r>
    </w:p>
    <w:p w14:paraId="20813A47" w14:textId="77777777" w:rsidR="001553A1" w:rsidRDefault="001553A1" w:rsidP="001553A1">
      <w:pPr>
        <w:rPr>
          <w:rFonts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in order to assist them by providing </w:t>
      </w:r>
      <w:r>
        <w:rPr>
          <w:bCs/>
          <w:lang w:eastAsia="zh-CN"/>
        </w:rPr>
        <w:t>a set of general criteria for the evaluation of ITU-T SG restructuring.</w:t>
      </w:r>
    </w:p>
    <w:p w14:paraId="18A56B12" w14:textId="77777777" w:rsidR="001553A1" w:rsidRDefault="001553A1" w:rsidP="001553A1">
      <w:pPr>
        <w:rPr>
          <w:rFonts w:cstheme="minorHAnsi"/>
        </w:rPr>
      </w:pPr>
      <w:r>
        <w:rPr>
          <w:rFonts w:cstheme="minorHAnsi"/>
          <w:color w:val="000000"/>
        </w:rPr>
        <w:t xml:space="preserve">The review process will consider both quantitative metrics and qualitative policy-oriented questions. </w:t>
      </w:r>
      <w:r>
        <w:rPr>
          <w:rFonts w:cstheme="minorHAnsi"/>
        </w:rPr>
        <w:t>The main information required to assess each of the restructuring options will be based primarily on the principles and agreed metrics by the ITU membership.</w:t>
      </w:r>
    </w:p>
    <w:p w14:paraId="1D094AA3" w14:textId="00C09C52" w:rsidR="001553A1" w:rsidRPr="000B536C" w:rsidRDefault="001553A1" w:rsidP="001553A1">
      <w:pPr>
        <w:pStyle w:val="Heading3"/>
        <w:ind w:left="720" w:hanging="720"/>
      </w:pPr>
      <w:r>
        <w:t>A2</w:t>
      </w:r>
      <w:r w:rsidRPr="000B536C">
        <w:t>.3.1</w:t>
      </w:r>
      <w:r w:rsidRPr="000B536C">
        <w:tab/>
        <w:t>Principles</w:t>
      </w:r>
    </w:p>
    <w:p w14:paraId="0881126E" w14:textId="77777777" w:rsidR="001553A1" w:rsidRDefault="001553A1" w:rsidP="001553A1">
      <w:pPr>
        <w:rPr>
          <w:rFonts w:cstheme="minorHAnsi"/>
        </w:rPr>
      </w:pPr>
      <w:r>
        <w:rPr>
          <w:rFonts w:eastAsia="SimSun"/>
          <w:bCs/>
          <w:lang w:eastAsia="zh-CN"/>
        </w:rPr>
        <w:t>The seven high-level principles generated by WTSA-16 and their detailed explanation (</w:t>
      </w:r>
      <w:r w:rsidRPr="00336378">
        <w:t xml:space="preserve">see </w:t>
      </w:r>
      <w:hyperlink r:id="rId28" w:history="1">
        <w:r w:rsidRPr="00336378">
          <w:rPr>
            <w:rStyle w:val="Hyperlink"/>
          </w:rPr>
          <w:t>TD457</w:t>
        </w:r>
        <w:r>
          <w:rPr>
            <w:rStyle w:val="Hyperlink"/>
          </w:rPr>
          <w:t>-R</w:t>
        </w:r>
        <w:r w:rsidRPr="00336378">
          <w:rPr>
            <w:rStyle w:val="Hyperlink"/>
          </w:rPr>
          <w:t>2</w:t>
        </w:r>
      </w:hyperlink>
      <w:r>
        <w:rPr>
          <w:rStyle w:val="Hyperlink"/>
          <w:rFonts w:cstheme="minorHAnsi"/>
        </w:rPr>
        <w:t xml:space="preserve"> Annex A</w:t>
      </w:r>
      <w:r>
        <w:rPr>
          <w:rFonts w:cstheme="minorHAnsi"/>
        </w:rPr>
        <w:t xml:space="preserve"> and TD937-R1)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5AACB6D0" w14:textId="77777777" w:rsidR="001553A1" w:rsidRDefault="001553A1" w:rsidP="001553A1">
      <w:pPr>
        <w:rPr>
          <w:rFonts w:cstheme="minorHAnsi"/>
        </w:rPr>
      </w:pPr>
      <w:r>
        <w:rPr>
          <w:rFonts w:cstheme="minorHAnsi"/>
        </w:rPr>
        <w:t>The seven high level principles listed are as follows:</w:t>
      </w:r>
    </w:p>
    <w:p w14:paraId="2EEE33E3" w14:textId="77777777" w:rsidR="001553A1" w:rsidRDefault="001553A1" w:rsidP="001553A1">
      <w:pPr>
        <w:pStyle w:val="enumlev1"/>
        <w:numPr>
          <w:ilvl w:val="0"/>
          <w:numId w:val="39"/>
        </w:numPr>
        <w:textAlignment w:val="auto"/>
      </w:pPr>
      <w:r>
        <w:t>Optimised structure</w:t>
      </w:r>
    </w:p>
    <w:p w14:paraId="03495BA4" w14:textId="77777777" w:rsidR="001553A1" w:rsidRDefault="001553A1" w:rsidP="001553A1">
      <w:pPr>
        <w:pStyle w:val="enumlev1"/>
        <w:numPr>
          <w:ilvl w:val="0"/>
          <w:numId w:val="39"/>
        </w:numPr>
        <w:textAlignment w:val="auto"/>
        <w:rPr>
          <w:rFonts w:eastAsia="Calibri"/>
        </w:rPr>
      </w:pPr>
      <w:r>
        <w:rPr>
          <w:rFonts w:eastAsia="Calibri"/>
        </w:rPr>
        <w:t>Clear mandates</w:t>
      </w:r>
    </w:p>
    <w:p w14:paraId="304D63B1" w14:textId="77777777" w:rsidR="001553A1" w:rsidRDefault="001553A1" w:rsidP="001553A1">
      <w:pPr>
        <w:pStyle w:val="enumlev1"/>
        <w:numPr>
          <w:ilvl w:val="0"/>
          <w:numId w:val="39"/>
        </w:numPr>
        <w:textAlignment w:val="auto"/>
        <w:rPr>
          <w:rFonts w:eastAsia="Calibri"/>
        </w:rPr>
      </w:pPr>
      <w:r>
        <w:rPr>
          <w:rFonts w:eastAsia="Calibri"/>
        </w:rPr>
        <w:t>Enhanced co-ordination and co-operation</w:t>
      </w:r>
    </w:p>
    <w:p w14:paraId="23F6513A" w14:textId="77777777" w:rsidR="001553A1" w:rsidRDefault="001553A1" w:rsidP="001553A1">
      <w:pPr>
        <w:pStyle w:val="enumlev1"/>
        <w:numPr>
          <w:ilvl w:val="0"/>
          <w:numId w:val="39"/>
        </w:numPr>
        <w:textAlignment w:val="auto"/>
        <w:rPr>
          <w:rFonts w:eastAsia="Calibri"/>
        </w:rPr>
      </w:pPr>
      <w:r>
        <w:rPr>
          <w:rFonts w:eastAsia="Calibri"/>
        </w:rPr>
        <w:t>Cost effectiveness and attractiveness</w:t>
      </w:r>
    </w:p>
    <w:p w14:paraId="3B96D2F8" w14:textId="77777777" w:rsidR="001553A1" w:rsidRDefault="001553A1" w:rsidP="001553A1">
      <w:pPr>
        <w:pStyle w:val="enumlev1"/>
        <w:numPr>
          <w:ilvl w:val="0"/>
          <w:numId w:val="39"/>
        </w:numPr>
        <w:textAlignment w:val="auto"/>
        <w:rPr>
          <w:rFonts w:eastAsia="Calibri"/>
        </w:rPr>
      </w:pPr>
      <w:r>
        <w:rPr>
          <w:rFonts w:eastAsia="Calibri"/>
        </w:rPr>
        <w:t>Efficient and productive working methods</w:t>
      </w:r>
    </w:p>
    <w:p w14:paraId="24285713" w14:textId="77777777" w:rsidR="001553A1" w:rsidRDefault="001553A1" w:rsidP="001553A1">
      <w:pPr>
        <w:pStyle w:val="enumlev1"/>
        <w:numPr>
          <w:ilvl w:val="0"/>
          <w:numId w:val="39"/>
        </w:numPr>
        <w:textAlignment w:val="auto"/>
        <w:rPr>
          <w:rFonts w:eastAsia="Calibri"/>
        </w:rPr>
      </w:pPr>
      <w:r>
        <w:rPr>
          <w:rFonts w:eastAsia="Calibri"/>
        </w:rPr>
        <w:lastRenderedPageBreak/>
        <w:t>Timely identification of standardisation needs</w:t>
      </w:r>
    </w:p>
    <w:p w14:paraId="3AA14BB8" w14:textId="77777777" w:rsidR="001553A1" w:rsidRDefault="001553A1" w:rsidP="001553A1">
      <w:pPr>
        <w:pStyle w:val="enumlev1"/>
        <w:numPr>
          <w:ilvl w:val="0"/>
          <w:numId w:val="39"/>
        </w:numPr>
        <w:textAlignment w:val="auto"/>
        <w:rPr>
          <w:rFonts w:eastAsia="Calibri"/>
        </w:rPr>
      </w:pPr>
      <w:r>
        <w:rPr>
          <w:rFonts w:eastAsia="Calibri"/>
        </w:rPr>
        <w:t>Support for bridging the standardisation gap</w:t>
      </w:r>
    </w:p>
    <w:p w14:paraId="58E2A730" w14:textId="77777777" w:rsidR="001553A1" w:rsidRDefault="001553A1" w:rsidP="001553A1">
      <w:r>
        <w:t>Other considerations include:</w:t>
      </w:r>
    </w:p>
    <w:p w14:paraId="0A34B202"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Standards should be developed with the necessary expertise and background needed to ensure a substantive outcome.</w:t>
      </w:r>
    </w:p>
    <w:p w14:paraId="229DBAD7" w14:textId="77777777" w:rsidR="001553A1"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Style w:val="jlqj4b"/>
        </w:rPr>
      </w:pPr>
      <w:r w:rsidRPr="00BC5B37">
        <w:rPr>
          <w:rFonts w:cstheme="minorHAnsi"/>
        </w:rPr>
        <w:t xml:space="preserve">Care should be taken to avoid duplication of standardization work between ITU-T study groups, and, in accordance with Resolution 71 (Rev. Dubai, 2018) of the ITU Plenipotentiary Conference, to minimize to the extent possible, conflicting ITU standards with those of 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Pr>
          <w:rStyle w:val="jlqj4b"/>
        </w:rPr>
        <w:t>.</w:t>
      </w:r>
    </w:p>
    <w:p w14:paraId="181581DB"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Is the current number a stable number, and if there is a proposal to create a new study group, should the total number be maintained?</w:t>
      </w:r>
    </w:p>
    <w:p w14:paraId="0C23676F"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What is the appropriate number of Questions within Study Groups in order to facilitate engagement and participation by members, as well as efficiency in work item allocation among questions?</w:t>
      </w:r>
    </w:p>
    <w:p w14:paraId="4543BBA1" w14:textId="77777777" w:rsidR="001553A1" w:rsidRPr="00BC5B37" w:rsidRDefault="001553A1" w:rsidP="001553A1">
      <w:pPr>
        <w:pStyle w:val="ListParagraph"/>
        <w:numPr>
          <w:ilvl w:val="0"/>
          <w:numId w:val="50"/>
        </w:numPr>
        <w:tabs>
          <w:tab w:val="left" w:pos="794"/>
          <w:tab w:val="left" w:pos="1191"/>
          <w:tab w:val="left" w:pos="1588"/>
          <w:tab w:val="left" w:pos="1985"/>
        </w:tabs>
        <w:overflowPunct w:val="0"/>
        <w:autoSpaceDE w:val="0"/>
        <w:autoSpaceDN w:val="0"/>
        <w:adjustRightInd w:val="0"/>
        <w:ind w:left="986" w:hanging="357"/>
        <w:contextualSpacing w:val="0"/>
        <w:textAlignment w:val="baseline"/>
        <w:rPr>
          <w:rFonts w:cstheme="minorHAnsi"/>
        </w:rPr>
      </w:pPr>
      <w:r w:rsidRPr="00BC5B37">
        <w:rPr>
          <w:rFonts w:cstheme="minorHAnsi"/>
        </w:rPr>
        <w:t>Should standardisation of new and emerging technologies be integrated into existing study groups and merged into Questions through the revision of existing Questions and the establishment of new work items, where appropriate, or establishing new Questions?</w:t>
      </w:r>
    </w:p>
    <w:p w14:paraId="5281F311" w14:textId="77777777" w:rsidR="001553A1" w:rsidRPr="00584CFB" w:rsidRDefault="001553A1" w:rsidP="001553A1">
      <w:pPr>
        <w:pStyle w:val="ListParagraph"/>
        <w:numPr>
          <w:ilvl w:val="0"/>
          <w:numId w:val="50"/>
        </w:numPr>
        <w:ind w:left="986" w:hanging="357"/>
        <w:contextualSpacing w:val="0"/>
      </w:pPr>
      <w:r w:rsidRPr="00584CFB">
        <w:t>Any change to ITU-T structure must take into consideration the impact on the permanence and continuity of the work of the study groups and regional groups to continue the creation of high-quality, demand-driven, efficient, cost-effective and timely Recommendations.</w:t>
      </w:r>
    </w:p>
    <w:p w14:paraId="5E56BC60" w14:textId="220D196A" w:rsidR="001553A1" w:rsidRPr="000B536C" w:rsidRDefault="001553A1" w:rsidP="001553A1">
      <w:pPr>
        <w:pStyle w:val="Heading3"/>
        <w:ind w:left="720" w:hanging="720"/>
      </w:pPr>
      <w:r>
        <w:t>A2</w:t>
      </w:r>
      <w:r w:rsidRPr="000B536C">
        <w:t>.3.2</w:t>
      </w:r>
      <w:r w:rsidRPr="000B536C">
        <w:tab/>
        <w:t>Metrics required</w:t>
      </w:r>
    </w:p>
    <w:p w14:paraId="4085899D" w14:textId="77777777" w:rsidR="001553A1" w:rsidRDefault="001553A1" w:rsidP="001553A1">
      <w:pPr>
        <w:rPr>
          <w:rStyle w:val="jlqj4b"/>
        </w:rPr>
      </w:pPr>
      <w:r>
        <w:rPr>
          <w:rFonts w:cstheme="minorHAnsi"/>
        </w:rPr>
        <w:t>T</w:t>
      </w:r>
      <w:r>
        <w:rPr>
          <w:rStyle w:val="jlqj4b"/>
        </w:rPr>
        <w:t>his action plan aims to guarantee the availability of data and indicators making it possible to propose a T-sector structure that carries value for its members while analysing the availability of their expertise for a better allocation.</w:t>
      </w:r>
    </w:p>
    <w:p w14:paraId="5DFD2499" w14:textId="77777777" w:rsidR="001553A1" w:rsidRDefault="001553A1" w:rsidP="001553A1">
      <w:pPr>
        <w:rPr>
          <w:rFonts w:eastAsia="Calibri" w:cstheme="minorHAnsi"/>
        </w:rPr>
      </w:pPr>
      <w:r>
        <w:rPr>
          <w:rFonts w:cstheme="minorHAnsi"/>
        </w:rPr>
        <w:t>The action plan will utilise the following initial data gathered from the period 2008 through 2021.</w:t>
      </w:r>
      <w:r>
        <w:rPr>
          <w:rFonts w:eastAsia="Calibri" w:cstheme="minorHAnsi"/>
        </w:rPr>
        <w:t xml:space="preserve"> These metrics may be supplemented by additional data deemed useful to answer and analyse the stated questions.</w:t>
      </w:r>
    </w:p>
    <w:p w14:paraId="5371F63F" w14:textId="77777777" w:rsidR="001553A1" w:rsidRDefault="001553A1" w:rsidP="001553A1">
      <w:pPr>
        <w:rPr>
          <w:rFonts w:eastAsia="Calibri" w:cstheme="minorHAnsi"/>
        </w:rPr>
      </w:pPr>
      <w:r>
        <w:rPr>
          <w:rFonts w:eastAsia="Calibri" w:cstheme="minorHAnsi"/>
        </w:rPr>
        <w:t xml:space="preserve">The use of the metrics listed should serve as the basis </w:t>
      </w:r>
      <w:r>
        <w:rPr>
          <w:rFonts w:cstheme="minorHAnsi"/>
          <w:color w:val="000000"/>
        </w:rPr>
        <w:t xml:space="preserve">to collect and analyse data based on the metrics </w:t>
      </w:r>
      <w:r>
        <w:rPr>
          <w:rFonts w:eastAsia="Calibri" w:cstheme="minorHAnsi"/>
        </w:rPr>
        <w:t>in order to provide input into the answers to the questions listed.</w:t>
      </w:r>
    </w:p>
    <w:p w14:paraId="5600A19B" w14:textId="77777777" w:rsidR="001553A1" w:rsidRDefault="001553A1" w:rsidP="001553A1">
      <w:pPr>
        <w:rPr>
          <w:rFonts w:eastAsia="Calibri" w:cstheme="minorHAnsi"/>
        </w:rPr>
      </w:pPr>
      <w:r>
        <w:rPr>
          <w:rFonts w:eastAsia="Calibri" w:cstheme="minorHAnsi"/>
        </w:rPr>
        <w:t>The analysis of these questions and metrics, as well as the underlying data and methodologies used, shall be presented to TSAG</w:t>
      </w:r>
      <w:r w:rsidRPr="00CA752B">
        <w:rPr>
          <w:rFonts w:eastAsia="Calibri" w:cstheme="minorHAnsi"/>
        </w:rPr>
        <w:t xml:space="preserve"> for decision and any action, as appropriate</w:t>
      </w:r>
      <w:r>
        <w:rPr>
          <w:rFonts w:eastAsia="Calibri" w:cstheme="minorHAnsi"/>
        </w:rPr>
        <w:t>.</w:t>
      </w:r>
    </w:p>
    <w:p w14:paraId="7144A587" w14:textId="77777777" w:rsidR="001553A1" w:rsidRPr="00375860" w:rsidRDefault="001553A1" w:rsidP="001553A1">
      <w:pPr>
        <w:pStyle w:val="enumlev1"/>
        <w:numPr>
          <w:ilvl w:val="0"/>
          <w:numId w:val="40"/>
        </w:numPr>
        <w:textAlignment w:val="auto"/>
        <w:rPr>
          <w:rFonts w:eastAsia="SimSun"/>
        </w:rPr>
      </w:pPr>
      <w:r>
        <w:t xml:space="preserve">What are the measures of ITU-T’s standardization </w:t>
      </w:r>
      <w:r w:rsidRPr="008A3B8D">
        <w:t xml:space="preserve">activities </w:t>
      </w:r>
      <w:r>
        <w:t xml:space="preserve">for </w:t>
      </w:r>
      <w:r w:rsidRPr="001B3A09">
        <w:t>development of Recommendations?</w:t>
      </w:r>
    </w:p>
    <w:p w14:paraId="718F0D4C" w14:textId="77777777" w:rsidR="001553A1" w:rsidRDefault="001553A1" w:rsidP="001553A1">
      <w:pPr>
        <w:pStyle w:val="enumlev2"/>
        <w:numPr>
          <w:ilvl w:val="1"/>
          <w:numId w:val="44"/>
        </w:numPr>
        <w:ind w:left="1170" w:hanging="450"/>
        <w:textAlignment w:val="auto"/>
        <w:rPr>
          <w:rFonts w:eastAsia="Calibri"/>
        </w:rPr>
      </w:pPr>
      <w:r>
        <w:rPr>
          <w:rFonts w:eastAsia="Calibri"/>
        </w:rPr>
        <w:t>participation, contribution and leadership by types of membership from 2008 to 2021 for each study group and related subgroups</w:t>
      </w:r>
    </w:p>
    <w:p w14:paraId="17FE141F" w14:textId="77777777" w:rsidR="001553A1" w:rsidRPr="008A3B8D" w:rsidRDefault="001553A1" w:rsidP="001553A1">
      <w:pPr>
        <w:pStyle w:val="enumlev2"/>
        <w:numPr>
          <w:ilvl w:val="1"/>
          <w:numId w:val="44"/>
        </w:numPr>
        <w:ind w:left="1170" w:hanging="450"/>
        <w:textAlignment w:val="auto"/>
        <w:rPr>
          <w:rFonts w:eastAsia="Calibri"/>
        </w:rPr>
      </w:pPr>
      <w:r w:rsidRPr="008A3B8D">
        <w:rPr>
          <w:rFonts w:eastAsia="Calibri"/>
        </w:rPr>
        <w:t xml:space="preserve">number of months elapsed between introduction and </w:t>
      </w:r>
      <w:r>
        <w:rPr>
          <w:rFonts w:eastAsia="Calibri"/>
        </w:rPr>
        <w:t>approval</w:t>
      </w:r>
      <w:r w:rsidRPr="008A3B8D">
        <w:rPr>
          <w:rFonts w:eastAsia="Calibri"/>
        </w:rPr>
        <w:t xml:space="preserve"> of Recommendations by Study Groups from 200</w:t>
      </w:r>
      <w:r w:rsidRPr="00B461ED">
        <w:rPr>
          <w:rFonts w:eastAsia="Calibri"/>
        </w:rPr>
        <w:t>8</w:t>
      </w:r>
      <w:r w:rsidRPr="008A3B8D">
        <w:rPr>
          <w:rFonts w:eastAsia="Calibri"/>
        </w:rPr>
        <w:t xml:space="preserve"> and 202</w:t>
      </w:r>
      <w:r>
        <w:rPr>
          <w:rFonts w:eastAsia="Calibri"/>
        </w:rPr>
        <w:t>1</w:t>
      </w:r>
    </w:p>
    <w:p w14:paraId="0956B851" w14:textId="77777777" w:rsidR="001553A1" w:rsidRDefault="001553A1" w:rsidP="001553A1">
      <w:pPr>
        <w:pStyle w:val="enumlev2"/>
        <w:numPr>
          <w:ilvl w:val="1"/>
          <w:numId w:val="44"/>
        </w:numPr>
        <w:ind w:left="1170" w:hanging="450"/>
        <w:textAlignment w:val="auto"/>
        <w:rPr>
          <w:rFonts w:eastAsia="Calibri"/>
        </w:rPr>
      </w:pPr>
      <w:r w:rsidRPr="008A3B8D">
        <w:rPr>
          <w:rFonts w:eastAsia="Calibri"/>
        </w:rPr>
        <w:t>number of liaison statements</w:t>
      </w:r>
      <w:r>
        <w:rPr>
          <w:rFonts w:eastAsia="Calibri"/>
        </w:rPr>
        <w:t xml:space="preserve"> from other standardization organizations during 2008 and 2021</w:t>
      </w:r>
    </w:p>
    <w:p w14:paraId="5EE9A0BD"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lastRenderedPageBreak/>
        <w:t xml:space="preserve">number of Recommendations approved using traditional approval process from 2008 to 2021 </w:t>
      </w:r>
    </w:p>
    <w:p w14:paraId="43C85E08"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78CC3DE8" w14:textId="77777777" w:rsidR="001553A1" w:rsidRPr="001B3A09" w:rsidRDefault="001553A1" w:rsidP="001553A1">
      <w:pPr>
        <w:pStyle w:val="enumlev2"/>
        <w:numPr>
          <w:ilvl w:val="1"/>
          <w:numId w:val="44"/>
        </w:numPr>
        <w:ind w:left="1170" w:hanging="450"/>
        <w:textAlignment w:val="auto"/>
        <w:rPr>
          <w:rFonts w:eastAsia="Calibri"/>
        </w:rPr>
      </w:pPr>
      <w:r w:rsidRPr="001B3A09">
        <w:rPr>
          <w:rFonts w:eastAsia="Calibri"/>
        </w:rPr>
        <w:t xml:space="preserve">number of test suites developed for ITU-T Recommendations from 2008 to 2021 </w:t>
      </w:r>
    </w:p>
    <w:p w14:paraId="4E6FE7CA" w14:textId="77777777" w:rsidR="001553A1" w:rsidRDefault="001553A1" w:rsidP="001553A1">
      <w:pPr>
        <w:pStyle w:val="ListParagraph"/>
        <w:numPr>
          <w:ilvl w:val="0"/>
          <w:numId w:val="40"/>
        </w:numPr>
        <w:spacing w:before="80"/>
        <w:contextualSpacing w:val="0"/>
      </w:pPr>
      <w:r w:rsidRPr="008E76FB">
        <w:t>What value do ITU-T’s Recommendations add or have impact on the ITU Membership?</w:t>
      </w:r>
    </w:p>
    <w:p w14:paraId="361C09A0"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unique downloads by Recommendation from 2008 to 2021</w:t>
      </w:r>
    </w:p>
    <w:p w14:paraId="6CA9FF69"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incorporated or adopted by other standardization organizations from 2008 to 2021number of standards essential patents first in ITU-T Recommendations from 2008 to 2021</w:t>
      </w:r>
    </w:p>
    <w:p w14:paraId="50B85980" w14:textId="77777777" w:rsidR="001553A1" w:rsidRPr="00BC5B37" w:rsidRDefault="001553A1" w:rsidP="001553A1">
      <w:pPr>
        <w:pStyle w:val="enumlev2"/>
        <w:numPr>
          <w:ilvl w:val="1"/>
          <w:numId w:val="45"/>
        </w:numPr>
        <w:ind w:left="1170" w:hanging="450"/>
        <w:textAlignment w:val="auto"/>
      </w:pPr>
      <w:r w:rsidRPr="00BC5B37">
        <w:rPr>
          <w:color w:val="000000"/>
        </w:rPr>
        <w:t>number of ITU-T Recommendations, Guidelines and Reports with policy or regulatory implications between 2008 to 2021</w:t>
      </w:r>
    </w:p>
    <w:p w14:paraId="4B4E752A"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cited in Sector Members’ press releases and documentation from 2008 to 2021</w:t>
      </w:r>
    </w:p>
    <w:p w14:paraId="1BF1BB27" w14:textId="77777777" w:rsidR="001553A1" w:rsidRPr="00BC5B37" w:rsidRDefault="001553A1" w:rsidP="001553A1">
      <w:pPr>
        <w:pStyle w:val="enumlev2"/>
        <w:numPr>
          <w:ilvl w:val="1"/>
          <w:numId w:val="45"/>
        </w:numPr>
        <w:ind w:left="1170" w:hanging="450"/>
        <w:textAlignment w:val="auto"/>
        <w:rPr>
          <w:rFonts w:eastAsia="Calibri"/>
        </w:rPr>
      </w:pPr>
      <w:r w:rsidRPr="00BC5B37">
        <w:rPr>
          <w:rFonts w:eastAsia="Calibri"/>
        </w:rPr>
        <w:t>number of ITU-T Recommendations adopted and implemented fully or partially by industry from 2008 to 2021</w:t>
      </w:r>
    </w:p>
    <w:p w14:paraId="23A59A6A" w14:textId="77777777" w:rsidR="001553A1" w:rsidRDefault="001553A1" w:rsidP="001553A1">
      <w:pPr>
        <w:pStyle w:val="enumlev1"/>
        <w:numPr>
          <w:ilvl w:val="0"/>
          <w:numId w:val="40"/>
        </w:numPr>
        <w:textAlignment w:val="auto"/>
        <w:rPr>
          <w:rFonts w:eastAsia="Calibri"/>
        </w:rPr>
      </w:pPr>
      <w:r>
        <w:rPr>
          <w:rFonts w:eastAsia="Calibri"/>
        </w:rPr>
        <w:t>How does ITU-T cooperate and coordinate with other standardization organizations?</w:t>
      </w:r>
    </w:p>
    <w:p w14:paraId="2321A6C8"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liaison statements sent to other standardization organizations from 2008 to 2021</w:t>
      </w:r>
    </w:p>
    <w:p w14:paraId="5D080B10"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memoranda of understanding with other SDOs</w:t>
      </w:r>
    </w:p>
    <w:p w14:paraId="189D5ECC" w14:textId="77777777" w:rsidR="001553A1" w:rsidRDefault="001553A1" w:rsidP="001553A1">
      <w:pPr>
        <w:pStyle w:val="enumlev2"/>
        <w:numPr>
          <w:ilvl w:val="1"/>
          <w:numId w:val="46"/>
        </w:numPr>
        <w:tabs>
          <w:tab w:val="clear" w:pos="1191"/>
          <w:tab w:val="left" w:pos="1170"/>
        </w:tabs>
        <w:ind w:left="1170" w:hanging="450"/>
        <w:textAlignment w:val="auto"/>
        <w:rPr>
          <w:rFonts w:eastAsia="Calibri"/>
        </w:rPr>
      </w:pPr>
      <w:r>
        <w:rPr>
          <w:rFonts w:eastAsia="Calibri"/>
        </w:rPr>
        <w:t>number of joint workshops or activities with other SDOs</w:t>
      </w:r>
    </w:p>
    <w:p w14:paraId="684A86DB" w14:textId="77777777" w:rsidR="001553A1" w:rsidRDefault="001553A1" w:rsidP="001553A1">
      <w:pPr>
        <w:pStyle w:val="enumlev2"/>
        <w:numPr>
          <w:ilvl w:val="1"/>
          <w:numId w:val="46"/>
        </w:numPr>
        <w:tabs>
          <w:tab w:val="clear" w:pos="1191"/>
          <w:tab w:val="left" w:pos="1170"/>
        </w:tabs>
        <w:ind w:left="1170" w:hanging="450"/>
        <w:textAlignment w:val="auto"/>
        <w:rPr>
          <w:lang w:val="en-CA"/>
        </w:rPr>
      </w:pPr>
      <w:r>
        <w:rPr>
          <w:lang w:val="en-CA"/>
        </w:rPr>
        <w:t>number of standards from other SDOs incorporated or adopted by ITU-T from 2008 to 2021 separated by field/subject</w:t>
      </w:r>
    </w:p>
    <w:p w14:paraId="0E247C18" w14:textId="77777777" w:rsidR="001553A1" w:rsidRPr="003C1AF9" w:rsidRDefault="001553A1" w:rsidP="001553A1">
      <w:pPr>
        <w:pStyle w:val="enumlev2"/>
        <w:numPr>
          <w:ilvl w:val="1"/>
          <w:numId w:val="46"/>
        </w:numPr>
        <w:tabs>
          <w:tab w:val="clear" w:pos="1191"/>
          <w:tab w:val="left" w:pos="1170"/>
        </w:tabs>
        <w:ind w:left="1170" w:hanging="450"/>
        <w:textAlignment w:val="auto"/>
        <w:rPr>
          <w:lang w:val="en-CA"/>
        </w:rPr>
      </w:pPr>
      <w:r>
        <w:rPr>
          <w:lang w:val="en-CA"/>
        </w:rPr>
        <w:t>number of liaison officers from or to other SDOs</w:t>
      </w:r>
    </w:p>
    <w:p w14:paraId="28B953DA" w14:textId="77777777" w:rsidR="001553A1" w:rsidRPr="00E557CE" w:rsidRDefault="001553A1" w:rsidP="001553A1">
      <w:pPr>
        <w:pStyle w:val="enumlev2"/>
        <w:numPr>
          <w:ilvl w:val="1"/>
          <w:numId w:val="46"/>
        </w:numPr>
        <w:tabs>
          <w:tab w:val="clear" w:pos="1191"/>
          <w:tab w:val="left" w:pos="1170"/>
        </w:tabs>
        <w:ind w:left="1170" w:hanging="450"/>
        <w:textAlignment w:val="auto"/>
        <w:rPr>
          <w:lang w:val="en-CA"/>
        </w:rPr>
      </w:pPr>
      <w:r>
        <w:rPr>
          <w:lang w:val="en-CA"/>
        </w:rPr>
        <w:t>other mechanisms to collaborate (e.g., JCAs, invited experts)</w:t>
      </w:r>
    </w:p>
    <w:p w14:paraId="68D28F56" w14:textId="77777777" w:rsidR="001553A1" w:rsidRDefault="001553A1" w:rsidP="001553A1">
      <w:pPr>
        <w:pStyle w:val="enumlev1"/>
        <w:numPr>
          <w:ilvl w:val="0"/>
          <w:numId w:val="40"/>
        </w:numPr>
        <w:textAlignment w:val="auto"/>
        <w:rPr>
          <w:rFonts w:eastAsia="SimSun"/>
        </w:rPr>
      </w:pPr>
      <w:r>
        <w:t>Is the current structure of Study Groups conducive to the standardization process of the rapid pace of telecommunication/ICT technology development?</w:t>
      </w:r>
    </w:p>
    <w:p w14:paraId="70D1B878" w14:textId="77777777" w:rsidR="001553A1" w:rsidRDefault="001553A1" w:rsidP="001553A1">
      <w:pPr>
        <w:pStyle w:val="enumlev1"/>
        <w:numPr>
          <w:ilvl w:val="0"/>
          <w:numId w:val="40"/>
        </w:numPr>
        <w:textAlignment w:val="auto"/>
      </w:pPr>
      <w:r>
        <w:rPr>
          <w:rFonts w:eastAsia="Calibri"/>
        </w:rPr>
        <w:t>Do ITU-T’s study groups reflect the international nature of the activity?</w:t>
      </w:r>
    </w:p>
    <w:p w14:paraId="389ED8D1" w14:textId="77777777" w:rsidR="001553A1" w:rsidRPr="00E30469" w:rsidRDefault="001553A1" w:rsidP="001553A1">
      <w:pPr>
        <w:pStyle w:val="enumlev2"/>
        <w:numPr>
          <w:ilvl w:val="2"/>
          <w:numId w:val="47"/>
        </w:numPr>
        <w:ind w:left="1170" w:hanging="450"/>
        <w:rPr>
          <w:rFonts w:eastAsia="Calibri"/>
        </w:rPr>
      </w:pPr>
      <w:r>
        <w:rPr>
          <w:rFonts w:eastAsia="Calibri"/>
        </w:rPr>
        <w:t>Number of participants (Member States, Sector Members, Associates, Academia, SMEs, and others (e.g. UN organizations, SDOs)</w:t>
      </w:r>
    </w:p>
    <w:p w14:paraId="40F0A244" w14:textId="77777777" w:rsidR="001553A1" w:rsidRDefault="001553A1" w:rsidP="001553A1">
      <w:pPr>
        <w:pStyle w:val="enumlev2"/>
        <w:numPr>
          <w:ilvl w:val="2"/>
          <w:numId w:val="47"/>
        </w:numPr>
        <w:ind w:left="1170" w:hanging="450"/>
        <w:textAlignment w:val="auto"/>
        <w:rPr>
          <w:rFonts w:eastAsia="Calibri"/>
        </w:rPr>
      </w:pPr>
      <w:r>
        <w:rPr>
          <w:rFonts w:eastAsia="Calibri"/>
        </w:rPr>
        <w:t xml:space="preserve">Number of different members, sector members and associates that have </w:t>
      </w:r>
      <w:r>
        <w:t xml:space="preserve">committed to contributing actively to </w:t>
      </w:r>
      <w:r w:rsidRPr="006108F6">
        <w:rPr>
          <w:rFonts w:eastAsia="Calibri"/>
        </w:rPr>
        <w:t>the introduction of new work</w:t>
      </w:r>
      <w:r>
        <w:rPr>
          <w:rFonts w:eastAsia="Calibri"/>
        </w:rPr>
        <w:t>, as shown in the A.1 and A.13 justifications</w:t>
      </w:r>
      <w:r>
        <w:rPr>
          <w:rStyle w:val="FootnoteReference"/>
          <w:rFonts w:eastAsia="Calibri"/>
        </w:rPr>
        <w:footnoteReference w:id="2"/>
      </w:r>
    </w:p>
    <w:p w14:paraId="6A8DEA76" w14:textId="77777777" w:rsidR="001553A1" w:rsidRDefault="001553A1" w:rsidP="001553A1">
      <w:pPr>
        <w:pStyle w:val="enumlev3"/>
        <w:numPr>
          <w:ilvl w:val="1"/>
          <w:numId w:val="41"/>
        </w:numPr>
        <w:tabs>
          <w:tab w:val="clear" w:pos="1588"/>
          <w:tab w:val="left" w:pos="1800"/>
        </w:tabs>
        <w:spacing w:before="120"/>
        <w:ind w:left="2342" w:hanging="902"/>
        <w:textAlignment w:val="auto"/>
        <w:rPr>
          <w:rFonts w:eastAsia="Calibri"/>
        </w:rPr>
      </w:pPr>
      <w:r>
        <w:rPr>
          <w:rFonts w:eastAsia="Calibri"/>
        </w:rPr>
        <w:t>by country</w:t>
      </w:r>
    </w:p>
    <w:p w14:paraId="61688FF3" w14:textId="77777777" w:rsidR="001553A1" w:rsidRDefault="001553A1" w:rsidP="001553A1">
      <w:pPr>
        <w:pStyle w:val="enumlev3"/>
        <w:numPr>
          <w:ilvl w:val="1"/>
          <w:numId w:val="41"/>
        </w:numPr>
        <w:tabs>
          <w:tab w:val="clear" w:pos="1588"/>
          <w:tab w:val="left" w:pos="1800"/>
        </w:tabs>
        <w:spacing w:before="120"/>
        <w:ind w:left="2342" w:hanging="902"/>
        <w:textAlignment w:val="auto"/>
        <w:rPr>
          <w:rFonts w:eastAsia="Calibri"/>
        </w:rPr>
      </w:pPr>
      <w:r>
        <w:rPr>
          <w:rFonts w:eastAsia="Calibri"/>
        </w:rPr>
        <w:t>by region</w:t>
      </w:r>
    </w:p>
    <w:p w14:paraId="03674A61" w14:textId="77777777" w:rsidR="001553A1" w:rsidRDefault="001553A1" w:rsidP="001553A1">
      <w:pPr>
        <w:pStyle w:val="enumlev3"/>
        <w:numPr>
          <w:ilvl w:val="1"/>
          <w:numId w:val="42"/>
        </w:numPr>
        <w:tabs>
          <w:tab w:val="clear" w:pos="1588"/>
          <w:tab w:val="left" w:pos="1800"/>
        </w:tabs>
        <w:spacing w:before="120"/>
        <w:ind w:left="2342" w:hanging="902"/>
        <w:textAlignment w:val="auto"/>
        <w:rPr>
          <w:rFonts w:eastAsia="Calibri"/>
        </w:rPr>
      </w:pPr>
      <w:r>
        <w:rPr>
          <w:rFonts w:eastAsia="Calibri"/>
        </w:rPr>
        <w:t>by membership category</w:t>
      </w:r>
    </w:p>
    <w:p w14:paraId="2C9D0A56" w14:textId="77777777" w:rsidR="001553A1" w:rsidRDefault="001553A1" w:rsidP="001553A1">
      <w:pPr>
        <w:pStyle w:val="enumlev2"/>
        <w:numPr>
          <w:ilvl w:val="2"/>
          <w:numId w:val="47"/>
        </w:numPr>
        <w:ind w:left="1350" w:hanging="630"/>
        <w:textAlignment w:val="auto"/>
        <w:rPr>
          <w:rFonts w:eastAsia="Calibri"/>
        </w:rPr>
      </w:pPr>
      <w:r>
        <w:rPr>
          <w:rFonts w:eastAsia="Calibri"/>
        </w:rPr>
        <w:t>Number of contributions to a work item from</w:t>
      </w:r>
    </w:p>
    <w:p w14:paraId="1FA24755" w14:textId="77777777" w:rsidR="001553A1" w:rsidRDefault="001553A1" w:rsidP="001553A1">
      <w:pPr>
        <w:pStyle w:val="enumlev3"/>
        <w:numPr>
          <w:ilvl w:val="1"/>
          <w:numId w:val="42"/>
        </w:numPr>
        <w:tabs>
          <w:tab w:val="clear" w:pos="1588"/>
          <w:tab w:val="left" w:pos="1890"/>
        </w:tabs>
        <w:spacing w:before="120"/>
        <w:ind w:left="2251" w:hanging="720"/>
        <w:textAlignment w:val="auto"/>
        <w:rPr>
          <w:rFonts w:eastAsia="Calibri"/>
        </w:rPr>
      </w:pPr>
      <w:r>
        <w:rPr>
          <w:rFonts w:eastAsia="Calibri"/>
        </w:rPr>
        <w:t>supporters</w:t>
      </w:r>
    </w:p>
    <w:p w14:paraId="2F97434C" w14:textId="77777777" w:rsidR="001553A1" w:rsidRDefault="001553A1" w:rsidP="001553A1">
      <w:pPr>
        <w:pStyle w:val="enumlev3"/>
        <w:numPr>
          <w:ilvl w:val="1"/>
          <w:numId w:val="42"/>
        </w:numPr>
        <w:tabs>
          <w:tab w:val="clear" w:pos="1588"/>
          <w:tab w:val="left" w:pos="1890"/>
        </w:tabs>
        <w:spacing w:before="120"/>
        <w:ind w:left="2251" w:hanging="720"/>
        <w:textAlignment w:val="auto"/>
        <w:rPr>
          <w:rFonts w:eastAsia="Calibri"/>
        </w:rPr>
      </w:pPr>
      <w:r>
        <w:rPr>
          <w:rFonts w:eastAsia="Calibri"/>
        </w:rPr>
        <w:t>others (by country, by region, by membership category)</w:t>
      </w:r>
    </w:p>
    <w:p w14:paraId="58FD9605" w14:textId="77777777" w:rsidR="001553A1" w:rsidRDefault="001553A1" w:rsidP="001553A1">
      <w:r>
        <w:rPr>
          <w:rStyle w:val="jlqj4b"/>
        </w:rPr>
        <w:lastRenderedPageBreak/>
        <w:t xml:space="preserve">The set of </w:t>
      </w:r>
      <w:r>
        <w:t>metrics raise fundamental questions over the work of the Telecommunication Standardization Sector, and the extent to which these questions can be answered by the action plan will influence the potential structure of the study groups. Many of the questions and issues raised are valid and are relevant in wider discussions than study group (re-)structuring.</w:t>
      </w:r>
    </w:p>
    <w:p w14:paraId="13712EBD" w14:textId="77777777" w:rsidR="001553A1" w:rsidRDefault="001553A1" w:rsidP="001553A1">
      <w:pPr>
        <w:rPr>
          <w:sz w:val="22"/>
          <w:szCs w:val="22"/>
          <w:lang w:val="en-US"/>
        </w:rPr>
      </w:pPr>
      <w:r>
        <w:t>In progressing this action plan, it is necessary:</w:t>
      </w:r>
    </w:p>
    <w:p w14:paraId="781AB1DE" w14:textId="77777777" w:rsidR="001553A1" w:rsidRDefault="001553A1" w:rsidP="001553A1">
      <w:pPr>
        <w:numPr>
          <w:ilvl w:val="0"/>
          <w:numId w:val="48"/>
        </w:numPr>
        <w:ind w:left="714" w:hanging="357"/>
      </w:pPr>
      <w:r>
        <w:t>to more clearly define the KPIs / metrics to be collected</w:t>
      </w:r>
    </w:p>
    <w:p w14:paraId="33268E1B" w14:textId="77777777" w:rsidR="001553A1" w:rsidRDefault="001553A1" w:rsidP="001553A1">
      <w:pPr>
        <w:numPr>
          <w:ilvl w:val="0"/>
          <w:numId w:val="48"/>
        </w:numPr>
        <w:ind w:left="714" w:hanging="357"/>
      </w:pPr>
      <w:r>
        <w:t>to establish priorities on the various KPIs / metrics to be collected, if necessary</w:t>
      </w:r>
    </w:p>
    <w:p w14:paraId="69267068" w14:textId="77777777" w:rsidR="001553A1" w:rsidRDefault="001553A1" w:rsidP="001553A1">
      <w:pPr>
        <w:numPr>
          <w:ilvl w:val="0"/>
          <w:numId w:val="48"/>
        </w:numPr>
        <w:ind w:left="714" w:hanging="357"/>
      </w:pPr>
      <w:r>
        <w:t>to define a timeline when the KPIs / statistics should be implemented, and</w:t>
      </w:r>
    </w:p>
    <w:p w14:paraId="02B33461" w14:textId="77777777" w:rsidR="001553A1" w:rsidRDefault="001553A1" w:rsidP="001553A1">
      <w:pPr>
        <w:numPr>
          <w:ilvl w:val="0"/>
          <w:numId w:val="48"/>
        </w:numPr>
        <w:ind w:left="714" w:hanging="357"/>
      </w:pPr>
      <w:r w:rsidRPr="00225AF9">
        <w:t>to work within the available funding.</w:t>
      </w:r>
    </w:p>
    <w:p w14:paraId="2FED249D" w14:textId="28CCA906" w:rsidR="001553A1" w:rsidRPr="000B536C" w:rsidRDefault="001553A1" w:rsidP="001553A1">
      <w:pPr>
        <w:pStyle w:val="Heading2"/>
        <w:ind w:left="576" w:hanging="576"/>
      </w:pPr>
      <w:r>
        <w:t>A2</w:t>
      </w:r>
      <w:r w:rsidRPr="000B536C">
        <w:t>.4</w:t>
      </w:r>
      <w:r w:rsidRPr="000B536C">
        <w:tab/>
        <w:t>Options for restructuring</w:t>
      </w:r>
    </w:p>
    <w:p w14:paraId="37A2576E" w14:textId="77777777" w:rsidR="001553A1" w:rsidRDefault="001553A1" w:rsidP="001553A1">
      <w:r>
        <w:t>The initial options to be considered in the implementation of this action plan are listed in TD995r1. However, other options remain open as and when they arise, including future submissions to be identified. The initial range of options can range from do nothing to a radical overall of the current ITU-T study group structure. In other words, this study should evaluate all possible restructure options and not to be limited to options listed in TD995r1.</w:t>
      </w:r>
    </w:p>
    <w:p w14:paraId="6A00F0DF" w14:textId="77777777" w:rsidR="001553A1" w:rsidRDefault="001553A1" w:rsidP="001553A1">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41259A04" w14:textId="77777777" w:rsidR="001553A1" w:rsidRDefault="001553A1" w:rsidP="001553A1">
      <w:pPr>
        <w:rPr>
          <w:lang w:eastAsia="zh-CN"/>
        </w:rPr>
      </w:pPr>
      <w:r>
        <w:rPr>
          <w:lang w:eastAsia="zh-CN"/>
        </w:rPr>
        <w:t>In implementing this action plan, transparency, fairness, impartiality, and objectivity should be ensured. The problems existing in the current ITU-T SGs’ structure, which need and could be solved by restructuring, should be identified, collected, and analysed objectively in the order of priority and urgency. All problems, once identified, should be prioritized with a clear understanding of which are to be solved in near future and which can be addressed at a later time.</w:t>
      </w:r>
    </w:p>
    <w:p w14:paraId="5A9260B8" w14:textId="3D926298" w:rsidR="001553A1" w:rsidRPr="000B536C" w:rsidRDefault="001553A1" w:rsidP="001553A1">
      <w:pPr>
        <w:pStyle w:val="Heading2"/>
        <w:ind w:left="576" w:hanging="576"/>
      </w:pPr>
      <w:r>
        <w:t>A2</w:t>
      </w:r>
      <w:r w:rsidRPr="000B536C">
        <w:t>.5</w:t>
      </w:r>
      <w:r w:rsidRPr="000B536C">
        <w:tab/>
        <w:t>Application of the information to the analysis</w:t>
      </w:r>
    </w:p>
    <w:p w14:paraId="3C9567CF" w14:textId="77777777" w:rsidR="001553A1" w:rsidRDefault="001553A1" w:rsidP="001553A1">
      <w:r>
        <w:t>The analysis should take into consideration the metrics that have been identified to answer the following questions:</w:t>
      </w:r>
    </w:p>
    <w:p w14:paraId="4ABC386E" w14:textId="77777777" w:rsidR="001553A1" w:rsidRDefault="001553A1" w:rsidP="001553A1">
      <w:pPr>
        <w:pStyle w:val="enumlev1"/>
        <w:numPr>
          <w:ilvl w:val="0"/>
          <w:numId w:val="49"/>
        </w:numPr>
        <w:tabs>
          <w:tab w:val="clear" w:pos="1588"/>
        </w:tabs>
        <w:spacing w:before="120" w:after="0"/>
        <w:ind w:left="360" w:hanging="360"/>
        <w:textAlignment w:val="auto"/>
      </w:pPr>
      <w:r w:rsidRPr="00233CFD">
        <w:t>How do the various</w:t>
      </w:r>
      <w:r>
        <w:t xml:space="preserve"> restructure options </w:t>
      </w:r>
      <w:r w:rsidRPr="00233CFD">
        <w:t>look</w:t>
      </w:r>
      <w:r>
        <w:t xml:space="preserve"> at ensuring the sustainability of study groups and raising future productivity in extracting the required recommendations and standards faster than the current situation?</w:t>
      </w:r>
    </w:p>
    <w:p w14:paraId="31CDB1B3" w14:textId="77777777" w:rsidR="001553A1" w:rsidRDefault="001553A1" w:rsidP="001553A1">
      <w:pPr>
        <w:pStyle w:val="enumlev1"/>
        <w:numPr>
          <w:ilvl w:val="0"/>
          <w:numId w:val="49"/>
        </w:numPr>
        <w:tabs>
          <w:tab w:val="clear" w:pos="1588"/>
        </w:tabs>
        <w:spacing w:before="120" w:after="0"/>
        <w:ind w:left="360" w:hanging="360"/>
        <w:textAlignment w:val="auto"/>
      </w:pPr>
      <w:r>
        <w:t>Do the current structure and work program of the ITU-T Study Groups meet the current and future industry demand? If no, what actions are needed?</w:t>
      </w:r>
    </w:p>
    <w:p w14:paraId="3B26DC6C" w14:textId="77777777" w:rsidR="001553A1" w:rsidRDefault="001553A1" w:rsidP="001553A1">
      <w:pPr>
        <w:pStyle w:val="enumlev1"/>
        <w:numPr>
          <w:ilvl w:val="0"/>
          <w:numId w:val="49"/>
        </w:numPr>
        <w:tabs>
          <w:tab w:val="clear" w:pos="1588"/>
        </w:tabs>
        <w:spacing w:before="120" w:after="0"/>
        <w:ind w:left="360" w:hanging="360"/>
        <w:textAlignment w:val="auto"/>
      </w:pPr>
      <w:r>
        <w:t xml:space="preserve">Do ITU-T Study Groups work collaboratively and complement each other to develop joint outputs? How can </w:t>
      </w:r>
      <w:r w:rsidRPr="00233CFD">
        <w:t>complementary</w:t>
      </w:r>
      <w:r>
        <w:t xml:space="preserve"> work be enhanced?</w:t>
      </w:r>
    </w:p>
    <w:p w14:paraId="5CE2DE25" w14:textId="77777777" w:rsidR="001553A1" w:rsidRDefault="001553A1" w:rsidP="001553A1">
      <w:pPr>
        <w:pStyle w:val="enumlev1"/>
        <w:numPr>
          <w:ilvl w:val="0"/>
          <w:numId w:val="49"/>
        </w:numPr>
        <w:tabs>
          <w:tab w:val="clear" w:pos="1588"/>
        </w:tabs>
        <w:spacing w:before="120" w:after="0"/>
        <w:ind w:left="360" w:hanging="360"/>
        <w:textAlignment w:val="auto"/>
      </w:pPr>
      <w:r>
        <w:t>What are the impacts of each restructuring option in terms of financial and human resources?</w:t>
      </w:r>
    </w:p>
    <w:p w14:paraId="06711327" w14:textId="77777777" w:rsidR="001553A1" w:rsidRDefault="001553A1" w:rsidP="001553A1">
      <w:pPr>
        <w:pStyle w:val="enumlev1"/>
        <w:numPr>
          <w:ilvl w:val="0"/>
          <w:numId w:val="49"/>
        </w:numPr>
        <w:tabs>
          <w:tab w:val="clear" w:pos="1588"/>
        </w:tabs>
        <w:spacing w:before="120" w:after="0"/>
        <w:ind w:left="360" w:hanging="360"/>
        <w:textAlignment w:val="auto"/>
      </w:pPr>
      <w:r>
        <w:t>What are the advantages and disadvantages of all the proposals, especially when merging the study groups, in terms of balance between the capacity of each study groups and not increasing the current burden, and also in terms of questions, meeting schedules and ensuring the sufficiency of the number of periodic meetings of the study groups?</w:t>
      </w:r>
    </w:p>
    <w:p w14:paraId="3AF86D40" w14:textId="77777777" w:rsidR="001553A1" w:rsidRDefault="001553A1" w:rsidP="001553A1">
      <w:pPr>
        <w:pStyle w:val="enumlev1"/>
        <w:numPr>
          <w:ilvl w:val="0"/>
          <w:numId w:val="49"/>
        </w:numPr>
        <w:tabs>
          <w:tab w:val="clear" w:pos="1588"/>
        </w:tabs>
        <w:spacing w:before="120" w:after="0"/>
        <w:ind w:left="360" w:hanging="360"/>
        <w:textAlignment w:val="auto"/>
      </w:pPr>
      <w:r w:rsidRPr="00233CFD">
        <w:t>To the extent an intergovernmental organization like the ITU can be assessed in terms of competitive advantages, w</w:t>
      </w:r>
      <w:r>
        <w:t>hat are the competitive advantages that ITU-T has, and how can ITU-T utilize these advantages?</w:t>
      </w:r>
    </w:p>
    <w:p w14:paraId="6783FEEC" w14:textId="77777777" w:rsidR="001553A1" w:rsidRDefault="001553A1" w:rsidP="001553A1">
      <w:r>
        <w:lastRenderedPageBreak/>
        <w:t>There should be a number of options employed to assess each restructuring option including benchmarking, gap analysis, SWOT analysis and brainstorming sessions.</w:t>
      </w:r>
    </w:p>
    <w:p w14:paraId="4DD7994C" w14:textId="5FA10C97" w:rsidR="001553A1" w:rsidRPr="000B536C" w:rsidRDefault="001553A1" w:rsidP="001553A1">
      <w:pPr>
        <w:pStyle w:val="Heading2"/>
        <w:ind w:left="576" w:hanging="576"/>
      </w:pPr>
      <w:r>
        <w:t>A2</w:t>
      </w:r>
      <w:r w:rsidRPr="000B536C">
        <w:t>.6</w:t>
      </w:r>
      <w:r w:rsidRPr="000B536C">
        <w:tab/>
        <w:t>Time scales</w:t>
      </w:r>
    </w:p>
    <w:p w14:paraId="6320D239" w14:textId="77777777" w:rsidR="001553A1" w:rsidRDefault="001553A1" w:rsidP="001553A1">
      <w:r>
        <w:t>The following timeline and process should be followed:</w:t>
      </w:r>
    </w:p>
    <w:p w14:paraId="7D2DB7D5" w14:textId="77777777" w:rsidR="001553A1" w:rsidRDefault="001553A1" w:rsidP="001553A1">
      <w:pPr>
        <w:pStyle w:val="enumlev1"/>
        <w:numPr>
          <w:ilvl w:val="0"/>
          <w:numId w:val="43"/>
        </w:numPr>
        <w:ind w:left="720"/>
        <w:textAlignment w:val="auto"/>
      </w:pPr>
      <w:r>
        <w:t>Following TSAG approval of the present action plan, TSAG reports to WTSA-20 with the proposed list of questions (</w:t>
      </w:r>
      <w:r>
        <w:rPr>
          <w:rFonts w:ascii="Calibri" w:hAnsi="Calibri" w:cs="Calibri"/>
        </w:rPr>
        <w:t>①②③</w:t>
      </w:r>
      <w:r>
        <w:t xml:space="preserve"> in timeline)</w:t>
      </w:r>
    </w:p>
    <w:p w14:paraId="5DF2727E" w14:textId="77777777" w:rsidR="001553A1" w:rsidRDefault="001553A1" w:rsidP="001553A1">
      <w:pPr>
        <w:pStyle w:val="enumlev1"/>
        <w:numPr>
          <w:ilvl w:val="0"/>
          <w:numId w:val="43"/>
        </w:numPr>
        <w:ind w:left="720"/>
        <w:textAlignment w:val="auto"/>
      </w:pPr>
      <w:r>
        <w:rPr>
          <w:lang w:val="en-US"/>
        </w:rPr>
        <w:t xml:space="preserve">WTSA-20 approves list of questions and provides guidance </w:t>
      </w:r>
      <w:r>
        <w:t>(</w:t>
      </w:r>
      <w:r>
        <w:rPr>
          <w:rFonts w:ascii="Calibri" w:hAnsi="Calibri" w:cs="Calibri"/>
        </w:rPr>
        <w:t>④</w:t>
      </w:r>
      <w:r>
        <w:t xml:space="preserve"> in timeline)</w:t>
      </w:r>
    </w:p>
    <w:p w14:paraId="391F3F63" w14:textId="77777777" w:rsidR="001553A1" w:rsidRDefault="001553A1" w:rsidP="001553A1">
      <w:pPr>
        <w:pStyle w:val="enumlev1"/>
        <w:numPr>
          <w:ilvl w:val="0"/>
          <w:numId w:val="43"/>
        </w:numPr>
        <w:ind w:left="720"/>
        <w:textAlignment w:val="auto"/>
      </w:pPr>
      <w:r>
        <w:t xml:space="preserve"> </w:t>
      </w:r>
      <w:r>
        <w:rPr>
          <w:rFonts w:eastAsia="Calibri"/>
        </w:rPr>
        <w:t>Data is gathered and analysed</w:t>
      </w:r>
      <w:r>
        <w:t xml:space="preserve"> (</w:t>
      </w:r>
      <w:r>
        <w:rPr>
          <w:rFonts w:ascii="Calibri" w:hAnsi="Calibri" w:cs="Calibri"/>
        </w:rPr>
        <w:t>⑤</w:t>
      </w:r>
      <w:r>
        <w:t xml:space="preserve"> in timeline)</w:t>
      </w:r>
    </w:p>
    <w:p w14:paraId="7ECF9D37" w14:textId="77777777" w:rsidR="001553A1" w:rsidRDefault="001553A1" w:rsidP="001553A1">
      <w:pPr>
        <w:pStyle w:val="enumlev1"/>
        <w:numPr>
          <w:ilvl w:val="0"/>
          <w:numId w:val="43"/>
        </w:numPr>
        <w:ind w:left="720"/>
        <w:textAlignment w:val="auto"/>
      </w:pPr>
      <w:r>
        <w:rPr>
          <w:rFonts w:eastAsia="Calibri"/>
        </w:rPr>
        <w:t>TSAG reviews the relevant underlying data, methodologies and analysis and recommendations based on the findings for further action and consideration</w:t>
      </w:r>
      <w:r>
        <w:t xml:space="preserve"> (</w:t>
      </w:r>
      <w:r>
        <w:rPr>
          <w:rFonts w:ascii="Calibri" w:hAnsi="Calibri" w:cs="Calibri"/>
        </w:rPr>
        <w:t>⑤</w:t>
      </w:r>
      <w:r>
        <w:t>in timeline)</w:t>
      </w:r>
    </w:p>
    <w:p w14:paraId="7DCF4887" w14:textId="77777777" w:rsidR="001553A1" w:rsidRDefault="001553A1" w:rsidP="001553A1">
      <w:pPr>
        <w:pStyle w:val="enumlev1"/>
        <w:numPr>
          <w:ilvl w:val="0"/>
          <w:numId w:val="43"/>
        </w:numPr>
        <w:ind w:left="720"/>
        <w:textAlignment w:val="auto"/>
      </w:pPr>
      <w:r>
        <w:rPr>
          <w:rFonts w:eastAsia="Calibri"/>
        </w:rPr>
        <w:t>TSAG submits a report to WTSA-24 concerning a possible restructure of ITU-T</w:t>
      </w:r>
      <w:r>
        <w:t xml:space="preserve"> (</w:t>
      </w:r>
      <w:r>
        <w:rPr>
          <w:rFonts w:ascii="Calibri" w:hAnsi="Calibri" w:cs="Calibri"/>
        </w:rPr>
        <w:t>⑥⑦</w:t>
      </w:r>
      <w:r>
        <w:t>in timeline)</w:t>
      </w:r>
    </w:p>
    <w:p w14:paraId="141E657F" w14:textId="77777777" w:rsidR="001553A1" w:rsidRDefault="001553A1" w:rsidP="001553A1">
      <w:r>
        <w:t>The timeline is indicated below.</w:t>
      </w:r>
    </w:p>
    <w:p w14:paraId="6D2875C0" w14:textId="77777777" w:rsidR="001553A1" w:rsidRDefault="001553A1" w:rsidP="001553A1">
      <w:pPr>
        <w:rPr>
          <w:rFonts w:cstheme="minorHAnsi"/>
        </w:rPr>
      </w:pPr>
      <w:r w:rsidRPr="00236B6E">
        <w:rPr>
          <w:noProof/>
        </w:rPr>
        <w:t xml:space="preserve"> </w:t>
      </w:r>
      <w:r w:rsidRPr="00F03EA6">
        <w:rPr>
          <w:rFonts w:cstheme="minorHAnsi"/>
          <w:noProof/>
          <w:lang w:val="en-US"/>
        </w:rPr>
        <w:drawing>
          <wp:inline distT="0" distB="0" distL="0" distR="0" wp14:anchorId="5E79D1E2" wp14:editId="0275BE1F">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29"/>
                    <a:srcRect l="5473" t="12616" r="39493" b="61094"/>
                    <a:stretch/>
                  </pic:blipFill>
                  <pic:spPr>
                    <a:xfrm>
                      <a:off x="0" y="0"/>
                      <a:ext cx="6388104" cy="1658524"/>
                    </a:xfrm>
                    <a:prstGeom prst="rect">
                      <a:avLst/>
                    </a:prstGeom>
                  </pic:spPr>
                </pic:pic>
              </a:graphicData>
            </a:graphic>
          </wp:inline>
        </w:drawing>
      </w:r>
      <w:r w:rsidRPr="00F03EA6">
        <w:rPr>
          <w:rFonts w:cstheme="minorHAnsi"/>
          <w:noProof/>
          <w:lang w:val="en-US"/>
        </w:rPr>
        <w:t xml:space="preserve"> </w:t>
      </w:r>
    </w:p>
    <w:p w14:paraId="443A44EE" w14:textId="507CB149" w:rsidR="001553A1" w:rsidRDefault="001553A1" w:rsidP="001553A1">
      <w:pPr>
        <w:pStyle w:val="FigureNotitle"/>
      </w:pPr>
      <w:r>
        <w:t>Figure A2.1 – Timeline</w:t>
      </w:r>
    </w:p>
    <w:p w14:paraId="0A7333CF" w14:textId="77777777" w:rsidR="001553A1" w:rsidRDefault="001553A1" w:rsidP="001553A1">
      <w:pPr>
        <w:spacing w:before="240"/>
      </w:pPr>
      <w:r>
        <w:t>This action plan should be executed between WTSA-20 (Q1 2022) – WTSA-24.</w:t>
      </w:r>
    </w:p>
    <w:p w14:paraId="00973B69" w14:textId="77777777" w:rsidR="001553A1" w:rsidRDefault="001553A1" w:rsidP="001553A1">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44CEC8E4" w14:textId="77777777" w:rsidR="001553A1" w:rsidRDefault="001553A1" w:rsidP="001553A1">
      <w:r>
        <w:t>The main responsible coordination point for this action plan should remain with TSAG. The analytics team, with very clear and specified tasks, should include ITU membership with support from TSB.</w:t>
      </w:r>
    </w:p>
    <w:p w14:paraId="1B984D6C" w14:textId="4BFDB0F0" w:rsidR="005F6549" w:rsidRPr="003E3E0B" w:rsidRDefault="001553A1" w:rsidP="001553A1">
      <w:pPr>
        <w:spacing w:before="0"/>
        <w:jc w:val="center"/>
        <w:rPr>
          <w:lang w:val="en-US"/>
        </w:rPr>
      </w:pPr>
      <w:r w:rsidRPr="009F4E53">
        <w:t>________________</w:t>
      </w:r>
    </w:p>
    <w:sectPr w:rsidR="005F6549" w:rsidRPr="003E3E0B" w:rsidSect="007E0C96">
      <w:headerReference w:type="default" r:id="rId3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4092" w14:textId="77777777" w:rsidR="00937361" w:rsidRDefault="00937361" w:rsidP="00C42125">
      <w:pPr>
        <w:spacing w:before="0"/>
      </w:pPr>
      <w:r>
        <w:separator/>
      </w:r>
    </w:p>
  </w:endnote>
  <w:endnote w:type="continuationSeparator" w:id="0">
    <w:p w14:paraId="4FAAC845" w14:textId="77777777" w:rsidR="00937361" w:rsidRDefault="0093736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82FE" w14:textId="77777777" w:rsidR="00937361" w:rsidRDefault="00937361" w:rsidP="00C42125">
      <w:pPr>
        <w:spacing w:before="0"/>
      </w:pPr>
      <w:r>
        <w:separator/>
      </w:r>
    </w:p>
  </w:footnote>
  <w:footnote w:type="continuationSeparator" w:id="0">
    <w:p w14:paraId="52AF7613" w14:textId="77777777" w:rsidR="00937361" w:rsidRDefault="00937361" w:rsidP="00C42125">
      <w:pPr>
        <w:spacing w:before="0"/>
      </w:pPr>
      <w:r>
        <w:continuationSeparator/>
      </w:r>
    </w:p>
  </w:footnote>
  <w:footnote w:id="1">
    <w:p w14:paraId="12CD3290" w14:textId="77777777" w:rsidR="002F183F" w:rsidRPr="00FD162E" w:rsidRDefault="002F183F" w:rsidP="002F183F">
      <w:pPr>
        <w:pStyle w:val="FootnoteText"/>
        <w:rPr>
          <w:lang w:val="en-US"/>
        </w:rPr>
      </w:pPr>
      <w:r>
        <w:rPr>
          <w:rStyle w:val="FootnoteReference"/>
        </w:rPr>
        <w:footnoteRef/>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 w:id="2">
    <w:p w14:paraId="7A0B57C4" w14:textId="77777777" w:rsidR="001553A1" w:rsidRPr="00E1270E" w:rsidRDefault="001553A1" w:rsidP="001553A1">
      <w:pPr>
        <w:pStyle w:val="FootnoteText"/>
      </w:pPr>
      <w:r>
        <w:rPr>
          <w:rStyle w:val="FootnoteReference"/>
        </w:rPr>
        <w:footnoteRef/>
      </w:r>
      <w:r>
        <w:t xml:space="preserve"> </w:t>
      </w:r>
      <w:r>
        <w:rPr>
          <w:lang w:val="en-US"/>
        </w:rPr>
        <w:t>While the general period of study is agreed to be from 2008 through 2021, it is recognized that the data related to</w:t>
      </w:r>
      <w:r>
        <w:rPr>
          <w:rFonts w:eastAsia="Calibri"/>
        </w:rPr>
        <w:t xml:space="preserve"> the A.1 and A.13 justifications are available only from a subset of these years. Care should be taken in drawing conclusions from these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72137C9E" w:rsidR="005976A1" w:rsidRPr="007E0C96" w:rsidRDefault="007E0C96" w:rsidP="007E0C96">
    <w:pPr>
      <w:pStyle w:val="Header"/>
    </w:pPr>
    <w:r w:rsidRPr="007E0C96">
      <w:t xml:space="preserve">- </w:t>
    </w:r>
    <w:r w:rsidRPr="007E0C96">
      <w:fldChar w:fldCharType="begin"/>
    </w:r>
    <w:r w:rsidRPr="007E0C96">
      <w:instrText xml:space="preserve"> PAGE  \* MERGEFORMAT </w:instrText>
    </w:r>
    <w:r w:rsidRPr="007E0C96">
      <w:fldChar w:fldCharType="separate"/>
    </w:r>
    <w:r w:rsidRPr="007E0C96">
      <w:rPr>
        <w:noProof/>
      </w:rPr>
      <w:t>1</w:t>
    </w:r>
    <w:r w:rsidRPr="007E0C96">
      <w:fldChar w:fldCharType="end"/>
    </w:r>
    <w:r w:rsidRPr="007E0C96">
      <w:t xml:space="preserve"> -</w:t>
    </w:r>
  </w:p>
  <w:p w14:paraId="70A0AA2A" w14:textId="549E31C5" w:rsidR="007E0C96" w:rsidRPr="007E0C96" w:rsidRDefault="007E0C96" w:rsidP="007E0C96">
    <w:pPr>
      <w:pStyle w:val="Header"/>
      <w:spacing w:after="240"/>
    </w:pPr>
    <w:r>
      <w:t>TSAG-TD124</w:t>
    </w:r>
    <w:r w:rsidR="001A3C04">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36417F7"/>
    <w:multiLevelType w:val="hybridMultilevel"/>
    <w:tmpl w:val="420E6BEC"/>
    <w:lvl w:ilvl="0" w:tplc="0809000F">
      <w:start w:val="1"/>
      <w:numFmt w:val="decimal"/>
      <w:lvlText w:val="%1."/>
      <w:lvlJc w:val="left"/>
      <w:pPr>
        <w:spacing w:after="1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B54936"/>
    <w:multiLevelType w:val="hybridMultilevel"/>
    <w:tmpl w:val="D0E4306A"/>
    <w:lvl w:ilvl="0" w:tplc="0809000F">
      <w:start w:val="1"/>
      <w:numFmt w:val="decimal"/>
      <w:lvlText w:val="%1."/>
      <w:lvlJc w:val="left"/>
      <w:pPr>
        <w:ind w:left="992" w:hanging="360"/>
      </w:pPr>
    </w:lvl>
    <w:lvl w:ilvl="1" w:tplc="08090019">
      <w:start w:val="1"/>
      <w:numFmt w:val="lowerLetter"/>
      <w:lvlText w:val="%2."/>
      <w:lvlJc w:val="left"/>
      <w:pPr>
        <w:ind w:left="1712" w:hanging="360"/>
      </w:pPr>
    </w:lvl>
    <w:lvl w:ilvl="2" w:tplc="0809001B">
      <w:start w:val="1"/>
      <w:numFmt w:val="lowerRoman"/>
      <w:lvlText w:val="%3."/>
      <w:lvlJc w:val="right"/>
      <w:pPr>
        <w:ind w:left="2432" w:hanging="180"/>
      </w:pPr>
    </w:lvl>
    <w:lvl w:ilvl="3" w:tplc="0809000F">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17"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1"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BE67E5"/>
    <w:multiLevelType w:val="hybridMultilevel"/>
    <w:tmpl w:val="FEFE0BA2"/>
    <w:lvl w:ilvl="0" w:tplc="CA444C8C">
      <w:start w:val="1"/>
      <w:numFmt w:val="decimal"/>
      <w:lvlText w:val="Part 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2"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142293"/>
    <w:multiLevelType w:val="hybridMultilevel"/>
    <w:tmpl w:val="52F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E155B"/>
    <w:multiLevelType w:val="hybridMultilevel"/>
    <w:tmpl w:val="166EEFCC"/>
    <w:lvl w:ilvl="0" w:tplc="12A0DAFE">
      <w:start w:val="1"/>
      <w:numFmt w:val="upperRoman"/>
      <w:lvlText w:val="Par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6493085">
    <w:abstractNumId w:val="9"/>
  </w:num>
  <w:num w:numId="2" w16cid:durableId="1432316221">
    <w:abstractNumId w:val="7"/>
  </w:num>
  <w:num w:numId="3" w16cid:durableId="324750676">
    <w:abstractNumId w:val="6"/>
  </w:num>
  <w:num w:numId="4" w16cid:durableId="732656246">
    <w:abstractNumId w:val="5"/>
  </w:num>
  <w:num w:numId="5" w16cid:durableId="1180656538">
    <w:abstractNumId w:val="4"/>
  </w:num>
  <w:num w:numId="6" w16cid:durableId="2032564423">
    <w:abstractNumId w:val="8"/>
  </w:num>
  <w:num w:numId="7" w16cid:durableId="830754623">
    <w:abstractNumId w:val="3"/>
  </w:num>
  <w:num w:numId="8" w16cid:durableId="1686637582">
    <w:abstractNumId w:val="2"/>
  </w:num>
  <w:num w:numId="9" w16cid:durableId="246038322">
    <w:abstractNumId w:val="1"/>
  </w:num>
  <w:num w:numId="10" w16cid:durableId="1988972395">
    <w:abstractNumId w:val="0"/>
  </w:num>
  <w:num w:numId="11" w16cid:durableId="1577203785">
    <w:abstractNumId w:val="35"/>
  </w:num>
  <w:num w:numId="12" w16cid:durableId="1933782412">
    <w:abstractNumId w:val="28"/>
  </w:num>
  <w:num w:numId="13" w16cid:durableId="1892186866">
    <w:abstractNumId w:val="45"/>
  </w:num>
  <w:num w:numId="14" w16cid:durableId="323626962">
    <w:abstractNumId w:val="26"/>
  </w:num>
  <w:num w:numId="15" w16cid:durableId="1157070828">
    <w:abstractNumId w:val="11"/>
  </w:num>
  <w:num w:numId="16" w16cid:durableId="954143769">
    <w:abstractNumId w:val="31"/>
  </w:num>
  <w:num w:numId="17" w16cid:durableId="344672651">
    <w:abstractNumId w:val="18"/>
  </w:num>
  <w:num w:numId="18" w16cid:durableId="984435835">
    <w:abstractNumId w:val="36"/>
  </w:num>
  <w:num w:numId="19" w16cid:durableId="11990537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816237">
    <w:abstractNumId w:val="30"/>
  </w:num>
  <w:num w:numId="21" w16cid:durableId="1395817291">
    <w:abstractNumId w:val="40"/>
  </w:num>
  <w:num w:numId="22" w16cid:durableId="566035614">
    <w:abstractNumId w:val="47"/>
  </w:num>
  <w:num w:numId="23" w16cid:durableId="6753493">
    <w:abstractNumId w:val="46"/>
  </w:num>
  <w:num w:numId="24" w16cid:durableId="533422603">
    <w:abstractNumId w:val="23"/>
  </w:num>
  <w:num w:numId="25" w16cid:durableId="1516924789">
    <w:abstractNumId w:val="41"/>
  </w:num>
  <w:num w:numId="26" w16cid:durableId="1504540987">
    <w:abstractNumId w:val="33"/>
  </w:num>
  <w:num w:numId="27" w16cid:durableId="1154488177">
    <w:abstractNumId w:val="10"/>
  </w:num>
  <w:num w:numId="28" w16cid:durableId="1924758067">
    <w:abstractNumId w:val="24"/>
  </w:num>
  <w:num w:numId="29" w16cid:durableId="1438212538">
    <w:abstractNumId w:val="39"/>
  </w:num>
  <w:num w:numId="30" w16cid:durableId="380599546">
    <w:abstractNumId w:val="21"/>
  </w:num>
  <w:num w:numId="31" w16cid:durableId="383991976">
    <w:abstractNumId w:val="34"/>
  </w:num>
  <w:num w:numId="32" w16cid:durableId="1201165679">
    <w:abstractNumId w:val="14"/>
  </w:num>
  <w:num w:numId="33" w16cid:durableId="851529800">
    <w:abstractNumId w:val="12"/>
  </w:num>
  <w:num w:numId="34" w16cid:durableId="678123993">
    <w:abstractNumId w:val="29"/>
  </w:num>
  <w:num w:numId="35" w16cid:durableId="488402583">
    <w:abstractNumId w:val="43"/>
  </w:num>
  <w:num w:numId="36" w16cid:durableId="973634304">
    <w:abstractNumId w:val="44"/>
  </w:num>
  <w:num w:numId="37" w16cid:durableId="489670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747572">
    <w:abstractNumId w:val="32"/>
  </w:num>
  <w:num w:numId="39" w16cid:durableId="695079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492383">
    <w:abstractNumId w:val="22"/>
  </w:num>
  <w:num w:numId="41" w16cid:durableId="429080381">
    <w:abstractNumId w:val="20"/>
  </w:num>
  <w:num w:numId="42" w16cid:durableId="1296790391">
    <w:abstractNumId w:val="38"/>
  </w:num>
  <w:num w:numId="43" w16cid:durableId="1778981308">
    <w:abstractNumId w:val="13"/>
  </w:num>
  <w:num w:numId="44" w16cid:durableId="150097893">
    <w:abstractNumId w:val="19"/>
  </w:num>
  <w:num w:numId="45" w16cid:durableId="940842312">
    <w:abstractNumId w:val="17"/>
  </w:num>
  <w:num w:numId="46" w16cid:durableId="136917116">
    <w:abstractNumId w:val="37"/>
  </w:num>
  <w:num w:numId="47" w16cid:durableId="1401323003">
    <w:abstractNumId w:val="27"/>
  </w:num>
  <w:num w:numId="48" w16cid:durableId="1518763494">
    <w:abstractNumId w:val="42"/>
  </w:num>
  <w:num w:numId="49" w16cid:durableId="585113866">
    <w:abstractNumId w:val="15"/>
  </w:num>
  <w:num w:numId="50" w16cid:durableId="789977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5A93"/>
    <w:rsid w:val="00057000"/>
    <w:rsid w:val="00061D33"/>
    <w:rsid w:val="000640E0"/>
    <w:rsid w:val="00066DA0"/>
    <w:rsid w:val="00072DB4"/>
    <w:rsid w:val="00076F96"/>
    <w:rsid w:val="000775A5"/>
    <w:rsid w:val="00081F96"/>
    <w:rsid w:val="00086D80"/>
    <w:rsid w:val="00091308"/>
    <w:rsid w:val="000920C0"/>
    <w:rsid w:val="00095017"/>
    <w:rsid w:val="00095B99"/>
    <w:rsid w:val="000966A8"/>
    <w:rsid w:val="000A0745"/>
    <w:rsid w:val="000A0A5C"/>
    <w:rsid w:val="000A460C"/>
    <w:rsid w:val="000A5CA2"/>
    <w:rsid w:val="000D2161"/>
    <w:rsid w:val="000D66E5"/>
    <w:rsid w:val="000E3C61"/>
    <w:rsid w:val="000E3E55"/>
    <w:rsid w:val="000E6083"/>
    <w:rsid w:val="000E6125"/>
    <w:rsid w:val="000F2BDB"/>
    <w:rsid w:val="00100BAF"/>
    <w:rsid w:val="001050C3"/>
    <w:rsid w:val="00107E12"/>
    <w:rsid w:val="00113DBE"/>
    <w:rsid w:val="00115BC6"/>
    <w:rsid w:val="001200A6"/>
    <w:rsid w:val="001251DA"/>
    <w:rsid w:val="00125432"/>
    <w:rsid w:val="0012623B"/>
    <w:rsid w:val="001307C0"/>
    <w:rsid w:val="00136CE0"/>
    <w:rsid w:val="00136DDD"/>
    <w:rsid w:val="00137F40"/>
    <w:rsid w:val="00140644"/>
    <w:rsid w:val="00144BDF"/>
    <w:rsid w:val="00154035"/>
    <w:rsid w:val="001553A1"/>
    <w:rsid w:val="00155DDC"/>
    <w:rsid w:val="00165701"/>
    <w:rsid w:val="0016769E"/>
    <w:rsid w:val="00171172"/>
    <w:rsid w:val="00171A5F"/>
    <w:rsid w:val="00172016"/>
    <w:rsid w:val="0018049C"/>
    <w:rsid w:val="001871EC"/>
    <w:rsid w:val="00190983"/>
    <w:rsid w:val="001941E5"/>
    <w:rsid w:val="001A20C3"/>
    <w:rsid w:val="001A3C04"/>
    <w:rsid w:val="001A3CD4"/>
    <w:rsid w:val="001A4C61"/>
    <w:rsid w:val="001A670F"/>
    <w:rsid w:val="001B087A"/>
    <w:rsid w:val="001B2EC0"/>
    <w:rsid w:val="001B6A45"/>
    <w:rsid w:val="001C1003"/>
    <w:rsid w:val="001C1053"/>
    <w:rsid w:val="001C4B91"/>
    <w:rsid w:val="001C5F94"/>
    <w:rsid w:val="001C62B8"/>
    <w:rsid w:val="001D033C"/>
    <w:rsid w:val="001D22D8"/>
    <w:rsid w:val="001D4296"/>
    <w:rsid w:val="001D5EB1"/>
    <w:rsid w:val="001E0AB8"/>
    <w:rsid w:val="001E6325"/>
    <w:rsid w:val="001E7B0E"/>
    <w:rsid w:val="001F141D"/>
    <w:rsid w:val="00200A06"/>
    <w:rsid w:val="00200A98"/>
    <w:rsid w:val="00201AFA"/>
    <w:rsid w:val="00203F41"/>
    <w:rsid w:val="00211DE2"/>
    <w:rsid w:val="00212080"/>
    <w:rsid w:val="00221C7E"/>
    <w:rsid w:val="00221E41"/>
    <w:rsid w:val="002229F1"/>
    <w:rsid w:val="00230B96"/>
    <w:rsid w:val="00233F75"/>
    <w:rsid w:val="002348B0"/>
    <w:rsid w:val="0024540A"/>
    <w:rsid w:val="0025233B"/>
    <w:rsid w:val="002528F9"/>
    <w:rsid w:val="00253D28"/>
    <w:rsid w:val="00253DBE"/>
    <w:rsid w:val="00253DC6"/>
    <w:rsid w:val="0025489C"/>
    <w:rsid w:val="002622FA"/>
    <w:rsid w:val="00263518"/>
    <w:rsid w:val="00263869"/>
    <w:rsid w:val="00270796"/>
    <w:rsid w:val="00271360"/>
    <w:rsid w:val="002759E7"/>
    <w:rsid w:val="00277326"/>
    <w:rsid w:val="00291B77"/>
    <w:rsid w:val="00292779"/>
    <w:rsid w:val="00295BDA"/>
    <w:rsid w:val="00295F98"/>
    <w:rsid w:val="002A11C4"/>
    <w:rsid w:val="002A20B2"/>
    <w:rsid w:val="002A21DA"/>
    <w:rsid w:val="002A399B"/>
    <w:rsid w:val="002C26C0"/>
    <w:rsid w:val="002C2BC5"/>
    <w:rsid w:val="002D13D7"/>
    <w:rsid w:val="002E0407"/>
    <w:rsid w:val="002E79CB"/>
    <w:rsid w:val="002F0471"/>
    <w:rsid w:val="002F1714"/>
    <w:rsid w:val="002F183F"/>
    <w:rsid w:val="002F4B03"/>
    <w:rsid w:val="002F5CA7"/>
    <w:rsid w:val="002F7F55"/>
    <w:rsid w:val="00304BD0"/>
    <w:rsid w:val="003071A8"/>
    <w:rsid w:val="0030745F"/>
    <w:rsid w:val="00314630"/>
    <w:rsid w:val="0032090A"/>
    <w:rsid w:val="00321CDE"/>
    <w:rsid w:val="003276E8"/>
    <w:rsid w:val="00330305"/>
    <w:rsid w:val="00333E15"/>
    <w:rsid w:val="003416D3"/>
    <w:rsid w:val="00353CF6"/>
    <w:rsid w:val="003547A2"/>
    <w:rsid w:val="0035573C"/>
    <w:rsid w:val="00356A0A"/>
    <w:rsid w:val="003571BC"/>
    <w:rsid w:val="00360541"/>
    <w:rsid w:val="003605EF"/>
    <w:rsid w:val="0036090C"/>
    <w:rsid w:val="00364979"/>
    <w:rsid w:val="0037204E"/>
    <w:rsid w:val="00373515"/>
    <w:rsid w:val="00385B9C"/>
    <w:rsid w:val="00385FB5"/>
    <w:rsid w:val="0038715D"/>
    <w:rsid w:val="00392945"/>
    <w:rsid w:val="00392E84"/>
    <w:rsid w:val="00394DBF"/>
    <w:rsid w:val="003957A6"/>
    <w:rsid w:val="003962A2"/>
    <w:rsid w:val="00397713"/>
    <w:rsid w:val="003A358B"/>
    <w:rsid w:val="003A43EF"/>
    <w:rsid w:val="003B2863"/>
    <w:rsid w:val="003B60A2"/>
    <w:rsid w:val="003C0297"/>
    <w:rsid w:val="003C7445"/>
    <w:rsid w:val="003D7BFB"/>
    <w:rsid w:val="003E1495"/>
    <w:rsid w:val="003E39A2"/>
    <w:rsid w:val="003E3E0B"/>
    <w:rsid w:val="003E57AB"/>
    <w:rsid w:val="003F2BED"/>
    <w:rsid w:val="00400B49"/>
    <w:rsid w:val="004024DD"/>
    <w:rsid w:val="0040415B"/>
    <w:rsid w:val="004139E4"/>
    <w:rsid w:val="00415999"/>
    <w:rsid w:val="00424686"/>
    <w:rsid w:val="00426FE4"/>
    <w:rsid w:val="0043175E"/>
    <w:rsid w:val="00443878"/>
    <w:rsid w:val="0044735A"/>
    <w:rsid w:val="0045089E"/>
    <w:rsid w:val="004539A8"/>
    <w:rsid w:val="004624F2"/>
    <w:rsid w:val="004646F1"/>
    <w:rsid w:val="004712CA"/>
    <w:rsid w:val="0047422E"/>
    <w:rsid w:val="00477DFF"/>
    <w:rsid w:val="00477FFC"/>
    <w:rsid w:val="0048314F"/>
    <w:rsid w:val="004836A5"/>
    <w:rsid w:val="0049674B"/>
    <w:rsid w:val="004B1D17"/>
    <w:rsid w:val="004B4552"/>
    <w:rsid w:val="004C0673"/>
    <w:rsid w:val="004C4246"/>
    <w:rsid w:val="004C4E4E"/>
    <w:rsid w:val="004C52B5"/>
    <w:rsid w:val="004C54D1"/>
    <w:rsid w:val="004E08F2"/>
    <w:rsid w:val="004E3C90"/>
    <w:rsid w:val="004F2FF3"/>
    <w:rsid w:val="004F3816"/>
    <w:rsid w:val="004F500A"/>
    <w:rsid w:val="00500F3B"/>
    <w:rsid w:val="00507DEC"/>
    <w:rsid w:val="005126A0"/>
    <w:rsid w:val="00512F21"/>
    <w:rsid w:val="00516067"/>
    <w:rsid w:val="00524C25"/>
    <w:rsid w:val="00532E91"/>
    <w:rsid w:val="00537BD2"/>
    <w:rsid w:val="00540E2E"/>
    <w:rsid w:val="00543D41"/>
    <w:rsid w:val="0054448D"/>
    <w:rsid w:val="00545472"/>
    <w:rsid w:val="00550B37"/>
    <w:rsid w:val="005571A4"/>
    <w:rsid w:val="005604FC"/>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F4B6A"/>
    <w:rsid w:val="005F6549"/>
    <w:rsid w:val="005F6BBE"/>
    <w:rsid w:val="006010F3"/>
    <w:rsid w:val="0060184E"/>
    <w:rsid w:val="00603E61"/>
    <w:rsid w:val="00604DCB"/>
    <w:rsid w:val="006062DE"/>
    <w:rsid w:val="0061475E"/>
    <w:rsid w:val="00615A0A"/>
    <w:rsid w:val="006179D0"/>
    <w:rsid w:val="00625C20"/>
    <w:rsid w:val="006333D4"/>
    <w:rsid w:val="00636746"/>
    <w:rsid w:val="006369B2"/>
    <w:rsid w:val="0063718D"/>
    <w:rsid w:val="0064087B"/>
    <w:rsid w:val="00647525"/>
    <w:rsid w:val="00647A71"/>
    <w:rsid w:val="006518BA"/>
    <w:rsid w:val="006530A8"/>
    <w:rsid w:val="00655033"/>
    <w:rsid w:val="006570B0"/>
    <w:rsid w:val="0066022F"/>
    <w:rsid w:val="0066206E"/>
    <w:rsid w:val="006664E6"/>
    <w:rsid w:val="006823F3"/>
    <w:rsid w:val="0069210B"/>
    <w:rsid w:val="00693139"/>
    <w:rsid w:val="00695DD7"/>
    <w:rsid w:val="006A0F3F"/>
    <w:rsid w:val="006A2A02"/>
    <w:rsid w:val="006A4055"/>
    <w:rsid w:val="006A7C27"/>
    <w:rsid w:val="006B1FA3"/>
    <w:rsid w:val="006B2FE4"/>
    <w:rsid w:val="006B37B0"/>
    <w:rsid w:val="006B507B"/>
    <w:rsid w:val="006B6BA2"/>
    <w:rsid w:val="006C05F5"/>
    <w:rsid w:val="006C5641"/>
    <w:rsid w:val="006C6341"/>
    <w:rsid w:val="006D1089"/>
    <w:rsid w:val="006D1B86"/>
    <w:rsid w:val="006D7355"/>
    <w:rsid w:val="006D7B6A"/>
    <w:rsid w:val="006F0797"/>
    <w:rsid w:val="006F2163"/>
    <w:rsid w:val="006F6CE4"/>
    <w:rsid w:val="006F7DEE"/>
    <w:rsid w:val="00703404"/>
    <w:rsid w:val="00707873"/>
    <w:rsid w:val="00715CA6"/>
    <w:rsid w:val="00721636"/>
    <w:rsid w:val="007229DE"/>
    <w:rsid w:val="00731135"/>
    <w:rsid w:val="007324AF"/>
    <w:rsid w:val="007331A9"/>
    <w:rsid w:val="007409B4"/>
    <w:rsid w:val="00741974"/>
    <w:rsid w:val="00741F48"/>
    <w:rsid w:val="007454B6"/>
    <w:rsid w:val="00747088"/>
    <w:rsid w:val="007527C2"/>
    <w:rsid w:val="00753671"/>
    <w:rsid w:val="00755192"/>
    <w:rsid w:val="0075525E"/>
    <w:rsid w:val="00756D3D"/>
    <w:rsid w:val="00757AA3"/>
    <w:rsid w:val="00766C24"/>
    <w:rsid w:val="007806C2"/>
    <w:rsid w:val="00781625"/>
    <w:rsid w:val="00781FEE"/>
    <w:rsid w:val="00786088"/>
    <w:rsid w:val="007903F8"/>
    <w:rsid w:val="007916D7"/>
    <w:rsid w:val="00794F4F"/>
    <w:rsid w:val="007974BE"/>
    <w:rsid w:val="007A0916"/>
    <w:rsid w:val="007A0DFD"/>
    <w:rsid w:val="007B0212"/>
    <w:rsid w:val="007C2F5A"/>
    <w:rsid w:val="007C56C7"/>
    <w:rsid w:val="007C5ED4"/>
    <w:rsid w:val="007C7122"/>
    <w:rsid w:val="007D3F11"/>
    <w:rsid w:val="007D71BC"/>
    <w:rsid w:val="007E0C96"/>
    <w:rsid w:val="007E2C69"/>
    <w:rsid w:val="007E53E4"/>
    <w:rsid w:val="007E624E"/>
    <w:rsid w:val="007E62B7"/>
    <w:rsid w:val="007E656A"/>
    <w:rsid w:val="007E73A8"/>
    <w:rsid w:val="007F0E65"/>
    <w:rsid w:val="007F3CAA"/>
    <w:rsid w:val="007F664D"/>
    <w:rsid w:val="00801B42"/>
    <w:rsid w:val="00806782"/>
    <w:rsid w:val="00814AF6"/>
    <w:rsid w:val="00816942"/>
    <w:rsid w:val="008171C1"/>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0E8"/>
    <w:rsid w:val="008776CF"/>
    <w:rsid w:val="00880944"/>
    <w:rsid w:val="0088144D"/>
    <w:rsid w:val="008852A5"/>
    <w:rsid w:val="00887A89"/>
    <w:rsid w:val="0089088E"/>
    <w:rsid w:val="00892297"/>
    <w:rsid w:val="008949A2"/>
    <w:rsid w:val="008964D6"/>
    <w:rsid w:val="008A06B4"/>
    <w:rsid w:val="008A0BB4"/>
    <w:rsid w:val="008A6A11"/>
    <w:rsid w:val="008B47FE"/>
    <w:rsid w:val="008B5123"/>
    <w:rsid w:val="008B5695"/>
    <w:rsid w:val="008B6AA9"/>
    <w:rsid w:val="008B7F85"/>
    <w:rsid w:val="008C5A9A"/>
    <w:rsid w:val="008C6D10"/>
    <w:rsid w:val="008D1E1E"/>
    <w:rsid w:val="008D60A6"/>
    <w:rsid w:val="008E0172"/>
    <w:rsid w:val="008E0706"/>
    <w:rsid w:val="008E1005"/>
    <w:rsid w:val="008F4D52"/>
    <w:rsid w:val="0090174C"/>
    <w:rsid w:val="00917598"/>
    <w:rsid w:val="00922BAD"/>
    <w:rsid w:val="0093229A"/>
    <w:rsid w:val="009352A2"/>
    <w:rsid w:val="00936852"/>
    <w:rsid w:val="00937361"/>
    <w:rsid w:val="0094045D"/>
    <w:rsid w:val="009406B5"/>
    <w:rsid w:val="00946166"/>
    <w:rsid w:val="0094682C"/>
    <w:rsid w:val="00954183"/>
    <w:rsid w:val="00954FF4"/>
    <w:rsid w:val="00966B5C"/>
    <w:rsid w:val="0096722C"/>
    <w:rsid w:val="00967A92"/>
    <w:rsid w:val="00982EDE"/>
    <w:rsid w:val="00983164"/>
    <w:rsid w:val="009837DC"/>
    <w:rsid w:val="00984252"/>
    <w:rsid w:val="00992C4F"/>
    <w:rsid w:val="00993342"/>
    <w:rsid w:val="009972EF"/>
    <w:rsid w:val="009A0BCB"/>
    <w:rsid w:val="009A0F5E"/>
    <w:rsid w:val="009A16C8"/>
    <w:rsid w:val="009A69FF"/>
    <w:rsid w:val="009B18E7"/>
    <w:rsid w:val="009B5035"/>
    <w:rsid w:val="009C06A2"/>
    <w:rsid w:val="009C1BEB"/>
    <w:rsid w:val="009C3160"/>
    <w:rsid w:val="009C4448"/>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15F0A"/>
    <w:rsid w:val="00A20392"/>
    <w:rsid w:val="00A21247"/>
    <w:rsid w:val="00A311F0"/>
    <w:rsid w:val="00A31D47"/>
    <w:rsid w:val="00A4013E"/>
    <w:rsid w:val="00A4045F"/>
    <w:rsid w:val="00A427CD"/>
    <w:rsid w:val="00A42C39"/>
    <w:rsid w:val="00A45FEE"/>
    <w:rsid w:val="00A4600B"/>
    <w:rsid w:val="00A46810"/>
    <w:rsid w:val="00A50506"/>
    <w:rsid w:val="00A51EF0"/>
    <w:rsid w:val="00A57D46"/>
    <w:rsid w:val="00A600CD"/>
    <w:rsid w:val="00A60C63"/>
    <w:rsid w:val="00A652C4"/>
    <w:rsid w:val="00A67A81"/>
    <w:rsid w:val="00A7015D"/>
    <w:rsid w:val="00A7261F"/>
    <w:rsid w:val="00A730A6"/>
    <w:rsid w:val="00A73407"/>
    <w:rsid w:val="00A80433"/>
    <w:rsid w:val="00A827B0"/>
    <w:rsid w:val="00A96899"/>
    <w:rsid w:val="00A971A0"/>
    <w:rsid w:val="00A9764D"/>
    <w:rsid w:val="00A97D76"/>
    <w:rsid w:val="00AA1186"/>
    <w:rsid w:val="00AA1F22"/>
    <w:rsid w:val="00AB37FB"/>
    <w:rsid w:val="00AC3E73"/>
    <w:rsid w:val="00AC63B0"/>
    <w:rsid w:val="00AC72C4"/>
    <w:rsid w:val="00AC7B9C"/>
    <w:rsid w:val="00AE0C0F"/>
    <w:rsid w:val="00AE5334"/>
    <w:rsid w:val="00B05691"/>
    <w:rsid w:val="00B05821"/>
    <w:rsid w:val="00B100D6"/>
    <w:rsid w:val="00B164C9"/>
    <w:rsid w:val="00B21CBD"/>
    <w:rsid w:val="00B2519B"/>
    <w:rsid w:val="00B26310"/>
    <w:rsid w:val="00B26C28"/>
    <w:rsid w:val="00B4174C"/>
    <w:rsid w:val="00B453F5"/>
    <w:rsid w:val="00B5162E"/>
    <w:rsid w:val="00B55CAF"/>
    <w:rsid w:val="00B61624"/>
    <w:rsid w:val="00B66481"/>
    <w:rsid w:val="00B70A93"/>
    <w:rsid w:val="00B7189C"/>
    <w:rsid w:val="00B718A5"/>
    <w:rsid w:val="00B742E9"/>
    <w:rsid w:val="00B75F08"/>
    <w:rsid w:val="00B77841"/>
    <w:rsid w:val="00B82A3C"/>
    <w:rsid w:val="00B83E08"/>
    <w:rsid w:val="00B83F86"/>
    <w:rsid w:val="00B86602"/>
    <w:rsid w:val="00B9305D"/>
    <w:rsid w:val="00BA06A2"/>
    <w:rsid w:val="00BA06B2"/>
    <w:rsid w:val="00BA7411"/>
    <w:rsid w:val="00BA788A"/>
    <w:rsid w:val="00BB0D9D"/>
    <w:rsid w:val="00BB4120"/>
    <w:rsid w:val="00BB4983"/>
    <w:rsid w:val="00BB7597"/>
    <w:rsid w:val="00BB79BD"/>
    <w:rsid w:val="00BC1FB8"/>
    <w:rsid w:val="00BC62E2"/>
    <w:rsid w:val="00BD0248"/>
    <w:rsid w:val="00BD0BD7"/>
    <w:rsid w:val="00BE04DD"/>
    <w:rsid w:val="00BE4AC3"/>
    <w:rsid w:val="00C0396F"/>
    <w:rsid w:val="00C11605"/>
    <w:rsid w:val="00C150C7"/>
    <w:rsid w:val="00C27A61"/>
    <w:rsid w:val="00C363E0"/>
    <w:rsid w:val="00C42125"/>
    <w:rsid w:val="00C449B0"/>
    <w:rsid w:val="00C47120"/>
    <w:rsid w:val="00C4772E"/>
    <w:rsid w:val="00C557CE"/>
    <w:rsid w:val="00C6002F"/>
    <w:rsid w:val="00C61278"/>
    <w:rsid w:val="00C62814"/>
    <w:rsid w:val="00C65265"/>
    <w:rsid w:val="00C67B25"/>
    <w:rsid w:val="00C72D8E"/>
    <w:rsid w:val="00C748F7"/>
    <w:rsid w:val="00C74937"/>
    <w:rsid w:val="00C955D0"/>
    <w:rsid w:val="00CA3F2F"/>
    <w:rsid w:val="00CA6378"/>
    <w:rsid w:val="00CB2599"/>
    <w:rsid w:val="00CC386F"/>
    <w:rsid w:val="00CC77F9"/>
    <w:rsid w:val="00CD1C40"/>
    <w:rsid w:val="00CD2139"/>
    <w:rsid w:val="00CD6937"/>
    <w:rsid w:val="00CE385A"/>
    <w:rsid w:val="00CE5986"/>
    <w:rsid w:val="00D10A47"/>
    <w:rsid w:val="00D10BBA"/>
    <w:rsid w:val="00D117EA"/>
    <w:rsid w:val="00D1185D"/>
    <w:rsid w:val="00D14EEA"/>
    <w:rsid w:val="00D15BE9"/>
    <w:rsid w:val="00D218ED"/>
    <w:rsid w:val="00D228B7"/>
    <w:rsid w:val="00D26477"/>
    <w:rsid w:val="00D5167D"/>
    <w:rsid w:val="00D52358"/>
    <w:rsid w:val="00D56CC3"/>
    <w:rsid w:val="00D57D9C"/>
    <w:rsid w:val="00D647EF"/>
    <w:rsid w:val="00D66585"/>
    <w:rsid w:val="00D73137"/>
    <w:rsid w:val="00D75A73"/>
    <w:rsid w:val="00D80052"/>
    <w:rsid w:val="00D921BC"/>
    <w:rsid w:val="00D93E3A"/>
    <w:rsid w:val="00D977A2"/>
    <w:rsid w:val="00DA1D47"/>
    <w:rsid w:val="00DB0706"/>
    <w:rsid w:val="00DB0F97"/>
    <w:rsid w:val="00DB1F4A"/>
    <w:rsid w:val="00DB3893"/>
    <w:rsid w:val="00DC054A"/>
    <w:rsid w:val="00DC10C0"/>
    <w:rsid w:val="00DC55E1"/>
    <w:rsid w:val="00DD1957"/>
    <w:rsid w:val="00DD3ED7"/>
    <w:rsid w:val="00DD50DE"/>
    <w:rsid w:val="00DD5213"/>
    <w:rsid w:val="00DE1204"/>
    <w:rsid w:val="00DE3062"/>
    <w:rsid w:val="00DF27DC"/>
    <w:rsid w:val="00E008D3"/>
    <w:rsid w:val="00E0581D"/>
    <w:rsid w:val="00E07E70"/>
    <w:rsid w:val="00E1590B"/>
    <w:rsid w:val="00E204DD"/>
    <w:rsid w:val="00E228B7"/>
    <w:rsid w:val="00E24269"/>
    <w:rsid w:val="00E353EC"/>
    <w:rsid w:val="00E359D1"/>
    <w:rsid w:val="00E3702A"/>
    <w:rsid w:val="00E42034"/>
    <w:rsid w:val="00E51F61"/>
    <w:rsid w:val="00E53C24"/>
    <w:rsid w:val="00E56582"/>
    <w:rsid w:val="00E56E77"/>
    <w:rsid w:val="00E57C2E"/>
    <w:rsid w:val="00E81B90"/>
    <w:rsid w:val="00E825B4"/>
    <w:rsid w:val="00E8645B"/>
    <w:rsid w:val="00E90501"/>
    <w:rsid w:val="00E9285E"/>
    <w:rsid w:val="00EA0BE7"/>
    <w:rsid w:val="00EB444D"/>
    <w:rsid w:val="00EC64FA"/>
    <w:rsid w:val="00ED1B45"/>
    <w:rsid w:val="00ED4F12"/>
    <w:rsid w:val="00ED6AA3"/>
    <w:rsid w:val="00EE1A06"/>
    <w:rsid w:val="00EE5C0D"/>
    <w:rsid w:val="00EE70E1"/>
    <w:rsid w:val="00EF4792"/>
    <w:rsid w:val="00EF76DC"/>
    <w:rsid w:val="00F02294"/>
    <w:rsid w:val="00F0725D"/>
    <w:rsid w:val="00F1515B"/>
    <w:rsid w:val="00F264FD"/>
    <w:rsid w:val="00F271C0"/>
    <w:rsid w:val="00F302D4"/>
    <w:rsid w:val="00F30DE7"/>
    <w:rsid w:val="00F32691"/>
    <w:rsid w:val="00F35F57"/>
    <w:rsid w:val="00F40AFA"/>
    <w:rsid w:val="00F50467"/>
    <w:rsid w:val="00F530AD"/>
    <w:rsid w:val="00F5313B"/>
    <w:rsid w:val="00F562A0"/>
    <w:rsid w:val="00F57FA4"/>
    <w:rsid w:val="00F62434"/>
    <w:rsid w:val="00F85A75"/>
    <w:rsid w:val="00F91F38"/>
    <w:rsid w:val="00F92742"/>
    <w:rsid w:val="00F93E7F"/>
    <w:rsid w:val="00F9547A"/>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E6990"/>
    <w:rsid w:val="00FF05A2"/>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1"/>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1"/>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iPriority w:val="1"/>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uiPriority w:val="99"/>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59"/>
    <w:qFormat/>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locked/>
    <w:rsid w:val="008852A5"/>
    <w:rPr>
      <w:rFonts w:ascii="Times New Roman" w:hAnsi="Times New Roman" w:cs="Times New Roman"/>
      <w:sz w:val="24"/>
      <w:szCs w:val="24"/>
      <w:lang w:val="en-GB" w:eastAsia="ja-JP"/>
    </w:rPr>
  </w:style>
  <w:style w:type="paragraph" w:customStyle="1" w:styleId="Heading1Centered">
    <w:name w:val="Heading 1 Centered"/>
    <w:basedOn w:val="Heading1"/>
    <w:rsid w:val="001553A1"/>
    <w:pPr>
      <w:ind w:left="0" w:firstLine="0"/>
      <w:jc w:val="center"/>
    </w:pPr>
    <w:rPr>
      <w:rFonts w:eastAsia="SimSun"/>
      <w:bCs/>
      <w:sz w:val="28"/>
    </w:rPr>
  </w:style>
  <w:style w:type="character" w:customStyle="1" w:styleId="jlqj4b">
    <w:name w:val="jlqj4b"/>
    <w:basedOn w:val="DefaultParagraphFont"/>
    <w:rsid w:val="001553A1"/>
  </w:style>
  <w:style w:type="character" w:customStyle="1" w:styleId="TabletextChar">
    <w:name w:val="Table_text Char"/>
    <w:link w:val="Tabletext"/>
    <w:qFormat/>
    <w:rsid w:val="008C6D10"/>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35903503">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19090493">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064/en" TargetMode="External"/><Relationship Id="rId18" Type="http://schemas.openxmlformats.org/officeDocument/2006/relationships/hyperlink" Target="file:////Users/miho/Downloads/%250a%2509%2509%2509%2509%2509%2509%2509publications.aspx%3flang=en&amp;parent=T-RES-T.22-2022" TargetMode="External"/><Relationship Id="rId26" Type="http://schemas.openxmlformats.org/officeDocument/2006/relationships/hyperlink" Target="https://www.itu.int/md/T17-WTSA.20-C-0023/en" TargetMode="External"/><Relationship Id="rId3" Type="http://schemas.openxmlformats.org/officeDocument/2006/relationships/customXml" Target="../customXml/item3.xml"/><Relationship Id="rId21" Type="http://schemas.openxmlformats.org/officeDocument/2006/relationships/hyperlink" Target="https://www.itu.int/pub/T-RES-T.44-2022" TargetMode="External"/><Relationship Id="rId7" Type="http://schemas.openxmlformats.org/officeDocument/2006/relationships/settings" Target="settings.xml"/><Relationship Id="rId12" Type="http://schemas.openxmlformats.org/officeDocument/2006/relationships/hyperlink" Target="mailto:m_naganuma@nec.com" TargetMode="External"/><Relationship Id="rId17" Type="http://schemas.openxmlformats.org/officeDocument/2006/relationships/hyperlink" Target="https://www.itu.int/md/T17-WTSA.20-C-0092" TargetMode="External"/><Relationship Id="rId25" Type="http://schemas.openxmlformats.org/officeDocument/2006/relationships/hyperlink" Target="https://www.itu.int/md/meetingdoc.asp?lang=en&amp;parent=T17-WTSA.20-C-0086" TargetMode="External"/><Relationship Id="rId2" Type="http://schemas.openxmlformats.org/officeDocument/2006/relationships/customXml" Target="../customXml/item2.xml"/><Relationship Id="rId16" Type="http://schemas.openxmlformats.org/officeDocument/2006/relationships/hyperlink" Target="https://www.itu.int/pub/T-REG-LIV.1-2022/en" TargetMode="External"/><Relationship Id="rId20" Type="http://schemas.openxmlformats.org/officeDocument/2006/relationships/hyperlink" Target="https://www.itu.int/md/T17-WTSA.20-220301-TD-GEN-0066/e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WTSA.20-220301-TD-GEN-0085/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T-RES" TargetMode="External"/><Relationship Id="rId23" Type="http://schemas.openxmlformats.org/officeDocument/2006/relationships/hyperlink" Target="https://www.itu.int/md/meetingdoc.asp?lang=en&amp;parent=T17-WTSA.20-C-0079"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itu.int/pub/T-REG-LIV.1-2022/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065/en" TargetMode="External"/><Relationship Id="rId22" Type="http://schemas.openxmlformats.org/officeDocument/2006/relationships/hyperlink" Target="https://www.itu.int/md/T17-WTSA.20-220301-TD-GEN-0081/en" TargetMode="External"/><Relationship Id="rId27" Type="http://schemas.openxmlformats.org/officeDocument/2006/relationships/hyperlink" Target="https://www.itu.int/md/T17-WTSA.20-C-0023/e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13</Pages>
  <Words>4538</Words>
  <Characters>25868</Characters>
  <Application>Microsoft Office Word</Application>
  <DocSecurity>0</DocSecurity>
  <Lines>215</Lines>
  <Paragraphs>60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Basic template - Unformatted (T21)</vt:lpstr>
      <vt:lpstr>Basic template - Unformatted (T21)</vt:lpstr>
      <vt:lpstr>Basic template - Unformatted (T21)</vt:lpstr>
    </vt:vector>
  </TitlesOfParts>
  <Manager>ITU-T</Manager>
  <Company>International Telecommunication Union (ITU)</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and reference materials related Work Programme and Restructuring, SG work, and SG Coordination (RG-WPR)</dc:title>
  <dc:subject/>
  <dc:creator>TSAG vice-chairman</dc:creator>
  <cp:keywords/>
  <dc:description>TSAG-TD124  For: Geneva, 12-16 December 2022_x000d_Document date: _x000d_Saved by ITU51014254 at 12:05:54 on 30.11.2022</dc:description>
  <cp:lastModifiedBy>Al-Mnini, Lara</cp:lastModifiedBy>
  <cp:revision>3</cp:revision>
  <cp:lastPrinted>2016-12-23T12:52:00Z</cp:lastPrinted>
  <dcterms:created xsi:type="dcterms:W3CDTF">2022-12-07T17:40:00Z</dcterms:created>
  <dcterms:modified xsi:type="dcterms:W3CDTF">2022-12-07T17:42:00Z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TSAG-TD124</vt:lpwstr>
  </property>
  <property fmtid="{D5CDD505-2E9C-101B-9397-08002B2CF9AE}" pid="11" name="Docdate">
    <vt:lpwstr/>
  </property>
  <property fmtid="{D5CDD505-2E9C-101B-9397-08002B2CF9AE}" pid="12" name="Docorlang">
    <vt:lpwstr/>
  </property>
  <property fmtid="{D5CDD505-2E9C-101B-9397-08002B2CF9AE}" pid="13" name="Docbluepink">
    <vt:lpwstr>RG-WPR</vt:lpwstr>
  </property>
  <property fmtid="{D5CDD505-2E9C-101B-9397-08002B2CF9AE}" pid="14" name="Docdest">
    <vt:lpwstr>Geneva, 12-16 December 2022</vt:lpwstr>
  </property>
  <property fmtid="{D5CDD505-2E9C-101B-9397-08002B2CF9AE}" pid="15" name="Docauthor">
    <vt:lpwstr>TSAG vice-chairman</vt:lpwstr>
  </property>
</Properties>
</file>