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787697F0" w:rsidR="0013769D" w:rsidRPr="00D010EB" w:rsidRDefault="0013769D" w:rsidP="002A64E6">
            <w:pPr>
              <w:pStyle w:val="Docnumber"/>
              <w:rPr>
                <w:color w:val="FF0000"/>
                <w:lang w:val="en-GB"/>
              </w:rPr>
            </w:pPr>
            <w:r w:rsidRPr="00294C7E">
              <w:rPr>
                <w:color w:val="000000" w:themeColor="text1"/>
                <w:sz w:val="32"/>
                <w:lang w:val="en-GB"/>
              </w:rPr>
              <w:t>TSAG-TD</w:t>
            </w:r>
            <w:r w:rsidR="00384321" w:rsidRPr="00294C7E">
              <w:rPr>
                <w:color w:val="000000" w:themeColor="text1"/>
                <w:sz w:val="32"/>
                <w:lang w:val="en-GB"/>
              </w:rPr>
              <w:t>135</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77777777"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0C4082" w14:paraId="5697FB14" w14:textId="77777777" w:rsidTr="002A64E6">
        <w:trPr>
          <w:cantSplit/>
          <w:trHeight w:val="20"/>
        </w:trPr>
        <w:tc>
          <w:tcPr>
            <w:tcW w:w="1701" w:type="dxa"/>
            <w:gridSpan w:val="2"/>
            <w:hideMark/>
          </w:tcPr>
          <w:p w14:paraId="68C07FE8" w14:textId="77777777" w:rsidR="0013769D" w:rsidRPr="000C4082" w:rsidRDefault="0013769D" w:rsidP="000C4082">
            <w:pPr>
              <w:spacing w:before="120"/>
              <w:rPr>
                <w:b/>
                <w:bCs/>
                <w:sz w:val="24"/>
                <w:szCs w:val="24"/>
                <w:lang w:val="en-GB"/>
              </w:rPr>
            </w:pPr>
            <w:r w:rsidRPr="000C4082">
              <w:rPr>
                <w:b/>
                <w:bCs/>
                <w:sz w:val="24"/>
                <w:szCs w:val="24"/>
                <w:lang w:val="en-GB"/>
              </w:rPr>
              <w:t>Question(s):</w:t>
            </w:r>
          </w:p>
        </w:tc>
        <w:tc>
          <w:tcPr>
            <w:tcW w:w="4597" w:type="dxa"/>
            <w:hideMark/>
          </w:tcPr>
          <w:p w14:paraId="3BF7C970" w14:textId="77777777" w:rsidR="0013769D" w:rsidRPr="000C4082" w:rsidRDefault="0013769D" w:rsidP="000C4082">
            <w:pPr>
              <w:spacing w:before="120"/>
              <w:rPr>
                <w:sz w:val="24"/>
                <w:szCs w:val="24"/>
                <w:lang w:val="en-GB"/>
              </w:rPr>
            </w:pPr>
            <w:r w:rsidRPr="000C4082">
              <w:rPr>
                <w:sz w:val="24"/>
                <w:szCs w:val="24"/>
                <w:lang w:val="en-GB"/>
              </w:rPr>
              <w:t>N/A</w:t>
            </w:r>
          </w:p>
        </w:tc>
        <w:tc>
          <w:tcPr>
            <w:tcW w:w="3632" w:type="dxa"/>
            <w:hideMark/>
          </w:tcPr>
          <w:p w14:paraId="2BF7A594" w14:textId="77777777" w:rsidR="0013769D" w:rsidRPr="000C4082" w:rsidRDefault="0013769D" w:rsidP="000C4082">
            <w:pPr>
              <w:spacing w:before="120"/>
              <w:jc w:val="right"/>
              <w:rPr>
                <w:sz w:val="24"/>
                <w:szCs w:val="24"/>
                <w:lang w:val="en-GB"/>
              </w:rPr>
            </w:pPr>
            <w:r w:rsidRPr="000C4082">
              <w:rPr>
                <w:sz w:val="24"/>
                <w:szCs w:val="24"/>
                <w:lang w:val="en-GB"/>
              </w:rPr>
              <w:t>Geneva, 12-16 December 2022</w:t>
            </w:r>
          </w:p>
        </w:tc>
      </w:tr>
      <w:tr w:rsidR="0013769D" w:rsidRPr="000C4082" w14:paraId="3F69D3F7" w14:textId="77777777" w:rsidTr="002A64E6">
        <w:trPr>
          <w:cantSplit/>
          <w:trHeight w:val="20"/>
        </w:trPr>
        <w:tc>
          <w:tcPr>
            <w:tcW w:w="9930" w:type="dxa"/>
            <w:gridSpan w:val="4"/>
            <w:hideMark/>
          </w:tcPr>
          <w:p w14:paraId="1F87FFB7" w14:textId="77777777" w:rsidR="0013769D" w:rsidRPr="000C4082" w:rsidRDefault="0013769D" w:rsidP="000C4082">
            <w:pPr>
              <w:spacing w:before="120"/>
              <w:jc w:val="center"/>
              <w:rPr>
                <w:b/>
                <w:bCs/>
                <w:sz w:val="24"/>
                <w:szCs w:val="24"/>
                <w:lang w:val="en-GB"/>
              </w:rPr>
            </w:pPr>
            <w:r w:rsidRPr="000C4082">
              <w:rPr>
                <w:b/>
                <w:bCs/>
                <w:sz w:val="24"/>
                <w:szCs w:val="24"/>
                <w:lang w:val="en-GB"/>
              </w:rPr>
              <w:t>TD</w:t>
            </w:r>
          </w:p>
        </w:tc>
      </w:tr>
      <w:tr w:rsidR="0013769D" w:rsidRPr="000C4082" w14:paraId="4C27906A" w14:textId="77777777" w:rsidTr="002A64E6">
        <w:trPr>
          <w:cantSplit/>
          <w:trHeight w:val="20"/>
        </w:trPr>
        <w:tc>
          <w:tcPr>
            <w:tcW w:w="1701" w:type="dxa"/>
            <w:gridSpan w:val="2"/>
            <w:hideMark/>
          </w:tcPr>
          <w:p w14:paraId="59F58551" w14:textId="77777777" w:rsidR="0013769D" w:rsidRPr="000C4082" w:rsidRDefault="0013769D" w:rsidP="000C4082">
            <w:pPr>
              <w:spacing w:before="120"/>
              <w:rPr>
                <w:b/>
                <w:bCs/>
                <w:sz w:val="24"/>
                <w:szCs w:val="24"/>
                <w:lang w:val="en-GB"/>
              </w:rPr>
            </w:pPr>
            <w:r w:rsidRPr="000C4082">
              <w:rPr>
                <w:b/>
                <w:bCs/>
                <w:sz w:val="24"/>
                <w:szCs w:val="24"/>
                <w:lang w:val="en-GB"/>
              </w:rPr>
              <w:t>Source:</w:t>
            </w:r>
          </w:p>
        </w:tc>
        <w:tc>
          <w:tcPr>
            <w:tcW w:w="8229" w:type="dxa"/>
            <w:gridSpan w:val="2"/>
            <w:hideMark/>
          </w:tcPr>
          <w:p w14:paraId="3B08656B" w14:textId="16D94A2D" w:rsidR="0013769D" w:rsidRPr="000C4082" w:rsidRDefault="0013769D" w:rsidP="000C4082">
            <w:pPr>
              <w:spacing w:before="120"/>
              <w:rPr>
                <w:color w:val="2E74B5"/>
                <w:sz w:val="24"/>
                <w:szCs w:val="24"/>
                <w:lang w:val="en-GB"/>
              </w:rPr>
            </w:pPr>
            <w:r w:rsidRPr="000C4082">
              <w:rPr>
                <w:sz w:val="24"/>
                <w:szCs w:val="24"/>
                <w:lang w:val="en-GB"/>
              </w:rPr>
              <w:t>Director of the Telecommunication Standardization Bureau</w:t>
            </w:r>
          </w:p>
        </w:tc>
      </w:tr>
      <w:tr w:rsidR="0013769D" w:rsidRPr="000C4082" w14:paraId="743D853B" w14:textId="77777777" w:rsidTr="002A64E6">
        <w:trPr>
          <w:cantSplit/>
          <w:trHeight w:val="20"/>
        </w:trPr>
        <w:tc>
          <w:tcPr>
            <w:tcW w:w="1701" w:type="dxa"/>
            <w:gridSpan w:val="2"/>
            <w:hideMark/>
          </w:tcPr>
          <w:p w14:paraId="24DC047B" w14:textId="77777777" w:rsidR="0013769D" w:rsidRPr="000C4082" w:rsidRDefault="0013769D" w:rsidP="000C4082">
            <w:pPr>
              <w:spacing w:before="120"/>
              <w:rPr>
                <w:b/>
                <w:bCs/>
                <w:sz w:val="24"/>
                <w:szCs w:val="24"/>
                <w:lang w:val="en-GB"/>
              </w:rPr>
            </w:pPr>
            <w:r w:rsidRPr="000C4082">
              <w:rPr>
                <w:b/>
                <w:bCs/>
                <w:sz w:val="24"/>
                <w:szCs w:val="24"/>
                <w:lang w:val="en-GB"/>
              </w:rPr>
              <w:t>Title:</w:t>
            </w:r>
          </w:p>
        </w:tc>
        <w:tc>
          <w:tcPr>
            <w:tcW w:w="8229" w:type="dxa"/>
            <w:gridSpan w:val="2"/>
            <w:hideMark/>
          </w:tcPr>
          <w:p w14:paraId="27A4B196" w14:textId="28FF5433" w:rsidR="0013769D" w:rsidRPr="000C4082" w:rsidRDefault="00D010EB" w:rsidP="000C4082">
            <w:pPr>
              <w:spacing w:before="120"/>
              <w:rPr>
                <w:sz w:val="24"/>
                <w:szCs w:val="24"/>
                <w:lang w:val="en-GB"/>
              </w:rPr>
            </w:pPr>
            <w:r w:rsidRPr="000C4082">
              <w:rPr>
                <w:sz w:val="24"/>
                <w:szCs w:val="24"/>
                <w:lang w:val="en-GB"/>
              </w:rPr>
              <w:t xml:space="preserve">WTSA-24 </w:t>
            </w:r>
            <w:r w:rsidR="00384321" w:rsidRPr="000C4082">
              <w:rPr>
                <w:sz w:val="24"/>
                <w:szCs w:val="24"/>
                <w:lang w:val="en-GB"/>
              </w:rPr>
              <w:t>initial thoughts for regional preparatory meetings</w:t>
            </w:r>
          </w:p>
        </w:tc>
      </w:tr>
      <w:tr w:rsidR="0013769D" w:rsidRPr="000C4082"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0C4082" w:rsidRDefault="0013769D" w:rsidP="000C4082">
            <w:pPr>
              <w:spacing w:before="120"/>
              <w:rPr>
                <w:b/>
                <w:bCs/>
                <w:sz w:val="24"/>
                <w:szCs w:val="24"/>
                <w:lang w:val="en-GB"/>
              </w:rPr>
            </w:pPr>
            <w:r w:rsidRPr="000C4082">
              <w:rPr>
                <w:b/>
                <w:bCs/>
                <w:sz w:val="24"/>
                <w:szCs w:val="24"/>
                <w:lang w:val="en-GB"/>
              </w:rPr>
              <w:t>Contact:</w:t>
            </w:r>
          </w:p>
        </w:tc>
        <w:tc>
          <w:tcPr>
            <w:tcW w:w="4597" w:type="dxa"/>
            <w:tcBorders>
              <w:top w:val="nil"/>
              <w:left w:val="nil"/>
              <w:bottom w:val="single" w:sz="12" w:space="0" w:color="auto"/>
              <w:right w:val="nil"/>
            </w:tcBorders>
          </w:tcPr>
          <w:p w14:paraId="1899DCB1" w14:textId="57FD35FE" w:rsidR="0013769D" w:rsidRPr="000C4082" w:rsidRDefault="0013769D" w:rsidP="000C4082">
            <w:pPr>
              <w:spacing w:before="120"/>
              <w:rPr>
                <w:sz w:val="24"/>
                <w:szCs w:val="24"/>
                <w:lang w:val="en-GB"/>
              </w:rPr>
            </w:pPr>
            <w:r w:rsidRPr="000C4082">
              <w:rPr>
                <w:sz w:val="24"/>
                <w:szCs w:val="24"/>
                <w:lang w:val="en-GB"/>
              </w:rPr>
              <w:t xml:space="preserve">Alexandra Gaspari </w:t>
            </w:r>
            <w:r w:rsidR="00DC0D79" w:rsidRPr="000C4082">
              <w:rPr>
                <w:sz w:val="24"/>
                <w:szCs w:val="24"/>
                <w:lang w:val="en-GB"/>
              </w:rPr>
              <w:br/>
            </w:r>
            <w:r w:rsidR="00220C5A" w:rsidRPr="000C4082">
              <w:rPr>
                <w:sz w:val="24"/>
                <w:szCs w:val="24"/>
                <w:lang w:val="en-GB"/>
              </w:rPr>
              <w:t>TSB Focal Point for the Regions</w:t>
            </w:r>
          </w:p>
        </w:tc>
        <w:tc>
          <w:tcPr>
            <w:tcW w:w="3632" w:type="dxa"/>
            <w:tcBorders>
              <w:top w:val="nil"/>
              <w:left w:val="nil"/>
              <w:bottom w:val="single" w:sz="12" w:space="0" w:color="auto"/>
              <w:right w:val="nil"/>
            </w:tcBorders>
          </w:tcPr>
          <w:p w14:paraId="61B42E2B" w14:textId="5919ED4A" w:rsidR="0013769D" w:rsidRPr="000C4082" w:rsidRDefault="0013769D" w:rsidP="000C4082">
            <w:pPr>
              <w:spacing w:before="120"/>
              <w:rPr>
                <w:sz w:val="24"/>
                <w:szCs w:val="24"/>
                <w:lang w:val="de-DE"/>
              </w:rPr>
            </w:pPr>
            <w:r w:rsidRPr="000C4082">
              <w:rPr>
                <w:sz w:val="24"/>
                <w:szCs w:val="24"/>
                <w:lang w:val="de-DE"/>
              </w:rPr>
              <w:t xml:space="preserve">E-mail: </w:t>
            </w:r>
            <w:hyperlink r:id="rId12" w:history="1">
              <w:r w:rsidR="00DC0D79" w:rsidRPr="000C4082">
                <w:rPr>
                  <w:rStyle w:val="Hyperlink"/>
                  <w:sz w:val="24"/>
                  <w:szCs w:val="24"/>
                  <w:lang w:val="de-DE"/>
                </w:rPr>
                <w:t>alexandra.gaspari@itu.int</w:t>
              </w:r>
            </w:hyperlink>
          </w:p>
        </w:tc>
      </w:tr>
    </w:tbl>
    <w:p w14:paraId="2D5A8B25" w14:textId="0CD768F9" w:rsidR="00560C43" w:rsidRPr="000C4082" w:rsidRDefault="00560C43" w:rsidP="000C4082">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0C4082" w14:paraId="6F2D419B" w14:textId="77777777" w:rsidTr="000C4082">
        <w:trPr>
          <w:cantSplit/>
        </w:trPr>
        <w:tc>
          <w:tcPr>
            <w:tcW w:w="1701" w:type="dxa"/>
            <w:vAlign w:val="center"/>
          </w:tcPr>
          <w:p w14:paraId="2305F834" w14:textId="77777777" w:rsidR="002A6CF6" w:rsidRPr="000C4082" w:rsidRDefault="002A6CF6" w:rsidP="000C4082">
            <w:pPr>
              <w:spacing w:before="120"/>
              <w:rPr>
                <w:b/>
                <w:bCs/>
                <w:sz w:val="24"/>
                <w:szCs w:val="24"/>
                <w:lang w:val="en-GB"/>
              </w:rPr>
            </w:pPr>
            <w:r w:rsidRPr="000C4082">
              <w:rPr>
                <w:b/>
                <w:bCs/>
                <w:sz w:val="24"/>
                <w:szCs w:val="24"/>
                <w:lang w:val="en-GB"/>
              </w:rPr>
              <w:t>Abstract:</w:t>
            </w:r>
          </w:p>
        </w:tc>
        <w:tc>
          <w:tcPr>
            <w:tcW w:w="8222" w:type="dxa"/>
            <w:vAlign w:val="center"/>
          </w:tcPr>
          <w:p w14:paraId="370FAB59" w14:textId="20883D9A" w:rsidR="002A6CF6" w:rsidRPr="000C4082" w:rsidRDefault="005D1C46" w:rsidP="000C4082">
            <w:pPr>
              <w:spacing w:before="120"/>
              <w:rPr>
                <w:sz w:val="24"/>
                <w:szCs w:val="24"/>
                <w:lang w:val="en-GB"/>
              </w:rPr>
            </w:pPr>
            <w:r w:rsidRPr="000C4082">
              <w:rPr>
                <w:sz w:val="24"/>
                <w:szCs w:val="24"/>
                <w:lang w:val="en-GB"/>
              </w:rPr>
              <w:t xml:space="preserve">This TD </w:t>
            </w:r>
            <w:r w:rsidR="00D010EB" w:rsidRPr="000C4082">
              <w:rPr>
                <w:sz w:val="24"/>
                <w:szCs w:val="24"/>
                <w:lang w:val="en-GB"/>
              </w:rPr>
              <w:t>presents the initial thoughts for the WTSA-24 Preparatory Meetings</w:t>
            </w:r>
          </w:p>
        </w:tc>
      </w:tr>
      <w:tr w:rsidR="002A6CF6" w:rsidRPr="000C4082" w14:paraId="643C52A1" w14:textId="77777777" w:rsidTr="000C4082">
        <w:trPr>
          <w:cantSplit/>
        </w:trPr>
        <w:tc>
          <w:tcPr>
            <w:tcW w:w="1701" w:type="dxa"/>
            <w:vAlign w:val="center"/>
          </w:tcPr>
          <w:p w14:paraId="363AD411" w14:textId="5D87C9E5" w:rsidR="002A6CF6" w:rsidRPr="000C4082" w:rsidRDefault="002A6CF6" w:rsidP="000C4082">
            <w:pPr>
              <w:spacing w:before="120"/>
              <w:rPr>
                <w:b/>
                <w:bCs/>
                <w:sz w:val="24"/>
                <w:szCs w:val="24"/>
                <w:lang w:val="en-GB"/>
              </w:rPr>
            </w:pPr>
            <w:r w:rsidRPr="000C4082">
              <w:rPr>
                <w:b/>
                <w:bCs/>
                <w:sz w:val="24"/>
                <w:szCs w:val="24"/>
                <w:lang w:val="en-GB"/>
              </w:rPr>
              <w:t>Action</w:t>
            </w:r>
            <w:r w:rsidR="004B19ED" w:rsidRPr="000C4082">
              <w:rPr>
                <w:b/>
                <w:bCs/>
                <w:sz w:val="24"/>
                <w:szCs w:val="24"/>
                <w:lang w:val="en-GB"/>
              </w:rPr>
              <w:t xml:space="preserve"> required</w:t>
            </w:r>
            <w:r w:rsidRPr="000C4082">
              <w:rPr>
                <w:sz w:val="24"/>
                <w:szCs w:val="24"/>
                <w:lang w:val="en-GB"/>
              </w:rPr>
              <w:t>:</w:t>
            </w:r>
          </w:p>
        </w:tc>
        <w:tc>
          <w:tcPr>
            <w:tcW w:w="8222" w:type="dxa"/>
            <w:vAlign w:val="center"/>
          </w:tcPr>
          <w:p w14:paraId="09E6544A" w14:textId="1EC408FF" w:rsidR="002A6CF6" w:rsidRPr="000C4082" w:rsidRDefault="002A6CF6" w:rsidP="000C4082">
            <w:pPr>
              <w:spacing w:before="120"/>
              <w:rPr>
                <w:sz w:val="24"/>
                <w:szCs w:val="24"/>
                <w:lang w:val="en-GB"/>
              </w:rPr>
            </w:pPr>
            <w:r w:rsidRPr="000C4082">
              <w:rPr>
                <w:sz w:val="24"/>
                <w:szCs w:val="24"/>
                <w:lang w:val="en-GB"/>
              </w:rPr>
              <w:t>TSAG is invited to</w:t>
            </w:r>
            <w:r w:rsidR="00DE4BE0" w:rsidRPr="000C4082">
              <w:rPr>
                <w:sz w:val="24"/>
                <w:szCs w:val="24"/>
                <w:lang w:val="en-GB"/>
              </w:rPr>
              <w:t xml:space="preserve"> </w:t>
            </w:r>
            <w:r w:rsidR="005D1C46" w:rsidRPr="000C4082">
              <w:rPr>
                <w:sz w:val="24"/>
                <w:szCs w:val="24"/>
                <w:lang w:val="en-GB"/>
              </w:rPr>
              <w:t>note the document.</w:t>
            </w:r>
          </w:p>
        </w:tc>
      </w:tr>
    </w:tbl>
    <w:p w14:paraId="165A3680" w14:textId="77777777" w:rsidR="00384321" w:rsidRDefault="00384321" w:rsidP="00A20353">
      <w:pPr>
        <w:autoSpaceDN w:val="0"/>
        <w:spacing w:before="120"/>
        <w:rPr>
          <w:b/>
          <w:bCs/>
          <w:sz w:val="24"/>
          <w:szCs w:val="24"/>
          <w:lang w:val="en-GB"/>
        </w:rPr>
      </w:pPr>
    </w:p>
    <w:p w14:paraId="2160F12F" w14:textId="6F2B17CD" w:rsidR="00384321" w:rsidRPr="000C4082" w:rsidRDefault="00384321" w:rsidP="00384321">
      <w:pPr>
        <w:pStyle w:val="ListParagraph"/>
        <w:numPr>
          <w:ilvl w:val="0"/>
          <w:numId w:val="13"/>
        </w:numPr>
        <w:autoSpaceDN w:val="0"/>
        <w:spacing w:before="120"/>
        <w:ind w:left="567" w:hanging="567"/>
        <w:rPr>
          <w:b/>
          <w:bCs/>
          <w:sz w:val="24"/>
          <w:szCs w:val="24"/>
          <w:lang w:val="en-GB"/>
        </w:rPr>
      </w:pPr>
      <w:r w:rsidRPr="000C4082">
        <w:rPr>
          <w:b/>
          <w:bCs/>
          <w:sz w:val="24"/>
          <w:szCs w:val="24"/>
          <w:lang w:val="en-GB"/>
        </w:rPr>
        <w:t>Introduction</w:t>
      </w:r>
    </w:p>
    <w:p w14:paraId="2146CABF" w14:textId="34F11114" w:rsidR="00332438" w:rsidRPr="000C4082" w:rsidRDefault="00332438" w:rsidP="00EB1E2E">
      <w:pPr>
        <w:rPr>
          <w:sz w:val="24"/>
          <w:szCs w:val="24"/>
          <w:lang w:val="en-GB"/>
        </w:rPr>
      </w:pPr>
    </w:p>
    <w:p w14:paraId="1F28F7B9" w14:textId="4F6B646C" w:rsidR="006E3301" w:rsidRPr="000C4082" w:rsidRDefault="006E3301" w:rsidP="00EB1E2E">
      <w:pPr>
        <w:rPr>
          <w:sz w:val="24"/>
          <w:szCs w:val="24"/>
          <w:lang w:val="en-GB"/>
        </w:rPr>
      </w:pPr>
      <w:r w:rsidRPr="000C4082">
        <w:rPr>
          <w:sz w:val="24"/>
          <w:szCs w:val="24"/>
          <w:lang w:val="en-GB"/>
        </w:rPr>
        <w:t xml:space="preserve">PP-22 agreed that WTSA-24 would take place in the last quarter of 2024 (November), in India. Exact dates and location to be confirmed and communicated </w:t>
      </w:r>
      <w:proofErr w:type="gramStart"/>
      <w:r w:rsidRPr="000C4082">
        <w:rPr>
          <w:sz w:val="24"/>
          <w:szCs w:val="24"/>
          <w:lang w:val="en-GB"/>
        </w:rPr>
        <w:t>later on</w:t>
      </w:r>
      <w:proofErr w:type="gramEnd"/>
      <w:r w:rsidRPr="000C4082">
        <w:rPr>
          <w:sz w:val="24"/>
          <w:szCs w:val="24"/>
          <w:lang w:val="en-GB"/>
        </w:rPr>
        <w:t xml:space="preserve"> in 2023.</w:t>
      </w:r>
    </w:p>
    <w:p w14:paraId="7DFD2B2D" w14:textId="10F96E91" w:rsidR="00384321" w:rsidRPr="000C4082" w:rsidRDefault="00220C5A" w:rsidP="006E3301">
      <w:pPr>
        <w:pStyle w:val="ListParagraph"/>
        <w:numPr>
          <w:ilvl w:val="0"/>
          <w:numId w:val="13"/>
        </w:numPr>
        <w:autoSpaceDN w:val="0"/>
        <w:spacing w:before="240"/>
        <w:ind w:left="567" w:hanging="567"/>
        <w:rPr>
          <w:b/>
          <w:bCs/>
          <w:sz w:val="24"/>
          <w:szCs w:val="24"/>
          <w:lang w:val="en-GB"/>
        </w:rPr>
      </w:pPr>
      <w:r w:rsidRPr="000C4082">
        <w:rPr>
          <w:b/>
          <w:bCs/>
          <w:sz w:val="24"/>
          <w:szCs w:val="24"/>
          <w:lang w:val="en-GB"/>
        </w:rPr>
        <w:t xml:space="preserve">WTSA-24 </w:t>
      </w:r>
      <w:r w:rsidR="00384321" w:rsidRPr="000C4082">
        <w:rPr>
          <w:b/>
          <w:bCs/>
          <w:sz w:val="24"/>
          <w:szCs w:val="24"/>
          <w:lang w:val="en-GB"/>
        </w:rPr>
        <w:t>Regional preparations</w:t>
      </w:r>
    </w:p>
    <w:p w14:paraId="1898AF9A" w14:textId="65F8677D" w:rsidR="001F698D" w:rsidRPr="000C4082" w:rsidRDefault="00384321" w:rsidP="00384321">
      <w:pPr>
        <w:autoSpaceDN w:val="0"/>
        <w:spacing w:before="120"/>
        <w:rPr>
          <w:sz w:val="24"/>
          <w:szCs w:val="24"/>
          <w:lang w:val="en-GB"/>
        </w:rPr>
      </w:pPr>
      <w:r w:rsidRPr="000C4082">
        <w:rPr>
          <w:sz w:val="24"/>
          <w:szCs w:val="24"/>
          <w:lang w:val="en-GB"/>
        </w:rPr>
        <w:t xml:space="preserve">As it was the case for WTSA-20, Regional Telecommunications Organizations will be </w:t>
      </w:r>
      <w:r w:rsidR="001F698D" w:rsidRPr="000C4082">
        <w:rPr>
          <w:sz w:val="24"/>
          <w:szCs w:val="24"/>
          <w:lang w:val="en-GB"/>
        </w:rPr>
        <w:t xml:space="preserve">soon </w:t>
      </w:r>
      <w:r w:rsidRPr="000C4082">
        <w:rPr>
          <w:sz w:val="24"/>
          <w:szCs w:val="24"/>
          <w:lang w:val="en-GB"/>
        </w:rPr>
        <w:t>convening preparatory meetings for WTSA-24.</w:t>
      </w:r>
    </w:p>
    <w:p w14:paraId="4D3C28F6" w14:textId="1181CF90" w:rsidR="001F698D" w:rsidRPr="000C4082" w:rsidRDefault="001F698D" w:rsidP="001F698D">
      <w:pPr>
        <w:autoSpaceDN w:val="0"/>
        <w:spacing w:before="120"/>
        <w:rPr>
          <w:sz w:val="24"/>
          <w:szCs w:val="24"/>
          <w:lang w:val="en-GB"/>
        </w:rPr>
      </w:pPr>
      <w:r w:rsidRPr="000C4082">
        <w:rPr>
          <w:sz w:val="24"/>
          <w:szCs w:val="24"/>
          <w:lang w:val="en-GB"/>
        </w:rPr>
        <w:t xml:space="preserve">Initial tentative plannings of Regional Telecommunications Organizations </w:t>
      </w:r>
      <w:r w:rsidR="00220C5A" w:rsidRPr="000C4082">
        <w:rPr>
          <w:sz w:val="24"/>
          <w:szCs w:val="24"/>
          <w:lang w:val="en-GB"/>
        </w:rPr>
        <w:t xml:space="preserve">preparatory meetings </w:t>
      </w:r>
      <w:r w:rsidRPr="000C4082">
        <w:rPr>
          <w:sz w:val="24"/>
          <w:szCs w:val="24"/>
          <w:lang w:val="en-GB"/>
        </w:rPr>
        <w:t>for WTSA-24 are being shared with TSB.</w:t>
      </w:r>
    </w:p>
    <w:p w14:paraId="3516B48E" w14:textId="05A7019A" w:rsidR="00220C5A" w:rsidRPr="000C4082" w:rsidRDefault="00220C5A" w:rsidP="00220C5A">
      <w:pPr>
        <w:autoSpaceDN w:val="0"/>
        <w:spacing w:before="120"/>
        <w:rPr>
          <w:sz w:val="24"/>
          <w:szCs w:val="24"/>
          <w:lang w:val="en-GB"/>
        </w:rPr>
      </w:pPr>
      <w:r w:rsidRPr="000C4082">
        <w:rPr>
          <w:sz w:val="24"/>
          <w:szCs w:val="24"/>
          <w:lang w:val="en-GB"/>
        </w:rPr>
        <w:t xml:space="preserve">To facilitate exchange of information among the Regions, TSB put in place </w:t>
      </w:r>
      <w:hyperlink r:id="rId13" w:history="1">
        <w:r w:rsidRPr="000C4082">
          <w:rPr>
            <w:rStyle w:val="Strong"/>
            <w:color w:val="000000" w:themeColor="text1"/>
            <w:sz w:val="24"/>
            <w:szCs w:val="24"/>
            <w:bdr w:val="none" w:sz="0" w:space="0" w:color="auto" w:frame="1"/>
            <w:shd w:val="clear" w:color="auto" w:fill="FFFFFF"/>
            <w:lang w:val="en-GB"/>
          </w:rPr>
          <w:t>Regional WTSA-20 Preparatory Meetings</w:t>
        </w:r>
      </w:hyperlink>
      <w:r w:rsidRPr="000C4082">
        <w:rPr>
          <w:sz w:val="24"/>
          <w:szCs w:val="24"/>
          <w:lang w:val="en-GB"/>
        </w:rPr>
        <w:t xml:space="preserve"> page which listed all preparatory meetings. The page was regularly and continuously updated to follow all the preparatory process.</w:t>
      </w:r>
    </w:p>
    <w:p w14:paraId="5C553E19" w14:textId="39370304" w:rsidR="001F698D" w:rsidRPr="000C4082" w:rsidRDefault="00220C5A" w:rsidP="00384321">
      <w:pPr>
        <w:autoSpaceDN w:val="0"/>
        <w:spacing w:before="120"/>
        <w:rPr>
          <w:sz w:val="24"/>
          <w:szCs w:val="24"/>
          <w:lang w:val="en-GB"/>
        </w:rPr>
      </w:pPr>
      <w:r w:rsidRPr="000C4082">
        <w:rPr>
          <w:sz w:val="24"/>
          <w:szCs w:val="24"/>
          <w:lang w:val="en-GB"/>
        </w:rPr>
        <w:t xml:space="preserve">A similar page is being </w:t>
      </w:r>
      <w:r w:rsidR="00332438" w:rsidRPr="000C4082">
        <w:rPr>
          <w:sz w:val="24"/>
          <w:szCs w:val="24"/>
          <w:lang w:val="en-GB"/>
        </w:rPr>
        <w:t xml:space="preserve">prepared </w:t>
      </w:r>
      <w:r w:rsidRPr="000C4082">
        <w:rPr>
          <w:sz w:val="24"/>
          <w:szCs w:val="24"/>
          <w:lang w:val="en-GB"/>
        </w:rPr>
        <w:t>by TSB for the WTSA-24 regional preparatory meetings.</w:t>
      </w:r>
    </w:p>
    <w:p w14:paraId="2F63B06F" w14:textId="6E20F0CC" w:rsidR="00220C5A" w:rsidRPr="000C4082" w:rsidRDefault="00220C5A" w:rsidP="00384321">
      <w:pPr>
        <w:autoSpaceDN w:val="0"/>
        <w:spacing w:before="120"/>
        <w:rPr>
          <w:sz w:val="24"/>
          <w:szCs w:val="24"/>
          <w:lang w:val="en-GB"/>
        </w:rPr>
      </w:pPr>
      <w:r w:rsidRPr="000C4082">
        <w:rPr>
          <w:sz w:val="24"/>
          <w:szCs w:val="24"/>
          <w:lang w:val="en-GB"/>
        </w:rPr>
        <w:t xml:space="preserve">At the date of writing this </w:t>
      </w:r>
      <w:r w:rsidR="00332438" w:rsidRPr="000C4082">
        <w:rPr>
          <w:sz w:val="24"/>
          <w:szCs w:val="24"/>
          <w:lang w:val="en-GB"/>
        </w:rPr>
        <w:t>document the</w:t>
      </w:r>
      <w:r w:rsidRPr="000C4082">
        <w:rPr>
          <w:sz w:val="24"/>
          <w:szCs w:val="24"/>
          <w:lang w:val="en-GB"/>
        </w:rPr>
        <w:t xml:space="preserve"> following communications</w:t>
      </w:r>
      <w:r w:rsidR="00332438" w:rsidRPr="000C4082">
        <w:rPr>
          <w:sz w:val="24"/>
          <w:szCs w:val="24"/>
          <w:lang w:val="en-GB"/>
        </w:rPr>
        <w:t xml:space="preserve"> on regional preparatory meetings</w:t>
      </w:r>
      <w:r w:rsidRPr="000C4082">
        <w:rPr>
          <w:sz w:val="24"/>
          <w:szCs w:val="24"/>
          <w:lang w:val="en-GB"/>
        </w:rPr>
        <w:t xml:space="preserve"> have been shared with TSB:</w:t>
      </w:r>
    </w:p>
    <w:p w14:paraId="4735B062" w14:textId="77777777" w:rsidR="006E3301" w:rsidRPr="000C4082" w:rsidRDefault="006E3301" w:rsidP="006E3301">
      <w:pPr>
        <w:spacing w:after="160" w:line="259" w:lineRule="auto"/>
        <w:rPr>
          <w:rFonts w:eastAsia="Calibri"/>
          <w:b/>
          <w:bCs/>
          <w:sz w:val="24"/>
          <w:szCs w:val="24"/>
          <w:lang w:val="en-US" w:eastAsia="en-US"/>
        </w:rPr>
      </w:pPr>
    </w:p>
    <w:p w14:paraId="5F4AAEF4" w14:textId="07575C6D" w:rsidR="00220C5A" w:rsidRPr="000C4082" w:rsidRDefault="00220C5A" w:rsidP="00583291">
      <w:pPr>
        <w:pStyle w:val="ListParagraph"/>
        <w:numPr>
          <w:ilvl w:val="1"/>
          <w:numId w:val="13"/>
        </w:numPr>
        <w:autoSpaceDN w:val="0"/>
        <w:spacing w:before="120"/>
        <w:ind w:left="567" w:hanging="567"/>
        <w:rPr>
          <w:b/>
          <w:bCs/>
          <w:sz w:val="24"/>
          <w:szCs w:val="24"/>
          <w:lang w:val="en-GB"/>
        </w:rPr>
      </w:pPr>
      <w:r w:rsidRPr="000C4082">
        <w:rPr>
          <w:b/>
          <w:bCs/>
          <w:sz w:val="24"/>
          <w:szCs w:val="24"/>
          <w:lang w:val="en-GB"/>
        </w:rPr>
        <w:t xml:space="preserve">Africa </w:t>
      </w:r>
      <w:r w:rsidR="00583291" w:rsidRPr="000C4082">
        <w:rPr>
          <w:b/>
          <w:bCs/>
          <w:sz w:val="24"/>
          <w:szCs w:val="24"/>
          <w:lang w:val="en-GB"/>
        </w:rPr>
        <w:t>–</w:t>
      </w:r>
      <w:r w:rsidRPr="000C4082">
        <w:rPr>
          <w:b/>
          <w:bCs/>
          <w:sz w:val="24"/>
          <w:szCs w:val="24"/>
          <w:lang w:val="en-GB"/>
        </w:rPr>
        <w:t xml:space="preserve"> ATU</w:t>
      </w:r>
    </w:p>
    <w:p w14:paraId="1E39F61D" w14:textId="6A032CC4" w:rsidR="00583291" w:rsidRPr="000C4082" w:rsidRDefault="00103C3B" w:rsidP="00103C3B">
      <w:pPr>
        <w:autoSpaceDN w:val="0"/>
        <w:spacing w:before="120"/>
        <w:rPr>
          <w:sz w:val="24"/>
          <w:szCs w:val="24"/>
          <w:lang w:val="en-GB"/>
        </w:rPr>
      </w:pPr>
      <w:r w:rsidRPr="000C4082">
        <w:rPr>
          <w:sz w:val="24"/>
          <w:szCs w:val="24"/>
          <w:lang w:val="en-GB"/>
        </w:rPr>
        <w:t>The tentative dates for the f</w:t>
      </w:r>
      <w:r w:rsidR="00583291" w:rsidRPr="000C4082">
        <w:rPr>
          <w:sz w:val="24"/>
          <w:szCs w:val="24"/>
          <w:lang w:val="en-GB"/>
        </w:rPr>
        <w:t xml:space="preserve">irst </w:t>
      </w:r>
      <w:r w:rsidRPr="000C4082">
        <w:rPr>
          <w:sz w:val="24"/>
          <w:szCs w:val="24"/>
          <w:lang w:val="en-GB"/>
        </w:rPr>
        <w:t>ATU preparatory</w:t>
      </w:r>
      <w:r w:rsidR="00583291" w:rsidRPr="000C4082">
        <w:rPr>
          <w:sz w:val="24"/>
          <w:szCs w:val="24"/>
          <w:lang w:val="en-GB"/>
        </w:rPr>
        <w:t> meeting for WTSA-24</w:t>
      </w:r>
      <w:r w:rsidRPr="000C4082">
        <w:rPr>
          <w:sz w:val="24"/>
          <w:szCs w:val="24"/>
          <w:lang w:val="en-GB"/>
        </w:rPr>
        <w:t xml:space="preserve"> is</w:t>
      </w:r>
      <w:r w:rsidR="00332438" w:rsidRPr="000C4082">
        <w:rPr>
          <w:sz w:val="24"/>
          <w:szCs w:val="24"/>
          <w:lang w:val="en-GB"/>
        </w:rPr>
        <w:t xml:space="preserve"> set for:</w:t>
      </w:r>
      <w:r w:rsidR="00DC0D79" w:rsidRPr="000C4082">
        <w:rPr>
          <w:sz w:val="24"/>
          <w:szCs w:val="24"/>
          <w:lang w:val="en-GB"/>
        </w:rPr>
        <w:t xml:space="preserve"> </w:t>
      </w:r>
      <w:r w:rsidR="00583291" w:rsidRPr="000C4082">
        <w:rPr>
          <w:sz w:val="24"/>
          <w:szCs w:val="24"/>
          <w:lang w:val="en-GB"/>
        </w:rPr>
        <w:t xml:space="preserve">13 – 17 Feb 2023, exact </w:t>
      </w:r>
      <w:proofErr w:type="gramStart"/>
      <w:r w:rsidR="00583291" w:rsidRPr="000C4082">
        <w:rPr>
          <w:sz w:val="24"/>
          <w:szCs w:val="24"/>
          <w:lang w:val="en-GB"/>
        </w:rPr>
        <w:t>dates</w:t>
      </w:r>
      <w:proofErr w:type="gramEnd"/>
      <w:r w:rsidR="00583291" w:rsidRPr="000C4082">
        <w:rPr>
          <w:sz w:val="24"/>
          <w:szCs w:val="24"/>
          <w:lang w:val="en-GB"/>
        </w:rPr>
        <w:t xml:space="preserve"> and location to be confirmed</w:t>
      </w:r>
      <w:r w:rsidR="00332438" w:rsidRPr="000C4082">
        <w:rPr>
          <w:sz w:val="24"/>
          <w:szCs w:val="24"/>
          <w:lang w:val="en-GB"/>
        </w:rPr>
        <w:t>.</w:t>
      </w:r>
    </w:p>
    <w:p w14:paraId="23DD0097" w14:textId="77777777" w:rsidR="00103C3B" w:rsidRPr="000C4082" w:rsidRDefault="00103C3B" w:rsidP="00F4010D">
      <w:pPr>
        <w:spacing w:after="160" w:line="259" w:lineRule="auto"/>
        <w:rPr>
          <w:rFonts w:eastAsia="Calibri"/>
          <w:b/>
          <w:bCs/>
          <w:sz w:val="24"/>
          <w:szCs w:val="24"/>
          <w:lang w:val="en-US" w:eastAsia="en-US"/>
        </w:rPr>
      </w:pPr>
    </w:p>
    <w:p w14:paraId="35AC6A75" w14:textId="1D1D579A"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 xml:space="preserve">Americas – CITEL </w:t>
      </w:r>
    </w:p>
    <w:p w14:paraId="163E823A" w14:textId="3A914294" w:rsidR="006E5B44" w:rsidRPr="000C4082" w:rsidRDefault="006E5B44" w:rsidP="006E5B44">
      <w:pPr>
        <w:rPr>
          <w:sz w:val="24"/>
          <w:szCs w:val="24"/>
          <w:lang w:val="en-GB"/>
        </w:rPr>
      </w:pPr>
      <w:r w:rsidRPr="000C4082">
        <w:rPr>
          <w:sz w:val="24"/>
          <w:szCs w:val="24"/>
          <w:lang w:val="en-GB"/>
        </w:rPr>
        <w:t>CITEL plan to start the preparation for WTSA-24 during the 1st Meeting of PCC.I in April 2023.</w:t>
      </w:r>
    </w:p>
    <w:p w14:paraId="3849BD76" w14:textId="77777777" w:rsidR="006E5B44" w:rsidRPr="000C4082" w:rsidRDefault="006E5B44" w:rsidP="00DC0D79">
      <w:pPr>
        <w:spacing w:after="160" w:line="259" w:lineRule="auto"/>
        <w:rPr>
          <w:rFonts w:eastAsia="Calibri"/>
          <w:b/>
          <w:bCs/>
          <w:sz w:val="24"/>
          <w:szCs w:val="24"/>
          <w:lang w:val="en-US" w:eastAsia="en-US"/>
        </w:rPr>
      </w:pPr>
    </w:p>
    <w:p w14:paraId="7EFD5334" w14:textId="6B6D7435"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Arab States</w:t>
      </w:r>
      <w:r w:rsidR="006E3301" w:rsidRPr="000C4082">
        <w:rPr>
          <w:rFonts w:eastAsia="Calibri"/>
          <w:b/>
          <w:bCs/>
          <w:sz w:val="24"/>
          <w:szCs w:val="24"/>
          <w:lang w:val="en-US" w:eastAsia="en-US"/>
        </w:rPr>
        <w:t xml:space="preserve"> - LAS</w:t>
      </w:r>
    </w:p>
    <w:p w14:paraId="05F5DF5B" w14:textId="4068744D" w:rsidR="006E5B44" w:rsidRPr="000C4082" w:rsidRDefault="006E5B44" w:rsidP="006E5B44">
      <w:pPr>
        <w:spacing w:after="160" w:line="259" w:lineRule="auto"/>
        <w:rPr>
          <w:sz w:val="24"/>
          <w:szCs w:val="24"/>
          <w:lang w:val="en-GB"/>
        </w:rPr>
      </w:pPr>
      <w:r w:rsidRPr="000C4082">
        <w:rPr>
          <w:sz w:val="24"/>
          <w:szCs w:val="24"/>
          <w:lang w:val="en-GB"/>
        </w:rPr>
        <w:t>No confirmed meetings planned communicated at this time.</w:t>
      </w:r>
    </w:p>
    <w:p w14:paraId="46BD27DE" w14:textId="26979171"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lastRenderedPageBreak/>
        <w:t>Asia and the Pacific – APT</w:t>
      </w:r>
    </w:p>
    <w:p w14:paraId="388D1C04" w14:textId="77777777" w:rsidR="00103C3B" w:rsidRPr="000C4082" w:rsidRDefault="00103C3B" w:rsidP="00103C3B">
      <w:pPr>
        <w:rPr>
          <w:sz w:val="24"/>
          <w:szCs w:val="24"/>
          <w:lang w:val="en-GB"/>
        </w:rPr>
      </w:pPr>
      <w:r w:rsidRPr="000C4082">
        <w:rPr>
          <w:sz w:val="24"/>
          <w:szCs w:val="24"/>
          <w:lang w:val="en-GB"/>
        </w:rPr>
        <w:t>APT has arranged one meeting in April 2023, exact dates to be confirmed with a tentative venue in Thailand.</w:t>
      </w:r>
    </w:p>
    <w:p w14:paraId="75A214F9" w14:textId="77777777" w:rsidR="00103C3B" w:rsidRPr="000C4082" w:rsidRDefault="00103C3B" w:rsidP="00DC0D79">
      <w:pPr>
        <w:rPr>
          <w:sz w:val="24"/>
          <w:szCs w:val="24"/>
          <w:lang w:val="en-GB"/>
        </w:rPr>
      </w:pPr>
    </w:p>
    <w:p w14:paraId="660B82D3" w14:textId="3EDA6642" w:rsidR="00103C3B" w:rsidRPr="000C4082" w:rsidRDefault="00103C3B" w:rsidP="00103C3B">
      <w:pPr>
        <w:rPr>
          <w:i/>
          <w:iCs/>
          <w:sz w:val="24"/>
          <w:szCs w:val="24"/>
          <w:u w:val="single"/>
          <w:lang w:val="en-GB"/>
        </w:rPr>
      </w:pPr>
      <w:r w:rsidRPr="000C4082">
        <w:rPr>
          <w:sz w:val="24"/>
          <w:szCs w:val="24"/>
          <w:lang w:val="en-GB"/>
        </w:rPr>
        <w:t xml:space="preserve">For the regional preparatory meetings in 2024, APT will be having 3 more meeting in </w:t>
      </w:r>
      <w:r w:rsidR="006E5B44" w:rsidRPr="000C4082">
        <w:rPr>
          <w:sz w:val="24"/>
          <w:szCs w:val="24"/>
          <w:lang w:val="en-GB"/>
        </w:rPr>
        <w:t>first, second and third quarter of 2024.</w:t>
      </w:r>
    </w:p>
    <w:p w14:paraId="611009B1" w14:textId="77777777" w:rsidR="006E3301" w:rsidRPr="000C4082" w:rsidRDefault="006E3301" w:rsidP="006E3301">
      <w:pPr>
        <w:spacing w:after="160" w:line="259" w:lineRule="auto"/>
        <w:rPr>
          <w:rFonts w:eastAsia="Calibri"/>
          <w:b/>
          <w:bCs/>
          <w:sz w:val="24"/>
          <w:szCs w:val="24"/>
          <w:lang w:val="en-US" w:eastAsia="en-US"/>
        </w:rPr>
      </w:pPr>
    </w:p>
    <w:p w14:paraId="72D4F0AE" w14:textId="36911A44"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Europe – CEPT</w:t>
      </w:r>
    </w:p>
    <w:p w14:paraId="284ECFCA" w14:textId="5B91C9A4" w:rsidR="006E5B44" w:rsidRPr="000C4082" w:rsidRDefault="006E5B44" w:rsidP="006E5B44">
      <w:pPr>
        <w:spacing w:after="160" w:line="259" w:lineRule="auto"/>
        <w:rPr>
          <w:sz w:val="24"/>
          <w:szCs w:val="24"/>
          <w:lang w:val="en-GB"/>
        </w:rPr>
      </w:pPr>
      <w:r w:rsidRPr="000C4082">
        <w:rPr>
          <w:sz w:val="24"/>
          <w:szCs w:val="24"/>
          <w:lang w:val="en-GB"/>
        </w:rPr>
        <w:t>No confirmed meetings planned communicated at this time.</w:t>
      </w:r>
    </w:p>
    <w:p w14:paraId="4E6FB2D5" w14:textId="77777777" w:rsidR="006E3301" w:rsidRPr="000C4082" w:rsidRDefault="006E3301" w:rsidP="006E3301">
      <w:pPr>
        <w:spacing w:after="160" w:line="259" w:lineRule="auto"/>
        <w:rPr>
          <w:rFonts w:eastAsia="Calibri"/>
          <w:b/>
          <w:bCs/>
          <w:sz w:val="24"/>
          <w:szCs w:val="24"/>
          <w:lang w:val="en-US" w:eastAsia="en-US"/>
        </w:rPr>
      </w:pPr>
    </w:p>
    <w:p w14:paraId="5B9D9FD3" w14:textId="02F1865A" w:rsidR="006E5B44"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CIS – RCC</w:t>
      </w:r>
    </w:p>
    <w:p w14:paraId="4F2621C2" w14:textId="06BBE225" w:rsidR="006E5B44" w:rsidRPr="000C4082" w:rsidRDefault="006E5B44" w:rsidP="006E5B44">
      <w:pPr>
        <w:spacing w:after="160" w:line="259" w:lineRule="auto"/>
        <w:rPr>
          <w:sz w:val="24"/>
          <w:szCs w:val="24"/>
          <w:lang w:val="en-GB"/>
        </w:rPr>
      </w:pPr>
      <w:r w:rsidRPr="000C4082">
        <w:rPr>
          <w:sz w:val="24"/>
          <w:szCs w:val="24"/>
          <w:lang w:val="en-GB"/>
        </w:rPr>
        <w:t>No confirmed meetings planned communicated at this time.</w:t>
      </w:r>
    </w:p>
    <w:p w14:paraId="4577A2FF" w14:textId="6B47CFB8" w:rsidR="001364D9" w:rsidRPr="000C4082" w:rsidRDefault="00332438" w:rsidP="00332438">
      <w:pPr>
        <w:jc w:val="center"/>
        <w:rPr>
          <w:rFonts w:asciiTheme="minorHAnsi" w:hAnsiTheme="minorHAnsi" w:cstheme="minorHAnsi"/>
          <w:sz w:val="24"/>
          <w:szCs w:val="24"/>
          <w:lang w:val="en-GB"/>
        </w:rPr>
      </w:pPr>
      <w:r w:rsidRPr="000C4082">
        <w:rPr>
          <w:rFonts w:asciiTheme="minorHAnsi" w:hAnsiTheme="minorHAnsi" w:cstheme="minorHAnsi"/>
          <w:sz w:val="24"/>
          <w:szCs w:val="24"/>
          <w:lang w:val="en-GB"/>
        </w:rPr>
        <w:t>_______________</w:t>
      </w:r>
    </w:p>
    <w:sectPr w:rsidR="001364D9" w:rsidRPr="000C4082"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77777777" w:rsidR="006E5B44" w:rsidRDefault="006E5B44" w:rsidP="006E5B44">
        <w:pPr>
          <w:pStyle w:val="Header"/>
          <w:jc w:val="center"/>
          <w:rPr>
            <w:noProof/>
          </w:rPr>
        </w:pPr>
        <w:r w:rsidRPr="000C4082">
          <w:rPr>
            <w:noProof/>
            <w:sz w:val="18"/>
            <w:szCs w:val="18"/>
          </w:rPr>
          <w:t>TSAG-TD135</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7"/>
  </w:num>
  <w:num w:numId="2" w16cid:durableId="755785678">
    <w:abstractNumId w:val="0"/>
  </w:num>
  <w:num w:numId="3" w16cid:durableId="1869877043">
    <w:abstractNumId w:val="5"/>
  </w:num>
  <w:num w:numId="4" w16cid:durableId="1237474293">
    <w:abstractNumId w:val="1"/>
  </w:num>
  <w:num w:numId="5" w16cid:durableId="1033188647">
    <w:abstractNumId w:val="9"/>
  </w:num>
  <w:num w:numId="6" w16cid:durableId="1968268837">
    <w:abstractNumId w:val="8"/>
  </w:num>
  <w:num w:numId="7" w16cid:durableId="522088444">
    <w:abstractNumId w:val="4"/>
  </w:num>
  <w:num w:numId="8" w16cid:durableId="37555594">
    <w:abstractNumId w:val="3"/>
  </w:num>
  <w:num w:numId="9" w16cid:durableId="375473713">
    <w:abstractNumId w:val="2"/>
  </w:num>
  <w:num w:numId="10" w16cid:durableId="995114781">
    <w:abstractNumId w:val="10"/>
  </w:num>
  <w:num w:numId="11" w16cid:durableId="965771001">
    <w:abstractNumId w:val="6"/>
  </w:num>
  <w:num w:numId="12" w16cid:durableId="682783758">
    <w:abstractNumId w:val="5"/>
  </w:num>
  <w:num w:numId="13" w16cid:durableId="84096835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17CF"/>
    <w:rsid w:val="0006489F"/>
    <w:rsid w:val="000649D6"/>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61EB"/>
    <w:rsid w:val="0070056A"/>
    <w:rsid w:val="00702965"/>
    <w:rsid w:val="00703D1B"/>
    <w:rsid w:val="007054CC"/>
    <w:rsid w:val="00705DDA"/>
    <w:rsid w:val="00707895"/>
    <w:rsid w:val="0071066E"/>
    <w:rsid w:val="00711257"/>
    <w:rsid w:val="00715FB6"/>
    <w:rsid w:val="007202D8"/>
    <w:rsid w:val="00722013"/>
    <w:rsid w:val="00723D1B"/>
    <w:rsid w:val="00726E88"/>
    <w:rsid w:val="007274A7"/>
    <w:rsid w:val="00731B80"/>
    <w:rsid w:val="00735963"/>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2C73"/>
    <w:rsid w:val="00B238C4"/>
    <w:rsid w:val="00B24D3B"/>
    <w:rsid w:val="00B24F8B"/>
    <w:rsid w:val="00B27FFA"/>
    <w:rsid w:val="00B32393"/>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FAB"/>
    <w:rsid w:val="00F4010D"/>
    <w:rsid w:val="00F4033C"/>
    <w:rsid w:val="00F45112"/>
    <w:rsid w:val="00F45F60"/>
    <w:rsid w:val="00F50E6F"/>
    <w:rsid w:val="00F53791"/>
    <w:rsid w:val="00F5674D"/>
    <w:rsid w:val="00F647BF"/>
    <w:rsid w:val="00F66EFA"/>
    <w:rsid w:val="00F72D4B"/>
    <w:rsid w:val="00F82442"/>
    <w:rsid w:val="00F82BE7"/>
    <w:rsid w:val="00F86019"/>
    <w:rsid w:val="00F90242"/>
    <w:rsid w:val="00F90B85"/>
    <w:rsid w:val="00F9163F"/>
    <w:rsid w:val="00F91C3C"/>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tsa20/prepmeet/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1</TotalTime>
  <Pages>2</Pages>
  <Words>335</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2</cp:revision>
  <cp:lastPrinted>2020-01-17T07:16:00Z</cp:lastPrinted>
  <dcterms:created xsi:type="dcterms:W3CDTF">2022-12-08T19:52:00Z</dcterms:created>
  <dcterms:modified xsi:type="dcterms:W3CDTF">2022-12-08T19:52:00Z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