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9"/>
        <w:gridCol w:w="417"/>
        <w:gridCol w:w="9"/>
        <w:gridCol w:w="3625"/>
        <w:gridCol w:w="4394"/>
      </w:tblGrid>
      <w:tr w:rsidR="00CD0D61" w14:paraId="1935FEAC" w14:textId="77777777">
        <w:trPr>
          <w:cantSplit/>
        </w:trPr>
        <w:tc>
          <w:tcPr>
            <w:tcW w:w="1189" w:type="dxa"/>
            <w:vMerge w:val="restart"/>
            <w:vAlign w:val="center"/>
          </w:tcPr>
          <w:p w14:paraId="78783ABE" w14:textId="5F2EB2C8" w:rsidR="00CD0D61" w:rsidRDefault="008510C5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lang w:eastAsia="zh-CN"/>
              </w:rPr>
              <w:drawing>
                <wp:inline distT="0" distB="0" distL="0" distR="0" wp14:anchorId="0FE3B86D" wp14:editId="76100221">
                  <wp:extent cx="645160" cy="7042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772775F" w14:textId="77777777" w:rsidR="00CD0D61" w:rsidRDefault="00687E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3D5A442A" w14:textId="77777777" w:rsidR="00CD0D61" w:rsidRDefault="00687E6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F5D221" w14:textId="77777777" w:rsidR="00CD0D61" w:rsidRDefault="00687E6B">
            <w:pPr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3" w:name="dstudyperiod"/>
            <w:r>
              <w:rPr>
                <w:sz w:val="20"/>
              </w:rPr>
              <w:t>2022-2024</w:t>
            </w:r>
            <w:bookmarkEnd w:id="3"/>
          </w:p>
        </w:tc>
        <w:tc>
          <w:tcPr>
            <w:tcW w:w="4394" w:type="dxa"/>
            <w:vAlign w:val="center"/>
          </w:tcPr>
          <w:p w14:paraId="538B11C8" w14:textId="17998CFC" w:rsidR="00CD0D61" w:rsidRDefault="00687E6B">
            <w:pPr>
              <w:pStyle w:val="Docnumber"/>
            </w:pPr>
            <w:r>
              <w:t>TSAG-</w:t>
            </w:r>
            <w:r w:rsidR="00D60350">
              <w:t>TD</w:t>
            </w:r>
            <w:r w:rsidR="00BB37E1">
              <w:t>166</w:t>
            </w:r>
          </w:p>
        </w:tc>
      </w:tr>
      <w:bookmarkEnd w:id="0"/>
      <w:tr w:rsidR="00CD0D61" w14:paraId="3DACBD53" w14:textId="77777777">
        <w:trPr>
          <w:cantSplit/>
        </w:trPr>
        <w:tc>
          <w:tcPr>
            <w:tcW w:w="1189" w:type="dxa"/>
            <w:vMerge/>
          </w:tcPr>
          <w:p w14:paraId="4777DE3B" w14:textId="77777777" w:rsidR="00CD0D61" w:rsidRDefault="00CD0D6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5C955DCA" w14:textId="77777777" w:rsidR="00CD0D61" w:rsidRDefault="00CD0D61">
            <w:pPr>
              <w:rPr>
                <w:smallCaps/>
                <w:sz w:val="20"/>
              </w:rPr>
            </w:pPr>
          </w:p>
        </w:tc>
        <w:tc>
          <w:tcPr>
            <w:tcW w:w="4394" w:type="dxa"/>
          </w:tcPr>
          <w:p w14:paraId="693BFED9" w14:textId="77777777" w:rsidR="00CD0D61" w:rsidRDefault="00687E6B">
            <w:pPr>
              <w:pStyle w:val="TSBHeaderRight14"/>
            </w:pPr>
            <w:r>
              <w:t>TSAG</w:t>
            </w:r>
          </w:p>
        </w:tc>
      </w:tr>
      <w:tr w:rsidR="00CD0D61" w14:paraId="00BCBB86" w14:textId="77777777">
        <w:trPr>
          <w:cantSplit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26E7E19C" w14:textId="77777777" w:rsidR="00CD0D61" w:rsidRDefault="00CD0D6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28C6E9F3" w14:textId="77777777" w:rsidR="00CD0D61" w:rsidRDefault="00CD0D61">
            <w:pPr>
              <w:rPr>
                <w:b/>
                <w:bCs/>
                <w:sz w:val="26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7209E5AB" w14:textId="77777777" w:rsidR="00CD0D61" w:rsidRDefault="00687E6B">
            <w:pPr>
              <w:pStyle w:val="TSBHeaderRight14"/>
            </w:pPr>
            <w:r>
              <w:t>Original: English</w:t>
            </w:r>
          </w:p>
        </w:tc>
      </w:tr>
      <w:tr w:rsidR="00CD0D61" w14:paraId="4776944B" w14:textId="77777777">
        <w:trPr>
          <w:cantSplit/>
        </w:trPr>
        <w:tc>
          <w:tcPr>
            <w:tcW w:w="1615" w:type="dxa"/>
            <w:gridSpan w:val="3"/>
          </w:tcPr>
          <w:p w14:paraId="6372B475" w14:textId="77777777" w:rsidR="00CD0D61" w:rsidRDefault="00687E6B">
            <w:pPr>
              <w:rPr>
                <w:b/>
                <w:bCs/>
              </w:rPr>
            </w:pPr>
            <w:bookmarkStart w:id="4" w:name="dmeeting" w:colFirst="2" w:colLast="2"/>
            <w:bookmarkEnd w:id="1"/>
            <w:r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4281CFDC" w14:textId="77777777" w:rsidR="00CD0D61" w:rsidRDefault="00687E6B">
            <w:pPr>
              <w:pStyle w:val="TSBHeaderQuestion"/>
            </w:pPr>
            <w:r>
              <w:t>N/A</w:t>
            </w:r>
          </w:p>
        </w:tc>
        <w:tc>
          <w:tcPr>
            <w:tcW w:w="4394" w:type="dxa"/>
          </w:tcPr>
          <w:p w14:paraId="09100AAF" w14:textId="77777777" w:rsidR="00CD0D61" w:rsidRDefault="00687E6B">
            <w:pPr>
              <w:pStyle w:val="VenueDate"/>
            </w:pPr>
            <w:r>
              <w:t>Geneva, 12-16 December 2022</w:t>
            </w:r>
          </w:p>
        </w:tc>
      </w:tr>
      <w:bookmarkEnd w:id="4"/>
      <w:tr w:rsidR="00CD0D61" w14:paraId="1C7B6B6E" w14:textId="77777777">
        <w:trPr>
          <w:cantSplit/>
        </w:trPr>
        <w:tc>
          <w:tcPr>
            <w:tcW w:w="9634" w:type="dxa"/>
            <w:gridSpan w:val="5"/>
          </w:tcPr>
          <w:p w14:paraId="2B23EE58" w14:textId="6B64C320" w:rsidR="00CD0D61" w:rsidRDefault="00D60350" w:rsidP="00D60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CD0D61" w14:paraId="6AF83B7D" w14:textId="77777777">
        <w:trPr>
          <w:cantSplit/>
        </w:trPr>
        <w:tc>
          <w:tcPr>
            <w:tcW w:w="1615" w:type="dxa"/>
            <w:gridSpan w:val="3"/>
          </w:tcPr>
          <w:p w14:paraId="45D51D0C" w14:textId="77777777" w:rsidR="00CD0D61" w:rsidRDefault="00687E6B">
            <w:pPr>
              <w:rPr>
                <w:b/>
                <w:bCs/>
              </w:rPr>
            </w:pPr>
            <w:bookmarkStart w:id="5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019" w:type="dxa"/>
            <w:gridSpan w:val="2"/>
          </w:tcPr>
          <w:p w14:paraId="1BC83725" w14:textId="06B55CC3" w:rsidR="00CD0D61" w:rsidRDefault="00D60350">
            <w:pPr>
              <w:pStyle w:val="TSBHeaderSource"/>
            </w:pPr>
            <w:r>
              <w:rPr>
                <w:rFonts w:eastAsia="Malgun Gothic"/>
                <w:kern w:val="2"/>
                <w:lang w:eastAsia="ko-KR"/>
              </w:rPr>
              <w:t>TSAG Chairman</w:t>
            </w:r>
          </w:p>
        </w:tc>
      </w:tr>
      <w:bookmarkEnd w:id="5"/>
      <w:tr w:rsidR="00CD0D61" w14:paraId="603C6951" w14:textId="77777777">
        <w:trPr>
          <w:cantSplit/>
        </w:trPr>
        <w:tc>
          <w:tcPr>
            <w:tcW w:w="1615" w:type="dxa"/>
            <w:gridSpan w:val="3"/>
          </w:tcPr>
          <w:p w14:paraId="500F1B54" w14:textId="77777777" w:rsidR="00CD0D61" w:rsidRDefault="00687E6B">
            <w:r>
              <w:rPr>
                <w:b/>
                <w:bCs/>
              </w:rPr>
              <w:t>Title:</w:t>
            </w:r>
          </w:p>
        </w:tc>
        <w:tc>
          <w:tcPr>
            <w:tcW w:w="8019" w:type="dxa"/>
            <w:gridSpan w:val="2"/>
          </w:tcPr>
          <w:p w14:paraId="6E983529" w14:textId="72ECEB0C" w:rsidR="00CD0D61" w:rsidRDefault="00687E6B">
            <w:pPr>
              <w:pStyle w:val="TSBHeaderTitle"/>
            </w:pPr>
            <w:r>
              <w:rPr>
                <w:rFonts w:hint="eastAsia"/>
                <w:lang w:eastAsia="zh-CN"/>
              </w:rPr>
              <w:t>Propose</w:t>
            </w:r>
            <w:r w:rsidR="00D60350">
              <w:rPr>
                <w:lang w:eastAsia="zh-CN"/>
              </w:rPr>
              <w:t xml:space="preserve">d new ITU-T Joint Coordination Activity on </w:t>
            </w:r>
            <w:r w:rsidR="00D60350" w:rsidRPr="00D60350">
              <w:rPr>
                <w:lang w:eastAsia="zh-CN"/>
              </w:rPr>
              <w:t>Quantum Key Distribution Network (JCA-QKDN)</w:t>
            </w:r>
          </w:p>
        </w:tc>
      </w:tr>
      <w:tr w:rsidR="007F60F3" w:rsidRPr="00B86126" w14:paraId="0617B386" w14:textId="77777777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784ED7" w14:textId="4CC4910F" w:rsidR="007F60F3" w:rsidRDefault="007F60F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75525D" w14:textId="1E5B59F3" w:rsidR="007F60F3" w:rsidRDefault="007F60F3">
            <w:pPr>
              <w:rPr>
                <w:kern w:val="2"/>
                <w:lang w:eastAsia="zh-CN"/>
              </w:rPr>
            </w:pPr>
            <w:r>
              <w:t xml:space="preserve">Mr </w:t>
            </w:r>
            <w:r w:rsidRPr="00205712">
              <w:t>Abdurahman M. AL HASSAN</w:t>
            </w:r>
            <w:r>
              <w:br/>
              <w:t>TSAG Chairman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75E5A5D4" w14:textId="692DC0AB" w:rsidR="007F60F3" w:rsidRPr="008510C5" w:rsidRDefault="007F60F3" w:rsidP="0059671E">
            <w:pPr>
              <w:rPr>
                <w:lang w:val="de-DE"/>
              </w:rPr>
            </w:pPr>
            <w:r w:rsidRPr="00BB37E1">
              <w:rPr>
                <w:lang w:val="de-DE"/>
              </w:rPr>
              <w:t xml:space="preserve">Tel: </w:t>
            </w:r>
            <w:r w:rsidRPr="00BB37E1">
              <w:rPr>
                <w:lang w:val="de-DE"/>
              </w:rPr>
              <w:tab/>
              <w:t>+996 11 461 8015</w:t>
            </w:r>
            <w:r w:rsidRPr="00BB37E1">
              <w:rPr>
                <w:lang w:val="de-DE"/>
              </w:rPr>
              <w:br/>
              <w:t xml:space="preserve">E-mail: </w:t>
            </w:r>
            <w:r w:rsidR="00B86126">
              <w:fldChar w:fldCharType="begin"/>
            </w:r>
            <w:r w:rsidR="00B86126" w:rsidRPr="00B86126">
              <w:rPr>
                <w:lang w:val="de-DE"/>
              </w:rPr>
              <w:instrText>HYPERLINK "mailto:tsagchair@nca.gov.sa"</w:instrText>
            </w:r>
            <w:r w:rsidR="00B86126">
              <w:fldChar w:fldCharType="separate"/>
            </w:r>
            <w:r w:rsidRPr="00BB37E1">
              <w:rPr>
                <w:rStyle w:val="Hyperlink"/>
                <w:lang w:val="de-DE"/>
              </w:rPr>
              <w:t>tsagchair@nca.gov.sa</w:t>
            </w:r>
            <w:r w:rsidR="00B86126">
              <w:rPr>
                <w:rStyle w:val="Hyperlink"/>
                <w:lang w:val="de-DE"/>
              </w:rPr>
              <w:fldChar w:fldCharType="end"/>
            </w:r>
            <w:r w:rsidRPr="00BB37E1">
              <w:rPr>
                <w:rStyle w:val="Hyperlink"/>
                <w:lang w:val="de-DE"/>
              </w:rPr>
              <w:t xml:space="preserve"> </w:t>
            </w:r>
          </w:p>
        </w:tc>
      </w:tr>
      <w:bookmarkEnd w:id="2"/>
      <w:tr w:rsidR="00CD0D61" w:rsidRPr="00B86126" w14:paraId="44ADC1DD" w14:textId="77777777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A13959" w14:textId="77777777" w:rsidR="00CD0D61" w:rsidRDefault="00687E6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1B48B" w14:textId="0CDD2251" w:rsidR="00CD0D61" w:rsidRDefault="00D60350">
            <w:pPr>
              <w:rPr>
                <w:highlight w:val="yellow"/>
              </w:rPr>
            </w:pPr>
            <w:r>
              <w:rPr>
                <w:kern w:val="2"/>
                <w:lang w:eastAsia="zh-CN"/>
              </w:rPr>
              <w:t xml:space="preserve">Mr </w:t>
            </w:r>
            <w:proofErr w:type="spellStart"/>
            <w:r w:rsidR="00687E6B">
              <w:rPr>
                <w:kern w:val="2"/>
                <w:lang w:eastAsia="zh-CN"/>
              </w:rPr>
              <w:t>Junsen</w:t>
            </w:r>
            <w:proofErr w:type="spellEnd"/>
            <w:r w:rsidR="00687E6B">
              <w:rPr>
                <w:kern w:val="2"/>
                <w:lang w:eastAsia="zh-CN"/>
              </w:rPr>
              <w:t xml:space="preserve"> Lai</w:t>
            </w:r>
            <w:r w:rsidR="00687E6B">
              <w:rPr>
                <w:kern w:val="2"/>
                <w:lang w:eastAsia="zh-CN"/>
              </w:rPr>
              <w:br/>
              <w:t>CAICT, MIIT. China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49F48561" w14:textId="47992C3F" w:rsidR="00CD0D61" w:rsidRPr="008510C5" w:rsidRDefault="00687E6B" w:rsidP="0059671E">
            <w:pPr>
              <w:rPr>
                <w:highlight w:val="yellow"/>
                <w:lang w:val="de-DE"/>
              </w:rPr>
            </w:pPr>
            <w:r w:rsidRPr="008510C5">
              <w:rPr>
                <w:lang w:val="de-DE"/>
              </w:rPr>
              <w:t>Tel: +86-10-62300592</w:t>
            </w:r>
            <w:r w:rsidR="0059671E">
              <w:rPr>
                <w:lang w:val="de-DE"/>
              </w:rPr>
              <w:br/>
            </w:r>
            <w:r w:rsidRPr="008510C5">
              <w:rPr>
                <w:lang w:val="de-DE"/>
              </w:rPr>
              <w:t xml:space="preserve">E-mail: </w:t>
            </w:r>
            <w:hyperlink r:id="rId9" w:history="1">
              <w:r w:rsidRPr="00DA3C2D">
                <w:rPr>
                  <w:rStyle w:val="Hyperlink"/>
                  <w:lang w:val="de-DE" w:eastAsia="zh-CN"/>
                </w:rPr>
                <w:t>laijunsen</w:t>
              </w:r>
              <w:r w:rsidRPr="00DA3C2D">
                <w:rPr>
                  <w:rStyle w:val="Hyperlink"/>
                  <w:lang w:val="de-DE"/>
                </w:rPr>
                <w:t>@caict.ac.cn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CD0D61" w:rsidRPr="00B86126" w14:paraId="05828950" w14:textId="77777777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F31D24" w14:textId="77777777" w:rsidR="00CD0D61" w:rsidRDefault="00687E6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B1D077" w14:textId="5180B9F4" w:rsidR="00CD0D61" w:rsidRDefault="00D60350">
            <w:pPr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Mr </w:t>
            </w:r>
            <w:r w:rsidRPr="00D60350">
              <w:rPr>
                <w:rFonts w:eastAsia="Malgun Gothic"/>
                <w:kern w:val="2"/>
                <w:lang w:eastAsia="ko-KR"/>
              </w:rPr>
              <w:t>Mark McFadden</w:t>
            </w:r>
            <w:r>
              <w:rPr>
                <w:rFonts w:eastAsia="Malgun Gothic"/>
                <w:kern w:val="2"/>
                <w:lang w:eastAsia="ko-KR"/>
              </w:rPr>
              <w:br/>
              <w:t>United Kingdom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45B32AEC" w14:textId="3CFED484" w:rsidR="00CD0D61" w:rsidRPr="008510C5" w:rsidRDefault="00687E6B" w:rsidP="0059671E">
            <w:pPr>
              <w:spacing w:line="256" w:lineRule="auto"/>
              <w:rPr>
                <w:lang w:val="de-DE"/>
              </w:rPr>
            </w:pPr>
            <w:r w:rsidRPr="008510C5">
              <w:rPr>
                <w:lang w:val="de-DE"/>
              </w:rPr>
              <w:t xml:space="preserve">Tel: </w:t>
            </w:r>
            <w:r w:rsidR="00D60350">
              <w:rPr>
                <w:lang w:val="de-DE"/>
              </w:rPr>
              <w:t>+</w:t>
            </w:r>
            <w:r w:rsidR="0059671E" w:rsidRPr="0059671E">
              <w:rPr>
                <w:lang w:val="de-DE"/>
              </w:rPr>
              <w:t>44 2921 253640; +1 6085047776</w:t>
            </w:r>
            <w:r w:rsidR="0059671E">
              <w:rPr>
                <w:lang w:val="de-DE"/>
              </w:rPr>
              <w:br/>
            </w:r>
            <w:r w:rsidRPr="008510C5">
              <w:rPr>
                <w:lang w:val="de-DE"/>
              </w:rPr>
              <w:t xml:space="preserve">E-mail: </w:t>
            </w:r>
            <w:hyperlink r:id="rId10" w:history="1">
              <w:r w:rsidR="00A00DCB" w:rsidRPr="0038554E">
                <w:rPr>
                  <w:rStyle w:val="Hyperlink"/>
                  <w:lang w:val="de-DE"/>
                </w:rPr>
                <w:t>mark@internetpolicyadvisors.com</w:t>
              </w:r>
            </w:hyperlink>
            <w:r w:rsidR="00A00DCB">
              <w:rPr>
                <w:lang w:val="de-DE"/>
              </w:rPr>
              <w:t xml:space="preserve"> </w:t>
            </w:r>
          </w:p>
        </w:tc>
      </w:tr>
    </w:tbl>
    <w:p w14:paraId="503DDB01" w14:textId="77777777" w:rsidR="00CD0D61" w:rsidRPr="008510C5" w:rsidRDefault="00CD0D61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2"/>
      </w:tblGrid>
      <w:tr w:rsidR="00CD0D61" w14:paraId="045B8762" w14:textId="77777777">
        <w:trPr>
          <w:cantSplit/>
          <w:jc w:val="center"/>
        </w:trPr>
        <w:tc>
          <w:tcPr>
            <w:tcW w:w="1418" w:type="dxa"/>
          </w:tcPr>
          <w:p w14:paraId="2D0D6AC1" w14:textId="77777777" w:rsidR="00CD0D61" w:rsidRDefault="00687E6B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76C5264E" w14:textId="6FDDFEC5" w:rsidR="00CD0D61" w:rsidRDefault="00687E6B">
            <w:r>
              <w:rPr>
                <w:rFonts w:hint="eastAsia"/>
                <w:lang w:eastAsia="zh-CN"/>
              </w:rPr>
              <w:t xml:space="preserve">This </w:t>
            </w:r>
            <w:r w:rsidR="00D60350">
              <w:rPr>
                <w:lang w:eastAsia="zh-CN"/>
              </w:rPr>
              <w:t>TD</w:t>
            </w:r>
            <w:r>
              <w:rPr>
                <w:rFonts w:hint="eastAsia"/>
                <w:lang w:eastAsia="zh-CN"/>
              </w:rPr>
              <w:t xml:space="preserve"> proposes to establish a new ITU-T Joint Coordination Activity on Quantum Key Distribution Network (JCA-</w:t>
            </w:r>
            <w:r>
              <w:rPr>
                <w:lang w:eastAsia="zh-CN"/>
              </w:rPr>
              <w:t>QKDN</w:t>
            </w:r>
            <w:r>
              <w:rPr>
                <w:rFonts w:hint="eastAsia"/>
                <w:lang w:eastAsia="zh-CN"/>
              </w:rPr>
              <w:t>)</w:t>
            </w:r>
            <w:r w:rsidR="00D60350">
              <w:rPr>
                <w:lang w:eastAsia="zh-CN"/>
              </w:rPr>
              <w:t xml:space="preserve"> </w:t>
            </w:r>
            <w:r w:rsidR="0002156E">
              <w:rPr>
                <w:lang w:eastAsia="zh-CN"/>
              </w:rPr>
              <w:t xml:space="preserve">(with TSAG as parent) </w:t>
            </w:r>
            <w:r w:rsidR="00D60350"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Terms of Reference for the proposed JCA-QKDN </w:t>
            </w:r>
            <w:r w:rsidR="00D60350">
              <w:rPr>
                <w:lang w:eastAsia="zh-CN"/>
              </w:rPr>
              <w:t>in the Annex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14:paraId="4665769E" w14:textId="71B93D4A" w:rsidR="00CD0D61" w:rsidRDefault="00687E6B">
      <w:pPr>
        <w:overflowPunct w:val="0"/>
        <w:autoSpaceDE w:val="0"/>
        <w:autoSpaceDN w:val="0"/>
        <w:adjustRightInd w:val="0"/>
        <w:textAlignment w:val="baseline"/>
      </w:pPr>
      <w:r>
        <w:rPr>
          <w:bCs/>
        </w:rPr>
        <w:br/>
      </w:r>
      <w:r>
        <w:rPr>
          <w:b/>
        </w:rPr>
        <w:t xml:space="preserve">Action: </w:t>
      </w:r>
      <w:r>
        <w:t xml:space="preserve">TSAG is invited to </w:t>
      </w:r>
      <w:r w:rsidR="00D60350">
        <w:t xml:space="preserve">establish JCA-QKDN with the </w:t>
      </w:r>
      <w:r>
        <w:t>Terms of Reference</w:t>
      </w:r>
      <w:r w:rsidR="00D60350">
        <w:t xml:space="preserve"> in the Annex</w:t>
      </w:r>
      <w:r>
        <w:t>.</w:t>
      </w:r>
    </w:p>
    <w:p w14:paraId="13A04366" w14:textId="77777777" w:rsidR="00A00DCB" w:rsidRDefault="00A00DCB">
      <w:pPr>
        <w:spacing w:before="0" w:after="160" w:line="259" w:lineRule="auto"/>
        <w:rPr>
          <w:lang w:eastAsia="zh-CN"/>
        </w:rPr>
      </w:pPr>
    </w:p>
    <w:p w14:paraId="2C7F5B1F" w14:textId="076AD502" w:rsidR="00A00DCB" w:rsidRDefault="00A00DCB">
      <w:pPr>
        <w:spacing w:before="0" w:after="160" w:line="259" w:lineRule="auto"/>
        <w:rPr>
          <w:kern w:val="2"/>
          <w:lang w:eastAsia="zh-CN"/>
        </w:rPr>
      </w:pPr>
      <w:r>
        <w:rPr>
          <w:lang w:eastAsia="zh-CN"/>
        </w:rPr>
        <w:t xml:space="preserve">The </w:t>
      </w:r>
      <w:r w:rsidR="002F5CC4">
        <w:rPr>
          <w:lang w:eastAsia="zh-CN"/>
        </w:rPr>
        <w:t>nominated</w:t>
      </w:r>
      <w:r>
        <w:rPr>
          <w:lang w:eastAsia="zh-CN"/>
        </w:rPr>
        <w:t xml:space="preserve"> Chairman of JCA-QKDN is: </w:t>
      </w:r>
      <w:r>
        <w:rPr>
          <w:kern w:val="2"/>
          <w:lang w:eastAsia="zh-CN"/>
        </w:rPr>
        <w:t xml:space="preserve">Mr </w:t>
      </w:r>
      <w:proofErr w:type="spellStart"/>
      <w:r>
        <w:rPr>
          <w:kern w:val="2"/>
          <w:lang w:eastAsia="zh-CN"/>
        </w:rPr>
        <w:t>Junsen</w:t>
      </w:r>
      <w:proofErr w:type="spellEnd"/>
      <w:r>
        <w:rPr>
          <w:kern w:val="2"/>
          <w:lang w:eastAsia="zh-CN"/>
        </w:rPr>
        <w:t xml:space="preserve"> Lai, CAICT, MIIT</w:t>
      </w:r>
      <w:r w:rsidR="006B3930">
        <w:rPr>
          <w:kern w:val="2"/>
          <w:lang w:eastAsia="zh-CN"/>
        </w:rPr>
        <w:t>,</w:t>
      </w:r>
      <w:r>
        <w:rPr>
          <w:kern w:val="2"/>
          <w:lang w:eastAsia="zh-CN"/>
        </w:rPr>
        <w:t xml:space="preserve"> China (P.R.).</w:t>
      </w:r>
    </w:p>
    <w:p w14:paraId="0B658E5E" w14:textId="170D73E5" w:rsidR="00A00DCB" w:rsidRDefault="00A00DCB" w:rsidP="00A00DCB">
      <w:pPr>
        <w:spacing w:before="0" w:after="160" w:line="259" w:lineRule="auto"/>
        <w:rPr>
          <w:lang w:eastAsia="zh-CN"/>
        </w:rPr>
      </w:pPr>
      <w:r>
        <w:rPr>
          <w:kern w:val="2"/>
          <w:lang w:eastAsia="zh-CN"/>
        </w:rPr>
        <w:t xml:space="preserve">The </w:t>
      </w:r>
      <w:r w:rsidR="002F5CC4">
        <w:rPr>
          <w:lang w:eastAsia="zh-CN"/>
        </w:rPr>
        <w:t xml:space="preserve">nominated </w:t>
      </w:r>
      <w:r>
        <w:rPr>
          <w:kern w:val="2"/>
          <w:lang w:eastAsia="zh-CN"/>
        </w:rPr>
        <w:t xml:space="preserve">Vice-Chairman </w:t>
      </w:r>
      <w:r>
        <w:rPr>
          <w:lang w:eastAsia="zh-CN"/>
        </w:rPr>
        <w:t xml:space="preserve">of JCA-QKDN is: Mr Mark McFadden, </w:t>
      </w:r>
      <w:r w:rsidRPr="00A00DCB">
        <w:rPr>
          <w:lang w:eastAsia="zh-CN"/>
        </w:rPr>
        <w:t xml:space="preserve">UK Department of Digital, Culture, </w:t>
      </w:r>
      <w:proofErr w:type="gramStart"/>
      <w:r w:rsidRPr="00A00DCB">
        <w:rPr>
          <w:lang w:eastAsia="zh-CN"/>
        </w:rPr>
        <w:t>Media</w:t>
      </w:r>
      <w:proofErr w:type="gramEnd"/>
      <w:r w:rsidRPr="00A00DCB">
        <w:rPr>
          <w:lang w:eastAsia="zh-CN"/>
        </w:rPr>
        <w:t xml:space="preserve"> and Sport (DCMS)</w:t>
      </w:r>
      <w:r>
        <w:rPr>
          <w:lang w:eastAsia="zh-CN"/>
        </w:rPr>
        <w:t>,</w:t>
      </w:r>
      <w:r w:rsidRPr="00A00DCB">
        <w:rPr>
          <w:lang w:eastAsia="zh-CN"/>
        </w:rPr>
        <w:t xml:space="preserve"> </w:t>
      </w:r>
      <w:r>
        <w:rPr>
          <w:lang w:eastAsia="zh-CN"/>
        </w:rPr>
        <w:t>United Kingdom.</w:t>
      </w:r>
    </w:p>
    <w:p w14:paraId="293B58DB" w14:textId="06465961" w:rsidR="00CD0D61" w:rsidRDefault="00687E6B">
      <w:pPr>
        <w:spacing w:before="0"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64CC99CE" w14:textId="77777777" w:rsidR="00CD0D61" w:rsidRDefault="00687E6B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lastRenderedPageBreak/>
        <w:t>Annex</w:t>
      </w:r>
    </w:p>
    <w:p w14:paraId="23002070" w14:textId="07D5EB69" w:rsidR="00D60350" w:rsidRDefault="00687E6B">
      <w:pPr>
        <w:tabs>
          <w:tab w:val="left" w:pos="888"/>
          <w:tab w:val="left" w:pos="1871"/>
          <w:tab w:val="left" w:pos="2608"/>
          <w:tab w:val="left" w:pos="3345"/>
        </w:tabs>
        <w:spacing w:before="80"/>
        <w:ind w:left="1029" w:hanging="1029"/>
        <w:jc w:val="center"/>
        <w:rPr>
          <w:rFonts w:ascii="Times New Roman Bold" w:hAnsi="Times New Roman Bold"/>
          <w:b/>
          <w:bCs/>
          <w:sz w:val="28"/>
          <w:szCs w:val="28"/>
        </w:rPr>
      </w:pPr>
      <w:r>
        <w:rPr>
          <w:rFonts w:ascii="Times New Roman Bold" w:hAnsi="Times New Roman Bold"/>
          <w:b/>
          <w:bCs/>
          <w:sz w:val="28"/>
          <w:szCs w:val="28"/>
        </w:rPr>
        <w:t>Terms of Reference for</w:t>
      </w:r>
    </w:p>
    <w:p w14:paraId="18356248" w14:textId="3118E46E" w:rsidR="00CD0D61" w:rsidRDefault="00687E6B">
      <w:pPr>
        <w:tabs>
          <w:tab w:val="left" w:pos="888"/>
          <w:tab w:val="left" w:pos="1871"/>
          <w:tab w:val="left" w:pos="2608"/>
          <w:tab w:val="left" w:pos="3345"/>
        </w:tabs>
        <w:spacing w:before="80"/>
        <w:ind w:left="1029" w:hanging="1029"/>
        <w:jc w:val="center"/>
        <w:rPr>
          <w:rFonts w:ascii="Times New Roman Bold" w:hAnsi="Times New Roman Bold"/>
          <w:b/>
          <w:bCs/>
          <w:sz w:val="28"/>
          <w:szCs w:val="28"/>
        </w:rPr>
      </w:pPr>
      <w:r>
        <w:rPr>
          <w:rFonts w:ascii="Times New Roman Bold" w:hAnsi="Times New Roman Bold"/>
          <w:b/>
          <w:bCs/>
          <w:sz w:val="28"/>
          <w:szCs w:val="28"/>
        </w:rPr>
        <w:t xml:space="preserve">Joint Coordination Activity on </w:t>
      </w:r>
      <w:r>
        <w:rPr>
          <w:rFonts w:ascii="Times New Roman Bold" w:hAnsi="Times New Roman Bold" w:hint="eastAsia"/>
          <w:b/>
          <w:bCs/>
          <w:sz w:val="28"/>
          <w:szCs w:val="28"/>
          <w:lang w:eastAsia="zh-CN"/>
        </w:rPr>
        <w:t>Quantum</w:t>
      </w:r>
      <w:r>
        <w:rPr>
          <w:rFonts w:ascii="Times New Roman Bold" w:hAnsi="Times New Roman Bold"/>
          <w:b/>
          <w:bCs/>
          <w:sz w:val="28"/>
          <w:szCs w:val="28"/>
        </w:rPr>
        <w:t xml:space="preserve"> </w:t>
      </w:r>
      <w:r>
        <w:rPr>
          <w:rFonts w:ascii="Times New Roman Bold" w:hAnsi="Times New Roman Bold" w:hint="eastAsia"/>
          <w:b/>
          <w:bCs/>
          <w:sz w:val="28"/>
          <w:szCs w:val="28"/>
          <w:lang w:eastAsia="zh-CN"/>
        </w:rPr>
        <w:t>Key</w:t>
      </w:r>
      <w:r>
        <w:rPr>
          <w:rFonts w:ascii="Times New Roman Bold" w:hAnsi="Times New Roman Bold"/>
          <w:b/>
          <w:bCs/>
          <w:sz w:val="28"/>
          <w:szCs w:val="28"/>
        </w:rPr>
        <w:t xml:space="preserve"> </w:t>
      </w:r>
      <w:r>
        <w:rPr>
          <w:rFonts w:ascii="Times New Roman Bold" w:hAnsi="Times New Roman Bold" w:hint="eastAsia"/>
          <w:b/>
          <w:bCs/>
          <w:sz w:val="28"/>
          <w:szCs w:val="28"/>
          <w:lang w:eastAsia="zh-CN"/>
        </w:rPr>
        <w:t>Distribution</w:t>
      </w:r>
      <w:r>
        <w:rPr>
          <w:rFonts w:ascii="Times New Roman Bold" w:hAnsi="Times New Roman Bold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 Bold" w:hAnsi="Times New Roman Bold" w:hint="eastAsia"/>
          <w:b/>
          <w:bCs/>
          <w:sz w:val="28"/>
          <w:szCs w:val="28"/>
          <w:lang w:eastAsia="zh-CN"/>
        </w:rPr>
        <w:t>Network</w:t>
      </w:r>
      <w:r>
        <w:rPr>
          <w:rFonts w:ascii="Times New Roman Bold" w:hAnsi="Times New Roman Bold"/>
          <w:b/>
          <w:bCs/>
          <w:sz w:val="28"/>
          <w:szCs w:val="28"/>
        </w:rPr>
        <w:t xml:space="preserve"> (JCA-</w:t>
      </w:r>
      <w:r>
        <w:rPr>
          <w:rFonts w:ascii="Times New Roman Bold" w:hAnsi="Times New Roman Bold" w:hint="eastAsia"/>
          <w:b/>
          <w:bCs/>
          <w:sz w:val="28"/>
          <w:szCs w:val="28"/>
          <w:lang w:eastAsia="zh-CN"/>
        </w:rPr>
        <w:t>QKDN</w:t>
      </w:r>
      <w:r>
        <w:rPr>
          <w:rFonts w:ascii="Times New Roman Bold" w:hAnsi="Times New Roman Bold"/>
          <w:b/>
          <w:bCs/>
          <w:sz w:val="28"/>
          <w:szCs w:val="28"/>
        </w:rPr>
        <w:t>)</w:t>
      </w:r>
    </w:p>
    <w:p w14:paraId="530833F4" w14:textId="77777777" w:rsidR="00CD0D61" w:rsidRDefault="00687E6B">
      <w:pPr>
        <w:pStyle w:val="Headingb"/>
        <w:numPr>
          <w:ilvl w:val="0"/>
          <w:numId w:val="2"/>
        </w:numPr>
        <w:spacing w:before="360"/>
        <w:ind w:left="357" w:hanging="357"/>
      </w:pPr>
      <w:r>
        <w:t>Scope</w:t>
      </w:r>
    </w:p>
    <w:p w14:paraId="7CBE02A3" w14:textId="77777777" w:rsidR="00CD0D61" w:rsidRDefault="00687E6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>
        <w:t>The scope of JCA-</w:t>
      </w:r>
      <w:r>
        <w:rPr>
          <w:rFonts w:hint="eastAsia"/>
          <w:lang w:eastAsia="zh-CN"/>
        </w:rPr>
        <w:t>QKDN</w:t>
      </w:r>
      <w:r>
        <w:t xml:space="preserve"> is coordination of the ITU-T quantum </w:t>
      </w:r>
      <w:r>
        <w:rPr>
          <w:rFonts w:hint="eastAsia"/>
          <w:lang w:eastAsia="zh-CN"/>
        </w:rPr>
        <w:t>key</w:t>
      </w:r>
      <w:r>
        <w:t xml:space="preserve"> </w:t>
      </w:r>
      <w:r>
        <w:rPr>
          <w:rFonts w:hint="eastAsia"/>
          <w:lang w:eastAsia="zh-CN"/>
        </w:rPr>
        <w:t>distribution</w:t>
      </w:r>
      <w:r>
        <w:t xml:space="preserve"> </w:t>
      </w:r>
      <w:r>
        <w:rPr>
          <w:rFonts w:hint="eastAsia"/>
          <w:lang w:eastAsia="zh-CN"/>
        </w:rPr>
        <w:t>network</w:t>
      </w:r>
      <w:r>
        <w:t xml:space="preserve"> (</w:t>
      </w:r>
      <w:r>
        <w:rPr>
          <w:rFonts w:hint="eastAsia"/>
          <w:lang w:eastAsia="zh-CN"/>
        </w:rPr>
        <w:t>QKDN</w:t>
      </w:r>
      <w:r>
        <w:t xml:space="preserve">) standardization work within ITU-T and coordination of the communication with standards development organizations, consortia and forums also working on </w:t>
      </w:r>
      <w:r>
        <w:rPr>
          <w:rFonts w:hint="eastAsia"/>
          <w:lang w:eastAsia="zh-CN"/>
        </w:rPr>
        <w:t>QKD</w:t>
      </w:r>
      <w:r>
        <w:t xml:space="preserve"> related standards.</w:t>
      </w:r>
    </w:p>
    <w:p w14:paraId="20780FBE" w14:textId="77777777" w:rsidR="00CD0D61" w:rsidRDefault="00687E6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>
        <w:t>The JCA operates under the terms of Recommendation ITU-T A.1, clause 5. The JCA operates according to the instruction in WTSA-16 Resolution 92.</w:t>
      </w:r>
    </w:p>
    <w:p w14:paraId="3900AE7C" w14:textId="77777777" w:rsidR="00CD0D61" w:rsidRDefault="00687E6B">
      <w:pPr>
        <w:pStyle w:val="Headingb"/>
        <w:numPr>
          <w:ilvl w:val="0"/>
          <w:numId w:val="2"/>
        </w:numPr>
        <w:spacing w:before="360"/>
        <w:ind w:left="357" w:hanging="357"/>
      </w:pPr>
      <w:r>
        <w:t>Objectives</w:t>
      </w:r>
    </w:p>
    <w:p w14:paraId="6A32A94E" w14:textId="77777777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r>
        <w:t>The JCA-</w:t>
      </w:r>
      <w:r>
        <w:rPr>
          <w:rFonts w:hint="eastAsia"/>
          <w:lang w:eastAsia="zh-CN"/>
        </w:rPr>
        <w:t>QKDN</w:t>
      </w:r>
      <w:r>
        <w:t xml:space="preserve"> ensures that the ITU-T </w:t>
      </w:r>
      <w:r>
        <w:rPr>
          <w:rFonts w:hint="eastAsia"/>
          <w:lang w:eastAsia="zh-CN"/>
        </w:rPr>
        <w:t>QKDN</w:t>
      </w:r>
      <w:r>
        <w:t xml:space="preserve"> standardization work is progressed in a well-coordinated manner among relevant study groups</w:t>
      </w:r>
      <w:proofErr w:type="gramStart"/>
      <w:r>
        <w:t>, in particular, Study</w:t>
      </w:r>
      <w:proofErr w:type="gramEnd"/>
      <w:r>
        <w:t xml:space="preserve"> Group 11 on protocols and interoperability, Study Group 13 on network architecture and functions, and Study Group 17 on security.</w:t>
      </w:r>
    </w:p>
    <w:p w14:paraId="34960282" w14:textId="49724F0A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r>
        <w:t>Whenever duplication of effort or planning issues are discovered, the JCA-</w:t>
      </w:r>
      <w:r>
        <w:rPr>
          <w:rFonts w:hint="eastAsia"/>
          <w:lang w:eastAsia="zh-CN"/>
        </w:rPr>
        <w:t>QKDN</w:t>
      </w:r>
      <w:r>
        <w:t xml:space="preserve"> will coordinate all activities related to </w:t>
      </w:r>
      <w:r>
        <w:rPr>
          <w:rFonts w:hint="eastAsia"/>
          <w:lang w:eastAsia="zh-CN"/>
        </w:rPr>
        <w:t>QKDN</w:t>
      </w:r>
      <w:r>
        <w:t xml:space="preserve"> with relevant study groups</w:t>
      </w:r>
      <w:r w:rsidR="00272DDF">
        <w:t xml:space="preserve"> and r</w:t>
      </w:r>
      <w:r w:rsidR="00272DDF" w:rsidRPr="00272DDF">
        <w:t>eport the results</w:t>
      </w:r>
      <w:r w:rsidR="00272DDF">
        <w:t xml:space="preserve"> to TSAG</w:t>
      </w:r>
      <w:r>
        <w:t>.</w:t>
      </w:r>
    </w:p>
    <w:p w14:paraId="79EB01A6" w14:textId="77777777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r>
        <w:t>The JCA-</w:t>
      </w:r>
      <w:r>
        <w:rPr>
          <w:rFonts w:hint="eastAsia"/>
          <w:lang w:eastAsia="zh-CN"/>
        </w:rPr>
        <w:t>QKDN</w:t>
      </w:r>
      <w:r>
        <w:t xml:space="preserve"> considers and encourages possibilities of co-operation on </w:t>
      </w:r>
      <w:r>
        <w:rPr>
          <w:rFonts w:hint="eastAsia"/>
          <w:lang w:eastAsia="zh-CN"/>
        </w:rPr>
        <w:t>QKD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related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standardization</w:t>
      </w:r>
      <w:r>
        <w:rPr>
          <w:lang w:eastAsia="zh-CN"/>
        </w:rPr>
        <w:t xml:space="preserve"> </w:t>
      </w:r>
      <w:r>
        <w:t>with relevant SDOs such as ISO/IEC JTC1, ETSI, IEEE, IETF</w:t>
      </w:r>
      <w:r>
        <w:rPr>
          <w:rFonts w:eastAsia="MS Mincho"/>
        </w:rPr>
        <w:t>/IRTF</w:t>
      </w:r>
      <w:r>
        <w:t xml:space="preserve">, CCSA, </w:t>
      </w:r>
      <w:r>
        <w:rPr>
          <w:rFonts w:eastAsia="MS Mincho"/>
        </w:rPr>
        <w:t>CEN-CENELEC FG QT</w:t>
      </w:r>
      <w:r>
        <w:t xml:space="preserve">, </w:t>
      </w:r>
      <w:r>
        <w:rPr>
          <w:rFonts w:eastAsia="MS Mincho"/>
        </w:rPr>
        <w:t xml:space="preserve">IEC TC 86, </w:t>
      </w:r>
      <w:r>
        <w:t>etc.</w:t>
      </w:r>
    </w:p>
    <w:p w14:paraId="47AB47FF" w14:textId="4B7173D9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r>
        <w:t>The JCA-</w:t>
      </w:r>
      <w:r>
        <w:rPr>
          <w:rFonts w:hint="eastAsia"/>
          <w:lang w:eastAsia="zh-CN"/>
        </w:rPr>
        <w:t>QKDN</w:t>
      </w:r>
      <w:r>
        <w:t xml:space="preserve"> analyses the work of standards development organizations, </w:t>
      </w:r>
      <w:proofErr w:type="gramStart"/>
      <w:r>
        <w:t>consortia</w:t>
      </w:r>
      <w:proofErr w:type="gramEnd"/>
      <w:r>
        <w:t xml:space="preserve"> and forums for use in its coordination function </w:t>
      </w:r>
      <w:r w:rsidRPr="00D60350">
        <w:t xml:space="preserve">and </w:t>
      </w:r>
      <w:r w:rsidR="00C03611" w:rsidRPr="00D60350">
        <w:t>as part of its report</w:t>
      </w:r>
      <w:r w:rsidR="00C03611">
        <w:t xml:space="preserve"> </w:t>
      </w:r>
      <w:r>
        <w:t>provides information on this work for use by the relevant study groups in planning their work.</w:t>
      </w:r>
    </w:p>
    <w:p w14:paraId="10F5E3DF" w14:textId="77777777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proofErr w:type="gramStart"/>
      <w:r>
        <w:t>In order to</w:t>
      </w:r>
      <w:proofErr w:type="gramEnd"/>
      <w:r>
        <w:t xml:space="preserve"> avoid duplication of work and assist in coordinating the work of the study groups, the JCA-</w:t>
      </w:r>
      <w:r>
        <w:rPr>
          <w:rFonts w:hint="eastAsia"/>
          <w:lang w:eastAsia="zh-CN"/>
        </w:rPr>
        <w:t>QKDN</w:t>
      </w:r>
      <w:r>
        <w:t xml:space="preserve"> acts as a point of contact within ITU-T and with other standards development organizations, consortia and forums working on </w:t>
      </w:r>
      <w:r>
        <w:rPr>
          <w:rFonts w:hint="eastAsia"/>
          <w:lang w:eastAsia="zh-CN"/>
        </w:rPr>
        <w:t>QKD</w:t>
      </w:r>
      <w:r>
        <w:rPr>
          <w:lang w:eastAsia="zh-CN"/>
        </w:rPr>
        <w:t xml:space="preserve"> </w:t>
      </w:r>
      <w:r>
        <w:t>related standards.</w:t>
      </w:r>
    </w:p>
    <w:p w14:paraId="44339A82" w14:textId="557CD557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r>
        <w:t>The JCA-</w:t>
      </w:r>
      <w:r>
        <w:rPr>
          <w:rFonts w:hint="eastAsia"/>
          <w:lang w:eastAsia="zh-CN"/>
        </w:rPr>
        <w:t>QKDN</w:t>
      </w:r>
      <w:r>
        <w:t xml:space="preserve"> maintains the </w:t>
      </w:r>
      <w:r w:rsidR="00C03611" w:rsidRPr="00D60350">
        <w:t>SG13</w:t>
      </w:r>
      <w:r w:rsidR="00C03611">
        <w:t xml:space="preserve"> </w:t>
      </w:r>
      <w:r>
        <w:t xml:space="preserve">roadmap for </w:t>
      </w:r>
      <w:r>
        <w:rPr>
          <w:rFonts w:hint="eastAsia"/>
          <w:lang w:eastAsia="zh-CN"/>
        </w:rPr>
        <w:t>QKDN</w:t>
      </w:r>
      <w:r>
        <w:t xml:space="preserve"> standardization which addresses on-going and published specifications from ITU, other relevant standard development </w:t>
      </w:r>
      <w:proofErr w:type="gramStart"/>
      <w:r>
        <w:t>organization</w:t>
      </w:r>
      <w:proofErr w:type="gramEnd"/>
      <w:r>
        <w:t xml:space="preserve">, </w:t>
      </w:r>
      <w:proofErr w:type="gramStart"/>
      <w:r>
        <w:t>consortia</w:t>
      </w:r>
      <w:proofErr w:type="gramEnd"/>
      <w:r>
        <w:t xml:space="preserve"> and forums.</w:t>
      </w:r>
    </w:p>
    <w:p w14:paraId="0ABB456C" w14:textId="77777777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r>
        <w:t>In carrying out the internal coordinating role, participants in the JCA-</w:t>
      </w:r>
      <w:r>
        <w:rPr>
          <w:rFonts w:hint="eastAsia"/>
          <w:lang w:eastAsia="zh-CN"/>
        </w:rPr>
        <w:t>QKDN</w:t>
      </w:r>
      <w:r>
        <w:t xml:space="preserve"> will include representatives of relevant ITU-T study groups and other ITU groups.</w:t>
      </w:r>
    </w:p>
    <w:p w14:paraId="4D62EBB1" w14:textId="77777777" w:rsidR="00CD0D61" w:rsidRDefault="00687E6B">
      <w:pPr>
        <w:pStyle w:val="ListParagraph1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napToGrid w:val="0"/>
        <w:spacing w:beforeLines="50" w:afterLines="50" w:after="120"/>
        <w:ind w:left="777" w:firstLineChars="0"/>
        <w:textAlignment w:val="baseline"/>
      </w:pPr>
      <w:r>
        <w:t xml:space="preserve">In carrying out the external collaboration role, representatives from other relevant standards development organizations, regional/national organizations, </w:t>
      </w:r>
      <w:proofErr w:type="gramStart"/>
      <w:r>
        <w:t>consortia</w:t>
      </w:r>
      <w:proofErr w:type="gramEnd"/>
      <w:r>
        <w:t xml:space="preserve"> and forums shall be invited to join the JCA-</w:t>
      </w:r>
      <w:r>
        <w:rPr>
          <w:rFonts w:hint="eastAsia"/>
          <w:lang w:eastAsia="zh-CN"/>
        </w:rPr>
        <w:t>QKDN</w:t>
      </w:r>
      <w:r>
        <w:t>.</w:t>
      </w:r>
    </w:p>
    <w:p w14:paraId="66F8CCA0" w14:textId="17C6417B" w:rsidR="00CD0D61" w:rsidRDefault="00687E6B">
      <w:pPr>
        <w:pStyle w:val="Headingb"/>
        <w:numPr>
          <w:ilvl w:val="0"/>
          <w:numId w:val="2"/>
        </w:numPr>
        <w:spacing w:before="360"/>
        <w:ind w:left="357" w:hanging="357"/>
      </w:pPr>
      <w:r>
        <w:t>Participation</w:t>
      </w:r>
    </w:p>
    <w:p w14:paraId="71CF0278" w14:textId="77777777" w:rsidR="00CD0D61" w:rsidRDefault="00687E6B">
      <w:pPr>
        <w:rPr>
          <w:rFonts w:eastAsia="MS Mincho"/>
        </w:rPr>
      </w:pPr>
      <w:r>
        <w:t xml:space="preserve">Participation is open to official representatives of all ITU-T SGs and TSAG and all ITU-T SG secretariat. Other ITU groups and relevant external bodies, standardization </w:t>
      </w:r>
      <w:proofErr w:type="gramStart"/>
      <w:r>
        <w:t>organizations in particular, may</w:t>
      </w:r>
      <w:proofErr w:type="gramEnd"/>
      <w:r>
        <w:t xml:space="preserve"> be invited to appoint a representative to join the group.</w:t>
      </w:r>
    </w:p>
    <w:p w14:paraId="2D9EA876" w14:textId="77777777" w:rsidR="00CD0D61" w:rsidRDefault="00687E6B">
      <w:pPr>
        <w:pStyle w:val="Headingb"/>
        <w:numPr>
          <w:ilvl w:val="0"/>
          <w:numId w:val="2"/>
        </w:numPr>
        <w:spacing w:before="360"/>
        <w:ind w:left="357" w:hanging="357"/>
      </w:pPr>
      <w:r>
        <w:lastRenderedPageBreak/>
        <w:t>Administrative support</w:t>
      </w:r>
    </w:p>
    <w:p w14:paraId="3AB17BE0" w14:textId="77777777" w:rsidR="00CD0D61" w:rsidRDefault="00687E6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>
        <w:t xml:space="preserve">ITU-T Telecommunications Standardization Bureau (TSB) will </w:t>
      </w:r>
      <w:r>
        <w:rPr>
          <w:rFonts w:eastAsia="Gulim"/>
        </w:rPr>
        <w:t xml:space="preserve">provide </w:t>
      </w:r>
      <w:r>
        <w:t>secretariat and facilities</w:t>
      </w:r>
      <w:r>
        <w:rPr>
          <w:rFonts w:eastAsia="Gulim"/>
        </w:rPr>
        <w:t xml:space="preserve"> support for JCA-</w:t>
      </w:r>
      <w:r>
        <w:rPr>
          <w:lang w:eastAsia="zh-CN"/>
        </w:rPr>
        <w:t>QKDN</w:t>
      </w:r>
      <w:r>
        <w:rPr>
          <w:rFonts w:eastAsia="Gulim"/>
        </w:rPr>
        <w:t xml:space="preserve"> within available resource limits.</w:t>
      </w:r>
    </w:p>
    <w:p w14:paraId="45EA2561" w14:textId="77777777" w:rsidR="00CD0D61" w:rsidRDefault="00687E6B">
      <w:pPr>
        <w:pStyle w:val="Headingb"/>
        <w:numPr>
          <w:ilvl w:val="0"/>
          <w:numId w:val="2"/>
        </w:numPr>
        <w:spacing w:before="360"/>
        <w:ind w:left="357" w:hanging="357"/>
      </w:pPr>
      <w:r>
        <w:t>Meetings</w:t>
      </w:r>
    </w:p>
    <w:p w14:paraId="42A8CE62" w14:textId="77777777" w:rsidR="00CD0D61" w:rsidRDefault="00687E6B">
      <w:pPr>
        <w:rPr>
          <w:lang w:eastAsia="zh-CN"/>
        </w:rPr>
      </w:pPr>
      <w:r>
        <w:rPr>
          <w:lang w:eastAsia="zh-CN"/>
        </w:rPr>
        <w:t>The JCA-QKDN works electronically using teleconferences and with face-to-face meetings as needed. Meetings will be held as determined by the JCA-QKDN and will be announced to its participants by the JCA e-mail reflector and posted on the ITU-T website. JCA-QKDN will meet during TSAG meeting if it needs to.</w:t>
      </w:r>
    </w:p>
    <w:p w14:paraId="61025EC4" w14:textId="77777777" w:rsidR="00CD0D61" w:rsidRDefault="00687E6B">
      <w:pPr>
        <w:pStyle w:val="Headingb"/>
        <w:numPr>
          <w:ilvl w:val="0"/>
          <w:numId w:val="2"/>
        </w:numPr>
        <w:spacing w:before="360"/>
        <w:ind w:left="357" w:hanging="357"/>
      </w:pPr>
      <w:r>
        <w:t>Parent group and progress reports</w:t>
      </w:r>
    </w:p>
    <w:p w14:paraId="32FA64E3" w14:textId="77777777" w:rsidR="00CD0D61" w:rsidRDefault="00687E6B">
      <w:pPr>
        <w:jc w:val="both"/>
        <w:rPr>
          <w:lang w:eastAsia="zh-CN"/>
        </w:rPr>
      </w:pPr>
      <w:r>
        <w:rPr>
          <w:lang w:eastAsia="zh-CN"/>
        </w:rPr>
        <w:t>The JCA-QKDN will report to TSAG at its meetings. An executive summary will be sent to TSAG after each JCA-QKDN meeting. Progress reports and proposals will be sent to relevant study groups as necessary, in accordance with Recommendation ITU-T A.1, clause5.</w:t>
      </w:r>
    </w:p>
    <w:p w14:paraId="4AFD3095" w14:textId="77777777" w:rsidR="00CD0D61" w:rsidRDefault="00687E6B">
      <w:pPr>
        <w:pStyle w:val="Headingb"/>
        <w:numPr>
          <w:ilvl w:val="0"/>
          <w:numId w:val="2"/>
        </w:numPr>
        <w:tabs>
          <w:tab w:val="clear" w:pos="794"/>
        </w:tabs>
        <w:spacing w:before="360"/>
        <w:ind w:left="357" w:hanging="357"/>
      </w:pPr>
      <w:r>
        <w:t>Leadership</w:t>
      </w:r>
    </w:p>
    <w:p w14:paraId="6E3D8EFB" w14:textId="77777777" w:rsidR="00CD0D61" w:rsidRDefault="00687E6B">
      <w:pPr>
        <w:jc w:val="both"/>
        <w:rPr>
          <w:lang w:eastAsia="zh-CN"/>
        </w:rPr>
      </w:pP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discussed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appointed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during</w:t>
      </w:r>
      <w:r>
        <w:rPr>
          <w:lang w:eastAsia="zh-CN"/>
        </w:rPr>
        <w:t xml:space="preserve"> TSAG meeting.</w:t>
      </w:r>
    </w:p>
    <w:p w14:paraId="4AA31EA1" w14:textId="77777777" w:rsidR="00CD0D61" w:rsidRDefault="00687E6B">
      <w:pPr>
        <w:pStyle w:val="Headingb"/>
        <w:numPr>
          <w:ilvl w:val="0"/>
          <w:numId w:val="2"/>
        </w:numPr>
        <w:tabs>
          <w:tab w:val="clear" w:pos="794"/>
        </w:tabs>
        <w:spacing w:before="360"/>
        <w:ind w:left="357" w:hanging="357"/>
      </w:pPr>
      <w:r>
        <w:t>Other contacts</w:t>
      </w:r>
    </w:p>
    <w:p w14:paraId="6EDAF29B" w14:textId="058E7839" w:rsidR="00CD0D61" w:rsidRDefault="00687E6B">
      <w:pPr>
        <w:jc w:val="both"/>
        <w:rPr>
          <w:lang w:eastAsia="zh-CN"/>
        </w:rPr>
      </w:pPr>
      <w:r>
        <w:rPr>
          <w:lang w:eastAsia="zh-CN"/>
        </w:rPr>
        <w:t>JCA-QKDN secretariat (tsbtsag@itu.int).</w:t>
      </w:r>
    </w:p>
    <w:p w14:paraId="609A28A1" w14:textId="77777777" w:rsidR="00CD0D61" w:rsidRDefault="00687E6B">
      <w:pPr>
        <w:pStyle w:val="Headingb"/>
        <w:numPr>
          <w:ilvl w:val="0"/>
          <w:numId w:val="2"/>
        </w:numPr>
        <w:tabs>
          <w:tab w:val="clear" w:pos="794"/>
        </w:tabs>
        <w:spacing w:before="360"/>
        <w:ind w:left="357" w:hanging="357"/>
      </w:pPr>
      <w:r>
        <w:t>Lifetime</w:t>
      </w:r>
    </w:p>
    <w:p w14:paraId="1515A04D" w14:textId="77777777" w:rsidR="00CD0D61" w:rsidRDefault="00687E6B">
      <w:pPr>
        <w:jc w:val="both"/>
        <w:rPr>
          <w:lang w:eastAsia="zh-CN"/>
        </w:rPr>
      </w:pPr>
      <w:r>
        <w:rPr>
          <w:lang w:eastAsia="zh-CN"/>
        </w:rPr>
        <w:t>See clause 5.10 of Recommendation ITU-T A.1.</w:t>
      </w:r>
    </w:p>
    <w:p w14:paraId="79B36E74" w14:textId="77777777" w:rsidR="00CD0D61" w:rsidRDefault="00687E6B">
      <w:pPr>
        <w:jc w:val="center"/>
      </w:pPr>
      <w:r>
        <w:t>_______________________</w:t>
      </w:r>
    </w:p>
    <w:p w14:paraId="73A15917" w14:textId="77777777" w:rsidR="00CD0D61" w:rsidRDefault="00CD0D61"/>
    <w:sectPr w:rsidR="00CD0D61">
      <w:headerReference w:type="default" r:id="rId11"/>
      <w:pgSz w:w="11907" w:h="16840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880C" w14:textId="77777777" w:rsidR="008B5A86" w:rsidRDefault="008B5A86">
      <w:pPr>
        <w:spacing w:before="0"/>
      </w:pPr>
      <w:r>
        <w:separator/>
      </w:r>
    </w:p>
  </w:endnote>
  <w:endnote w:type="continuationSeparator" w:id="0">
    <w:p w14:paraId="1EDCF2EE" w14:textId="77777777" w:rsidR="008B5A86" w:rsidRDefault="008B5A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1AF4" w14:textId="77777777" w:rsidR="008B5A86" w:rsidRDefault="008B5A86">
      <w:pPr>
        <w:spacing w:before="0"/>
      </w:pPr>
      <w:r>
        <w:separator/>
      </w:r>
    </w:p>
  </w:footnote>
  <w:footnote w:type="continuationSeparator" w:id="0">
    <w:p w14:paraId="07593CEA" w14:textId="77777777" w:rsidR="008B5A86" w:rsidRDefault="008B5A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B45" w14:textId="77777777" w:rsidR="00CD0D61" w:rsidRPr="00687E6B" w:rsidRDefault="00687E6B">
    <w:pPr>
      <w:pStyle w:val="Header"/>
      <w:rPr>
        <w:sz w:val="18"/>
        <w:szCs w:val="18"/>
      </w:rPr>
    </w:pPr>
    <w:r w:rsidRPr="00687E6B">
      <w:rPr>
        <w:sz w:val="18"/>
        <w:szCs w:val="18"/>
      </w:rPr>
      <w:t xml:space="preserve">- </w:t>
    </w:r>
    <w:r w:rsidRPr="00687E6B">
      <w:rPr>
        <w:sz w:val="18"/>
        <w:szCs w:val="18"/>
      </w:rPr>
      <w:fldChar w:fldCharType="begin"/>
    </w:r>
    <w:r w:rsidRPr="00687E6B">
      <w:rPr>
        <w:sz w:val="18"/>
        <w:szCs w:val="18"/>
      </w:rPr>
      <w:instrText xml:space="preserve"> PAGE  \* MERGEFORMAT </w:instrText>
    </w:r>
    <w:r w:rsidRPr="00687E6B">
      <w:rPr>
        <w:sz w:val="18"/>
        <w:szCs w:val="18"/>
      </w:rPr>
      <w:fldChar w:fldCharType="separate"/>
    </w:r>
    <w:r w:rsidRPr="00687E6B">
      <w:rPr>
        <w:sz w:val="18"/>
        <w:szCs w:val="18"/>
      </w:rPr>
      <w:t>3</w:t>
    </w:r>
    <w:r w:rsidRPr="00687E6B">
      <w:rPr>
        <w:sz w:val="18"/>
        <w:szCs w:val="18"/>
      </w:rPr>
      <w:fldChar w:fldCharType="end"/>
    </w:r>
    <w:r w:rsidRPr="00687E6B">
      <w:rPr>
        <w:sz w:val="18"/>
        <w:szCs w:val="18"/>
      </w:rPr>
      <w:t xml:space="preserve"> -</w:t>
    </w:r>
  </w:p>
  <w:p w14:paraId="02BC72BA" w14:textId="7CF7509D" w:rsidR="00CD0D61" w:rsidRPr="00687E6B" w:rsidRDefault="00687E6B">
    <w:pPr>
      <w:pStyle w:val="Header"/>
      <w:rPr>
        <w:sz w:val="18"/>
        <w:szCs w:val="18"/>
      </w:rPr>
    </w:pPr>
    <w:r w:rsidRPr="00687E6B">
      <w:rPr>
        <w:sz w:val="18"/>
        <w:szCs w:val="18"/>
      </w:rPr>
      <w:fldChar w:fldCharType="begin"/>
    </w:r>
    <w:r w:rsidRPr="00687E6B">
      <w:rPr>
        <w:sz w:val="18"/>
        <w:szCs w:val="18"/>
      </w:rPr>
      <w:instrText xml:space="preserve"> STYLEREF  Docnumber  </w:instrText>
    </w:r>
    <w:r w:rsidRPr="00687E6B">
      <w:rPr>
        <w:sz w:val="18"/>
        <w:szCs w:val="18"/>
      </w:rPr>
      <w:fldChar w:fldCharType="separate"/>
    </w:r>
    <w:r w:rsidR="00B86126">
      <w:rPr>
        <w:noProof/>
        <w:sz w:val="18"/>
        <w:szCs w:val="18"/>
      </w:rPr>
      <w:t>TSAG-TD166</w:t>
    </w:r>
    <w:r w:rsidRPr="00687E6B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2491"/>
    <w:multiLevelType w:val="multilevel"/>
    <w:tmpl w:val="3A8E2491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 w:tentative="1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7C30F41"/>
    <w:multiLevelType w:val="multilevel"/>
    <w:tmpl w:val="57C30F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C540CD"/>
    <w:multiLevelType w:val="multilevel"/>
    <w:tmpl w:val="63C540CD"/>
    <w:lvl w:ilvl="0">
      <w:start w:val="1"/>
      <w:numFmt w:val="bullet"/>
      <w:lvlText w:val="●"/>
      <w:lvlJc w:val="left"/>
      <w:pPr>
        <w:ind w:left="780" w:hanging="420"/>
      </w:pPr>
      <w:rPr>
        <w:rFonts w:ascii="Calibri" w:hAnsi="Calibri" w:hint="default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696196605">
    <w:abstractNumId w:val="0"/>
  </w:num>
  <w:num w:numId="2" w16cid:durableId="1585531091">
    <w:abstractNumId w:val="1"/>
  </w:num>
  <w:num w:numId="3" w16cid:durableId="2018652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00795"/>
    <w:rsid w:val="00003BC6"/>
    <w:rsid w:val="00004122"/>
    <w:rsid w:val="00012A2E"/>
    <w:rsid w:val="0001398E"/>
    <w:rsid w:val="000171DB"/>
    <w:rsid w:val="000206C4"/>
    <w:rsid w:val="0002156E"/>
    <w:rsid w:val="00022ADA"/>
    <w:rsid w:val="00023D9A"/>
    <w:rsid w:val="0002490E"/>
    <w:rsid w:val="00033D39"/>
    <w:rsid w:val="00036F95"/>
    <w:rsid w:val="00037538"/>
    <w:rsid w:val="00040B04"/>
    <w:rsid w:val="00043D75"/>
    <w:rsid w:val="000532CC"/>
    <w:rsid w:val="000540E2"/>
    <w:rsid w:val="00055527"/>
    <w:rsid w:val="000565F4"/>
    <w:rsid w:val="00057000"/>
    <w:rsid w:val="0006335F"/>
    <w:rsid w:val="000640E0"/>
    <w:rsid w:val="00064C13"/>
    <w:rsid w:val="00066462"/>
    <w:rsid w:val="00070078"/>
    <w:rsid w:val="0007100A"/>
    <w:rsid w:val="00086238"/>
    <w:rsid w:val="00087203"/>
    <w:rsid w:val="00087EF3"/>
    <w:rsid w:val="00090A2F"/>
    <w:rsid w:val="00090A6E"/>
    <w:rsid w:val="00090E4F"/>
    <w:rsid w:val="000A5CA2"/>
    <w:rsid w:val="000A77D2"/>
    <w:rsid w:val="000B25B1"/>
    <w:rsid w:val="000B5384"/>
    <w:rsid w:val="000C08ED"/>
    <w:rsid w:val="000C653E"/>
    <w:rsid w:val="000E4992"/>
    <w:rsid w:val="000E7D12"/>
    <w:rsid w:val="000F0D2D"/>
    <w:rsid w:val="000F3F21"/>
    <w:rsid w:val="001029AF"/>
    <w:rsid w:val="00120F7C"/>
    <w:rsid w:val="001251DA"/>
    <w:rsid w:val="00125432"/>
    <w:rsid w:val="00135484"/>
    <w:rsid w:val="00135CCE"/>
    <w:rsid w:val="00137F40"/>
    <w:rsid w:val="00152971"/>
    <w:rsid w:val="00160D7C"/>
    <w:rsid w:val="00165678"/>
    <w:rsid w:val="00177D40"/>
    <w:rsid w:val="001871EC"/>
    <w:rsid w:val="00190ED3"/>
    <w:rsid w:val="00193A2D"/>
    <w:rsid w:val="00195FB9"/>
    <w:rsid w:val="001A66C2"/>
    <w:rsid w:val="001A670F"/>
    <w:rsid w:val="001A6C8B"/>
    <w:rsid w:val="001B3911"/>
    <w:rsid w:val="001B6398"/>
    <w:rsid w:val="001B7CFC"/>
    <w:rsid w:val="001C3A99"/>
    <w:rsid w:val="001C5C98"/>
    <w:rsid w:val="001C62B8"/>
    <w:rsid w:val="001D26DE"/>
    <w:rsid w:val="001D4525"/>
    <w:rsid w:val="001D6D84"/>
    <w:rsid w:val="001E07AC"/>
    <w:rsid w:val="001E38B4"/>
    <w:rsid w:val="001E7B0E"/>
    <w:rsid w:val="001F141D"/>
    <w:rsid w:val="00200A06"/>
    <w:rsid w:val="002175F0"/>
    <w:rsid w:val="00221420"/>
    <w:rsid w:val="002232AC"/>
    <w:rsid w:val="00231F41"/>
    <w:rsid w:val="00241832"/>
    <w:rsid w:val="00253DBE"/>
    <w:rsid w:val="00257319"/>
    <w:rsid w:val="002622FA"/>
    <w:rsid w:val="00263518"/>
    <w:rsid w:val="00263D53"/>
    <w:rsid w:val="00272A95"/>
    <w:rsid w:val="00272DDF"/>
    <w:rsid w:val="002759E7"/>
    <w:rsid w:val="00275ED1"/>
    <w:rsid w:val="00277326"/>
    <w:rsid w:val="00277B9F"/>
    <w:rsid w:val="00280732"/>
    <w:rsid w:val="00282874"/>
    <w:rsid w:val="00290DEA"/>
    <w:rsid w:val="0029501D"/>
    <w:rsid w:val="002A3CC9"/>
    <w:rsid w:val="002A49E0"/>
    <w:rsid w:val="002B45ED"/>
    <w:rsid w:val="002C015C"/>
    <w:rsid w:val="002C03E4"/>
    <w:rsid w:val="002C2004"/>
    <w:rsid w:val="002C26C0"/>
    <w:rsid w:val="002C2BC5"/>
    <w:rsid w:val="002C521A"/>
    <w:rsid w:val="002C6626"/>
    <w:rsid w:val="002D5A55"/>
    <w:rsid w:val="002E2115"/>
    <w:rsid w:val="002E44BA"/>
    <w:rsid w:val="002E79CB"/>
    <w:rsid w:val="002E7DB9"/>
    <w:rsid w:val="002F12BD"/>
    <w:rsid w:val="002F5CC4"/>
    <w:rsid w:val="002F7F55"/>
    <w:rsid w:val="003038C6"/>
    <w:rsid w:val="0030745F"/>
    <w:rsid w:val="0031012D"/>
    <w:rsid w:val="00314630"/>
    <w:rsid w:val="0032090A"/>
    <w:rsid w:val="00320FF5"/>
    <w:rsid w:val="00321CDE"/>
    <w:rsid w:val="003226B8"/>
    <w:rsid w:val="003233B4"/>
    <w:rsid w:val="003245FD"/>
    <w:rsid w:val="00333E15"/>
    <w:rsid w:val="00334AA1"/>
    <w:rsid w:val="00336046"/>
    <w:rsid w:val="00337075"/>
    <w:rsid w:val="00342D54"/>
    <w:rsid w:val="00346B6E"/>
    <w:rsid w:val="00350492"/>
    <w:rsid w:val="00350E7D"/>
    <w:rsid w:val="00352E6C"/>
    <w:rsid w:val="003572BE"/>
    <w:rsid w:val="00363678"/>
    <w:rsid w:val="003644B4"/>
    <w:rsid w:val="0036558D"/>
    <w:rsid w:val="0037223A"/>
    <w:rsid w:val="0037422B"/>
    <w:rsid w:val="003843CB"/>
    <w:rsid w:val="0038715D"/>
    <w:rsid w:val="00390D38"/>
    <w:rsid w:val="003928C1"/>
    <w:rsid w:val="00394DBF"/>
    <w:rsid w:val="003957A6"/>
    <w:rsid w:val="00395C05"/>
    <w:rsid w:val="003A3CE0"/>
    <w:rsid w:val="003A43EF"/>
    <w:rsid w:val="003B1A51"/>
    <w:rsid w:val="003C2570"/>
    <w:rsid w:val="003C2F94"/>
    <w:rsid w:val="003C7445"/>
    <w:rsid w:val="003D2883"/>
    <w:rsid w:val="003D2CC8"/>
    <w:rsid w:val="003D6398"/>
    <w:rsid w:val="003D6BC3"/>
    <w:rsid w:val="003F2BED"/>
    <w:rsid w:val="004012A6"/>
    <w:rsid w:val="0040740C"/>
    <w:rsid w:val="00412817"/>
    <w:rsid w:val="00415214"/>
    <w:rsid w:val="00423FBC"/>
    <w:rsid w:val="00424651"/>
    <w:rsid w:val="00431FC5"/>
    <w:rsid w:val="004427F8"/>
    <w:rsid w:val="00443878"/>
    <w:rsid w:val="004464D5"/>
    <w:rsid w:val="00446B74"/>
    <w:rsid w:val="004539A8"/>
    <w:rsid w:val="00456D69"/>
    <w:rsid w:val="00461553"/>
    <w:rsid w:val="00462384"/>
    <w:rsid w:val="00467CB4"/>
    <w:rsid w:val="004712CA"/>
    <w:rsid w:val="0047422E"/>
    <w:rsid w:val="00475BF4"/>
    <w:rsid w:val="004801AE"/>
    <w:rsid w:val="0048349A"/>
    <w:rsid w:val="00495083"/>
    <w:rsid w:val="0049627B"/>
    <w:rsid w:val="0049674B"/>
    <w:rsid w:val="004A0AD3"/>
    <w:rsid w:val="004A100F"/>
    <w:rsid w:val="004A4336"/>
    <w:rsid w:val="004A484F"/>
    <w:rsid w:val="004A7F80"/>
    <w:rsid w:val="004B153C"/>
    <w:rsid w:val="004B1B16"/>
    <w:rsid w:val="004B59D2"/>
    <w:rsid w:val="004C0673"/>
    <w:rsid w:val="004C4E4E"/>
    <w:rsid w:val="004C7B68"/>
    <w:rsid w:val="004D1A02"/>
    <w:rsid w:val="004D32E7"/>
    <w:rsid w:val="004F3816"/>
    <w:rsid w:val="004F3AF2"/>
    <w:rsid w:val="004F5541"/>
    <w:rsid w:val="00502CC8"/>
    <w:rsid w:val="00505574"/>
    <w:rsid w:val="00507B87"/>
    <w:rsid w:val="00513C14"/>
    <w:rsid w:val="00516031"/>
    <w:rsid w:val="00526257"/>
    <w:rsid w:val="005341CB"/>
    <w:rsid w:val="00536037"/>
    <w:rsid w:val="00543D41"/>
    <w:rsid w:val="00552142"/>
    <w:rsid w:val="00554871"/>
    <w:rsid w:val="0055782F"/>
    <w:rsid w:val="00566EDA"/>
    <w:rsid w:val="00572654"/>
    <w:rsid w:val="0058085D"/>
    <w:rsid w:val="00581DE8"/>
    <w:rsid w:val="00583CED"/>
    <w:rsid w:val="00584CE7"/>
    <w:rsid w:val="0059671E"/>
    <w:rsid w:val="005A0F1C"/>
    <w:rsid w:val="005B3023"/>
    <w:rsid w:val="005B5629"/>
    <w:rsid w:val="005B6DFD"/>
    <w:rsid w:val="005C0300"/>
    <w:rsid w:val="005C0640"/>
    <w:rsid w:val="005D06B2"/>
    <w:rsid w:val="005E12A6"/>
    <w:rsid w:val="005E2E35"/>
    <w:rsid w:val="005E39D6"/>
    <w:rsid w:val="005F2F76"/>
    <w:rsid w:val="005F4B6A"/>
    <w:rsid w:val="006010F3"/>
    <w:rsid w:val="00603E5B"/>
    <w:rsid w:val="00606DB7"/>
    <w:rsid w:val="00610554"/>
    <w:rsid w:val="0061255C"/>
    <w:rsid w:val="00615A0A"/>
    <w:rsid w:val="006169A6"/>
    <w:rsid w:val="0062070C"/>
    <w:rsid w:val="00626A90"/>
    <w:rsid w:val="0062711A"/>
    <w:rsid w:val="00630E90"/>
    <w:rsid w:val="006333D4"/>
    <w:rsid w:val="00633880"/>
    <w:rsid w:val="006369B2"/>
    <w:rsid w:val="00637AD5"/>
    <w:rsid w:val="0064058D"/>
    <w:rsid w:val="00643F29"/>
    <w:rsid w:val="00644892"/>
    <w:rsid w:val="00644FB1"/>
    <w:rsid w:val="00645805"/>
    <w:rsid w:val="00647525"/>
    <w:rsid w:val="00652CBD"/>
    <w:rsid w:val="00654FEC"/>
    <w:rsid w:val="00656510"/>
    <w:rsid w:val="006570B0"/>
    <w:rsid w:val="006671E8"/>
    <w:rsid w:val="006861E2"/>
    <w:rsid w:val="006875C6"/>
    <w:rsid w:val="00687E6B"/>
    <w:rsid w:val="00691C94"/>
    <w:rsid w:val="0069210B"/>
    <w:rsid w:val="006930E9"/>
    <w:rsid w:val="00694478"/>
    <w:rsid w:val="00696039"/>
    <w:rsid w:val="006A3324"/>
    <w:rsid w:val="006A4055"/>
    <w:rsid w:val="006A5353"/>
    <w:rsid w:val="006A77DF"/>
    <w:rsid w:val="006B3930"/>
    <w:rsid w:val="006B73D8"/>
    <w:rsid w:val="006C2964"/>
    <w:rsid w:val="006C44B5"/>
    <w:rsid w:val="006C5641"/>
    <w:rsid w:val="006D0814"/>
    <w:rsid w:val="006D0CB9"/>
    <w:rsid w:val="006D1089"/>
    <w:rsid w:val="006D1B86"/>
    <w:rsid w:val="006D6F55"/>
    <w:rsid w:val="006D7355"/>
    <w:rsid w:val="006E4B70"/>
    <w:rsid w:val="006F132D"/>
    <w:rsid w:val="006F1FDC"/>
    <w:rsid w:val="006F2ACE"/>
    <w:rsid w:val="00703F9C"/>
    <w:rsid w:val="00707F40"/>
    <w:rsid w:val="00715CA6"/>
    <w:rsid w:val="00720039"/>
    <w:rsid w:val="007213E2"/>
    <w:rsid w:val="00724E4C"/>
    <w:rsid w:val="007262B9"/>
    <w:rsid w:val="00727121"/>
    <w:rsid w:val="00731135"/>
    <w:rsid w:val="007324AF"/>
    <w:rsid w:val="00732EC9"/>
    <w:rsid w:val="007409B4"/>
    <w:rsid w:val="00741974"/>
    <w:rsid w:val="00752D23"/>
    <w:rsid w:val="0075380C"/>
    <w:rsid w:val="0075525E"/>
    <w:rsid w:val="00756656"/>
    <w:rsid w:val="00756D3D"/>
    <w:rsid w:val="00767C75"/>
    <w:rsid w:val="007745D0"/>
    <w:rsid w:val="007806C2"/>
    <w:rsid w:val="007806E6"/>
    <w:rsid w:val="007865DC"/>
    <w:rsid w:val="0079009A"/>
    <w:rsid w:val="007903F8"/>
    <w:rsid w:val="00792678"/>
    <w:rsid w:val="00793BE5"/>
    <w:rsid w:val="00794F4F"/>
    <w:rsid w:val="007974BE"/>
    <w:rsid w:val="007A0916"/>
    <w:rsid w:val="007A0DFD"/>
    <w:rsid w:val="007A0E37"/>
    <w:rsid w:val="007A4EDC"/>
    <w:rsid w:val="007A6474"/>
    <w:rsid w:val="007B055E"/>
    <w:rsid w:val="007B19A5"/>
    <w:rsid w:val="007C4CC2"/>
    <w:rsid w:val="007C7122"/>
    <w:rsid w:val="007D3F11"/>
    <w:rsid w:val="007D428B"/>
    <w:rsid w:val="007E1D72"/>
    <w:rsid w:val="007E2F2D"/>
    <w:rsid w:val="007E53E4"/>
    <w:rsid w:val="007E5F3F"/>
    <w:rsid w:val="007E656A"/>
    <w:rsid w:val="007F4B7E"/>
    <w:rsid w:val="007F60F3"/>
    <w:rsid w:val="007F664D"/>
    <w:rsid w:val="007F6880"/>
    <w:rsid w:val="008128CE"/>
    <w:rsid w:val="00820E6A"/>
    <w:rsid w:val="00834BC0"/>
    <w:rsid w:val="008352F0"/>
    <w:rsid w:val="0083547C"/>
    <w:rsid w:val="00840F46"/>
    <w:rsid w:val="00841217"/>
    <w:rsid w:val="00842137"/>
    <w:rsid w:val="00847111"/>
    <w:rsid w:val="00847FFA"/>
    <w:rsid w:val="008510C5"/>
    <w:rsid w:val="00860895"/>
    <w:rsid w:val="00863E74"/>
    <w:rsid w:val="00864D82"/>
    <w:rsid w:val="00867D81"/>
    <w:rsid w:val="00887856"/>
    <w:rsid w:val="0089088E"/>
    <w:rsid w:val="00892297"/>
    <w:rsid w:val="0089329A"/>
    <w:rsid w:val="00896556"/>
    <w:rsid w:val="008B0074"/>
    <w:rsid w:val="008B5A86"/>
    <w:rsid w:val="008B6F4A"/>
    <w:rsid w:val="008C60D8"/>
    <w:rsid w:val="008D1125"/>
    <w:rsid w:val="008D652D"/>
    <w:rsid w:val="008E0172"/>
    <w:rsid w:val="008E118D"/>
    <w:rsid w:val="008E12FF"/>
    <w:rsid w:val="008E16AB"/>
    <w:rsid w:val="008E55B3"/>
    <w:rsid w:val="008F2732"/>
    <w:rsid w:val="00905DDF"/>
    <w:rsid w:val="00907EAA"/>
    <w:rsid w:val="0091069F"/>
    <w:rsid w:val="00911181"/>
    <w:rsid w:val="00914912"/>
    <w:rsid w:val="00915904"/>
    <w:rsid w:val="00921A05"/>
    <w:rsid w:val="009259D2"/>
    <w:rsid w:val="009406B5"/>
    <w:rsid w:val="00942D57"/>
    <w:rsid w:val="00946166"/>
    <w:rsid w:val="00947BA2"/>
    <w:rsid w:val="00947DFD"/>
    <w:rsid w:val="009517CC"/>
    <w:rsid w:val="00961AE8"/>
    <w:rsid w:val="0096285C"/>
    <w:rsid w:val="00963387"/>
    <w:rsid w:val="0097159E"/>
    <w:rsid w:val="009719BA"/>
    <w:rsid w:val="00983164"/>
    <w:rsid w:val="009910DF"/>
    <w:rsid w:val="009954A4"/>
    <w:rsid w:val="009972EF"/>
    <w:rsid w:val="009B75B3"/>
    <w:rsid w:val="009B7F2C"/>
    <w:rsid w:val="009C3160"/>
    <w:rsid w:val="009D0032"/>
    <w:rsid w:val="009D6514"/>
    <w:rsid w:val="009D7577"/>
    <w:rsid w:val="009E766E"/>
    <w:rsid w:val="009F1960"/>
    <w:rsid w:val="009F715E"/>
    <w:rsid w:val="00A00DCB"/>
    <w:rsid w:val="00A01A6C"/>
    <w:rsid w:val="00A10256"/>
    <w:rsid w:val="00A10B9A"/>
    <w:rsid w:val="00A10DBB"/>
    <w:rsid w:val="00A223C6"/>
    <w:rsid w:val="00A31D47"/>
    <w:rsid w:val="00A32743"/>
    <w:rsid w:val="00A331CD"/>
    <w:rsid w:val="00A353A2"/>
    <w:rsid w:val="00A367CC"/>
    <w:rsid w:val="00A37CE8"/>
    <w:rsid w:val="00A4013E"/>
    <w:rsid w:val="00A4045F"/>
    <w:rsid w:val="00A41530"/>
    <w:rsid w:val="00A427CD"/>
    <w:rsid w:val="00A42C58"/>
    <w:rsid w:val="00A455E3"/>
    <w:rsid w:val="00A4600B"/>
    <w:rsid w:val="00A50328"/>
    <w:rsid w:val="00A50506"/>
    <w:rsid w:val="00A51EF0"/>
    <w:rsid w:val="00A520E3"/>
    <w:rsid w:val="00A56AE1"/>
    <w:rsid w:val="00A56AEE"/>
    <w:rsid w:val="00A67A81"/>
    <w:rsid w:val="00A722E6"/>
    <w:rsid w:val="00A730A6"/>
    <w:rsid w:val="00A76DD8"/>
    <w:rsid w:val="00A77C52"/>
    <w:rsid w:val="00A8600C"/>
    <w:rsid w:val="00A92A10"/>
    <w:rsid w:val="00A9498E"/>
    <w:rsid w:val="00A94FAD"/>
    <w:rsid w:val="00A96B70"/>
    <w:rsid w:val="00A971A0"/>
    <w:rsid w:val="00AA1F22"/>
    <w:rsid w:val="00AA3069"/>
    <w:rsid w:val="00AA36E2"/>
    <w:rsid w:val="00AB0B51"/>
    <w:rsid w:val="00AB451C"/>
    <w:rsid w:val="00AB4A2B"/>
    <w:rsid w:val="00AB7B0F"/>
    <w:rsid w:val="00AC24F9"/>
    <w:rsid w:val="00AC6491"/>
    <w:rsid w:val="00AD0530"/>
    <w:rsid w:val="00AD2475"/>
    <w:rsid w:val="00AD4442"/>
    <w:rsid w:val="00AD7057"/>
    <w:rsid w:val="00AD7493"/>
    <w:rsid w:val="00AE1EBB"/>
    <w:rsid w:val="00AE770E"/>
    <w:rsid w:val="00AF62A9"/>
    <w:rsid w:val="00AF7F09"/>
    <w:rsid w:val="00B01130"/>
    <w:rsid w:val="00B0436C"/>
    <w:rsid w:val="00B05821"/>
    <w:rsid w:val="00B10E5C"/>
    <w:rsid w:val="00B26C28"/>
    <w:rsid w:val="00B2730A"/>
    <w:rsid w:val="00B3704B"/>
    <w:rsid w:val="00B4174C"/>
    <w:rsid w:val="00B42ACE"/>
    <w:rsid w:val="00B439E0"/>
    <w:rsid w:val="00B453F5"/>
    <w:rsid w:val="00B552C3"/>
    <w:rsid w:val="00B56809"/>
    <w:rsid w:val="00B60058"/>
    <w:rsid w:val="00B61624"/>
    <w:rsid w:val="00B718A5"/>
    <w:rsid w:val="00B777E4"/>
    <w:rsid w:val="00B815E1"/>
    <w:rsid w:val="00B86126"/>
    <w:rsid w:val="00B919C8"/>
    <w:rsid w:val="00B91CC5"/>
    <w:rsid w:val="00BA0544"/>
    <w:rsid w:val="00BA3038"/>
    <w:rsid w:val="00BB37E1"/>
    <w:rsid w:val="00BB4D3C"/>
    <w:rsid w:val="00BC1FAE"/>
    <w:rsid w:val="00BC3A3F"/>
    <w:rsid w:val="00BC5E7D"/>
    <w:rsid w:val="00BC62E2"/>
    <w:rsid w:val="00BE1631"/>
    <w:rsid w:val="00BE1696"/>
    <w:rsid w:val="00BE56A4"/>
    <w:rsid w:val="00BE56AE"/>
    <w:rsid w:val="00BE7496"/>
    <w:rsid w:val="00BF065C"/>
    <w:rsid w:val="00BF336D"/>
    <w:rsid w:val="00BF3DD8"/>
    <w:rsid w:val="00BF3DFE"/>
    <w:rsid w:val="00BF4B67"/>
    <w:rsid w:val="00C03611"/>
    <w:rsid w:val="00C0664A"/>
    <w:rsid w:val="00C07F3A"/>
    <w:rsid w:val="00C179F7"/>
    <w:rsid w:val="00C23971"/>
    <w:rsid w:val="00C32095"/>
    <w:rsid w:val="00C37DA2"/>
    <w:rsid w:val="00C42125"/>
    <w:rsid w:val="00C51C3F"/>
    <w:rsid w:val="00C61136"/>
    <w:rsid w:val="00C62814"/>
    <w:rsid w:val="00C74937"/>
    <w:rsid w:val="00C76DFE"/>
    <w:rsid w:val="00C83612"/>
    <w:rsid w:val="00C84E97"/>
    <w:rsid w:val="00C856D7"/>
    <w:rsid w:val="00C86478"/>
    <w:rsid w:val="00C950F6"/>
    <w:rsid w:val="00CA25C4"/>
    <w:rsid w:val="00CA51B1"/>
    <w:rsid w:val="00CB462E"/>
    <w:rsid w:val="00CD0D61"/>
    <w:rsid w:val="00CE22D6"/>
    <w:rsid w:val="00CF5DD2"/>
    <w:rsid w:val="00D022CF"/>
    <w:rsid w:val="00D11C72"/>
    <w:rsid w:val="00D30FAA"/>
    <w:rsid w:val="00D34206"/>
    <w:rsid w:val="00D409F5"/>
    <w:rsid w:val="00D41294"/>
    <w:rsid w:val="00D431B7"/>
    <w:rsid w:val="00D5023C"/>
    <w:rsid w:val="00D57D7F"/>
    <w:rsid w:val="00D60350"/>
    <w:rsid w:val="00D73137"/>
    <w:rsid w:val="00D74386"/>
    <w:rsid w:val="00D75379"/>
    <w:rsid w:val="00D81721"/>
    <w:rsid w:val="00D902F3"/>
    <w:rsid w:val="00D91B58"/>
    <w:rsid w:val="00D969F2"/>
    <w:rsid w:val="00D96A1E"/>
    <w:rsid w:val="00D97B8E"/>
    <w:rsid w:val="00DA44C8"/>
    <w:rsid w:val="00DB1307"/>
    <w:rsid w:val="00DB2B81"/>
    <w:rsid w:val="00DB4BD6"/>
    <w:rsid w:val="00DC23A1"/>
    <w:rsid w:val="00DC2DBC"/>
    <w:rsid w:val="00DC4151"/>
    <w:rsid w:val="00DD50DE"/>
    <w:rsid w:val="00DE2501"/>
    <w:rsid w:val="00DE3062"/>
    <w:rsid w:val="00DF3AB8"/>
    <w:rsid w:val="00DF3FA1"/>
    <w:rsid w:val="00DF6048"/>
    <w:rsid w:val="00DF6650"/>
    <w:rsid w:val="00E01031"/>
    <w:rsid w:val="00E14FED"/>
    <w:rsid w:val="00E17D93"/>
    <w:rsid w:val="00E204DD"/>
    <w:rsid w:val="00E2145E"/>
    <w:rsid w:val="00E22271"/>
    <w:rsid w:val="00E353EC"/>
    <w:rsid w:val="00E428F2"/>
    <w:rsid w:val="00E45C36"/>
    <w:rsid w:val="00E53C24"/>
    <w:rsid w:val="00E555B0"/>
    <w:rsid w:val="00E55939"/>
    <w:rsid w:val="00E6041D"/>
    <w:rsid w:val="00E625BC"/>
    <w:rsid w:val="00E74134"/>
    <w:rsid w:val="00E7444F"/>
    <w:rsid w:val="00E7489D"/>
    <w:rsid w:val="00E75BDD"/>
    <w:rsid w:val="00E90843"/>
    <w:rsid w:val="00E92733"/>
    <w:rsid w:val="00E975D6"/>
    <w:rsid w:val="00EA001A"/>
    <w:rsid w:val="00EA4718"/>
    <w:rsid w:val="00EB1400"/>
    <w:rsid w:val="00EB25DE"/>
    <w:rsid w:val="00EB444D"/>
    <w:rsid w:val="00EC4D9E"/>
    <w:rsid w:val="00EC6134"/>
    <w:rsid w:val="00EC6F8C"/>
    <w:rsid w:val="00EE07E6"/>
    <w:rsid w:val="00EE2CA3"/>
    <w:rsid w:val="00EE685A"/>
    <w:rsid w:val="00EF4CE8"/>
    <w:rsid w:val="00F02294"/>
    <w:rsid w:val="00F1605D"/>
    <w:rsid w:val="00F17687"/>
    <w:rsid w:val="00F22987"/>
    <w:rsid w:val="00F23466"/>
    <w:rsid w:val="00F25254"/>
    <w:rsid w:val="00F25531"/>
    <w:rsid w:val="00F35F57"/>
    <w:rsid w:val="00F46D17"/>
    <w:rsid w:val="00F50467"/>
    <w:rsid w:val="00F562A0"/>
    <w:rsid w:val="00F56D20"/>
    <w:rsid w:val="00F76B21"/>
    <w:rsid w:val="00F76F3A"/>
    <w:rsid w:val="00F855C1"/>
    <w:rsid w:val="00F855F2"/>
    <w:rsid w:val="00F867D0"/>
    <w:rsid w:val="00F93B79"/>
    <w:rsid w:val="00F95771"/>
    <w:rsid w:val="00F97E4C"/>
    <w:rsid w:val="00FA2177"/>
    <w:rsid w:val="00FB0A28"/>
    <w:rsid w:val="00FB2968"/>
    <w:rsid w:val="00FB5D46"/>
    <w:rsid w:val="00FB681B"/>
    <w:rsid w:val="00FB6C70"/>
    <w:rsid w:val="00FB7DD6"/>
    <w:rsid w:val="00FC52AE"/>
    <w:rsid w:val="00FC60ED"/>
    <w:rsid w:val="00FC6B9E"/>
    <w:rsid w:val="00FC7E6B"/>
    <w:rsid w:val="00FD01DA"/>
    <w:rsid w:val="00FD439E"/>
    <w:rsid w:val="00FD70DE"/>
    <w:rsid w:val="00FD76CB"/>
    <w:rsid w:val="00FE191C"/>
    <w:rsid w:val="00FF0D71"/>
    <w:rsid w:val="00FF343B"/>
    <w:rsid w:val="00FF4546"/>
    <w:rsid w:val="00FF5088"/>
    <w:rsid w:val="00FF538F"/>
    <w:rsid w:val="30B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405FE5"/>
  <w15:docId w15:val="{395A1F1C-3F01-4621-949C-DC562173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uiPriority="35" w:unhideWhenUsed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numPr>
        <w:numId w:val="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pPr>
      <w:numPr>
        <w:ilvl w:val="5"/>
      </w:numPr>
      <w:tabs>
        <w:tab w:val="clear" w:pos="1021"/>
      </w:tabs>
      <w:outlineLvl w:val="5"/>
    </w:pPr>
  </w:style>
  <w:style w:type="paragraph" w:styleId="Heading7">
    <w:name w:val="heading 7"/>
    <w:basedOn w:val="Heading6"/>
    <w:next w:val="Normal"/>
    <w:link w:val="Heading7Char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pPr>
      <w:spacing w:before="0" w:after="200"/>
    </w:pPr>
    <w:rPr>
      <w:i/>
      <w:iCs/>
      <w:color w:val="44546A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0" w:after="160"/>
    </w:pPr>
    <w:rPr>
      <w:rFonts w:ascii="Calibri" w:hAnsi="Calibri"/>
      <w:sz w:val="20"/>
      <w:szCs w:val="20"/>
    </w:rPr>
  </w:style>
  <w:style w:type="paragraph" w:styleId="TOC3">
    <w:name w:val="toc 3"/>
    <w:basedOn w:val="TOC2"/>
    <w:pPr>
      <w:ind w:left="2269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="Calibri" w:hAnsi="Calibri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customStyle="1" w:styleId="Docnumber">
    <w:name w:val="Docnumber"/>
    <w:basedOn w:val="Normal"/>
    <w:link w:val="DocnumberChar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Figure">
    <w:name w:val="Figur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Quote1">
    <w:name w:val="Quote1"/>
    <w:basedOn w:val="Normal"/>
    <w:next w:val="Normal"/>
    <w:link w:val="a"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paragraph" w:customStyle="1" w:styleId="TSBHeaderQuestion">
    <w:name w:val="TSBHeaderQuestion"/>
    <w:basedOn w:val="Normal"/>
  </w:style>
  <w:style w:type="paragraph" w:customStyle="1" w:styleId="TSBHeaderRight14">
    <w:name w:val="TSBHeaderRight14"/>
    <w:basedOn w:val="Normal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</w:style>
  <w:style w:type="paragraph" w:customStyle="1" w:styleId="TSBHeaderTitle">
    <w:name w:val="TSBHeaderTitle"/>
    <w:basedOn w:val="Normal"/>
  </w:style>
  <w:style w:type="paragraph" w:customStyle="1" w:styleId="VenueDate">
    <w:name w:val="VenueDate"/>
    <w:basedOn w:val="Normal"/>
    <w:pPr>
      <w:jc w:val="right"/>
    </w:pPr>
  </w:style>
  <w:style w:type="character" w:customStyle="1" w:styleId="PlaceholderText1">
    <w:name w:val="Placeholder Text1"/>
    <w:basedOn w:val="DefaultParagraphFont"/>
    <w:uiPriority w:val="99"/>
    <w:semiHidden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/>
      <w:spacing w:val="15"/>
      <w:lang w:eastAsia="ja-JP"/>
    </w:rPr>
  </w:style>
  <w:style w:type="character" w:customStyle="1" w:styleId="a">
    <w:name w:val="引用 字符"/>
    <w:basedOn w:val="DefaultParagraphFont"/>
    <w:link w:val="Quote1"/>
    <w:uiPriority w:val="29"/>
    <w:rPr>
      <w:rFonts w:ascii="Times New Roman" w:hAnsi="Times New Roman" w:cs="Times New Roman"/>
      <w:i/>
      <w:iCs/>
      <w:color w:val="3F3F3F"/>
      <w:sz w:val="24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  <w:lang w:eastAsia="ja-JP"/>
    </w:rPr>
  </w:style>
  <w:style w:type="character" w:customStyle="1" w:styleId="apple-converted-space">
    <w:name w:val="apple-converted-space"/>
  </w:style>
  <w:style w:type="character" w:customStyle="1" w:styleId="ordinary-span-edit2">
    <w:name w:val="ordinary-span-edit2"/>
    <w:basedOn w:val="DefaultParagraphFont"/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7E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4386"/>
    <w:pPr>
      <w:spacing w:after="0" w:line="240" w:lineRule="auto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@internetpolicyadviso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ijunsen@caict.ac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 to establish JCA-QKDN</vt:lpstr>
    </vt:vector>
  </TitlesOfParts>
  <Company>ITU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new ITU-T Joint Coordination Activity on Quantum Key Distribution Network (JCA-QKDN)</dc:title>
  <dc:creator>Al-Mnini, Lara</dc:creator>
  <cp:keywords>JCA, QKDN</cp:keywords>
  <cp:lastModifiedBy>Al-Mnini, Lara</cp:lastModifiedBy>
  <cp:revision>3</cp:revision>
  <cp:lastPrinted>2017-02-22T09:55:00Z</cp:lastPrinted>
  <dcterms:created xsi:type="dcterms:W3CDTF">2022-12-15T18:00:00Z</dcterms:created>
  <dcterms:modified xsi:type="dcterms:W3CDTF">2022-12-15T18:06:00Z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Order">
    <vt:r8>500</vt:r8>
  </property>
  <property fmtid="{D5CDD505-2E9C-101B-9397-08002B2CF9AE}" pid="4" name="FileDirRef">
    <vt:lpwstr>mtgctd/My MTG Template doc</vt:lpwstr>
  </property>
  <property fmtid="{D5CDD505-2E9C-101B-9397-08002B2CF9AE}" pid="5" name="FileLeafRef">
    <vt:lpwstr>mtgdoc_template.docx</vt:lpwstr>
  </property>
  <property fmtid="{D5CDD505-2E9C-101B-9397-08002B2CF9AE}" pid="6" name="FSObjType">
    <vt:lpwstr>0</vt:lpwstr>
  </property>
  <property fmtid="{D5CDD505-2E9C-101B-9397-08002B2CF9AE}" pid="7" name="KSOProductBuildVer">
    <vt:lpwstr>2052-9.1.0.4798</vt:lpwstr>
  </property>
  <property fmtid="{D5CDD505-2E9C-101B-9397-08002B2CF9AE}" pid="8" name="_NewReviewCycle">
    <vt:lpwstr/>
  </property>
</Properties>
</file>