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CB0838" w:rsidRPr="0052629B" w14:paraId="3133193C" w14:textId="77777777" w:rsidTr="002B05C6">
        <w:trPr>
          <w:cantSplit/>
        </w:trPr>
        <w:tc>
          <w:tcPr>
            <w:tcW w:w="1132" w:type="dxa"/>
            <w:vMerge w:val="restart"/>
            <w:vAlign w:val="center"/>
          </w:tcPr>
          <w:p w14:paraId="2E3EA122" w14:textId="77777777" w:rsidR="00CB0838" w:rsidRPr="0052629B" w:rsidRDefault="00CB0838" w:rsidP="002B05C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_Hlk98768222"/>
            <w:bookmarkStart w:id="1" w:name="dnum" w:colFirst="2" w:colLast="2"/>
            <w:r w:rsidRPr="0052629B">
              <w:rPr>
                <w:noProof/>
              </w:rPr>
              <w:drawing>
                <wp:inline distT="0" distB="0" distL="0" distR="0" wp14:anchorId="48449BF8" wp14:editId="0B2051AA">
                  <wp:extent cx="647700" cy="705600"/>
                  <wp:effectExtent l="0" t="0" r="0" b="0"/>
                  <wp:docPr id="5" name="Picture 5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33B8624E" w14:textId="77777777" w:rsidR="00CB0838" w:rsidRPr="0052629B" w:rsidRDefault="00CB0838" w:rsidP="002B05C6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43A012B7" w14:textId="77777777" w:rsidR="00CB0838" w:rsidRPr="0052629B" w:rsidRDefault="00CB0838" w:rsidP="002B05C6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EFAE226" w14:textId="77777777" w:rsidR="00CB0838" w:rsidRPr="0052629B" w:rsidRDefault="00CB0838" w:rsidP="002B05C6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9C2CCAF" w14:textId="7D61CA71" w:rsidR="00CB0838" w:rsidRPr="0052629B" w:rsidRDefault="00CB0838" w:rsidP="002B05C6">
            <w:pPr>
              <w:pStyle w:val="Docnumber"/>
            </w:pPr>
            <w:r>
              <w:t>TSAG-TD25</w:t>
            </w:r>
            <w:r>
              <w:t>7</w:t>
            </w:r>
          </w:p>
        </w:tc>
      </w:tr>
      <w:tr w:rsidR="00CB0838" w:rsidRPr="0052629B" w14:paraId="4B78A504" w14:textId="77777777" w:rsidTr="002B05C6">
        <w:trPr>
          <w:cantSplit/>
        </w:trPr>
        <w:tc>
          <w:tcPr>
            <w:tcW w:w="1132" w:type="dxa"/>
            <w:vMerge/>
          </w:tcPr>
          <w:p w14:paraId="105BED77" w14:textId="77777777" w:rsidR="00CB0838" w:rsidRPr="0052629B" w:rsidRDefault="00CB0838" w:rsidP="002B05C6">
            <w:pPr>
              <w:rPr>
                <w:smallCaps/>
                <w:sz w:val="20"/>
              </w:rPr>
            </w:pPr>
            <w:bookmarkStart w:id="3" w:name="dsg" w:colFirst="2" w:colLast="2"/>
            <w:bookmarkEnd w:id="1"/>
          </w:p>
        </w:tc>
        <w:tc>
          <w:tcPr>
            <w:tcW w:w="4481" w:type="dxa"/>
            <w:gridSpan w:val="2"/>
            <w:vMerge/>
          </w:tcPr>
          <w:p w14:paraId="31B19977" w14:textId="77777777" w:rsidR="00CB0838" w:rsidRPr="0052629B" w:rsidRDefault="00CB0838" w:rsidP="002B05C6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05593CA8" w14:textId="77777777" w:rsidR="00CB0838" w:rsidRPr="0052629B" w:rsidRDefault="00CB0838" w:rsidP="002B05C6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CB0838" w:rsidRPr="0052629B" w14:paraId="35B031CD" w14:textId="77777777" w:rsidTr="002B05C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E5F55D4" w14:textId="77777777" w:rsidR="00CB0838" w:rsidRPr="0052629B" w:rsidRDefault="00CB0838" w:rsidP="002B05C6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5A6C9BE0" w14:textId="77777777" w:rsidR="00CB0838" w:rsidRPr="0052629B" w:rsidRDefault="00CB0838" w:rsidP="002B05C6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3A4D5F1" w14:textId="77777777" w:rsidR="00CB0838" w:rsidRPr="0052629B" w:rsidRDefault="00CB0838" w:rsidP="002B05C6">
            <w:pPr>
              <w:pStyle w:val="TSBHeaderRight14"/>
            </w:pPr>
            <w:r w:rsidRPr="0052629B">
              <w:t>Original: English</w:t>
            </w:r>
          </w:p>
        </w:tc>
      </w:tr>
      <w:tr w:rsidR="00CB0838" w:rsidRPr="0052629B" w14:paraId="31CB714F" w14:textId="77777777" w:rsidTr="002B05C6">
        <w:trPr>
          <w:cantSplit/>
        </w:trPr>
        <w:tc>
          <w:tcPr>
            <w:tcW w:w="1587" w:type="dxa"/>
            <w:gridSpan w:val="2"/>
          </w:tcPr>
          <w:p w14:paraId="4373689A" w14:textId="77777777" w:rsidR="00CB0838" w:rsidRPr="0052629B" w:rsidRDefault="00CB0838" w:rsidP="002B05C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3D80C1B3" w14:textId="56D900B5" w:rsidR="00CB0838" w:rsidRPr="0052629B" w:rsidRDefault="00CB0838" w:rsidP="002B05C6">
            <w:pPr>
              <w:pStyle w:val="TSBHeaderQuestion"/>
            </w:pPr>
            <w:r>
              <w:t>N/A</w:t>
            </w:r>
          </w:p>
        </w:tc>
        <w:tc>
          <w:tcPr>
            <w:tcW w:w="4026" w:type="dxa"/>
          </w:tcPr>
          <w:p w14:paraId="0F93BD22" w14:textId="77777777" w:rsidR="00CB0838" w:rsidRPr="0052629B" w:rsidRDefault="00CB0838" w:rsidP="002B05C6">
            <w:pPr>
              <w:pStyle w:val="VenueDate"/>
            </w:pPr>
            <w:r w:rsidRPr="0052629B">
              <w:t xml:space="preserve">Geneva, </w:t>
            </w:r>
            <w:r>
              <w:t>30 May – 2 June 2023</w:t>
            </w:r>
          </w:p>
        </w:tc>
      </w:tr>
      <w:tr w:rsidR="00CB0838" w:rsidRPr="0052629B" w14:paraId="33125A78" w14:textId="77777777" w:rsidTr="002B05C6">
        <w:trPr>
          <w:cantSplit/>
        </w:trPr>
        <w:tc>
          <w:tcPr>
            <w:tcW w:w="9639" w:type="dxa"/>
            <w:gridSpan w:val="4"/>
          </w:tcPr>
          <w:p w14:paraId="64C6A0C4" w14:textId="77777777" w:rsidR="00CB0838" w:rsidRPr="0052629B" w:rsidRDefault="00CB0838" w:rsidP="002B05C6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CB0838" w:rsidRPr="0052629B" w14:paraId="51D484AB" w14:textId="77777777" w:rsidTr="002B05C6">
        <w:trPr>
          <w:cantSplit/>
        </w:trPr>
        <w:tc>
          <w:tcPr>
            <w:tcW w:w="1587" w:type="dxa"/>
            <w:gridSpan w:val="2"/>
          </w:tcPr>
          <w:p w14:paraId="62256A35" w14:textId="77777777" w:rsidR="00CB0838" w:rsidRPr="0052629B" w:rsidRDefault="00CB0838" w:rsidP="00CB083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5068716F" w14:textId="10E71F96" w:rsidR="00CB0838" w:rsidRPr="0052629B" w:rsidRDefault="00CB0838" w:rsidP="00CB0838">
            <w:pPr>
              <w:pStyle w:val="TSBHeaderSource"/>
            </w:pPr>
            <w:r w:rsidRPr="005C27C1">
              <w:t>Rapporteur, RG-IEM</w:t>
            </w:r>
          </w:p>
        </w:tc>
      </w:tr>
      <w:tr w:rsidR="00CB0838" w:rsidRPr="0052629B" w14:paraId="3A37ED41" w14:textId="77777777" w:rsidTr="002B05C6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60F269B0" w14:textId="77777777" w:rsidR="00CB0838" w:rsidRPr="0052629B" w:rsidRDefault="00CB0838" w:rsidP="00CB0838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4ECD6F69" w14:textId="3866473D" w:rsidR="00CB0838" w:rsidRPr="0052629B" w:rsidRDefault="00CB0838" w:rsidP="00CB0838">
            <w:r>
              <w:t xml:space="preserve">Draft </w:t>
            </w:r>
            <w:proofErr w:type="spellStart"/>
            <w:r>
              <w:t>ToR</w:t>
            </w:r>
            <w:proofErr w:type="spellEnd"/>
            <w:r>
              <w:t xml:space="preserve"> for the ITU-T Industry Engagement Workshop Steering Committee</w:t>
            </w:r>
          </w:p>
        </w:tc>
      </w:tr>
      <w:tr w:rsidR="00CB0838" w:rsidRPr="003509B9" w14:paraId="5E06DC77" w14:textId="77777777" w:rsidTr="002B05C6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95B5DA" w14:textId="77777777" w:rsidR="00CB0838" w:rsidRPr="00136DDD" w:rsidRDefault="00CB0838" w:rsidP="00CB0838">
            <w:pPr>
              <w:rPr>
                <w:b/>
                <w:bCs/>
              </w:rPr>
            </w:pPr>
            <w:bookmarkStart w:id="9" w:name="dcontact1"/>
            <w:bookmarkStart w:id="10" w:name="dcontent1" w:colFirst="1" w:colLast="1"/>
            <w:bookmarkEnd w:id="8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206E1A81" w14:textId="2A2F6C8D" w:rsidR="00CB0838" w:rsidRPr="00CB0838" w:rsidRDefault="00CB0838" w:rsidP="00CB0838">
            <w:pPr>
              <w:rPr>
                <w:lang w:val="fr-FR"/>
              </w:rPr>
            </w:pPr>
            <w:r w:rsidRPr="005C27C1">
              <w:rPr>
                <w:lang w:val="fr-FR"/>
              </w:rPr>
              <w:t>Glenn PARSONS</w:t>
            </w:r>
            <w:r>
              <w:rPr>
                <w:lang w:val="fr-FR"/>
              </w:rPr>
              <w:br/>
            </w:r>
            <w:r w:rsidRPr="005C27C1">
              <w:rPr>
                <w:lang w:val="fr-FR"/>
              </w:rPr>
              <w:t>Rapporteur, TSAG RG-IEM</w:t>
            </w:r>
            <w:r>
              <w:rPr>
                <w:lang w:val="fr-FR"/>
              </w:rPr>
              <w:br/>
            </w:r>
            <w:r w:rsidRPr="005C27C1">
              <w:rPr>
                <w:lang w:val="fr-FR"/>
              </w:rPr>
              <w:t>Ericsson, Canada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3AFB8415" w14:textId="3442D948" w:rsidR="00CB0838" w:rsidRPr="0052629B" w:rsidRDefault="00CB0838" w:rsidP="00CB0838">
            <w:pPr>
              <w:tabs>
                <w:tab w:val="left" w:pos="794"/>
              </w:tabs>
              <w:rPr>
                <w:lang w:val="de-DE"/>
              </w:rPr>
            </w:pPr>
            <w:r w:rsidRPr="00CB0838">
              <w:rPr>
                <w:lang w:val="de-DE"/>
              </w:rPr>
              <w:t xml:space="preserve">Tel: </w:t>
            </w:r>
            <w:r w:rsidRPr="00CB0838">
              <w:rPr>
                <w:lang w:val="de-DE"/>
              </w:rPr>
              <w:tab/>
              <w:t>+1-514 379 9037</w:t>
            </w:r>
            <w:r w:rsidRPr="00CB0838">
              <w:rPr>
                <w:lang w:val="de-DE"/>
              </w:rPr>
              <w:br/>
              <w:t xml:space="preserve">E-mail: </w:t>
            </w:r>
            <w:hyperlink r:id="rId12" w:history="1">
              <w:r w:rsidRPr="00CB0838">
                <w:rPr>
                  <w:rStyle w:val="Hyperlink"/>
                  <w:lang w:val="de-DE"/>
                </w:rPr>
                <w:t>glenn.parsons@ericsson.com</w:t>
              </w:r>
            </w:hyperlink>
            <w:r w:rsidRPr="00CB0838">
              <w:rPr>
                <w:lang w:val="de-DE"/>
              </w:rPr>
              <w:t xml:space="preserve"> </w:t>
            </w:r>
          </w:p>
        </w:tc>
      </w:tr>
      <w:bookmarkEnd w:id="9"/>
      <w:bookmarkEnd w:id="10"/>
    </w:tbl>
    <w:p w14:paraId="70BC22AD" w14:textId="6E47412A" w:rsidR="00CB0838" w:rsidRPr="00CB0838" w:rsidRDefault="00CB0838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5E46267B" w:rsidR="0089088E" w:rsidRPr="008249A7" w:rsidRDefault="005C27C1" w:rsidP="00397713">
            <w:pPr>
              <w:pStyle w:val="TSBHeaderSummary"/>
              <w:rPr>
                <w:highlight w:val="yellow"/>
              </w:rPr>
            </w:pPr>
            <w:r w:rsidRPr="005C27C1">
              <w:t xml:space="preserve">This document contains </w:t>
            </w:r>
            <w:r w:rsidR="00463814">
              <w:t xml:space="preserve">draft terms of reference for the ITU-T Industry Engagement Workshop Steering Committee (IEWSC), </w:t>
            </w:r>
            <w:r w:rsidR="008F5C29">
              <w:t xml:space="preserve">contributing to the implementation of industry engagement </w:t>
            </w:r>
            <w:r w:rsidR="00414DF8">
              <w:t>action plan item AP2</w:t>
            </w:r>
            <w:r w:rsidR="000C50F9">
              <w:t>.</w:t>
            </w:r>
          </w:p>
        </w:tc>
      </w:tr>
    </w:tbl>
    <w:p w14:paraId="59EF318A" w14:textId="575E4FEC" w:rsidR="000A4B12" w:rsidRDefault="005C27C1" w:rsidP="000A4B12">
      <w:bookmarkStart w:id="11" w:name="_Hlk98415917"/>
      <w:bookmarkEnd w:id="0"/>
      <w:r w:rsidRPr="005C27C1">
        <w:rPr>
          <w:b/>
          <w:bCs/>
        </w:rPr>
        <w:t>Action:</w:t>
      </w:r>
      <w:r w:rsidRPr="005C27C1">
        <w:rPr>
          <w:b/>
          <w:bCs/>
        </w:rPr>
        <w:tab/>
      </w:r>
      <w:r w:rsidRPr="005C27C1">
        <w:t xml:space="preserve">TSAG is invited to </w:t>
      </w:r>
      <w:r w:rsidR="00463814">
        <w:t xml:space="preserve">approve the draft </w:t>
      </w:r>
      <w:proofErr w:type="spellStart"/>
      <w:r w:rsidR="00463814">
        <w:t>ToR</w:t>
      </w:r>
      <w:proofErr w:type="spellEnd"/>
      <w:r w:rsidR="00463814">
        <w:t xml:space="preserve"> and </w:t>
      </w:r>
      <w:r w:rsidR="00693EEE">
        <w:t xml:space="preserve">to </w:t>
      </w:r>
      <w:r w:rsidR="00463814">
        <w:t xml:space="preserve">establish the </w:t>
      </w:r>
      <w:r w:rsidR="00463814" w:rsidRPr="00463814">
        <w:t xml:space="preserve">ITU-T Industry </w:t>
      </w:r>
      <w:r w:rsidR="00463814">
        <w:tab/>
      </w:r>
      <w:r w:rsidR="00463814">
        <w:tab/>
      </w:r>
      <w:r w:rsidR="00463814">
        <w:tab/>
      </w:r>
      <w:r w:rsidR="00463814" w:rsidRPr="00463814">
        <w:t>Engagement Workshop Steering Committee (IEWSC)</w:t>
      </w:r>
      <w:r w:rsidR="00693EEE">
        <w:t xml:space="preserve"> at its current meeting</w:t>
      </w:r>
      <w:r w:rsidRPr="005C27C1">
        <w:t>.</w:t>
      </w:r>
      <w:bookmarkStart w:id="12" w:name="_Hlk98856042"/>
      <w:bookmarkEnd w:id="11"/>
    </w:p>
    <w:p w14:paraId="5461C7BC" w14:textId="77777777" w:rsidR="000A4B12" w:rsidRDefault="000A4B12" w:rsidP="000A4B12"/>
    <w:p w14:paraId="6E0BBEC9" w14:textId="7D204475" w:rsidR="000A4B12" w:rsidRDefault="000A4B12" w:rsidP="000A4B12">
      <w:pPr>
        <w:pStyle w:val="Headingb"/>
        <w:jc w:val="center"/>
      </w:pPr>
      <w:r>
        <w:t>Draft Terms of Reference (</w:t>
      </w:r>
      <w:proofErr w:type="spellStart"/>
      <w:r>
        <w:t>ToR</w:t>
      </w:r>
      <w:proofErr w:type="spellEnd"/>
      <w:r>
        <w:t>) for the ITU-T Industry Engagement Workshop Steering Committee (IEWSC)</w:t>
      </w:r>
    </w:p>
    <w:p w14:paraId="1CC0792F" w14:textId="3FC97CFD" w:rsidR="000A4B12" w:rsidRDefault="007C23CC" w:rsidP="007C23CC">
      <w:pPr>
        <w:pStyle w:val="Heading1"/>
      </w:pPr>
      <w:r>
        <w:t>1</w:t>
      </w:r>
      <w:r>
        <w:tab/>
      </w:r>
      <w:r w:rsidR="000A4B12">
        <w:t>Participation to the IEWSC</w:t>
      </w:r>
    </w:p>
    <w:p w14:paraId="1EF5C383" w14:textId="77777777" w:rsidR="000A4B12" w:rsidRDefault="000A4B12" w:rsidP="000A4B12">
      <w:r>
        <w:t xml:space="preserve">The participation to the IEWSC is formed </w:t>
      </w:r>
      <w:proofErr w:type="gramStart"/>
      <w:r>
        <w:t>in order to</w:t>
      </w:r>
      <w:proofErr w:type="gramEnd"/>
      <w:r>
        <w:t xml:space="preserve"> have:</w:t>
      </w:r>
    </w:p>
    <w:p w14:paraId="555A3E59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The right representativity of various roles in TSAG and in ITU</w:t>
      </w:r>
    </w:p>
    <w:p w14:paraId="0216BA4C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In a limited group of people (not open ended)</w:t>
      </w:r>
    </w:p>
    <w:p w14:paraId="3CF5A08B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The right balance, especially among regions and hopefully on gender</w:t>
      </w:r>
    </w:p>
    <w:p w14:paraId="361CD169" w14:textId="77777777" w:rsidR="000A4B12" w:rsidRDefault="000A4B12" w:rsidP="000A4B12">
      <w:r>
        <w:t>Initial Proposed persona forming the steering committee:</w:t>
      </w:r>
    </w:p>
    <w:p w14:paraId="0A9A7C9E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TSAG RG-IEM current leadership,</w:t>
      </w:r>
    </w:p>
    <w:p w14:paraId="63AB7A36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TSB Director,</w:t>
      </w:r>
    </w:p>
    <w:p w14:paraId="447C4807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t xml:space="preserve">TSB Director may consider </w:t>
      </w:r>
      <w:proofErr w:type="gramStart"/>
      <w:r>
        <w:t>to invite</w:t>
      </w:r>
      <w:proofErr w:type="gramEnd"/>
      <w:r>
        <w:t xml:space="preserve"> the Deputy Secretary General,</w:t>
      </w:r>
    </w:p>
    <w:p w14:paraId="6EE40949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ITU Counsellor,</w:t>
      </w:r>
    </w:p>
    <w:p w14:paraId="3D452011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2 TSAG volunteers per ITU Region with a good justification to join for example elements of added value they can bring to the committee (experience in workshops, good network of relationships at C level in the industry, good network of relationships in leadership education, in key experts of this problem, etc.)</w:t>
      </w:r>
    </w:p>
    <w:p w14:paraId="1FEC1168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t>if arbitrations are needed, maximise the gender balance.</w:t>
      </w:r>
    </w:p>
    <w:p w14:paraId="3E648578" w14:textId="614D5345" w:rsidR="000A4B12" w:rsidRDefault="007C23CC" w:rsidP="007C23CC">
      <w:pPr>
        <w:pStyle w:val="Heading1"/>
      </w:pPr>
      <w:r>
        <w:t>2</w:t>
      </w:r>
      <w:r>
        <w:tab/>
      </w:r>
      <w:r w:rsidR="000A4B12">
        <w:t>Lifecycle of the IEWSC</w:t>
      </w:r>
    </w:p>
    <w:p w14:paraId="31611965" w14:textId="77777777" w:rsidR="000A4B12" w:rsidRPr="00876138" w:rsidRDefault="000A4B12" w:rsidP="000A4B12">
      <w:pPr>
        <w:rPr>
          <w:lang w:eastAsia="en-US"/>
        </w:rPr>
      </w:pPr>
      <w:r>
        <w:rPr>
          <w:lang w:eastAsia="en-US"/>
        </w:rPr>
        <w:t>Like any entity the SC has a lifecycle from formation to dismantling on the following key milestones, the IEWSC:</w:t>
      </w:r>
    </w:p>
    <w:p w14:paraId="7518187F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starts and is formed upon TSAG agreement at TSAG meeting,</w:t>
      </w:r>
    </w:p>
    <w:p w14:paraId="3870B40D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 xml:space="preserve">executes its mission until the first workshop is delivered, </w:t>
      </w:r>
    </w:p>
    <w:p w14:paraId="56B83090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lastRenderedPageBreak/>
        <w:t>delivers a report back to WP2/TSAG not more than one month before it or before the next TSAG meeting depending on what is scheduled first,</w:t>
      </w:r>
    </w:p>
    <w:p w14:paraId="732BD5FB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is dismantled after all reports are delivered.</w:t>
      </w:r>
    </w:p>
    <w:p w14:paraId="73BCFDEF" w14:textId="28FD12C5" w:rsidR="000A4B12" w:rsidRDefault="007C23CC" w:rsidP="007C23CC">
      <w:pPr>
        <w:pStyle w:val="Heading1"/>
      </w:pPr>
      <w:r>
        <w:t>3</w:t>
      </w:r>
      <w:r>
        <w:tab/>
      </w:r>
      <w:r w:rsidR="000A4B12">
        <w:t xml:space="preserve">Potential </w:t>
      </w:r>
      <w:proofErr w:type="gramStart"/>
      <w:r w:rsidR="000A4B12">
        <w:t>time line</w:t>
      </w:r>
      <w:proofErr w:type="gramEnd"/>
    </w:p>
    <w:p w14:paraId="3466AE7D" w14:textId="77777777" w:rsidR="000A4B12" w:rsidRPr="00BC10B0" w:rsidRDefault="000A4B12" w:rsidP="000A4B12">
      <w:r w:rsidRPr="00BC10B0">
        <w:t>The short study period presents a limited time frame in which to hold a workshop.  This limited time frame is further constrained in that periods of the year are not a good fit to run a workshop (</w:t>
      </w:r>
      <w:proofErr w:type="gramStart"/>
      <w:r w:rsidRPr="00BC10B0">
        <w:t>e.g.</w:t>
      </w:r>
      <w:proofErr w:type="gramEnd"/>
      <w:r w:rsidRPr="00BC10B0">
        <w:t xml:space="preserve"> end of calendar year).  With these limitations and constraints in mind we propose the following draft timeline and plan by which the workshop identified in </w:t>
      </w:r>
      <w:hyperlink r:id="rId13" w:history="1">
        <w:r w:rsidRPr="00BC10B0">
          <w:rPr>
            <w:iCs/>
            <w:color w:val="0000FF"/>
            <w:u w:val="single"/>
          </w:rPr>
          <w:t>TD153R2</w:t>
        </w:r>
      </w:hyperlink>
      <w:r w:rsidRPr="00BC10B0">
        <w:rPr>
          <w:iCs/>
          <w:color w:val="0000FF"/>
          <w:u w:val="single"/>
        </w:rPr>
        <w:t xml:space="preserve"> </w:t>
      </w:r>
      <w:r w:rsidRPr="00BC10B0">
        <w:t>can occur:</w:t>
      </w:r>
    </w:p>
    <w:p w14:paraId="6240C434" w14:textId="77777777" w:rsidR="000A4B12" w:rsidRPr="00BC10B0" w:rsidRDefault="000A4B12" w:rsidP="00693EEE">
      <w:pPr>
        <w:rPr>
          <w:iCs/>
        </w:rPr>
      </w:pPr>
    </w:p>
    <w:p w14:paraId="69B3F414" w14:textId="77777777" w:rsidR="000A4B12" w:rsidRDefault="000A4B12" w:rsidP="000A4B12">
      <w:pPr>
        <w:pStyle w:val="Caption"/>
        <w:keepNext/>
        <w:jc w:val="center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- Proposed </w:t>
      </w:r>
      <w:proofErr w:type="gramStart"/>
      <w:r>
        <w:t>time line</w:t>
      </w:r>
      <w:proofErr w:type="gramEnd"/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4814"/>
      </w:tblGrid>
      <w:tr w:rsidR="000A4B12" w:rsidRPr="00BC10B0" w14:paraId="4FEC52FA" w14:textId="77777777" w:rsidTr="007C23CC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37A78067" w14:textId="77777777" w:rsidR="000A4B12" w:rsidRPr="00BC10B0" w:rsidRDefault="000A4B12" w:rsidP="00805370">
            <w:pPr>
              <w:rPr>
                <w:b/>
                <w:bCs/>
                <w:iCs/>
                <w:sz w:val="20"/>
                <w:szCs w:val="20"/>
              </w:rPr>
            </w:pPr>
            <w:r w:rsidRPr="00BC10B0">
              <w:rPr>
                <w:b/>
                <w:bCs/>
                <w:iCs/>
                <w:sz w:val="20"/>
                <w:szCs w:val="20"/>
              </w:rPr>
              <w:t>#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F5C0CB" w14:textId="77777777" w:rsidR="000A4B12" w:rsidRPr="00BC10B0" w:rsidRDefault="000A4B12" w:rsidP="00805370">
            <w:pPr>
              <w:rPr>
                <w:b/>
                <w:bCs/>
                <w:iCs/>
                <w:sz w:val="20"/>
                <w:szCs w:val="20"/>
              </w:rPr>
            </w:pPr>
            <w:r w:rsidRPr="00BC10B0">
              <w:rPr>
                <w:b/>
                <w:bCs/>
                <w:iCs/>
                <w:sz w:val="20"/>
                <w:szCs w:val="20"/>
              </w:rPr>
              <w:t>Calendar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F1E944" w14:textId="77777777" w:rsidR="000A4B12" w:rsidRPr="00BC10B0" w:rsidRDefault="000A4B12" w:rsidP="00805370">
            <w:pPr>
              <w:rPr>
                <w:b/>
                <w:bCs/>
                <w:iCs/>
                <w:sz w:val="20"/>
                <w:szCs w:val="20"/>
              </w:rPr>
            </w:pPr>
            <w:r w:rsidRPr="00BC10B0">
              <w:rPr>
                <w:b/>
                <w:bCs/>
                <w:iCs/>
                <w:sz w:val="20"/>
                <w:szCs w:val="20"/>
              </w:rPr>
              <w:t>Timeline Opportunity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388E8E0D" w14:textId="77777777" w:rsidR="000A4B12" w:rsidRPr="00BC10B0" w:rsidRDefault="000A4B12" w:rsidP="00805370">
            <w:pPr>
              <w:rPr>
                <w:b/>
                <w:bCs/>
                <w:iCs/>
                <w:sz w:val="20"/>
                <w:szCs w:val="20"/>
              </w:rPr>
            </w:pPr>
            <w:r w:rsidRPr="00BC10B0">
              <w:rPr>
                <w:b/>
                <w:bCs/>
                <w:iCs/>
                <w:sz w:val="20"/>
                <w:szCs w:val="20"/>
              </w:rPr>
              <w:t>Milestone</w:t>
            </w:r>
          </w:p>
        </w:tc>
      </w:tr>
      <w:tr w:rsidR="000A4B12" w:rsidRPr="00BC10B0" w14:paraId="2140DE10" w14:textId="77777777" w:rsidTr="007C23CC">
        <w:trPr>
          <w:jc w:val="center"/>
        </w:trPr>
        <w:tc>
          <w:tcPr>
            <w:tcW w:w="704" w:type="dxa"/>
          </w:tcPr>
          <w:p w14:paraId="383831E3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TL01</w:t>
            </w:r>
          </w:p>
        </w:tc>
        <w:tc>
          <w:tcPr>
            <w:tcW w:w="1701" w:type="dxa"/>
          </w:tcPr>
          <w:p w14:paraId="5EDEAEF9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  <w:r w:rsidRPr="00A02A44">
              <w:rPr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Cs/>
                <w:sz w:val="20"/>
                <w:szCs w:val="20"/>
              </w:rPr>
              <w:t xml:space="preserve"> of May</w:t>
            </w:r>
            <w:r w:rsidRPr="00BC10B0">
              <w:rPr>
                <w:iCs/>
                <w:sz w:val="20"/>
                <w:szCs w:val="20"/>
              </w:rPr>
              <w:t xml:space="preserve"> 2023</w:t>
            </w:r>
          </w:p>
        </w:tc>
        <w:tc>
          <w:tcPr>
            <w:tcW w:w="2410" w:type="dxa"/>
          </w:tcPr>
          <w:p w14:paraId="1FEB7AAC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TSAG meeting</w:t>
            </w:r>
          </w:p>
        </w:tc>
        <w:tc>
          <w:tcPr>
            <w:tcW w:w="4814" w:type="dxa"/>
          </w:tcPr>
          <w:p w14:paraId="27CDE7C3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TSAG approves the formation of an Industry Engagement Workshop Steering Committee (IWESC) to organize the first Workshop</w:t>
            </w:r>
          </w:p>
        </w:tc>
      </w:tr>
      <w:tr w:rsidR="000A4B12" w:rsidRPr="00BC10B0" w14:paraId="22844C93" w14:textId="77777777" w:rsidTr="007C23CC">
        <w:trPr>
          <w:jc w:val="center"/>
        </w:trPr>
        <w:tc>
          <w:tcPr>
            <w:tcW w:w="704" w:type="dxa"/>
          </w:tcPr>
          <w:p w14:paraId="5093C475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TL02</w:t>
            </w:r>
          </w:p>
        </w:tc>
        <w:tc>
          <w:tcPr>
            <w:tcW w:w="1701" w:type="dxa"/>
          </w:tcPr>
          <w:p w14:paraId="4FE4A2A1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June 2023</w:t>
            </w:r>
          </w:p>
        </w:tc>
        <w:tc>
          <w:tcPr>
            <w:tcW w:w="2410" w:type="dxa"/>
          </w:tcPr>
          <w:p w14:paraId="113FEA6F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IWESC first meetings</w:t>
            </w:r>
          </w:p>
        </w:tc>
        <w:tc>
          <w:tcPr>
            <w:tcW w:w="4814" w:type="dxa"/>
          </w:tcPr>
          <w:p w14:paraId="5C116609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IWESC is formally started and engages its work</w:t>
            </w:r>
          </w:p>
        </w:tc>
      </w:tr>
      <w:tr w:rsidR="000A4B12" w:rsidRPr="00BC10B0" w14:paraId="13C2C89D" w14:textId="77777777" w:rsidTr="007C23CC">
        <w:trPr>
          <w:jc w:val="center"/>
        </w:trPr>
        <w:tc>
          <w:tcPr>
            <w:tcW w:w="704" w:type="dxa"/>
          </w:tcPr>
          <w:p w14:paraId="487A6D0F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TL03</w:t>
            </w:r>
          </w:p>
        </w:tc>
        <w:tc>
          <w:tcPr>
            <w:tcW w:w="1701" w:type="dxa"/>
          </w:tcPr>
          <w:p w14:paraId="1BB6A122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October 2023</w:t>
            </w:r>
          </w:p>
        </w:tc>
        <w:tc>
          <w:tcPr>
            <w:tcW w:w="2410" w:type="dxa"/>
          </w:tcPr>
          <w:p w14:paraId="4850502C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WP2 meeting</w:t>
            </w:r>
          </w:p>
        </w:tc>
        <w:tc>
          <w:tcPr>
            <w:tcW w:w="4814" w:type="dxa"/>
          </w:tcPr>
          <w:p w14:paraId="4C207203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 xml:space="preserve">IWESC reports on its activities and progress to WP2, final review to </w:t>
            </w:r>
            <w:proofErr w:type="spellStart"/>
            <w:r w:rsidRPr="00BC10B0">
              <w:rPr>
                <w:iCs/>
                <w:sz w:val="20"/>
                <w:szCs w:val="20"/>
              </w:rPr>
              <w:t>kickoff</w:t>
            </w:r>
            <w:proofErr w:type="spellEnd"/>
            <w:r w:rsidRPr="00BC10B0">
              <w:rPr>
                <w:iCs/>
                <w:sz w:val="20"/>
                <w:szCs w:val="20"/>
              </w:rPr>
              <w:t xml:space="preserve"> Workshop organization</w:t>
            </w:r>
          </w:p>
        </w:tc>
      </w:tr>
      <w:tr w:rsidR="000A4B12" w:rsidRPr="00BC10B0" w14:paraId="28FFC543" w14:textId="77777777" w:rsidTr="007C23CC">
        <w:trPr>
          <w:jc w:val="center"/>
        </w:trPr>
        <w:tc>
          <w:tcPr>
            <w:tcW w:w="704" w:type="dxa"/>
          </w:tcPr>
          <w:p w14:paraId="3296FB9D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TL04</w:t>
            </w:r>
          </w:p>
        </w:tc>
        <w:tc>
          <w:tcPr>
            <w:tcW w:w="1701" w:type="dxa"/>
          </w:tcPr>
          <w:p w14:paraId="653F81F0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January 2024 TBC</w:t>
            </w:r>
          </w:p>
        </w:tc>
        <w:tc>
          <w:tcPr>
            <w:tcW w:w="2410" w:type="dxa"/>
          </w:tcPr>
          <w:p w14:paraId="5068AE1A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TSAG meeting</w:t>
            </w:r>
          </w:p>
        </w:tc>
        <w:tc>
          <w:tcPr>
            <w:tcW w:w="4814" w:type="dxa"/>
          </w:tcPr>
          <w:p w14:paraId="5AEBF416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TSAG reviews progress of IWESC and Workshop preparation</w:t>
            </w:r>
          </w:p>
        </w:tc>
      </w:tr>
      <w:tr w:rsidR="000A4B12" w:rsidRPr="00BC10B0" w14:paraId="2DCA49E8" w14:textId="77777777" w:rsidTr="007C23CC">
        <w:trPr>
          <w:jc w:val="center"/>
        </w:trPr>
        <w:tc>
          <w:tcPr>
            <w:tcW w:w="704" w:type="dxa"/>
          </w:tcPr>
          <w:p w14:paraId="773F69F0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TL05</w:t>
            </w:r>
          </w:p>
        </w:tc>
        <w:tc>
          <w:tcPr>
            <w:tcW w:w="1701" w:type="dxa"/>
          </w:tcPr>
          <w:p w14:paraId="56D00AC8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Spring 2024 TBD</w:t>
            </w:r>
          </w:p>
        </w:tc>
        <w:tc>
          <w:tcPr>
            <w:tcW w:w="2410" w:type="dxa"/>
          </w:tcPr>
          <w:p w14:paraId="063A7865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 xml:space="preserve">First Industry Engagement Workshop </w:t>
            </w:r>
          </w:p>
        </w:tc>
        <w:tc>
          <w:tcPr>
            <w:tcW w:w="4814" w:type="dxa"/>
          </w:tcPr>
          <w:p w14:paraId="0C297716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The workshop is delivered</w:t>
            </w:r>
          </w:p>
        </w:tc>
      </w:tr>
      <w:tr w:rsidR="000A4B12" w:rsidRPr="00BC10B0" w14:paraId="3C5E0CD3" w14:textId="77777777" w:rsidTr="007C23CC">
        <w:trPr>
          <w:jc w:val="center"/>
        </w:trPr>
        <w:tc>
          <w:tcPr>
            <w:tcW w:w="704" w:type="dxa"/>
          </w:tcPr>
          <w:p w14:paraId="448204A0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TL06</w:t>
            </w:r>
          </w:p>
        </w:tc>
        <w:tc>
          <w:tcPr>
            <w:tcW w:w="1701" w:type="dxa"/>
          </w:tcPr>
          <w:p w14:paraId="4AF84292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Summer 2024 TBD</w:t>
            </w:r>
          </w:p>
        </w:tc>
        <w:tc>
          <w:tcPr>
            <w:tcW w:w="2410" w:type="dxa"/>
          </w:tcPr>
          <w:p w14:paraId="311EA9B7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TBD</w:t>
            </w:r>
          </w:p>
        </w:tc>
        <w:tc>
          <w:tcPr>
            <w:tcW w:w="4814" w:type="dxa"/>
          </w:tcPr>
          <w:p w14:paraId="0061A0AF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IWESC issues its report and is dismantled</w:t>
            </w:r>
          </w:p>
        </w:tc>
      </w:tr>
      <w:tr w:rsidR="000A4B12" w:rsidRPr="00BC10B0" w14:paraId="7A6FC808" w14:textId="77777777" w:rsidTr="007C23CC">
        <w:trPr>
          <w:jc w:val="center"/>
        </w:trPr>
        <w:tc>
          <w:tcPr>
            <w:tcW w:w="704" w:type="dxa"/>
          </w:tcPr>
          <w:p w14:paraId="7F1EDDC8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TL07</w:t>
            </w:r>
          </w:p>
        </w:tc>
        <w:tc>
          <w:tcPr>
            <w:tcW w:w="1701" w:type="dxa"/>
          </w:tcPr>
          <w:p w14:paraId="5E2F35CB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Summer 2024 TBD</w:t>
            </w:r>
          </w:p>
        </w:tc>
        <w:tc>
          <w:tcPr>
            <w:tcW w:w="2410" w:type="dxa"/>
          </w:tcPr>
          <w:p w14:paraId="542F9B90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TBD</w:t>
            </w:r>
          </w:p>
        </w:tc>
        <w:tc>
          <w:tcPr>
            <w:tcW w:w="4814" w:type="dxa"/>
          </w:tcPr>
          <w:p w14:paraId="416FD5F4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 w:rsidRPr="00BC10B0">
              <w:rPr>
                <w:iCs/>
                <w:sz w:val="20"/>
                <w:szCs w:val="20"/>
              </w:rPr>
              <w:t>WP2 or TSAG reviews IWESC report and discusses learnings for potential implementation by ITU-T in view of WTSA24</w:t>
            </w:r>
          </w:p>
        </w:tc>
      </w:tr>
      <w:tr w:rsidR="000A4B12" w:rsidRPr="00BC10B0" w14:paraId="5683A441" w14:textId="77777777" w:rsidTr="007C23CC">
        <w:trPr>
          <w:jc w:val="center"/>
        </w:trPr>
        <w:tc>
          <w:tcPr>
            <w:tcW w:w="704" w:type="dxa"/>
          </w:tcPr>
          <w:p w14:paraId="2D59C54E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TL08</w:t>
            </w:r>
          </w:p>
        </w:tc>
        <w:tc>
          <w:tcPr>
            <w:tcW w:w="1701" w:type="dxa"/>
          </w:tcPr>
          <w:p w14:paraId="67F3187A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Fall 2024</w:t>
            </w:r>
          </w:p>
        </w:tc>
        <w:tc>
          <w:tcPr>
            <w:tcW w:w="2410" w:type="dxa"/>
          </w:tcPr>
          <w:p w14:paraId="73FEE3AC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WTSA24</w:t>
            </w:r>
          </w:p>
        </w:tc>
        <w:tc>
          <w:tcPr>
            <w:tcW w:w="4814" w:type="dxa"/>
          </w:tcPr>
          <w:p w14:paraId="14713825" w14:textId="77777777" w:rsidR="000A4B12" w:rsidRPr="00BC10B0" w:rsidRDefault="000A4B12" w:rsidP="00805370">
            <w:pPr>
              <w:rPr>
                <w:iCs/>
                <w:sz w:val="20"/>
                <w:szCs w:val="20"/>
              </w:rPr>
            </w:pPr>
          </w:p>
        </w:tc>
      </w:tr>
    </w:tbl>
    <w:p w14:paraId="13413007" w14:textId="77777777" w:rsidR="000A4B12" w:rsidRPr="00BC10B0" w:rsidRDefault="000A4B12" w:rsidP="00693EEE">
      <w:pPr>
        <w:rPr>
          <w:iCs/>
        </w:rPr>
      </w:pPr>
      <w:r w:rsidRPr="00BC10B0">
        <w:rPr>
          <w:iCs/>
        </w:rPr>
        <w:t xml:space="preserve">This timeline assumes that an Industry Engagement Workshop Steering Committee (IEWSC) is formed and is responsible and </w:t>
      </w:r>
      <w:proofErr w:type="gramStart"/>
      <w:r w:rsidRPr="00BC10B0">
        <w:rPr>
          <w:iCs/>
        </w:rPr>
        <w:t xml:space="preserve">accountable </w:t>
      </w:r>
      <w:r>
        <w:rPr>
          <w:iCs/>
        </w:rPr>
        <w:t>.</w:t>
      </w:r>
      <w:proofErr w:type="gramEnd"/>
    </w:p>
    <w:p w14:paraId="2A30D13C" w14:textId="5DC969E9" w:rsidR="000A4B12" w:rsidRDefault="007C23CC" w:rsidP="007C23CC">
      <w:pPr>
        <w:pStyle w:val="Heading1"/>
      </w:pPr>
      <w:r>
        <w:t>4</w:t>
      </w:r>
      <w:r>
        <w:tab/>
      </w:r>
      <w:r w:rsidR="000A4B12">
        <w:t>Project management tasks for the IEWSC</w:t>
      </w:r>
    </w:p>
    <w:p w14:paraId="2DD7C5E9" w14:textId="77777777" w:rsidR="000A4B12" w:rsidRDefault="000A4B12" w:rsidP="000A4B12">
      <w:r>
        <w:t xml:space="preserve">The IEWSC will consider the Guidelines and coordination requirements for the organization of ITU-T workshops and seminars, in </w:t>
      </w:r>
      <w:hyperlink r:id="rId14" w:history="1">
        <w:r w:rsidRPr="00F61BCD">
          <w:rPr>
            <w:rStyle w:val="Hyperlink"/>
          </w:rPr>
          <w:t>Recommendation ITU-T A.31</w:t>
        </w:r>
      </w:hyperlink>
      <w:r>
        <w:t>.</w:t>
      </w:r>
    </w:p>
    <w:p w14:paraId="49D050B0" w14:textId="77777777" w:rsidR="000A4B12" w:rsidRPr="00F61BCD" w:rsidRDefault="000A4B12" w:rsidP="000A4B12">
      <w:r>
        <w:t>This could include:</w:t>
      </w:r>
    </w:p>
    <w:p w14:paraId="57B44FFF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 xml:space="preserve">Design the workshop and defining </w:t>
      </w:r>
      <w:proofErr w:type="gramStart"/>
      <w:r>
        <w:t>all of</w:t>
      </w:r>
      <w:proofErr w:type="gramEnd"/>
      <w:r>
        <w:t xml:space="preserve"> its parameters:</w:t>
      </w:r>
    </w:p>
    <w:p w14:paraId="3B6DBE3B" w14:textId="77777777" w:rsidR="000A4B12" w:rsidRPr="000A4B12" w:rsidRDefault="000A4B12" w:rsidP="000A4B12">
      <w:pPr>
        <w:pStyle w:val="ListParagraph"/>
        <w:numPr>
          <w:ilvl w:val="1"/>
          <w:numId w:val="27"/>
        </w:numPr>
        <w:rPr>
          <w:lang w:val="fr-FR"/>
        </w:rPr>
      </w:pPr>
      <w:r w:rsidRPr="000A4B12">
        <w:rPr>
          <w:lang w:val="fr-FR"/>
        </w:rPr>
        <w:t xml:space="preserve">Date, duration, place, participation, </w:t>
      </w:r>
      <w:proofErr w:type="spellStart"/>
      <w:r w:rsidRPr="000A4B12">
        <w:rPr>
          <w:lang w:val="fr-FR"/>
        </w:rPr>
        <w:t>target</w:t>
      </w:r>
      <w:proofErr w:type="spellEnd"/>
      <w:r w:rsidRPr="000A4B12">
        <w:rPr>
          <w:lang w:val="fr-FR"/>
        </w:rPr>
        <w:t xml:space="preserve"> audience, agenda/program, etc.</w:t>
      </w:r>
    </w:p>
    <w:p w14:paraId="7C27BA0B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Determine resources needed:</w:t>
      </w:r>
    </w:p>
    <w:p w14:paraId="1B192552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t xml:space="preserve">Budget, ITU staff </w:t>
      </w:r>
      <w:proofErr w:type="gramStart"/>
      <w:r>
        <w:t>needed</w:t>
      </w:r>
      <w:proofErr w:type="gramEnd"/>
      <w:r>
        <w:t xml:space="preserve"> if need be, others.</w:t>
      </w:r>
    </w:p>
    <w:p w14:paraId="2EB96EDE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Pre-Workshop set of communication documents:</w:t>
      </w:r>
    </w:p>
    <w:p w14:paraId="1ADEF758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t>Content: program, logistics, etc.,</w:t>
      </w:r>
    </w:p>
    <w:p w14:paraId="76C3A363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t>Web page, social networks.</w:t>
      </w:r>
    </w:p>
    <w:p w14:paraId="4A60048D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Invite the participants:</w:t>
      </w:r>
    </w:p>
    <w:p w14:paraId="609B6B2A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t>Requires identification mechanism and means of contacts.</w:t>
      </w:r>
    </w:p>
    <w:p w14:paraId="456B1136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Workshop itself:</w:t>
      </w:r>
    </w:p>
    <w:p w14:paraId="37800E1F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t>Ensure good run of the workshop.</w:t>
      </w:r>
    </w:p>
    <w:p w14:paraId="46AA9C5E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Post-Workshop:</w:t>
      </w:r>
    </w:p>
    <w:p w14:paraId="1A3DAB93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lastRenderedPageBreak/>
        <w:t>Outside communications, pictures, etc.,</w:t>
      </w:r>
    </w:p>
    <w:p w14:paraId="4AEBEFAF" w14:textId="77777777" w:rsidR="000A4B12" w:rsidRDefault="000A4B12" w:rsidP="000A4B12">
      <w:pPr>
        <w:pStyle w:val="ListParagraph"/>
        <w:numPr>
          <w:ilvl w:val="1"/>
          <w:numId w:val="27"/>
        </w:numPr>
      </w:pPr>
      <w:r>
        <w:t>Report to WP2/TSAG.</w:t>
      </w:r>
    </w:p>
    <w:p w14:paraId="5856D8C6" w14:textId="622C7F2C" w:rsidR="000A4B12" w:rsidRDefault="00693EEE" w:rsidP="00693EEE">
      <w:pPr>
        <w:pStyle w:val="Heading1"/>
      </w:pPr>
      <w:r>
        <w:t>5</w:t>
      </w:r>
      <w:r>
        <w:tab/>
      </w:r>
      <w:r w:rsidR="000A4B12">
        <w:t>Determining the Workshop Program</w:t>
      </w:r>
    </w:p>
    <w:p w14:paraId="16C719B8" w14:textId="77777777" w:rsidR="000A4B12" w:rsidRDefault="000A4B12" w:rsidP="000A4B12">
      <w:r>
        <w:t xml:space="preserve">The IEWSC will drive the creation of the program. It shall </w:t>
      </w:r>
      <w:proofErr w:type="gramStart"/>
      <w:r>
        <w:t>take into account</w:t>
      </w:r>
      <w:proofErr w:type="gramEnd"/>
      <w:r>
        <w:t xml:space="preserve"> the Implementation Strategies listed in the Action Plan for AP2, to produce among other things:</w:t>
      </w:r>
    </w:p>
    <w:p w14:paraId="6F326FFF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content,</w:t>
      </w:r>
    </w:p>
    <w:p w14:paraId="7CFF86C3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agenda,</w:t>
      </w:r>
    </w:p>
    <w:p w14:paraId="71E1F43A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format,</w:t>
      </w:r>
    </w:p>
    <w:p w14:paraId="04634BFC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target invited people,</w:t>
      </w:r>
    </w:p>
    <w:p w14:paraId="7066C036" w14:textId="77777777" w:rsidR="000A4B12" w:rsidRDefault="000A4B12" w:rsidP="000A4B12">
      <w:pPr>
        <w:pStyle w:val="ListParagraph"/>
        <w:numPr>
          <w:ilvl w:val="0"/>
          <w:numId w:val="27"/>
        </w:numPr>
      </w:pPr>
      <w:r>
        <w:t>panel,</w:t>
      </w:r>
    </w:p>
    <w:p w14:paraId="30E8C444" w14:textId="77777777" w:rsidR="000A4B12" w:rsidRDefault="000A4B12" w:rsidP="000A4B12">
      <w:pPr>
        <w:pStyle w:val="ListParagraph"/>
        <w:numPr>
          <w:ilvl w:val="0"/>
          <w:numId w:val="27"/>
        </w:numPr>
        <w:rPr>
          <w:lang w:eastAsia="en-US"/>
        </w:rPr>
      </w:pPr>
      <w:r>
        <w:t>etc.</w:t>
      </w:r>
    </w:p>
    <w:p w14:paraId="6CBE26DD" w14:textId="77777777" w:rsidR="000A4B12" w:rsidRDefault="000A4B12" w:rsidP="000A4B12">
      <w:pPr>
        <w:rPr>
          <w:lang w:eastAsia="en-US"/>
        </w:rPr>
      </w:pPr>
      <w:r>
        <w:rPr>
          <w:lang w:eastAsia="en-US"/>
        </w:rPr>
        <w:t>This program will be co-created with TSAG members to ensure relevance.</w:t>
      </w:r>
    </w:p>
    <w:p w14:paraId="70E5CD09" w14:textId="7F0FFD5A" w:rsidR="005604FC" w:rsidRDefault="008C5A9A" w:rsidP="008C5A9A">
      <w:pPr>
        <w:jc w:val="center"/>
      </w:pPr>
      <w:r>
        <w:t>_______________________</w:t>
      </w:r>
      <w:bookmarkEnd w:id="12"/>
    </w:p>
    <w:sectPr w:rsidR="005604FC" w:rsidSect="001D03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40F1" w14:textId="77777777" w:rsidR="000E2521" w:rsidRDefault="000E2521" w:rsidP="00C42125">
      <w:pPr>
        <w:spacing w:before="0"/>
      </w:pPr>
      <w:r>
        <w:separator/>
      </w:r>
    </w:p>
  </w:endnote>
  <w:endnote w:type="continuationSeparator" w:id="0">
    <w:p w14:paraId="729073EF" w14:textId="77777777" w:rsidR="000E2521" w:rsidRDefault="000E252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81AE" w14:textId="77777777" w:rsidR="00CB0838" w:rsidRDefault="00CB0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0433" w14:textId="77777777" w:rsidR="00CB0838" w:rsidRDefault="00CB0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0074" w14:textId="77777777" w:rsidR="00CB0838" w:rsidRDefault="00CB0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880F" w14:textId="77777777" w:rsidR="000E2521" w:rsidRDefault="000E2521" w:rsidP="00C42125">
      <w:pPr>
        <w:spacing w:before="0"/>
      </w:pPr>
      <w:r>
        <w:separator/>
      </w:r>
    </w:p>
  </w:footnote>
  <w:footnote w:type="continuationSeparator" w:id="0">
    <w:p w14:paraId="6985F948" w14:textId="77777777" w:rsidR="000E2521" w:rsidRDefault="000E252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B7DF" w14:textId="77777777" w:rsidR="00CB0838" w:rsidRDefault="00CB0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1AA9" w14:textId="77777777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0E3C61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53139FD5" w14:textId="658D11E1" w:rsidR="005976A1" w:rsidRPr="00C42125" w:rsidRDefault="00CB0838" w:rsidP="007E53E4">
        <w:pPr>
          <w:pStyle w:val="Header"/>
        </w:pPr>
        <w:r>
          <w:t>TSAG-TD257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A94D" w14:textId="77777777" w:rsidR="00CB0838" w:rsidRDefault="00CB0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2D46"/>
    <w:multiLevelType w:val="multilevel"/>
    <w:tmpl w:val="0C7EBE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022F7048"/>
    <w:multiLevelType w:val="hybridMultilevel"/>
    <w:tmpl w:val="705290FA"/>
    <w:lvl w:ilvl="0" w:tplc="ACCC795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443F7"/>
    <w:multiLevelType w:val="hybridMultilevel"/>
    <w:tmpl w:val="459E1700"/>
    <w:lvl w:ilvl="0" w:tplc="F3BAAFD0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0E71D8"/>
    <w:multiLevelType w:val="hybridMultilevel"/>
    <w:tmpl w:val="6F966CD8"/>
    <w:lvl w:ilvl="0" w:tplc="F3BAAFD0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7D1F1D"/>
    <w:multiLevelType w:val="hybridMultilevel"/>
    <w:tmpl w:val="7EA299A4"/>
    <w:lvl w:ilvl="0" w:tplc="59DA7400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60E56"/>
    <w:multiLevelType w:val="multilevel"/>
    <w:tmpl w:val="BA06F21A"/>
    <w:lvl w:ilvl="0">
      <w:start w:val="1"/>
      <w:numFmt w:val="upperLetter"/>
      <w:suff w:val="space"/>
      <w:lvlText w:val="Annex %1 -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nothing"/>
      <w:lvlText w:val="Annex %7 - 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8C2F66"/>
    <w:multiLevelType w:val="hybridMultilevel"/>
    <w:tmpl w:val="2DE8A250"/>
    <w:lvl w:ilvl="0" w:tplc="21FE4E6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D0927D9"/>
    <w:multiLevelType w:val="multilevel"/>
    <w:tmpl w:val="C938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5573"/>
    <w:multiLevelType w:val="hybridMultilevel"/>
    <w:tmpl w:val="E0EE84CE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A02168B"/>
    <w:multiLevelType w:val="multilevel"/>
    <w:tmpl w:val="45F4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60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4" w15:restartNumberingAfterBreak="0">
    <w:nsid w:val="6A6D22C6"/>
    <w:multiLevelType w:val="hybridMultilevel"/>
    <w:tmpl w:val="79E821B0"/>
    <w:lvl w:ilvl="0" w:tplc="4E765F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41098"/>
    <w:multiLevelType w:val="multilevel"/>
    <w:tmpl w:val="664ABC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D24343F"/>
    <w:multiLevelType w:val="multilevel"/>
    <w:tmpl w:val="5A7EF1B0"/>
    <w:lvl w:ilvl="0">
      <w:start w:val="1"/>
      <w:numFmt w:val="upperLetter"/>
      <w:suff w:val="space"/>
      <w:lvlText w:val="Annex %1 -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suff w:val="nothing"/>
      <w:lvlText w:val="Annex %7 - 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536967042">
    <w:abstractNumId w:val="9"/>
  </w:num>
  <w:num w:numId="2" w16cid:durableId="1791438304">
    <w:abstractNumId w:val="7"/>
  </w:num>
  <w:num w:numId="3" w16cid:durableId="1167282275">
    <w:abstractNumId w:val="6"/>
  </w:num>
  <w:num w:numId="4" w16cid:durableId="486747474">
    <w:abstractNumId w:val="5"/>
  </w:num>
  <w:num w:numId="5" w16cid:durableId="776757283">
    <w:abstractNumId w:val="4"/>
  </w:num>
  <w:num w:numId="6" w16cid:durableId="1267345199">
    <w:abstractNumId w:val="8"/>
  </w:num>
  <w:num w:numId="7" w16cid:durableId="1780489540">
    <w:abstractNumId w:val="3"/>
  </w:num>
  <w:num w:numId="8" w16cid:durableId="794905882">
    <w:abstractNumId w:val="2"/>
  </w:num>
  <w:num w:numId="9" w16cid:durableId="240648453">
    <w:abstractNumId w:val="1"/>
  </w:num>
  <w:num w:numId="10" w16cid:durableId="977761458">
    <w:abstractNumId w:val="0"/>
  </w:num>
  <w:num w:numId="11" w16cid:durableId="1607350937">
    <w:abstractNumId w:val="12"/>
  </w:num>
  <w:num w:numId="12" w16cid:durableId="1020279533">
    <w:abstractNumId w:val="13"/>
  </w:num>
  <w:num w:numId="13" w16cid:durableId="1606498788">
    <w:abstractNumId w:val="23"/>
  </w:num>
  <w:num w:numId="14" w16cid:durableId="712313946">
    <w:abstractNumId w:val="16"/>
  </w:num>
  <w:num w:numId="15" w16cid:durableId="193003648">
    <w:abstractNumId w:val="21"/>
  </w:num>
  <w:num w:numId="16" w16cid:durableId="1519083904">
    <w:abstractNumId w:val="10"/>
  </w:num>
  <w:num w:numId="17" w16cid:durableId="1095054914">
    <w:abstractNumId w:val="20"/>
  </w:num>
  <w:num w:numId="18" w16cid:durableId="1252933300">
    <w:abstractNumId w:val="14"/>
  </w:num>
  <w:num w:numId="19" w16cid:durableId="1129668710">
    <w:abstractNumId w:val="22"/>
  </w:num>
  <w:num w:numId="20" w16cid:durableId="68695387">
    <w:abstractNumId w:val="19"/>
  </w:num>
  <w:num w:numId="21" w16cid:durableId="771630482">
    <w:abstractNumId w:val="15"/>
  </w:num>
  <w:num w:numId="22" w16cid:durableId="468669725">
    <w:abstractNumId w:val="18"/>
  </w:num>
  <w:num w:numId="23" w16cid:durableId="266886697">
    <w:abstractNumId w:val="24"/>
  </w:num>
  <w:num w:numId="24" w16cid:durableId="280889952">
    <w:abstractNumId w:val="25"/>
  </w:num>
  <w:num w:numId="25" w16cid:durableId="944263345">
    <w:abstractNumId w:val="26"/>
  </w:num>
  <w:num w:numId="26" w16cid:durableId="2144999335">
    <w:abstractNumId w:val="17"/>
  </w:num>
  <w:num w:numId="27" w16cid:durableId="700085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4B12"/>
    <w:rsid w:val="000A5CA2"/>
    <w:rsid w:val="000C50F9"/>
    <w:rsid w:val="000E2521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472D1"/>
    <w:rsid w:val="00155DDC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AFA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A5523"/>
    <w:rsid w:val="002C26C0"/>
    <w:rsid w:val="002C2BC5"/>
    <w:rsid w:val="002E0407"/>
    <w:rsid w:val="002E79CB"/>
    <w:rsid w:val="002F0471"/>
    <w:rsid w:val="002F1714"/>
    <w:rsid w:val="002F5CA7"/>
    <w:rsid w:val="002F7F55"/>
    <w:rsid w:val="0030745F"/>
    <w:rsid w:val="00314630"/>
    <w:rsid w:val="0032090A"/>
    <w:rsid w:val="00321CDE"/>
    <w:rsid w:val="00333E15"/>
    <w:rsid w:val="003416D3"/>
    <w:rsid w:val="003571BC"/>
    <w:rsid w:val="0036090C"/>
    <w:rsid w:val="00364979"/>
    <w:rsid w:val="00367A77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4DF8"/>
    <w:rsid w:val="00415999"/>
    <w:rsid w:val="00443878"/>
    <w:rsid w:val="004539A8"/>
    <w:rsid w:val="00463814"/>
    <w:rsid w:val="004646F1"/>
    <w:rsid w:val="004712CA"/>
    <w:rsid w:val="0047422E"/>
    <w:rsid w:val="0049674B"/>
    <w:rsid w:val="004C0673"/>
    <w:rsid w:val="004C4E4E"/>
    <w:rsid w:val="004E08F2"/>
    <w:rsid w:val="004F3816"/>
    <w:rsid w:val="004F500A"/>
    <w:rsid w:val="005126A0"/>
    <w:rsid w:val="00543D41"/>
    <w:rsid w:val="00545472"/>
    <w:rsid w:val="005571A4"/>
    <w:rsid w:val="005604FC"/>
    <w:rsid w:val="00566EDA"/>
    <w:rsid w:val="005677EF"/>
    <w:rsid w:val="0057081A"/>
    <w:rsid w:val="00572654"/>
    <w:rsid w:val="005828B7"/>
    <w:rsid w:val="005976A1"/>
    <w:rsid w:val="005A34E7"/>
    <w:rsid w:val="005A69A3"/>
    <w:rsid w:val="005B5629"/>
    <w:rsid w:val="005B6066"/>
    <w:rsid w:val="005C0300"/>
    <w:rsid w:val="005C27A2"/>
    <w:rsid w:val="005C27C1"/>
    <w:rsid w:val="005D4FEB"/>
    <w:rsid w:val="005D65ED"/>
    <w:rsid w:val="005E0E6C"/>
    <w:rsid w:val="005E70F1"/>
    <w:rsid w:val="005F4B6A"/>
    <w:rsid w:val="006010F3"/>
    <w:rsid w:val="00604BE0"/>
    <w:rsid w:val="00615A0A"/>
    <w:rsid w:val="00623A3E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3139"/>
    <w:rsid w:val="00693EEE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7355"/>
    <w:rsid w:val="006F0797"/>
    <w:rsid w:val="006F7DEE"/>
    <w:rsid w:val="00715CA6"/>
    <w:rsid w:val="00731135"/>
    <w:rsid w:val="007324AF"/>
    <w:rsid w:val="007409B4"/>
    <w:rsid w:val="00741974"/>
    <w:rsid w:val="007454B6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23CC"/>
    <w:rsid w:val="007C5ED4"/>
    <w:rsid w:val="007C7122"/>
    <w:rsid w:val="007D3F11"/>
    <w:rsid w:val="007E2C69"/>
    <w:rsid w:val="007E53E4"/>
    <w:rsid w:val="007E656A"/>
    <w:rsid w:val="007F392B"/>
    <w:rsid w:val="007F3CAA"/>
    <w:rsid w:val="007F664D"/>
    <w:rsid w:val="00801B42"/>
    <w:rsid w:val="008249A7"/>
    <w:rsid w:val="00826028"/>
    <w:rsid w:val="00836D45"/>
    <w:rsid w:val="00837203"/>
    <w:rsid w:val="00842137"/>
    <w:rsid w:val="00851E6C"/>
    <w:rsid w:val="00853F5F"/>
    <w:rsid w:val="00856C7A"/>
    <w:rsid w:val="008623ED"/>
    <w:rsid w:val="00875AA6"/>
    <w:rsid w:val="00880944"/>
    <w:rsid w:val="0089088E"/>
    <w:rsid w:val="00892297"/>
    <w:rsid w:val="008964D6"/>
    <w:rsid w:val="00897710"/>
    <w:rsid w:val="008B5123"/>
    <w:rsid w:val="008C5A9A"/>
    <w:rsid w:val="008D1E1E"/>
    <w:rsid w:val="008D2651"/>
    <w:rsid w:val="008E0172"/>
    <w:rsid w:val="008F5C29"/>
    <w:rsid w:val="00936852"/>
    <w:rsid w:val="0094045D"/>
    <w:rsid w:val="009406B5"/>
    <w:rsid w:val="00946166"/>
    <w:rsid w:val="00966B5C"/>
    <w:rsid w:val="00983164"/>
    <w:rsid w:val="00984252"/>
    <w:rsid w:val="009972EF"/>
    <w:rsid w:val="009B5035"/>
    <w:rsid w:val="009C3160"/>
    <w:rsid w:val="009D399E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30A6"/>
    <w:rsid w:val="00A827B0"/>
    <w:rsid w:val="00A96899"/>
    <w:rsid w:val="00A971A0"/>
    <w:rsid w:val="00AA1186"/>
    <w:rsid w:val="00AA1F22"/>
    <w:rsid w:val="00AA2F7F"/>
    <w:rsid w:val="00AB37FB"/>
    <w:rsid w:val="00AC3E73"/>
    <w:rsid w:val="00AC63B0"/>
    <w:rsid w:val="00B05821"/>
    <w:rsid w:val="00B100D6"/>
    <w:rsid w:val="00B164C9"/>
    <w:rsid w:val="00B2519B"/>
    <w:rsid w:val="00B26C28"/>
    <w:rsid w:val="00B4174C"/>
    <w:rsid w:val="00B453F5"/>
    <w:rsid w:val="00B5162E"/>
    <w:rsid w:val="00B61624"/>
    <w:rsid w:val="00B66481"/>
    <w:rsid w:val="00B7189C"/>
    <w:rsid w:val="00B718A5"/>
    <w:rsid w:val="00B86602"/>
    <w:rsid w:val="00B942C3"/>
    <w:rsid w:val="00BA7411"/>
    <w:rsid w:val="00BA788A"/>
    <w:rsid w:val="00BB4120"/>
    <w:rsid w:val="00BB4983"/>
    <w:rsid w:val="00BB7597"/>
    <w:rsid w:val="00BC62E2"/>
    <w:rsid w:val="00BD0C07"/>
    <w:rsid w:val="00BE4AC3"/>
    <w:rsid w:val="00C42125"/>
    <w:rsid w:val="00C47120"/>
    <w:rsid w:val="00C557CE"/>
    <w:rsid w:val="00C62814"/>
    <w:rsid w:val="00C67B25"/>
    <w:rsid w:val="00C748F7"/>
    <w:rsid w:val="00C74937"/>
    <w:rsid w:val="00CB0838"/>
    <w:rsid w:val="00CB2599"/>
    <w:rsid w:val="00CC386F"/>
    <w:rsid w:val="00CD2139"/>
    <w:rsid w:val="00CE5986"/>
    <w:rsid w:val="00CE5A1C"/>
    <w:rsid w:val="00D10A47"/>
    <w:rsid w:val="00D26477"/>
    <w:rsid w:val="00D56CC3"/>
    <w:rsid w:val="00D647EF"/>
    <w:rsid w:val="00D73137"/>
    <w:rsid w:val="00D94E76"/>
    <w:rsid w:val="00D977A2"/>
    <w:rsid w:val="00DA1D47"/>
    <w:rsid w:val="00DB0706"/>
    <w:rsid w:val="00DD50DE"/>
    <w:rsid w:val="00DE1204"/>
    <w:rsid w:val="00DE3062"/>
    <w:rsid w:val="00E0581D"/>
    <w:rsid w:val="00E1590B"/>
    <w:rsid w:val="00E204DD"/>
    <w:rsid w:val="00E228B7"/>
    <w:rsid w:val="00E353EC"/>
    <w:rsid w:val="00E427A3"/>
    <w:rsid w:val="00E51F61"/>
    <w:rsid w:val="00E53C24"/>
    <w:rsid w:val="00E56E77"/>
    <w:rsid w:val="00EA0BE7"/>
    <w:rsid w:val="00EB4396"/>
    <w:rsid w:val="00EB444D"/>
    <w:rsid w:val="00ED1B45"/>
    <w:rsid w:val="00EE1A06"/>
    <w:rsid w:val="00EE5C0D"/>
    <w:rsid w:val="00EF4792"/>
    <w:rsid w:val="00EF76DC"/>
    <w:rsid w:val="00F02294"/>
    <w:rsid w:val="00F30DE7"/>
    <w:rsid w:val="00F35F57"/>
    <w:rsid w:val="00F46620"/>
    <w:rsid w:val="00F50467"/>
    <w:rsid w:val="00F50613"/>
    <w:rsid w:val="00F562A0"/>
    <w:rsid w:val="00F57FA4"/>
    <w:rsid w:val="00F9547A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Hashtag1">
    <w:name w:val="Hashtag1"/>
    <w:basedOn w:val="DefaultParagraphFont"/>
    <w:uiPriority w:val="99"/>
    <w:semiHidden/>
    <w:unhideWhenUsed/>
    <w:rsid w:val="005C27C1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5C27C1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C27C1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C27C1"/>
    <w:rPr>
      <w:color w:val="0000FF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7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AG-221212-TD-GEN-0153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ttps://www.itu.int/rec/T-REC-A.31-200810-I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3</Pages>
  <Words>723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template - Unformatted (T21)</vt:lpstr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template - Unformatted (T21)</dc:title>
  <dc:subject/>
  <dc:creator>TSB</dc:creator>
  <cp:keywords/>
  <dc:description>Updated 2022-03-24</dc:description>
  <cp:lastModifiedBy>Al-Mnini, Lara</cp:lastModifiedBy>
  <cp:revision>2</cp:revision>
  <cp:lastPrinted>2016-12-23T12:52:00Z</cp:lastPrinted>
  <dcterms:created xsi:type="dcterms:W3CDTF">2023-05-08T15:06:00Z</dcterms:created>
  <dcterms:modified xsi:type="dcterms:W3CDTF">2023-05-08T15:06:00Z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