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FE038F" w14:paraId="5EC55B83" w14:textId="77777777" w:rsidTr="00793234">
        <w:trPr>
          <w:cantSplit/>
        </w:trPr>
        <w:tc>
          <w:tcPr>
            <w:tcW w:w="1191" w:type="dxa"/>
            <w:vMerge w:val="restart"/>
            <w:vAlign w:val="center"/>
          </w:tcPr>
          <w:p w14:paraId="57895357" w14:textId="77777777" w:rsidR="00FE038F" w:rsidRDefault="00FE038F" w:rsidP="00793234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5BD5CB40" wp14:editId="33E33902">
                  <wp:extent cx="650875" cy="706755"/>
                  <wp:effectExtent l="0" t="0" r="0" b="0"/>
                  <wp:docPr id="5" name="Picture 5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4A4F2053" w14:textId="77777777" w:rsidR="00FE038F" w:rsidRDefault="00FE038F" w:rsidP="00793234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5897E352" w14:textId="77777777" w:rsidR="00FE038F" w:rsidRDefault="00FE038F" w:rsidP="00793234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55F8B274" w14:textId="77777777" w:rsidR="00FE038F" w:rsidRDefault="00FE038F" w:rsidP="00793234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40E2FB09" w14:textId="77777777" w:rsidR="00FE038F" w:rsidRPr="00464A83" w:rsidRDefault="00FE038F" w:rsidP="00793234">
            <w:pPr>
              <w:pStyle w:val="Docnumber"/>
              <w:rPr>
                <w:sz w:val="32"/>
                <w:szCs w:val="32"/>
              </w:rPr>
            </w:pPr>
            <w:r w:rsidRPr="00464A83">
              <w:rPr>
                <w:sz w:val="32"/>
                <w:szCs w:val="32"/>
              </w:rPr>
              <w:t>TSAG-TD274</w:t>
            </w:r>
          </w:p>
        </w:tc>
      </w:tr>
      <w:tr w:rsidR="00FE038F" w14:paraId="1428A317" w14:textId="77777777" w:rsidTr="00793234">
        <w:trPr>
          <w:cantSplit/>
          <w:trHeight w:val="461"/>
        </w:trPr>
        <w:tc>
          <w:tcPr>
            <w:tcW w:w="1191" w:type="dxa"/>
            <w:vMerge/>
          </w:tcPr>
          <w:p w14:paraId="5454A939" w14:textId="77777777" w:rsidR="00FE038F" w:rsidRDefault="00FE038F" w:rsidP="00793234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4EECDA7B" w14:textId="77777777" w:rsidR="00FE038F" w:rsidRDefault="00FE038F" w:rsidP="00793234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6F86744D" w14:textId="77777777" w:rsidR="00FE038F" w:rsidRDefault="00FE038F" w:rsidP="00793234">
            <w:pPr>
              <w:pStyle w:val="TSBHeaderRight14"/>
            </w:pPr>
            <w:r>
              <w:t>TSAG</w:t>
            </w:r>
          </w:p>
        </w:tc>
      </w:tr>
      <w:tr w:rsidR="00FE038F" w14:paraId="361429C5" w14:textId="77777777" w:rsidTr="00793234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7605593B" w14:textId="77777777" w:rsidR="00FE038F" w:rsidRDefault="00FE038F" w:rsidP="00793234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463D2F42" w14:textId="77777777" w:rsidR="00FE038F" w:rsidRDefault="00FE038F" w:rsidP="00793234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344AD683" w14:textId="77777777" w:rsidR="00FE038F" w:rsidRDefault="00FE038F" w:rsidP="00793234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FE038F" w14:paraId="35629F62" w14:textId="77777777" w:rsidTr="00793234">
        <w:trPr>
          <w:cantSplit/>
          <w:trHeight w:val="357"/>
        </w:trPr>
        <w:tc>
          <w:tcPr>
            <w:tcW w:w="1550" w:type="dxa"/>
            <w:gridSpan w:val="2"/>
          </w:tcPr>
          <w:p w14:paraId="3E933DAA" w14:textId="77777777" w:rsidR="00FE038F" w:rsidRDefault="00FE038F" w:rsidP="00793234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31B16718" w14:textId="0624D1F3" w:rsidR="00FE038F" w:rsidRDefault="00464A83" w:rsidP="00793234">
            <w:pPr>
              <w:pStyle w:val="TSBHeaderQuestion"/>
            </w:pPr>
            <w:r>
              <w:t>N/</w:t>
            </w:r>
            <w:r w:rsidR="00FE038F">
              <w:t>A</w:t>
            </w:r>
          </w:p>
        </w:tc>
        <w:tc>
          <w:tcPr>
            <w:tcW w:w="3345" w:type="dxa"/>
          </w:tcPr>
          <w:p w14:paraId="7DCCD05E" w14:textId="77777777" w:rsidR="00FE038F" w:rsidRDefault="00FE038F" w:rsidP="00793234">
            <w:pPr>
              <w:pStyle w:val="VenueDate"/>
            </w:pPr>
            <w:r>
              <w:t>Geneva, 30 May - 2 June 2023</w:t>
            </w:r>
          </w:p>
        </w:tc>
      </w:tr>
      <w:tr w:rsidR="00FE038F" w14:paraId="64B0E372" w14:textId="77777777" w:rsidTr="00793234">
        <w:trPr>
          <w:cantSplit/>
          <w:trHeight w:val="357"/>
        </w:trPr>
        <w:tc>
          <w:tcPr>
            <w:tcW w:w="9639" w:type="dxa"/>
            <w:gridSpan w:val="5"/>
          </w:tcPr>
          <w:p w14:paraId="2389488C" w14:textId="7348A856" w:rsidR="00FE038F" w:rsidRDefault="00FE038F" w:rsidP="00793234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464A8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SG9-LS21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FE038F" w14:paraId="67216EC3" w14:textId="77777777" w:rsidTr="00793234">
        <w:trPr>
          <w:cantSplit/>
          <w:trHeight w:val="357"/>
        </w:trPr>
        <w:tc>
          <w:tcPr>
            <w:tcW w:w="1550" w:type="dxa"/>
            <w:gridSpan w:val="2"/>
          </w:tcPr>
          <w:p w14:paraId="71127C48" w14:textId="77777777" w:rsidR="00FE038F" w:rsidRDefault="00FE038F" w:rsidP="0079323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6D36B743" w14:textId="77777777" w:rsidR="00FE038F" w:rsidRDefault="00FE038F" w:rsidP="00793234">
            <w:pPr>
              <w:pStyle w:val="TSBHeaderSource"/>
            </w:pPr>
            <w:r>
              <w:t>ITU-T Study Group 9</w:t>
            </w:r>
          </w:p>
        </w:tc>
      </w:tr>
      <w:tr w:rsidR="00FE038F" w14:paraId="23619B91" w14:textId="77777777" w:rsidTr="00793234">
        <w:trPr>
          <w:cantSplit/>
          <w:trHeight w:val="357"/>
        </w:trPr>
        <w:tc>
          <w:tcPr>
            <w:tcW w:w="1550" w:type="dxa"/>
            <w:gridSpan w:val="2"/>
          </w:tcPr>
          <w:p w14:paraId="08A31E90" w14:textId="77777777" w:rsidR="00FE038F" w:rsidRDefault="00FE038F" w:rsidP="00793234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74D8271E" w14:textId="07D7AF1C" w:rsidR="00FE038F" w:rsidRDefault="00FE038F" w:rsidP="00793234">
            <w:pPr>
              <w:pStyle w:val="TSBHeaderTitle"/>
            </w:pPr>
            <w:r>
              <w:t>LS/r on smart TV Operating System (SG16-LS23)</w:t>
            </w:r>
            <w:r w:rsidR="00464A83">
              <w:t xml:space="preserve"> [from ITU-T SG9]</w:t>
            </w:r>
          </w:p>
        </w:tc>
      </w:tr>
      <w:tr w:rsidR="00FE038F" w14:paraId="1224EE5F" w14:textId="77777777" w:rsidTr="00793234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7299D247" w14:textId="77777777" w:rsidR="00FE038F" w:rsidRDefault="00FE038F" w:rsidP="00793234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FE038F" w14:paraId="387FAA98" w14:textId="77777777" w:rsidTr="00793234">
        <w:trPr>
          <w:cantSplit/>
          <w:trHeight w:val="357"/>
        </w:trPr>
        <w:tc>
          <w:tcPr>
            <w:tcW w:w="2250" w:type="dxa"/>
            <w:gridSpan w:val="3"/>
          </w:tcPr>
          <w:p w14:paraId="2DD980AA" w14:textId="77777777" w:rsidR="00FE038F" w:rsidRDefault="00FE038F" w:rsidP="00793234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0C29BE8C" w14:textId="77777777" w:rsidR="00FE038F" w:rsidRDefault="00FE038F" w:rsidP="00793234">
            <w:r>
              <w:t>-</w:t>
            </w:r>
          </w:p>
        </w:tc>
      </w:tr>
      <w:tr w:rsidR="00FE038F" w14:paraId="33B036EC" w14:textId="77777777" w:rsidTr="00793234">
        <w:trPr>
          <w:cantSplit/>
          <w:trHeight w:val="357"/>
        </w:trPr>
        <w:tc>
          <w:tcPr>
            <w:tcW w:w="2250" w:type="dxa"/>
            <w:gridSpan w:val="3"/>
          </w:tcPr>
          <w:p w14:paraId="14C069BB" w14:textId="77777777" w:rsidR="00FE038F" w:rsidRDefault="00FE038F" w:rsidP="00793234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34A4DC9D" w14:textId="15756D0F" w:rsidR="00FE038F" w:rsidRDefault="00464A83" w:rsidP="00793234">
            <w:r>
              <w:t xml:space="preserve">ITU-T </w:t>
            </w:r>
            <w:r w:rsidR="00FE038F">
              <w:t>SG16, TSAG</w:t>
            </w:r>
          </w:p>
        </w:tc>
      </w:tr>
      <w:tr w:rsidR="00FE038F" w14:paraId="2AF5F091" w14:textId="77777777" w:rsidTr="00793234">
        <w:trPr>
          <w:cantSplit/>
          <w:trHeight w:val="357"/>
        </w:trPr>
        <w:tc>
          <w:tcPr>
            <w:tcW w:w="2250" w:type="dxa"/>
            <w:gridSpan w:val="3"/>
          </w:tcPr>
          <w:p w14:paraId="0A37C4F1" w14:textId="77777777" w:rsidR="00FE038F" w:rsidRDefault="00FE038F" w:rsidP="00793234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188B16CA" w14:textId="77777777" w:rsidR="00FE038F" w:rsidRDefault="00FE038F" w:rsidP="00793234">
            <w:r>
              <w:t>ITU-T Study Group 9 meeting (Bangalore,18 May 2023)</w:t>
            </w:r>
          </w:p>
        </w:tc>
      </w:tr>
      <w:tr w:rsidR="00FE038F" w14:paraId="08209CDE" w14:textId="77777777" w:rsidTr="00793234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81AB275" w14:textId="77777777" w:rsidR="00FE038F" w:rsidRDefault="00FE038F" w:rsidP="00793234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733D0CCA" w14:textId="77777777" w:rsidR="00FE038F" w:rsidRDefault="00FE038F" w:rsidP="00793234">
            <w:r>
              <w:t>N/A</w:t>
            </w:r>
          </w:p>
        </w:tc>
      </w:tr>
      <w:tr w:rsidR="00FE038F" w14:paraId="502693E9" w14:textId="77777777" w:rsidTr="00793234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62EB14F" w14:textId="77777777" w:rsidR="00FE038F" w:rsidRDefault="00FE038F" w:rsidP="00793234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28551A8A" w14:textId="77777777" w:rsidR="00FE038F" w:rsidRDefault="00FE038F" w:rsidP="00464A83">
            <w:r>
              <w:t>Haifeng Yan</w:t>
            </w:r>
            <w:r>
              <w:br/>
              <w:t>Huawei</w:t>
            </w:r>
            <w:r>
              <w:br/>
            </w:r>
            <w:proofErr w:type="spellStart"/>
            <w:r>
              <w:t>P.R.China</w:t>
            </w:r>
            <w:proofErr w:type="spellEnd"/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63E7D6C1" w14:textId="60E0608D" w:rsidR="00FE038F" w:rsidRDefault="00FE038F" w:rsidP="00464A83">
            <w:r>
              <w:t>Email:</w:t>
            </w:r>
            <w:r>
              <w:tab/>
            </w:r>
            <w:hyperlink r:id="rId12" w:history="1">
              <w:r w:rsidR="00464A83" w:rsidRPr="00580144">
                <w:rPr>
                  <w:rStyle w:val="Hyperlink"/>
                </w:rPr>
                <w:t>yanhaifeng@hisilicon.com</w:t>
              </w:r>
            </w:hyperlink>
            <w:r w:rsidR="00464A83">
              <w:t xml:space="preserve"> </w:t>
            </w:r>
          </w:p>
        </w:tc>
      </w:tr>
    </w:tbl>
    <w:p w14:paraId="73053DC3" w14:textId="77777777" w:rsidR="00FE038F" w:rsidRDefault="00FE038F" w:rsidP="00FE038F"/>
    <w:p w14:paraId="1765CCE7" w14:textId="77777777" w:rsidR="00FE038F" w:rsidRDefault="00FE038F" w:rsidP="00FE038F">
      <w:r>
        <w:t xml:space="preserve">This liaison statement answers </w:t>
      </w:r>
      <w:hyperlink r:id="rId13" w:history="1">
        <w:r>
          <w:rPr>
            <w:rStyle w:val="Hyperlink"/>
          </w:rPr>
          <w:t>SG16-LS23</w:t>
        </w:r>
      </w:hyperlink>
      <w:r>
        <w:t>.</w:t>
      </w:r>
    </w:p>
    <w:p w14:paraId="37726C32" w14:textId="77777777" w:rsidR="00FE038F" w:rsidRDefault="00FE038F" w:rsidP="00FE038F"/>
    <w:p w14:paraId="3BAD8F6F" w14:textId="77777777" w:rsidR="00FE038F" w:rsidRDefault="00FE038F" w:rsidP="00FE038F">
      <w:r>
        <w:t>A new liaison statement has been received from SG9.</w:t>
      </w:r>
    </w:p>
    <w:p w14:paraId="0C6463ED" w14:textId="77777777" w:rsidR="00FE038F" w:rsidRDefault="00FE038F" w:rsidP="00FE038F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http://handle.itu.int/11.1002/ls/sp17-sg9-oLS-00021.docx</w:t>
        </w:r>
      </w:hyperlink>
      <w:r>
        <w:t>.</w:t>
      </w:r>
    </w:p>
    <w:p w14:paraId="025A4355" w14:textId="77777777" w:rsidR="00FE038F" w:rsidRDefault="00FE038F" w:rsidP="00FE038F">
      <w:pPr>
        <w:spacing w:before="0"/>
        <w:jc w:val="center"/>
      </w:pPr>
    </w:p>
    <w:p w14:paraId="7BC1FC56" w14:textId="77777777" w:rsidR="00FE038F" w:rsidRDefault="00FE038F">
      <w:r>
        <w:br w:type="page"/>
      </w:r>
    </w:p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7"/>
        <w:gridCol w:w="441"/>
        <w:gridCol w:w="62"/>
        <w:gridCol w:w="577"/>
        <w:gridCol w:w="3118"/>
        <w:gridCol w:w="153"/>
        <w:gridCol w:w="4241"/>
      </w:tblGrid>
      <w:tr w:rsidR="00D625DE" w:rsidRPr="00D625DE" w14:paraId="700D4EF6" w14:textId="77777777" w:rsidTr="00D625DE">
        <w:trPr>
          <w:cantSplit/>
        </w:trPr>
        <w:tc>
          <w:tcPr>
            <w:tcW w:w="1047" w:type="dxa"/>
            <w:vMerge w:val="restart"/>
            <w:vAlign w:val="center"/>
          </w:tcPr>
          <w:p w14:paraId="41FD86E8" w14:textId="7E180D45" w:rsidR="00D625DE" w:rsidRPr="00D625DE" w:rsidRDefault="00D625DE" w:rsidP="00D625DE">
            <w:pPr>
              <w:spacing w:before="0"/>
              <w:jc w:val="center"/>
              <w:rPr>
                <w:sz w:val="20"/>
                <w:szCs w:val="20"/>
              </w:rPr>
            </w:pPr>
            <w:r w:rsidRPr="00D625DE">
              <w:rPr>
                <w:noProof/>
              </w:rPr>
              <w:lastRenderedPageBreak/>
              <w:drawing>
                <wp:inline distT="0" distB="0" distL="0" distR="0" wp14:anchorId="3F8CACFB" wp14:editId="12D4E756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362D5470" w14:textId="77777777" w:rsidR="00D625DE" w:rsidRPr="00D625DE" w:rsidRDefault="00D625DE" w:rsidP="00D625DE">
            <w:pPr>
              <w:rPr>
                <w:sz w:val="16"/>
                <w:szCs w:val="16"/>
              </w:rPr>
            </w:pPr>
            <w:r w:rsidRPr="00D625DE">
              <w:rPr>
                <w:sz w:val="16"/>
                <w:szCs w:val="16"/>
              </w:rPr>
              <w:t>INTERNATIONAL TELECOMMUNICATION UNION</w:t>
            </w:r>
          </w:p>
          <w:p w14:paraId="040D2495" w14:textId="77777777" w:rsidR="00D625DE" w:rsidRPr="00D625DE" w:rsidRDefault="00D625DE" w:rsidP="00D625DE">
            <w:pPr>
              <w:rPr>
                <w:b/>
                <w:bCs/>
                <w:sz w:val="26"/>
                <w:szCs w:val="26"/>
              </w:rPr>
            </w:pPr>
            <w:r w:rsidRPr="00D625DE">
              <w:rPr>
                <w:b/>
                <w:bCs/>
                <w:sz w:val="26"/>
                <w:szCs w:val="26"/>
              </w:rPr>
              <w:t>TELECOMMUNICATION</w:t>
            </w:r>
            <w:r w:rsidRPr="00D625D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7411E15" w14:textId="77777777" w:rsidR="00D625DE" w:rsidRPr="00D625DE" w:rsidRDefault="00D625DE" w:rsidP="00D625DE">
            <w:pPr>
              <w:rPr>
                <w:sz w:val="20"/>
                <w:szCs w:val="20"/>
              </w:rPr>
            </w:pPr>
            <w:r w:rsidRPr="00D625DE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D625DE">
              <w:rPr>
                <w:sz w:val="20"/>
              </w:rPr>
              <w:t>2022</w:t>
            </w:r>
            <w:r w:rsidRPr="00D625DE">
              <w:rPr>
                <w:sz w:val="20"/>
                <w:szCs w:val="20"/>
              </w:rPr>
              <w:t>-</w:t>
            </w:r>
            <w:r w:rsidRPr="00D625DE">
              <w:rPr>
                <w:sz w:val="20"/>
              </w:rPr>
              <w:t>2024</w:t>
            </w:r>
            <w:bookmarkEnd w:id="4"/>
          </w:p>
        </w:tc>
        <w:tc>
          <w:tcPr>
            <w:tcW w:w="4241" w:type="dxa"/>
            <w:vAlign w:val="center"/>
          </w:tcPr>
          <w:p w14:paraId="682BB6B6" w14:textId="69F59EA6" w:rsidR="00D625DE" w:rsidRPr="00FE038F" w:rsidRDefault="00D625DE" w:rsidP="00FE038F">
            <w:pPr>
              <w:jc w:val="right"/>
              <w:rPr>
                <w:b/>
                <w:sz w:val="28"/>
              </w:rPr>
            </w:pPr>
            <w:r w:rsidRPr="00FE038F">
              <w:rPr>
                <w:b/>
                <w:sz w:val="28"/>
              </w:rPr>
              <w:t>SG9-LS21</w:t>
            </w:r>
          </w:p>
        </w:tc>
      </w:tr>
      <w:tr w:rsidR="00D625DE" w:rsidRPr="00D625DE" w14:paraId="6F16D95E" w14:textId="77777777" w:rsidTr="00D625DE">
        <w:trPr>
          <w:cantSplit/>
        </w:trPr>
        <w:tc>
          <w:tcPr>
            <w:tcW w:w="1047" w:type="dxa"/>
            <w:vMerge/>
          </w:tcPr>
          <w:p w14:paraId="499B3452" w14:textId="77777777" w:rsidR="00D625DE" w:rsidRPr="00D625DE" w:rsidRDefault="00D625DE" w:rsidP="00D625DE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6232F87E" w14:textId="77777777" w:rsidR="00D625DE" w:rsidRPr="00D625DE" w:rsidRDefault="00D625DE" w:rsidP="00D625DE">
            <w:pPr>
              <w:rPr>
                <w:smallCaps/>
                <w:sz w:val="20"/>
              </w:rPr>
            </w:pPr>
          </w:p>
        </w:tc>
        <w:tc>
          <w:tcPr>
            <w:tcW w:w="4241" w:type="dxa"/>
          </w:tcPr>
          <w:p w14:paraId="5873D748" w14:textId="73BE6355" w:rsidR="00D625DE" w:rsidRPr="00D625DE" w:rsidRDefault="00D625DE" w:rsidP="00D625DE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9</w:t>
            </w:r>
          </w:p>
        </w:tc>
      </w:tr>
      <w:bookmarkEnd w:id="5"/>
      <w:tr w:rsidR="00D625DE" w:rsidRPr="00D625DE" w14:paraId="39D3CBB3" w14:textId="77777777" w:rsidTr="00D625DE">
        <w:trPr>
          <w:cantSplit/>
        </w:trPr>
        <w:tc>
          <w:tcPr>
            <w:tcW w:w="1047" w:type="dxa"/>
            <w:vMerge/>
            <w:tcBorders>
              <w:bottom w:val="single" w:sz="12" w:space="0" w:color="auto"/>
            </w:tcBorders>
          </w:tcPr>
          <w:p w14:paraId="5A9DE0C9" w14:textId="77777777" w:rsidR="00D625DE" w:rsidRPr="00D625DE" w:rsidRDefault="00D625DE" w:rsidP="00D625DE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75C55FC0" w14:textId="77777777" w:rsidR="00D625DE" w:rsidRPr="00D625DE" w:rsidRDefault="00D625DE" w:rsidP="00D625DE">
            <w:pPr>
              <w:rPr>
                <w:b/>
                <w:bCs/>
                <w:sz w:val="26"/>
              </w:rPr>
            </w:pPr>
          </w:p>
        </w:tc>
        <w:tc>
          <w:tcPr>
            <w:tcW w:w="4241" w:type="dxa"/>
            <w:tcBorders>
              <w:bottom w:val="single" w:sz="12" w:space="0" w:color="auto"/>
            </w:tcBorders>
            <w:vAlign w:val="center"/>
          </w:tcPr>
          <w:p w14:paraId="2FF735B2" w14:textId="77777777" w:rsidR="00D625DE" w:rsidRPr="00D625DE" w:rsidRDefault="00D625DE" w:rsidP="00D625DE">
            <w:pPr>
              <w:jc w:val="right"/>
              <w:rPr>
                <w:b/>
                <w:bCs/>
                <w:sz w:val="28"/>
                <w:szCs w:val="28"/>
              </w:rPr>
            </w:pPr>
            <w:r w:rsidRPr="00D625DE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625DE" w:rsidRPr="00D625DE" w14:paraId="474E32AE" w14:textId="77777777" w:rsidTr="00D625DE">
        <w:trPr>
          <w:cantSplit/>
        </w:trPr>
        <w:tc>
          <w:tcPr>
            <w:tcW w:w="1488" w:type="dxa"/>
            <w:gridSpan w:val="2"/>
          </w:tcPr>
          <w:p w14:paraId="0D3A6A4C" w14:textId="77777777" w:rsidR="00D625DE" w:rsidRPr="00D625DE" w:rsidRDefault="00D625DE" w:rsidP="00D625DE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D625DE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150C980A" w14:textId="0ED4405E" w:rsidR="00D625DE" w:rsidRPr="00D625DE" w:rsidRDefault="00D625DE" w:rsidP="00D625DE">
            <w:r w:rsidRPr="00D625DE">
              <w:t>5/9</w:t>
            </w:r>
          </w:p>
        </w:tc>
        <w:tc>
          <w:tcPr>
            <w:tcW w:w="4241" w:type="dxa"/>
          </w:tcPr>
          <w:p w14:paraId="1F31747A" w14:textId="7FB60580" w:rsidR="00D625DE" w:rsidRPr="00D625DE" w:rsidRDefault="00D625DE" w:rsidP="00D625DE">
            <w:pPr>
              <w:jc w:val="right"/>
            </w:pPr>
            <w:r w:rsidRPr="00D625DE">
              <w:t>Bangalore, 9-18 May 2023</w:t>
            </w:r>
          </w:p>
        </w:tc>
      </w:tr>
      <w:tr w:rsidR="00D625DE" w:rsidRPr="00D625DE" w14:paraId="42295C7E" w14:textId="77777777" w:rsidTr="00D625DE">
        <w:trPr>
          <w:cantSplit/>
        </w:trPr>
        <w:tc>
          <w:tcPr>
            <w:tcW w:w="9639" w:type="dxa"/>
            <w:gridSpan w:val="7"/>
          </w:tcPr>
          <w:p w14:paraId="1DFB0632" w14:textId="443008A7" w:rsidR="00D625DE" w:rsidRPr="00D625DE" w:rsidRDefault="00D625DE" w:rsidP="00D625DE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>
              <w:rPr>
                <w:b/>
                <w:bCs/>
              </w:rPr>
              <w:t>LS</w:t>
            </w:r>
            <w:r>
              <w:rPr>
                <w:b/>
                <w:bCs/>
              </w:rPr>
              <w:br/>
              <w:t>(</w:t>
            </w:r>
            <w:r w:rsidRPr="00D625DE">
              <w:rPr>
                <w:b/>
                <w:bCs/>
              </w:rPr>
              <w:t xml:space="preserve">Ref.: </w:t>
            </w:r>
            <w:hyperlink r:id="rId15" w:history="1">
              <w:r w:rsidRPr="00D625DE">
                <w:rPr>
                  <w:rStyle w:val="Hyperlink"/>
                  <w:b/>
                  <w:bCs/>
                </w:rPr>
                <w:t>SG9-TD382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D625DE" w:rsidRPr="00D625DE" w14:paraId="6D5B1149" w14:textId="77777777" w:rsidTr="00D625DE">
        <w:trPr>
          <w:cantSplit/>
        </w:trPr>
        <w:tc>
          <w:tcPr>
            <w:tcW w:w="1488" w:type="dxa"/>
            <w:gridSpan w:val="2"/>
          </w:tcPr>
          <w:p w14:paraId="47CE2DAE" w14:textId="77777777" w:rsidR="00D625DE" w:rsidRPr="00D625DE" w:rsidRDefault="00D625DE" w:rsidP="00D625DE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D625DE">
              <w:rPr>
                <w:b/>
                <w:bCs/>
              </w:rPr>
              <w:t>Source:</w:t>
            </w:r>
          </w:p>
        </w:tc>
        <w:tc>
          <w:tcPr>
            <w:tcW w:w="8151" w:type="dxa"/>
            <w:gridSpan w:val="5"/>
          </w:tcPr>
          <w:p w14:paraId="4BBB593B" w14:textId="0A75C7FE" w:rsidR="00D625DE" w:rsidRPr="00D625DE" w:rsidRDefault="00152E05" w:rsidP="00152E05">
            <w:pPr>
              <w:pStyle w:val="LSSource"/>
            </w:pPr>
            <w:r>
              <w:t>ITU-T Study Group 9</w:t>
            </w:r>
          </w:p>
        </w:tc>
      </w:tr>
      <w:tr w:rsidR="00D625DE" w:rsidRPr="00D625DE" w14:paraId="6E61F8A4" w14:textId="77777777" w:rsidTr="00D625DE">
        <w:trPr>
          <w:cantSplit/>
        </w:trPr>
        <w:tc>
          <w:tcPr>
            <w:tcW w:w="1488" w:type="dxa"/>
            <w:gridSpan w:val="2"/>
            <w:tcBorders>
              <w:bottom w:val="single" w:sz="8" w:space="0" w:color="auto"/>
            </w:tcBorders>
          </w:tcPr>
          <w:p w14:paraId="59B30A17" w14:textId="77777777" w:rsidR="00D625DE" w:rsidRPr="00D625DE" w:rsidRDefault="00D625DE" w:rsidP="00D625DE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D625DE">
              <w:rPr>
                <w:b/>
                <w:bCs/>
              </w:rPr>
              <w:t>Title:</w:t>
            </w:r>
          </w:p>
        </w:tc>
        <w:tc>
          <w:tcPr>
            <w:tcW w:w="8151" w:type="dxa"/>
            <w:gridSpan w:val="5"/>
            <w:tcBorders>
              <w:bottom w:val="single" w:sz="8" w:space="0" w:color="auto"/>
            </w:tcBorders>
          </w:tcPr>
          <w:p w14:paraId="4496F5D6" w14:textId="08AB643D" w:rsidR="00D625DE" w:rsidRPr="00D625DE" w:rsidRDefault="00D625DE" w:rsidP="00152E05">
            <w:pPr>
              <w:pStyle w:val="LSTitle"/>
            </w:pPr>
            <w:r w:rsidRPr="00D625DE">
              <w:t>LS/r on smart TV Operating System (SG16-LS23)</w:t>
            </w:r>
          </w:p>
        </w:tc>
      </w:tr>
      <w:bookmarkEnd w:id="1"/>
      <w:bookmarkEnd w:id="10"/>
      <w:tr w:rsidR="000C1FE6" w:rsidRPr="001B2EB4" w14:paraId="1F091718" w14:textId="77777777" w:rsidTr="00D625DE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5879FC4" w14:textId="77777777" w:rsidR="000C1FE6" w:rsidRPr="001B2EB4" w:rsidRDefault="000C1FE6" w:rsidP="00291719">
            <w:pPr>
              <w:jc w:val="center"/>
              <w:rPr>
                <w:b/>
                <w:bCs/>
              </w:rPr>
            </w:pPr>
            <w:r w:rsidRPr="001B2EB4">
              <w:rPr>
                <w:b/>
                <w:bCs/>
              </w:rPr>
              <w:t>LIAISON STATEMENT</w:t>
            </w:r>
          </w:p>
        </w:tc>
      </w:tr>
      <w:tr w:rsidR="000C1FE6" w:rsidRPr="005B4236" w14:paraId="5DF0D903" w14:textId="77777777" w:rsidTr="00D625DE">
        <w:trPr>
          <w:cantSplit/>
          <w:trHeight w:val="357"/>
        </w:trPr>
        <w:tc>
          <w:tcPr>
            <w:tcW w:w="2127" w:type="dxa"/>
            <w:gridSpan w:val="4"/>
          </w:tcPr>
          <w:p w14:paraId="3AC7B4FB" w14:textId="77777777" w:rsidR="000C1FE6" w:rsidRPr="001B2EB4" w:rsidRDefault="000C1FE6" w:rsidP="00291719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1A76E30B" w14:textId="77777777" w:rsidR="000C1FE6" w:rsidRPr="00B20038" w:rsidRDefault="00322E35" w:rsidP="00291719">
            <w:pPr>
              <w:pStyle w:val="LSForAction"/>
              <w:rPr>
                <w:lang w:val="fr-CH" w:eastAsia="zh-CN"/>
              </w:rPr>
            </w:pPr>
            <w:r>
              <w:rPr>
                <w:rFonts w:hint="eastAsia"/>
                <w:lang w:val="fr-CH" w:eastAsia="zh-CN"/>
              </w:rPr>
              <w:t>-</w:t>
            </w:r>
          </w:p>
        </w:tc>
      </w:tr>
      <w:tr w:rsidR="000C1FE6" w:rsidRPr="00155EFF" w14:paraId="46768D27" w14:textId="77777777" w:rsidTr="00D625DE">
        <w:trPr>
          <w:cantSplit/>
          <w:trHeight w:val="357"/>
        </w:trPr>
        <w:tc>
          <w:tcPr>
            <w:tcW w:w="2127" w:type="dxa"/>
            <w:gridSpan w:val="4"/>
          </w:tcPr>
          <w:p w14:paraId="7BC234E2" w14:textId="77777777" w:rsidR="000C1FE6" w:rsidRPr="001B2EB4" w:rsidRDefault="000C1FE6" w:rsidP="00291719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6473B869" w14:textId="77777777" w:rsidR="000C1FE6" w:rsidRPr="00155EFF" w:rsidRDefault="00524E73" w:rsidP="0030215D">
            <w:pPr>
              <w:pStyle w:val="LSForInfo"/>
              <w:rPr>
                <w:lang w:val="de-DE" w:eastAsia="zh-CN"/>
              </w:rPr>
            </w:pPr>
            <w:bookmarkStart w:id="11" w:name="_Toc94521760"/>
            <w:r w:rsidRPr="00155EFF">
              <w:rPr>
                <w:rFonts w:eastAsia="MS Mincho"/>
                <w:bCs w:val="0"/>
                <w:lang w:val="de-DE"/>
              </w:rPr>
              <w:t>ITU-T SG16</w:t>
            </w:r>
            <w:bookmarkEnd w:id="11"/>
            <w:r w:rsidR="00322E35" w:rsidRPr="00155EFF">
              <w:rPr>
                <w:rFonts w:hint="eastAsia"/>
                <w:bCs w:val="0"/>
                <w:lang w:val="de-DE" w:eastAsia="zh-CN"/>
              </w:rPr>
              <w:t xml:space="preserve">, </w:t>
            </w:r>
            <w:r w:rsidR="00322E35" w:rsidRPr="00155EFF">
              <w:rPr>
                <w:lang w:val="de-DE"/>
              </w:rPr>
              <w:t>TSAG RG-WM</w:t>
            </w:r>
          </w:p>
        </w:tc>
      </w:tr>
      <w:tr w:rsidR="000C1FE6" w:rsidRPr="001B2EB4" w14:paraId="0F2095E0" w14:textId="77777777" w:rsidTr="00D625DE">
        <w:trPr>
          <w:cantSplit/>
          <w:trHeight w:val="357"/>
        </w:trPr>
        <w:tc>
          <w:tcPr>
            <w:tcW w:w="2127" w:type="dxa"/>
            <w:gridSpan w:val="4"/>
          </w:tcPr>
          <w:p w14:paraId="4D11F86B" w14:textId="77777777" w:rsidR="000C1FE6" w:rsidRPr="001B2EB4" w:rsidRDefault="000C1FE6" w:rsidP="00291719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45740640" w14:textId="2B55B386" w:rsidR="000C1FE6" w:rsidRPr="00B67B49" w:rsidRDefault="00524E73" w:rsidP="00291719">
            <w:pPr>
              <w:rPr>
                <w:bCs/>
              </w:rPr>
            </w:pPr>
            <w:r w:rsidRPr="00AF5ED4">
              <w:rPr>
                <w:rFonts w:hint="eastAsia"/>
              </w:rPr>
              <w:t>I</w:t>
            </w:r>
            <w:r w:rsidRPr="00AF5ED4">
              <w:t xml:space="preserve">TU-T </w:t>
            </w:r>
            <w:r>
              <w:t>Study Group 9</w:t>
            </w:r>
            <w:r w:rsidRPr="00AF5ED4">
              <w:t xml:space="preserve"> meeting</w:t>
            </w:r>
            <w:r w:rsidR="000C1FE6" w:rsidRPr="00B67B49">
              <w:rPr>
                <w:bCs/>
              </w:rPr>
              <w:t xml:space="preserve"> (</w:t>
            </w:r>
            <w:r w:rsidR="00322E35" w:rsidRPr="00FF406D">
              <w:t>Bangalore, 18 May 2023</w:t>
            </w:r>
            <w:r w:rsidR="000C1FE6" w:rsidRPr="00B67B49">
              <w:rPr>
                <w:bCs/>
              </w:rPr>
              <w:t>)</w:t>
            </w:r>
          </w:p>
        </w:tc>
      </w:tr>
      <w:tr w:rsidR="000C1FE6" w:rsidRPr="001B2EB4" w14:paraId="3C64C642" w14:textId="77777777" w:rsidTr="00D625DE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02276EF" w14:textId="77777777" w:rsidR="000C1FE6" w:rsidRPr="001B2EB4" w:rsidRDefault="000C1FE6" w:rsidP="00291719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75399061" w14:textId="77777777" w:rsidR="000C1FE6" w:rsidRPr="00F625D2" w:rsidRDefault="00A251A2" w:rsidP="00291719">
            <w:pPr>
              <w:pStyle w:val="LSDeadline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</w:tr>
      <w:tr w:rsidR="00524E73" w:rsidRPr="00D90CE0" w14:paraId="633B4827" w14:textId="77777777" w:rsidTr="00D625D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116B6E9" w14:textId="77777777" w:rsidR="00524E73" w:rsidRDefault="00524E73" w:rsidP="004B115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F73AF75" w14:textId="7BC9E11D" w:rsidR="00524E73" w:rsidRPr="00CE1686" w:rsidRDefault="00524E73" w:rsidP="004B1152">
            <w:r>
              <w:rPr>
                <w:rFonts w:hint="eastAsia"/>
                <w:lang w:eastAsia="zh-CN"/>
              </w:rPr>
              <w:t>Haifeng Yan</w:t>
            </w:r>
            <w:r>
              <w:rPr>
                <w:rFonts w:hint="eastAsia"/>
                <w:lang w:eastAsia="zh-CN"/>
              </w:rPr>
              <w:br/>
              <w:t>Huawei</w:t>
            </w:r>
            <w:r>
              <w:rPr>
                <w:rFonts w:hint="eastAsia"/>
                <w:lang w:eastAsia="zh-CN"/>
              </w:rPr>
              <w:br/>
            </w:r>
            <w:proofErr w:type="spellStart"/>
            <w:r>
              <w:rPr>
                <w:rFonts w:hint="eastAsia"/>
                <w:lang w:eastAsia="zh-CN"/>
              </w:rPr>
              <w:t>P.R.China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41EF8CA" w14:textId="5FC679A0" w:rsidR="00524E73" w:rsidRPr="00CE1686" w:rsidRDefault="00524E73" w:rsidP="004B1152">
            <w:pPr>
              <w:tabs>
                <w:tab w:val="left" w:pos="796"/>
              </w:tabs>
            </w:pPr>
            <w:r w:rsidRPr="002A3E14">
              <w:t>Email:</w:t>
            </w:r>
            <w:r>
              <w:tab/>
            </w:r>
            <w:hyperlink r:id="rId16" w:history="1">
              <w:r w:rsidRPr="005E7691">
                <w:rPr>
                  <w:rStyle w:val="Hyperlink"/>
                </w:rPr>
                <w:t>yanhaifeng@hisilicon.com</w:t>
              </w:r>
            </w:hyperlink>
          </w:p>
        </w:tc>
      </w:tr>
    </w:tbl>
    <w:p w14:paraId="744BFA39" w14:textId="77777777" w:rsidR="000C1FE6" w:rsidRDefault="000C1FE6" w:rsidP="000C1FE6">
      <w:pPr>
        <w:spacing w:before="0"/>
      </w:pPr>
    </w:p>
    <w:tbl>
      <w:tblPr>
        <w:tblW w:w="9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8157"/>
      </w:tblGrid>
      <w:tr w:rsidR="000C1FE6" w14:paraId="2FCEC4D4" w14:textId="77777777" w:rsidTr="005B4236">
        <w:trPr>
          <w:cantSplit/>
        </w:trPr>
        <w:tc>
          <w:tcPr>
            <w:tcW w:w="1616" w:type="dxa"/>
            <w:hideMark/>
          </w:tcPr>
          <w:p w14:paraId="21CB58CA" w14:textId="77777777" w:rsidR="000C1FE6" w:rsidRDefault="000C1FE6" w:rsidP="00291719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157" w:type="dxa"/>
          </w:tcPr>
          <w:p w14:paraId="111A0F6F" w14:textId="77777777" w:rsidR="000C1FE6" w:rsidRPr="009216FC" w:rsidRDefault="00D71133" w:rsidP="00291719">
            <w:r w:rsidRPr="00D71133">
              <w:t xml:space="preserve">This liaison statement replies to the LS from </w:t>
            </w:r>
            <w:r w:rsidRPr="001125F6">
              <w:rPr>
                <w:rFonts w:eastAsia="MS Mincho"/>
              </w:rPr>
              <w:t>ITU-T SG</w:t>
            </w:r>
            <w:r>
              <w:rPr>
                <w:rFonts w:eastAsia="MS Mincho"/>
              </w:rPr>
              <w:t>1</w:t>
            </w:r>
            <w:r w:rsidRPr="001125F6">
              <w:rPr>
                <w:rFonts w:eastAsia="MS Mincho"/>
              </w:rPr>
              <w:t>6</w:t>
            </w:r>
            <w:r w:rsidR="00253616">
              <w:rPr>
                <w:rFonts w:eastAsia="MS Mincho"/>
              </w:rPr>
              <w:t xml:space="preserve"> </w:t>
            </w:r>
            <w:r w:rsidR="00253616" w:rsidRPr="005B4236">
              <w:t>(</w:t>
            </w:r>
            <w:hyperlink r:id="rId17" w:history="1">
              <w:r w:rsidR="00253616" w:rsidRPr="00322E35">
                <w:rPr>
                  <w:rStyle w:val="Hyperlink"/>
                  <w:bCs/>
                </w:rPr>
                <w:t>SG16-LS23</w:t>
              </w:r>
            </w:hyperlink>
            <w:r w:rsidR="00253616" w:rsidRPr="005B4236">
              <w:t>)</w:t>
            </w:r>
            <w:r w:rsidRPr="00D71133">
              <w:t xml:space="preserve"> on smart TV Operating System.</w:t>
            </w:r>
          </w:p>
        </w:tc>
      </w:tr>
    </w:tbl>
    <w:p w14:paraId="2A61D900" w14:textId="77777777" w:rsidR="000C1FE6" w:rsidRDefault="000C1FE6" w:rsidP="000C1FE6">
      <w:pPr>
        <w:spacing w:before="0"/>
      </w:pPr>
    </w:p>
    <w:p w14:paraId="06CEA2A1" w14:textId="77777777" w:rsidR="000C1FE6" w:rsidRDefault="00D71133" w:rsidP="000C1FE6">
      <w:pPr>
        <w:rPr>
          <w:lang w:eastAsia="zh-CN"/>
        </w:rPr>
      </w:pPr>
      <w:r w:rsidRPr="001125F6">
        <w:rPr>
          <w:rFonts w:eastAsia="MS Mincho"/>
        </w:rPr>
        <w:t xml:space="preserve">ITU-T </w:t>
      </w:r>
      <w:r w:rsidRPr="00D71133">
        <w:t xml:space="preserve">SG9 thanks </w:t>
      </w:r>
      <w:r w:rsidR="002111B6">
        <w:t xml:space="preserve">ITU-T SG16 </w:t>
      </w:r>
      <w:r w:rsidRPr="00D71133">
        <w:t>for the liaison</w:t>
      </w:r>
      <w:r w:rsidR="000C1FE6">
        <w:rPr>
          <w:lang w:val="en-US" w:eastAsia="zh-CN"/>
        </w:rPr>
        <w:t xml:space="preserve"> </w:t>
      </w:r>
      <w:r w:rsidR="000C1FE6" w:rsidRPr="00033BB9">
        <w:rPr>
          <w:lang w:val="en-US" w:eastAsia="zh-CN"/>
        </w:rPr>
        <w:t xml:space="preserve">(your </w:t>
      </w:r>
      <w:hyperlink r:id="rId18" w:history="1">
        <w:r w:rsidR="00322E35" w:rsidRPr="00322E35">
          <w:rPr>
            <w:rStyle w:val="Hyperlink"/>
            <w:bCs/>
          </w:rPr>
          <w:t>SG16-LS23</w:t>
        </w:r>
      </w:hyperlink>
      <w:r w:rsidR="000C1FE6" w:rsidRPr="00033BB9">
        <w:rPr>
          <w:lang w:val="en-US" w:eastAsia="zh-CN"/>
        </w:rPr>
        <w:t>)</w:t>
      </w:r>
      <w:r>
        <w:rPr>
          <w:rFonts w:hint="eastAsia"/>
          <w:lang w:val="en-US" w:eastAsia="zh-CN"/>
        </w:rPr>
        <w:t xml:space="preserve"> </w:t>
      </w:r>
      <w:r w:rsidR="00AB3DCA">
        <w:t>to</w:t>
      </w:r>
      <w:r w:rsidR="00AB3DCA" w:rsidRPr="00327692">
        <w:t xml:space="preserve"> clarify the issues discussed on TVOS-related work items</w:t>
      </w:r>
      <w:r w:rsidR="000C1FE6">
        <w:rPr>
          <w:lang w:eastAsia="zh-CN"/>
        </w:rPr>
        <w:t>.</w:t>
      </w:r>
    </w:p>
    <w:p w14:paraId="4041B4DC" w14:textId="77777777" w:rsidR="002111B6" w:rsidRDefault="00317E19" w:rsidP="000C1FE6">
      <w:pPr>
        <w:rPr>
          <w:lang w:eastAsia="zh-CN"/>
        </w:rPr>
      </w:pPr>
      <w:r>
        <w:rPr>
          <w:rFonts w:hint="eastAsia"/>
          <w:lang w:eastAsia="zh-CN"/>
        </w:rPr>
        <w:t xml:space="preserve">During </w:t>
      </w:r>
      <w:r w:rsidR="00D71133" w:rsidRPr="001125F6">
        <w:rPr>
          <w:rFonts w:eastAsia="MS Mincho"/>
        </w:rPr>
        <w:t xml:space="preserve">ITU-T </w:t>
      </w:r>
      <w:r w:rsidR="00524E73" w:rsidRPr="00524E73">
        <w:t xml:space="preserve">SG9 </w:t>
      </w:r>
      <w:r>
        <w:rPr>
          <w:rFonts w:hint="eastAsia"/>
          <w:lang w:eastAsia="zh-CN"/>
        </w:rPr>
        <w:t>meeting</w:t>
      </w:r>
      <w:r w:rsidR="00253616">
        <w:rPr>
          <w:lang w:eastAsia="zh-CN"/>
        </w:rPr>
        <w:t xml:space="preserve">, </w:t>
      </w:r>
      <w:r w:rsidR="00253616" w:rsidRPr="00FF406D">
        <w:t>Bangalore, 9-18 May 2023</w:t>
      </w:r>
      <w:r>
        <w:rPr>
          <w:rFonts w:hint="eastAsia"/>
          <w:lang w:eastAsia="zh-CN"/>
        </w:rPr>
        <w:t xml:space="preserve">, we discussed </w:t>
      </w:r>
      <w:r w:rsidR="00253616">
        <w:rPr>
          <w:lang w:eastAsia="zh-CN"/>
        </w:rPr>
        <w:t xml:space="preserve">your concerns in relation to </w:t>
      </w:r>
      <w:r>
        <w:t xml:space="preserve">the information displayed in the </w:t>
      </w:r>
      <w:r w:rsidR="00253616">
        <w:t xml:space="preserve">ITU-T </w:t>
      </w:r>
      <w:r w:rsidRPr="007002DC">
        <w:t xml:space="preserve">website </w:t>
      </w:r>
      <w:r>
        <w:t xml:space="preserve">pages </w:t>
      </w:r>
      <w:r w:rsidRPr="007002DC">
        <w:t>where the Recommendation details are listed</w:t>
      </w:r>
      <w:r>
        <w:rPr>
          <w:rFonts w:hint="eastAsia"/>
          <w:lang w:eastAsia="zh-CN"/>
        </w:rPr>
        <w:t>.</w:t>
      </w:r>
      <w:r w:rsidR="00B213D7">
        <w:rPr>
          <w:rFonts w:hint="eastAsia"/>
          <w:lang w:eastAsia="zh-CN"/>
        </w:rPr>
        <w:t xml:space="preserve"> </w:t>
      </w:r>
    </w:p>
    <w:p w14:paraId="33C42281" w14:textId="77777777" w:rsidR="00253616" w:rsidRDefault="00253616" w:rsidP="000C1FE6">
      <w:pPr>
        <w:rPr>
          <w:lang w:eastAsia="zh-CN"/>
        </w:rPr>
      </w:pPr>
      <w:r>
        <w:rPr>
          <w:lang w:eastAsia="zh-CN"/>
        </w:rPr>
        <w:t xml:space="preserve">We noted that in each website there is a way to get the scope and the title of the </w:t>
      </w:r>
      <w:r w:rsidR="002111B6">
        <w:rPr>
          <w:lang w:eastAsia="zh-CN"/>
        </w:rPr>
        <w:t>Recommendation,</w:t>
      </w:r>
      <w:r>
        <w:rPr>
          <w:lang w:eastAsia="zh-CN"/>
        </w:rPr>
        <w:t xml:space="preserve"> and we hope to clarify in this liaison statement that there is no confusion on the scope of the SG9 Recommendations. We discussed this also with a representative from Brazil who mentioned that he was also a member of SG16 and that he agreed with SG9 views that there is no confusion on the scope of the SG9 Recommendations in SG9 pages.</w:t>
      </w:r>
      <w:r w:rsidR="002111B6">
        <w:rPr>
          <w:lang w:eastAsia="zh-CN"/>
        </w:rPr>
        <w:t xml:space="preserve"> He would report his views to SG16 </w:t>
      </w:r>
      <w:r w:rsidR="00787448">
        <w:rPr>
          <w:lang w:eastAsia="zh-CN"/>
        </w:rPr>
        <w:t>colleagues</w:t>
      </w:r>
      <w:r w:rsidR="002111B6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066C8CC1" w14:textId="77777777" w:rsidR="002111B6" w:rsidRDefault="002111B6" w:rsidP="000C1FE6">
      <w:pPr>
        <w:rPr>
          <w:lang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e listed the </w:t>
      </w:r>
      <w:r>
        <w:rPr>
          <w:lang w:eastAsia="zh-CN"/>
        </w:rPr>
        <w:t>relevant ITU-T</w:t>
      </w:r>
      <w:r>
        <w:rPr>
          <w:rFonts w:hint="eastAsia"/>
          <w:lang w:eastAsia="zh-CN"/>
        </w:rPr>
        <w:t xml:space="preserve"> website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below</w:t>
      </w:r>
      <w:r>
        <w:rPr>
          <w:lang w:eastAsia="zh-CN"/>
        </w:rPr>
        <w:t>, see from next page</w:t>
      </w:r>
      <w:r>
        <w:rPr>
          <w:rFonts w:hint="eastAsia"/>
          <w:lang w:eastAsia="zh-CN"/>
        </w:rPr>
        <w:t>:</w:t>
      </w:r>
    </w:p>
    <w:p w14:paraId="0D606C15" w14:textId="77777777" w:rsidR="007B439D" w:rsidRDefault="00464A83" w:rsidP="002111B6">
      <w:pPr>
        <w:pStyle w:val="ListParagraph"/>
        <w:keepNext/>
        <w:numPr>
          <w:ilvl w:val="0"/>
          <w:numId w:val="1"/>
        </w:numPr>
        <w:ind w:firstLineChars="0"/>
        <w:rPr>
          <w:lang w:eastAsia="zh-CN"/>
        </w:rPr>
      </w:pPr>
      <w:hyperlink r:id="rId19" w:history="1">
        <w:r w:rsidR="007B439D" w:rsidRPr="00CB3E26">
          <w:rPr>
            <w:rStyle w:val="Hyperlink"/>
            <w:lang w:eastAsia="zh-CN"/>
          </w:rPr>
          <w:t>https://www.itu.int/ITU-T/recommendations/rec.aspx?id=14871</w:t>
        </w:r>
      </w:hyperlink>
    </w:p>
    <w:p w14:paraId="471F1C4C" w14:textId="77777777" w:rsidR="00C37787" w:rsidRDefault="00C37787" w:rsidP="002111B6">
      <w:pPr>
        <w:pStyle w:val="ListParagraph"/>
        <w:keepNext/>
        <w:ind w:left="360"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summary</w:t>
      </w:r>
      <w:r>
        <w:rPr>
          <w:rFonts w:hint="eastAsia"/>
          <w:lang w:eastAsia="zh-CN"/>
        </w:rPr>
        <w:t xml:space="preserve"> of </w:t>
      </w:r>
      <w:r w:rsidR="002111B6">
        <w:rPr>
          <w:lang w:eastAsia="zh-CN"/>
        </w:rPr>
        <w:t xml:space="preserve">the </w:t>
      </w:r>
      <w:r w:rsidRPr="007002DC">
        <w:t>Recommendation</w:t>
      </w:r>
      <w:r>
        <w:rPr>
          <w:rFonts w:hint="eastAsia"/>
          <w:lang w:eastAsia="zh-CN"/>
        </w:rPr>
        <w:t xml:space="preserve"> is shown on the top.</w:t>
      </w:r>
    </w:p>
    <w:p w14:paraId="0F8D7212" w14:textId="77777777" w:rsidR="007B439D" w:rsidRDefault="007B439D" w:rsidP="00B213D7">
      <w:pPr>
        <w:jc w:val="center"/>
        <w:rPr>
          <w:lang w:eastAsia="zh-CN"/>
        </w:rPr>
      </w:pPr>
      <w:r>
        <w:rPr>
          <w:rFonts w:hint="eastAsia"/>
          <w:noProof/>
          <w:lang w:val="en-US" w:eastAsia="zh-CN"/>
        </w:rPr>
        <w:drawing>
          <wp:inline distT="0" distB="0" distL="0" distR="0" wp14:anchorId="04F787BD" wp14:editId="271EFEB5">
            <wp:extent cx="4119540" cy="3563101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902" cy="356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5DC394" w14:textId="77777777" w:rsidR="007B439D" w:rsidRDefault="00464A83" w:rsidP="00B213D7">
      <w:pPr>
        <w:pStyle w:val="ListParagraph"/>
        <w:numPr>
          <w:ilvl w:val="0"/>
          <w:numId w:val="1"/>
        </w:numPr>
        <w:ind w:firstLineChars="0"/>
        <w:rPr>
          <w:lang w:eastAsia="zh-CN"/>
        </w:rPr>
      </w:pPr>
      <w:hyperlink r:id="rId21" w:history="1">
        <w:r w:rsidR="007B439D" w:rsidRPr="00CB3E26">
          <w:rPr>
            <w:rStyle w:val="Hyperlink"/>
            <w:lang w:eastAsia="zh-CN"/>
          </w:rPr>
          <w:t>https://www.itu.int/rec/T-REC-J.1201-202201-I</w:t>
        </w:r>
      </w:hyperlink>
    </w:p>
    <w:p w14:paraId="6824D097" w14:textId="77777777" w:rsidR="00C37787" w:rsidRDefault="00C37787" w:rsidP="00C37787">
      <w:pPr>
        <w:pStyle w:val="ListParagraph"/>
        <w:ind w:left="360" w:firstLineChars="0" w:firstLine="0"/>
        <w:rPr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>he link of summary is shown on the right top.</w:t>
      </w:r>
    </w:p>
    <w:p w14:paraId="67632A2A" w14:textId="77777777" w:rsidR="007B439D" w:rsidRDefault="007B439D" w:rsidP="000C1FE6">
      <w:pPr>
        <w:rPr>
          <w:lang w:eastAsia="zh-CN"/>
        </w:rPr>
      </w:pPr>
      <w:r>
        <w:rPr>
          <w:rFonts w:hint="eastAsia"/>
          <w:noProof/>
          <w:lang w:val="en-US" w:eastAsia="zh-CN"/>
        </w:rPr>
        <w:drawing>
          <wp:inline distT="0" distB="0" distL="0" distR="0" wp14:anchorId="6B1E1D33" wp14:editId="7D53173F">
            <wp:extent cx="6111875" cy="2835275"/>
            <wp:effectExtent l="1905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283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556A04" w14:textId="77777777" w:rsidR="002A51A3" w:rsidRDefault="002A51A3" w:rsidP="002A51A3">
      <w:pPr>
        <w:keepNext/>
        <w:rPr>
          <w:lang w:eastAsia="zh-CN"/>
        </w:rPr>
      </w:pPr>
      <w:r>
        <w:rPr>
          <w:lang w:eastAsia="zh-CN"/>
        </w:rPr>
        <w:lastRenderedPageBreak/>
        <w:t xml:space="preserve">We also </w:t>
      </w:r>
      <w:r>
        <w:rPr>
          <w:rFonts w:hint="eastAsia"/>
          <w:lang w:eastAsia="zh-CN"/>
        </w:rPr>
        <w:t>search</w:t>
      </w:r>
      <w:r>
        <w:rPr>
          <w:lang w:eastAsia="zh-CN"/>
        </w:rPr>
        <w:t>ed</w:t>
      </w:r>
      <w:r>
        <w:rPr>
          <w:rFonts w:hint="eastAsia"/>
          <w:lang w:eastAsia="zh-CN"/>
        </w:rPr>
        <w:t xml:space="preserve"> the TVOS </w:t>
      </w:r>
      <w:r w:rsidRPr="007002DC">
        <w:t>Recommendation</w:t>
      </w:r>
      <w:r>
        <w:rPr>
          <w:rFonts w:hint="eastAsia"/>
          <w:lang w:eastAsia="zh-CN"/>
        </w:rPr>
        <w:t xml:space="preserve"> in </w:t>
      </w:r>
      <w:r>
        <w:rPr>
          <w:lang w:eastAsia="zh-CN"/>
        </w:rPr>
        <w:t>other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know</w:t>
      </w:r>
      <w:r w:rsidR="002111B6">
        <w:rPr>
          <w:lang w:eastAsia="zh-CN"/>
        </w:rPr>
        <w:t>n</w:t>
      </w:r>
      <w:r>
        <w:rPr>
          <w:lang w:eastAsia="zh-CN"/>
        </w:rPr>
        <w:t xml:space="preserve"> re</w:t>
      </w:r>
      <w:r>
        <w:rPr>
          <w:rFonts w:hint="eastAsia"/>
          <w:lang w:eastAsia="zh-CN"/>
        </w:rPr>
        <w:t>search engine</w:t>
      </w:r>
      <w:r>
        <w:rPr>
          <w:lang w:eastAsia="zh-CN"/>
        </w:rPr>
        <w:t>s for standards and we found the following:</w:t>
      </w:r>
    </w:p>
    <w:p w14:paraId="01D116B7" w14:textId="77777777" w:rsidR="007B439D" w:rsidRDefault="00464A83" w:rsidP="002A51A3">
      <w:pPr>
        <w:pStyle w:val="ListParagraph"/>
        <w:keepNext/>
        <w:numPr>
          <w:ilvl w:val="0"/>
          <w:numId w:val="1"/>
        </w:numPr>
        <w:ind w:firstLineChars="0"/>
        <w:rPr>
          <w:lang w:eastAsia="zh-CN"/>
        </w:rPr>
      </w:pPr>
      <w:hyperlink r:id="rId23" w:history="1">
        <w:r w:rsidR="002A51A3" w:rsidRPr="002A51A3">
          <w:rPr>
            <w:rStyle w:val="Hyperlink"/>
            <w:lang w:eastAsia="zh-CN"/>
          </w:rPr>
          <w:t>https://standards.globalspec.com/std/14517330/J.1201</w:t>
        </w:r>
      </w:hyperlink>
    </w:p>
    <w:p w14:paraId="4D61163D" w14:textId="77777777" w:rsidR="00C37787" w:rsidRDefault="00C37787" w:rsidP="002A51A3">
      <w:pPr>
        <w:pStyle w:val="ListParagraph"/>
        <w:keepNext/>
        <w:ind w:left="360"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The scope of </w:t>
      </w:r>
      <w:r w:rsidRPr="007002DC">
        <w:t>Recommendation</w:t>
      </w:r>
      <w:r>
        <w:rPr>
          <w:rFonts w:hint="eastAsia"/>
          <w:lang w:eastAsia="zh-CN"/>
        </w:rPr>
        <w:t xml:space="preserve"> is shown on the top.</w:t>
      </w:r>
    </w:p>
    <w:p w14:paraId="209EFF00" w14:textId="77777777" w:rsidR="007B439D" w:rsidRDefault="007B439D" w:rsidP="00B213D7">
      <w:pPr>
        <w:jc w:val="center"/>
        <w:rPr>
          <w:lang w:eastAsia="zh-CN"/>
        </w:rPr>
      </w:pPr>
      <w:r>
        <w:rPr>
          <w:rFonts w:hint="eastAsia"/>
          <w:noProof/>
          <w:lang w:val="en-US" w:eastAsia="zh-CN"/>
        </w:rPr>
        <w:drawing>
          <wp:inline distT="0" distB="0" distL="0" distR="0" wp14:anchorId="77AFD77A" wp14:editId="2FEA4C72">
            <wp:extent cx="4235115" cy="3014151"/>
            <wp:effectExtent l="19050" t="0" r="0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029" cy="301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6F81" w14:textId="77777777" w:rsidR="002A51A3" w:rsidRDefault="00B213D7" w:rsidP="000C1FE6">
      <w:pPr>
        <w:rPr>
          <w:lang w:eastAsia="zh-CN"/>
        </w:rPr>
      </w:pPr>
      <w:r w:rsidRPr="00524E73">
        <w:t>We note</w:t>
      </w:r>
      <w:r>
        <w:rPr>
          <w:rFonts w:hint="eastAsia"/>
          <w:lang w:eastAsia="zh-CN"/>
        </w:rPr>
        <w:t>d</w:t>
      </w:r>
      <w:r w:rsidRPr="00524E73">
        <w:t xml:space="preserve"> that </w:t>
      </w:r>
      <w:r>
        <w:rPr>
          <w:rFonts w:hint="eastAsia"/>
          <w:lang w:eastAsia="zh-CN"/>
        </w:rPr>
        <w:t>most of</w:t>
      </w:r>
      <w:r w:rsidRPr="00524E73">
        <w:t xml:space="preserve"> </w:t>
      </w:r>
      <w:r>
        <w:rPr>
          <w:rFonts w:hint="eastAsia"/>
          <w:lang w:eastAsia="zh-CN"/>
        </w:rPr>
        <w:t xml:space="preserve">the </w:t>
      </w:r>
      <w:r w:rsidRPr="00524E73">
        <w:t>webpage</w:t>
      </w:r>
      <w:r w:rsidR="002A51A3">
        <w:t>s</w:t>
      </w:r>
      <w:r w:rsidRPr="00524E73">
        <w:t xml:space="preserve"> </w:t>
      </w:r>
      <w:r>
        <w:rPr>
          <w:rFonts w:hint="eastAsia"/>
          <w:lang w:eastAsia="zh-CN"/>
        </w:rPr>
        <w:t xml:space="preserve">related to TVOS </w:t>
      </w:r>
      <w:r w:rsidRPr="007002DC">
        <w:t>Recommendation</w:t>
      </w:r>
      <w:r w:rsidR="002A51A3">
        <w:t>s (both within ITU and outside ITU)</w:t>
      </w:r>
      <w:r>
        <w:rPr>
          <w:rFonts w:hint="eastAsia"/>
          <w:lang w:eastAsia="zh-CN"/>
        </w:rPr>
        <w:t xml:space="preserve"> </w:t>
      </w:r>
      <w:r w:rsidR="002A51A3">
        <w:rPr>
          <w:lang w:eastAsia="zh-CN"/>
        </w:rPr>
        <w:t xml:space="preserve">clearly show </w:t>
      </w:r>
      <w:r>
        <w:rPr>
          <w:rFonts w:hint="eastAsia"/>
          <w:lang w:eastAsia="zh-CN"/>
        </w:rPr>
        <w:t xml:space="preserve">either </w:t>
      </w:r>
      <w:r w:rsidR="002A51A3"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summary or </w:t>
      </w:r>
      <w:r w:rsidR="002A51A3">
        <w:rPr>
          <w:lang w:eastAsia="zh-CN"/>
        </w:rPr>
        <w:t xml:space="preserve">the </w:t>
      </w:r>
      <w:r w:rsidR="00C37787">
        <w:rPr>
          <w:rFonts w:hint="eastAsia"/>
          <w:lang w:eastAsia="zh-CN"/>
        </w:rPr>
        <w:t>scope</w:t>
      </w:r>
      <w:r w:rsidR="002111B6">
        <w:rPr>
          <w:lang w:eastAsia="zh-CN"/>
        </w:rPr>
        <w:t xml:space="preserve"> of the Recommendation</w:t>
      </w:r>
      <w:r w:rsidR="00C37787">
        <w:rPr>
          <w:rFonts w:hint="eastAsia"/>
          <w:lang w:eastAsia="zh-CN"/>
        </w:rPr>
        <w:t xml:space="preserve"> </w:t>
      </w:r>
      <w:r w:rsidR="002A51A3">
        <w:rPr>
          <w:lang w:eastAsia="zh-CN"/>
        </w:rPr>
        <w:t>without the</w:t>
      </w:r>
      <w:r w:rsidR="00C37787">
        <w:rPr>
          <w:rFonts w:hint="eastAsia"/>
          <w:lang w:eastAsia="zh-CN"/>
        </w:rPr>
        <w:t xml:space="preserve"> need to download the whole </w:t>
      </w:r>
      <w:r w:rsidR="00C37787" w:rsidRPr="007002DC">
        <w:t>Recommendation</w:t>
      </w:r>
      <w:r w:rsidR="00C37787">
        <w:rPr>
          <w:rFonts w:hint="eastAsia"/>
          <w:lang w:eastAsia="zh-CN"/>
        </w:rPr>
        <w:t xml:space="preserve"> to find </w:t>
      </w:r>
      <w:r w:rsidR="002A51A3">
        <w:rPr>
          <w:lang w:eastAsia="zh-CN"/>
        </w:rPr>
        <w:t xml:space="preserve">it </w:t>
      </w:r>
      <w:r w:rsidR="00C37787">
        <w:rPr>
          <w:rFonts w:hint="eastAsia"/>
          <w:lang w:eastAsia="zh-CN"/>
        </w:rPr>
        <w:t xml:space="preserve">out. </w:t>
      </w:r>
    </w:p>
    <w:p w14:paraId="15276CCD" w14:textId="77777777" w:rsidR="002A51A3" w:rsidRDefault="002A51A3" w:rsidP="000C1FE6">
      <w:pPr>
        <w:rPr>
          <w:lang w:eastAsia="zh-CN"/>
        </w:rPr>
      </w:pPr>
      <w:r>
        <w:rPr>
          <w:lang w:eastAsia="zh-CN"/>
        </w:rPr>
        <w:t>We firmly believe that the content of a Recommendation</w:t>
      </w:r>
      <w:r w:rsidR="002111B6">
        <w:rPr>
          <w:lang w:eastAsia="zh-CN"/>
        </w:rPr>
        <w:t xml:space="preserve"> (and in general any standard)</w:t>
      </w:r>
      <w:r>
        <w:rPr>
          <w:lang w:eastAsia="zh-CN"/>
        </w:rPr>
        <w:t xml:space="preserve"> cannot be fully understood by </w:t>
      </w:r>
      <w:r w:rsidR="002111B6">
        <w:rPr>
          <w:lang w:eastAsia="zh-CN"/>
        </w:rPr>
        <w:t>its</w:t>
      </w:r>
      <w:r>
        <w:rPr>
          <w:lang w:eastAsia="zh-CN"/>
        </w:rPr>
        <w:t xml:space="preserve"> title only. That is the reason why the scope</w:t>
      </w:r>
      <w:r w:rsidR="002111B6">
        <w:rPr>
          <w:lang w:eastAsia="zh-CN"/>
        </w:rPr>
        <w:t xml:space="preserve"> clause</w:t>
      </w:r>
      <w:r>
        <w:rPr>
          <w:lang w:eastAsia="zh-CN"/>
        </w:rPr>
        <w:t xml:space="preserve"> is added within the text</w:t>
      </w:r>
      <w:r w:rsidR="002111B6">
        <w:rPr>
          <w:lang w:eastAsia="zh-CN"/>
        </w:rPr>
        <w:t xml:space="preserve"> of the standards, so downloading the Recommendation (/standard) full text seems an obvious action from any expert who come across an interesting document</w:t>
      </w:r>
      <w:r>
        <w:rPr>
          <w:lang w:eastAsia="zh-CN"/>
        </w:rPr>
        <w:t>. So</w:t>
      </w:r>
      <w:r w:rsidR="002111B6">
        <w:rPr>
          <w:lang w:eastAsia="zh-CN"/>
        </w:rPr>
        <w:t>,</w:t>
      </w:r>
      <w:r>
        <w:rPr>
          <w:lang w:eastAsia="zh-CN"/>
        </w:rPr>
        <w:t xml:space="preserve"> any delegate who would come across any ITU-T Recommendation would need to look for the scope to fully understand its applicability</w:t>
      </w:r>
      <w:r w:rsidR="002111B6">
        <w:rPr>
          <w:lang w:eastAsia="zh-CN"/>
        </w:rPr>
        <w:t xml:space="preserve"> (either on the webpage or on the Recommendation text)</w:t>
      </w:r>
      <w:r>
        <w:rPr>
          <w:lang w:eastAsia="zh-CN"/>
        </w:rPr>
        <w:t xml:space="preserve">. </w:t>
      </w:r>
    </w:p>
    <w:p w14:paraId="2485AC25" w14:textId="77777777" w:rsidR="00C37787" w:rsidRDefault="002A51A3" w:rsidP="000C1FE6">
      <w:pPr>
        <w:rPr>
          <w:lang w:eastAsia="zh-CN"/>
        </w:rPr>
      </w:pPr>
      <w:r>
        <w:rPr>
          <w:lang w:eastAsia="zh-CN"/>
        </w:rPr>
        <w:t>We think that the scope</w:t>
      </w:r>
      <w:r w:rsidR="002111B6">
        <w:rPr>
          <w:lang w:eastAsia="zh-CN"/>
        </w:rPr>
        <w:t xml:space="preserve"> of our TVOS Recommendations</w:t>
      </w:r>
      <w:r>
        <w:rPr>
          <w:lang w:eastAsia="zh-CN"/>
        </w:rPr>
        <w:t xml:space="preserve"> is quite evident by the summary of the Recommendation</w:t>
      </w:r>
      <w:r w:rsidR="002111B6">
        <w:rPr>
          <w:lang w:eastAsia="zh-CN"/>
        </w:rPr>
        <w:t>s</w:t>
      </w:r>
      <w:r>
        <w:rPr>
          <w:lang w:eastAsia="zh-CN"/>
        </w:rPr>
        <w:t xml:space="preserve">, which is well evident from the </w:t>
      </w:r>
      <w:r w:rsidR="002111B6">
        <w:rPr>
          <w:lang w:eastAsia="zh-CN"/>
        </w:rPr>
        <w:t xml:space="preserve">ITU-T </w:t>
      </w:r>
      <w:r>
        <w:rPr>
          <w:lang w:eastAsia="zh-CN"/>
        </w:rPr>
        <w:t xml:space="preserve">webpages. </w:t>
      </w:r>
      <w:r w:rsidR="00C37787">
        <w:rPr>
          <w:rFonts w:hint="eastAsia"/>
          <w:lang w:eastAsia="zh-CN"/>
        </w:rPr>
        <w:t>So</w:t>
      </w:r>
      <w:r>
        <w:rPr>
          <w:lang w:eastAsia="zh-CN"/>
        </w:rPr>
        <w:t>,</w:t>
      </w:r>
      <w:r w:rsidR="00C37787">
        <w:rPr>
          <w:rFonts w:hint="eastAsia"/>
          <w:lang w:eastAsia="zh-CN"/>
        </w:rPr>
        <w:t xml:space="preserve"> we would like to keep the titles of TVOS </w:t>
      </w:r>
      <w:r w:rsidR="00C37787" w:rsidRPr="007002DC">
        <w:t>Recommendation</w:t>
      </w:r>
      <w:r w:rsidR="00C37787">
        <w:rPr>
          <w:rFonts w:hint="eastAsia"/>
          <w:lang w:eastAsia="zh-CN"/>
        </w:rPr>
        <w:t xml:space="preserve">s as they are and believe that the information displayed in the current webpage of TVOS </w:t>
      </w:r>
      <w:r w:rsidR="00C37787" w:rsidRPr="007002DC">
        <w:t>Recommendation</w:t>
      </w:r>
      <w:r w:rsidR="00C37787">
        <w:rPr>
          <w:rFonts w:hint="eastAsia"/>
          <w:lang w:eastAsia="zh-CN"/>
        </w:rPr>
        <w:t>s is sufficient.</w:t>
      </w:r>
      <w:r w:rsidR="002111B6">
        <w:rPr>
          <w:lang w:eastAsia="zh-CN"/>
        </w:rPr>
        <w:t xml:space="preserve"> </w:t>
      </w:r>
    </w:p>
    <w:p w14:paraId="3729DFB5" w14:textId="77777777" w:rsidR="00D71133" w:rsidRDefault="002111B6" w:rsidP="000C1FE6">
      <w:pPr>
        <w:rPr>
          <w:lang w:eastAsia="zh-CN"/>
        </w:rPr>
      </w:pPr>
      <w:r>
        <w:rPr>
          <w:lang w:eastAsia="zh-CN"/>
        </w:rPr>
        <w:t xml:space="preserve">Again, we hope for your understanding, and please be assured that </w:t>
      </w:r>
      <w:r w:rsidR="00D71133" w:rsidRPr="00D71133">
        <w:t>ITU-T S</w:t>
      </w:r>
      <w:r w:rsidR="00D71133">
        <w:rPr>
          <w:rFonts w:hint="eastAsia"/>
          <w:lang w:eastAsia="zh-CN"/>
        </w:rPr>
        <w:t>G</w:t>
      </w:r>
      <w:r w:rsidR="00D71133" w:rsidRPr="00D71133">
        <w:t>9 wishes to continue collaborating with ITU-T S</w:t>
      </w:r>
      <w:r w:rsidR="00D71133">
        <w:rPr>
          <w:rFonts w:hint="eastAsia"/>
          <w:lang w:eastAsia="zh-CN"/>
        </w:rPr>
        <w:t>G</w:t>
      </w:r>
      <w:r w:rsidR="00D71133" w:rsidRPr="00D71133">
        <w:t>16</w:t>
      </w:r>
      <w:r w:rsidR="000427C9">
        <w:rPr>
          <w:rFonts w:hint="eastAsia"/>
          <w:lang w:eastAsia="zh-CN"/>
        </w:rPr>
        <w:t xml:space="preserve"> and </w:t>
      </w:r>
      <w:r w:rsidR="000427C9" w:rsidRPr="002A51A3">
        <w:t>TSAG RG-WM</w:t>
      </w:r>
      <w:r w:rsidR="00D71133" w:rsidRPr="00D71133">
        <w:t xml:space="preserve"> on these topics.</w:t>
      </w:r>
    </w:p>
    <w:p w14:paraId="5C77FB8B" w14:textId="77777777" w:rsidR="00DA20BB" w:rsidRDefault="005B4236" w:rsidP="005B4236">
      <w:pPr>
        <w:spacing w:before="240" w:after="100" w:afterAutospacing="1"/>
        <w:jc w:val="center"/>
      </w:pPr>
      <w:r>
        <w:t>____________________</w:t>
      </w:r>
    </w:p>
    <w:sectPr w:rsidR="00DA20BB" w:rsidSect="00FE038F">
      <w:headerReference w:type="default" r:id="rId25"/>
      <w:pgSz w:w="11906" w:h="16838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D83E" w14:textId="77777777" w:rsidR="00125A09" w:rsidRDefault="00125A09" w:rsidP="000C1FE6">
      <w:pPr>
        <w:spacing w:before="0"/>
      </w:pPr>
      <w:r>
        <w:separator/>
      </w:r>
    </w:p>
  </w:endnote>
  <w:endnote w:type="continuationSeparator" w:id="0">
    <w:p w14:paraId="02196564" w14:textId="77777777" w:rsidR="00125A09" w:rsidRDefault="00125A09" w:rsidP="000C1FE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38542" w14:textId="77777777" w:rsidR="00125A09" w:rsidRDefault="00125A09" w:rsidP="000C1FE6">
      <w:pPr>
        <w:spacing w:before="0"/>
      </w:pPr>
      <w:r>
        <w:separator/>
      </w:r>
    </w:p>
  </w:footnote>
  <w:footnote w:type="continuationSeparator" w:id="0">
    <w:p w14:paraId="2969C8A8" w14:textId="77777777" w:rsidR="00125A09" w:rsidRDefault="00125A09" w:rsidP="000C1FE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26AE" w14:textId="74CEDD69" w:rsidR="005B4236" w:rsidRPr="00D625DE" w:rsidRDefault="00D625DE" w:rsidP="00D625DE">
    <w:pPr>
      <w:pStyle w:val="Header"/>
      <w:jc w:val="center"/>
      <w:rPr>
        <w:sz w:val="18"/>
      </w:rPr>
    </w:pPr>
    <w:r w:rsidRPr="00D625DE">
      <w:rPr>
        <w:sz w:val="18"/>
      </w:rPr>
      <w:t xml:space="preserve">- </w:t>
    </w:r>
    <w:r w:rsidRPr="00D625DE">
      <w:rPr>
        <w:sz w:val="18"/>
      </w:rPr>
      <w:fldChar w:fldCharType="begin"/>
    </w:r>
    <w:r w:rsidRPr="00D625DE">
      <w:rPr>
        <w:sz w:val="18"/>
      </w:rPr>
      <w:instrText xml:space="preserve"> PAGE  \* MERGEFORMAT </w:instrText>
    </w:r>
    <w:r w:rsidRPr="00D625DE">
      <w:rPr>
        <w:sz w:val="18"/>
      </w:rPr>
      <w:fldChar w:fldCharType="separate"/>
    </w:r>
    <w:r w:rsidRPr="00D625DE">
      <w:rPr>
        <w:noProof/>
        <w:sz w:val="18"/>
      </w:rPr>
      <w:t>1</w:t>
    </w:r>
    <w:r w:rsidRPr="00D625DE">
      <w:rPr>
        <w:sz w:val="18"/>
      </w:rPr>
      <w:fldChar w:fldCharType="end"/>
    </w:r>
    <w:r w:rsidRPr="00D625DE">
      <w:rPr>
        <w:sz w:val="18"/>
      </w:rPr>
      <w:t xml:space="preserve"> -</w:t>
    </w:r>
  </w:p>
  <w:p w14:paraId="0883160D" w14:textId="5DF93F35" w:rsidR="00D625DE" w:rsidRPr="00D625DE" w:rsidRDefault="00D625DE" w:rsidP="00D625DE">
    <w:pPr>
      <w:pStyle w:val="Header"/>
      <w:spacing w:after="240"/>
      <w:jc w:val="center"/>
      <w:rPr>
        <w:sz w:val="18"/>
      </w:rPr>
    </w:pPr>
    <w:r w:rsidRPr="00D625DE">
      <w:rPr>
        <w:sz w:val="18"/>
      </w:rPr>
      <w:fldChar w:fldCharType="begin"/>
    </w:r>
    <w:r w:rsidRPr="00D625DE">
      <w:rPr>
        <w:sz w:val="18"/>
      </w:rPr>
      <w:instrText xml:space="preserve"> STYLEREF  Docnumber  </w:instrText>
    </w:r>
    <w:r w:rsidRPr="00D625DE">
      <w:rPr>
        <w:sz w:val="18"/>
      </w:rPr>
      <w:fldChar w:fldCharType="separate"/>
    </w:r>
    <w:r w:rsidR="00464A83">
      <w:rPr>
        <w:noProof/>
        <w:sz w:val="18"/>
      </w:rPr>
      <w:t>TSAG-TD274</w:t>
    </w:r>
    <w:r w:rsidRPr="00D625DE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099A"/>
    <w:multiLevelType w:val="hybridMultilevel"/>
    <w:tmpl w:val="7F6A9DA2"/>
    <w:lvl w:ilvl="0" w:tplc="F55421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4844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E6"/>
    <w:rsid w:val="00004F85"/>
    <w:rsid w:val="000427C9"/>
    <w:rsid w:val="000C1FE6"/>
    <w:rsid w:val="00125A09"/>
    <w:rsid w:val="00152E05"/>
    <w:rsid w:val="00155EFF"/>
    <w:rsid w:val="002111B6"/>
    <w:rsid w:val="00242C52"/>
    <w:rsid w:val="00253616"/>
    <w:rsid w:val="00287FC7"/>
    <w:rsid w:val="002A51A3"/>
    <w:rsid w:val="002D075C"/>
    <w:rsid w:val="0030215D"/>
    <w:rsid w:val="00317E19"/>
    <w:rsid w:val="00322E35"/>
    <w:rsid w:val="00363B04"/>
    <w:rsid w:val="003C1F29"/>
    <w:rsid w:val="00403580"/>
    <w:rsid w:val="00464A83"/>
    <w:rsid w:val="0047515A"/>
    <w:rsid w:val="00523435"/>
    <w:rsid w:val="00524E73"/>
    <w:rsid w:val="00566FBC"/>
    <w:rsid w:val="005B4236"/>
    <w:rsid w:val="00787448"/>
    <w:rsid w:val="007B439D"/>
    <w:rsid w:val="007C4B0D"/>
    <w:rsid w:val="007D4FD8"/>
    <w:rsid w:val="00A251A2"/>
    <w:rsid w:val="00A57733"/>
    <w:rsid w:val="00AB3DCA"/>
    <w:rsid w:val="00AC61CF"/>
    <w:rsid w:val="00AE30DD"/>
    <w:rsid w:val="00B213D7"/>
    <w:rsid w:val="00C141FC"/>
    <w:rsid w:val="00C37787"/>
    <w:rsid w:val="00C5601B"/>
    <w:rsid w:val="00CA45A3"/>
    <w:rsid w:val="00CD49AC"/>
    <w:rsid w:val="00D43F82"/>
    <w:rsid w:val="00D625DE"/>
    <w:rsid w:val="00D71133"/>
    <w:rsid w:val="00DA20BB"/>
    <w:rsid w:val="00DE2BBB"/>
    <w:rsid w:val="00E24D26"/>
    <w:rsid w:val="00E357AA"/>
    <w:rsid w:val="00E522C5"/>
    <w:rsid w:val="00E92DBC"/>
    <w:rsid w:val="00E96B60"/>
    <w:rsid w:val="00EE36CD"/>
    <w:rsid w:val="00F3000D"/>
    <w:rsid w:val="00FD7A9E"/>
    <w:rsid w:val="00FE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421E52"/>
  <w15:docId w15:val="{91BFF0E5-D041-4A9D-98F0-978B2C7D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1FE6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Deadline">
    <w:name w:val="LSDeadline"/>
    <w:basedOn w:val="LSTitle"/>
    <w:next w:val="Normal"/>
    <w:rsid w:val="000C1FE6"/>
    <w:rPr>
      <w:bCs w:val="0"/>
    </w:rPr>
  </w:style>
  <w:style w:type="paragraph" w:customStyle="1" w:styleId="LSForAction">
    <w:name w:val="LSForAction"/>
    <w:basedOn w:val="LSTitle"/>
    <w:next w:val="Normal"/>
    <w:rsid w:val="000C1FE6"/>
    <w:rPr>
      <w:bCs w:val="0"/>
    </w:rPr>
  </w:style>
  <w:style w:type="paragraph" w:customStyle="1" w:styleId="LSSource">
    <w:name w:val="LSSource"/>
    <w:basedOn w:val="LSTitle"/>
    <w:next w:val="Normal"/>
    <w:rsid w:val="000C1FE6"/>
    <w:rPr>
      <w:bCs w:val="0"/>
    </w:rPr>
  </w:style>
  <w:style w:type="paragraph" w:customStyle="1" w:styleId="LSTitle">
    <w:name w:val="LSTitle"/>
    <w:basedOn w:val="Normal"/>
    <w:next w:val="Normal"/>
    <w:link w:val="LSTitleChar"/>
    <w:rsid w:val="000C1FE6"/>
    <w:pPr>
      <w:outlineLvl w:val="0"/>
    </w:pPr>
    <w:rPr>
      <w:bCs/>
    </w:rPr>
  </w:style>
  <w:style w:type="character" w:customStyle="1" w:styleId="LSTitleChar">
    <w:name w:val="LSTitle Char"/>
    <w:link w:val="LSTitle"/>
    <w:qFormat/>
    <w:rsid w:val="000C1FE6"/>
    <w:rPr>
      <w:rFonts w:ascii="Times New Roman" w:eastAsiaTheme="minorEastAsia" w:hAnsi="Times New Roman" w:cs="Times New Roman"/>
      <w:bCs/>
      <w:sz w:val="24"/>
      <w:szCs w:val="24"/>
      <w:lang w:eastAsia="ja-JP"/>
    </w:rPr>
  </w:style>
  <w:style w:type="paragraph" w:customStyle="1" w:styleId="LSForInfo">
    <w:name w:val="LSForInfo"/>
    <w:basedOn w:val="LSTitle"/>
    <w:next w:val="Normal"/>
    <w:rsid w:val="000C1FE6"/>
  </w:style>
  <w:style w:type="paragraph" w:customStyle="1" w:styleId="LSForComment">
    <w:name w:val="LSForComment"/>
    <w:basedOn w:val="LSTitle"/>
    <w:next w:val="Normal"/>
    <w:rsid w:val="000C1FE6"/>
  </w:style>
  <w:style w:type="character" w:styleId="Hyperlink">
    <w:name w:val="Hyperlink"/>
    <w:basedOn w:val="DefaultParagraphFont"/>
    <w:rsid w:val="000C1FE6"/>
    <w:rPr>
      <w:color w:val="0000FF"/>
      <w:u w:val="single"/>
    </w:rPr>
  </w:style>
  <w:style w:type="paragraph" w:customStyle="1" w:styleId="LSnumber">
    <w:name w:val="LSnumber"/>
    <w:basedOn w:val="Normal"/>
    <w:rsid w:val="000C1FE6"/>
    <w:pPr>
      <w:jc w:val="right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C1FE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C1FE6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C1FE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C1FE6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Docnumber">
    <w:name w:val="Docnumber"/>
    <w:basedOn w:val="Normal"/>
    <w:link w:val="DocnumberChar"/>
    <w:qFormat/>
    <w:rsid w:val="000C1F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0C1FE6"/>
    <w:rPr>
      <w:rFonts w:ascii="Times New Roman" w:eastAsia="Times New Roman" w:hAnsi="Times New Roman" w:cs="Times New Roman"/>
      <w:b/>
      <w:bCs/>
      <w:sz w:val="40"/>
      <w:szCs w:val="20"/>
    </w:rPr>
  </w:style>
  <w:style w:type="paragraph" w:customStyle="1" w:styleId="TSBHeaderQuestion">
    <w:name w:val="TSBHeaderQuestion"/>
    <w:basedOn w:val="Normal"/>
    <w:qFormat/>
    <w:rsid w:val="005B42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5B42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5B42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5B42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5B42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423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E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73"/>
    <w:rPr>
      <w:rFonts w:ascii="Times New Roman" w:hAnsi="Times New Roman" w:cs="Times New Roman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B213D7"/>
    <w:pPr>
      <w:ind w:firstLineChars="200" w:firstLine="420"/>
    </w:pPr>
  </w:style>
  <w:style w:type="paragraph" w:styleId="Revision">
    <w:name w:val="Revision"/>
    <w:hidden/>
    <w:uiPriority w:val="99"/>
    <w:semiHidden/>
    <w:rsid w:val="00253616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2A51A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51A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625DE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FE038F"/>
    <w:rPr>
      <w:rFonts w:eastAsia="DengXi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fa/t/2022/ls/sg16/sp17-sg16-oLS-00023.docx" TargetMode="External"/><Relationship Id="rId18" Type="http://schemas.openxmlformats.org/officeDocument/2006/relationships/hyperlink" Target="https://www.itu.int/ifa/t/2022/ls/sg16/sp17-sg16-oLS-00023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rec/T-REC-J.1201-202201-I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yanhaifeng@hisilicon.com" TargetMode="External"/><Relationship Id="rId17" Type="http://schemas.openxmlformats.org/officeDocument/2006/relationships/hyperlink" Target="https://www.itu.int/ifa/t/2022/ls/sg16/sp17-sg16-oLS-00023.doc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yanhaifeng@hisilicon.com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9-oLS-00021.docx" TargetMode="External"/><Relationship Id="rId24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s://www.itu.int/md/T22-SG09-230509-TD-GEN-0382/en" TargetMode="External"/><Relationship Id="rId23" Type="http://schemas.openxmlformats.org/officeDocument/2006/relationships/hyperlink" Target="https://standards.globalspec.com/std/14517330/J.1201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tu.int/ITU-T/recommendations/rec.aspx?id=1487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ls/sp17-sg9-oLS-00021.docx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0" ma:contentTypeDescription="Crée un document." ma:contentTypeScope="" ma:versionID="cc2c1ce74f1fd57c322573f8d1175e76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84e875da6ed7f91e28e8550a6243d140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026AC-53C5-422E-95CF-282B61D86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798E64-B932-45E4-89F3-20F7F0BE4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960D2-26B4-42D3-AC1A-26A19A0D5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smart TV Operating System (SG9-LS158) [to ITU-T SG9, TSAG]</vt:lpstr>
    </vt:vector>
  </TitlesOfParts>
  <Manager>ITU-T</Manager>
  <Company>International Telecommunication Union (ITU)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smart TV Operating System (SG16-LS23) [to ITU-T SG16, TSAG RG-WM]</dc:title>
  <dc:subject/>
  <dc:creator>Rapporteur Q5/9</dc:creator>
  <cp:keywords/>
  <dc:description>SG9-LS21  For: Bangalore, 9-18 May 2023_x000d_Document date: _x000d_Saved by ITU51014266 at 10:45:05 on 24.05.2023</dc:description>
  <cp:lastModifiedBy>Al-Mnini, Lara</cp:lastModifiedBy>
  <cp:revision>3</cp:revision>
  <dcterms:created xsi:type="dcterms:W3CDTF">2023-05-24T09:01:00Z</dcterms:created>
  <dcterms:modified xsi:type="dcterms:W3CDTF">2023-05-24T09:02:00Z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SG9-LS21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5/9</vt:lpwstr>
  </property>
  <property fmtid="{D5CDD505-2E9C-101B-9397-08002B2CF9AE}" pid="6" name="Docdest">
    <vt:lpwstr>Bangalore, 9-18 May 2023</vt:lpwstr>
  </property>
  <property fmtid="{D5CDD505-2E9C-101B-9397-08002B2CF9AE}" pid="7" name="Docauthor">
    <vt:lpwstr>Rapporteur Q5/9</vt:lpwstr>
  </property>
  <property fmtid="{D5CDD505-2E9C-101B-9397-08002B2CF9AE}" pid="8" name="ContentTypeId">
    <vt:lpwstr>0x010100FF0D4921E1BEE64C9967543FFC1FD641</vt:lpwstr>
  </property>
</Properties>
</file>