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D2242B" w14:paraId="0D8441AE" w14:textId="77777777" w:rsidTr="00064073">
        <w:trPr>
          <w:cantSplit/>
        </w:trPr>
        <w:tc>
          <w:tcPr>
            <w:tcW w:w="1160" w:type="dxa"/>
            <w:vMerge w:val="restart"/>
            <w:vAlign w:val="center"/>
          </w:tcPr>
          <w:p w14:paraId="4ED7AE6C" w14:textId="77777777" w:rsidR="00D2242B" w:rsidRDefault="00D2242B" w:rsidP="00845AC6">
            <w:pPr>
              <w:spacing w:before="0"/>
              <w:jc w:val="center"/>
            </w:pPr>
            <w:bookmarkStart w:id="0" w:name="dnum" w:colFirst="2" w:colLast="2"/>
            <w:bookmarkStart w:id="1" w:name="dtableau"/>
            <w:r>
              <w:rPr>
                <w:noProof/>
              </w:rPr>
              <w:drawing>
                <wp:inline distT="0" distB="0" distL="0" distR="0" wp14:anchorId="3286C86F" wp14:editId="77C4280E">
                  <wp:extent cx="65087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4954" w:type="dxa"/>
            <w:gridSpan w:val="3"/>
            <w:vMerge w:val="restart"/>
          </w:tcPr>
          <w:p w14:paraId="434B41FF" w14:textId="77777777" w:rsidR="00D2242B" w:rsidRDefault="00D2242B" w:rsidP="00845AC6">
            <w:pPr>
              <w:rPr>
                <w:sz w:val="16"/>
              </w:rPr>
            </w:pPr>
            <w:r>
              <w:rPr>
                <w:sz w:val="16"/>
              </w:rPr>
              <w:t>INTERNATIONAL TELECOMMUNICATION UNION</w:t>
            </w:r>
          </w:p>
          <w:p w14:paraId="392FA888" w14:textId="77777777" w:rsidR="00D2242B" w:rsidRDefault="00D2242B" w:rsidP="00845AC6">
            <w:pPr>
              <w:rPr>
                <w:b/>
                <w:bCs/>
                <w:sz w:val="26"/>
              </w:rPr>
            </w:pPr>
            <w:r>
              <w:rPr>
                <w:b/>
                <w:bCs/>
                <w:sz w:val="26"/>
              </w:rPr>
              <w:t>TELECOMMUNICATION STANDARDIZATION SECTOR</w:t>
            </w:r>
          </w:p>
          <w:p w14:paraId="74613B86" w14:textId="77777777" w:rsidR="00D2242B" w:rsidRDefault="00D2242B" w:rsidP="00845AC6">
            <w:pPr>
              <w:rPr>
                <w:sz w:val="20"/>
              </w:rPr>
            </w:pPr>
            <w:r>
              <w:rPr>
                <w:sz w:val="20"/>
              </w:rPr>
              <w:t>STUDY PERIOD 2022-2024</w:t>
            </w:r>
          </w:p>
        </w:tc>
        <w:tc>
          <w:tcPr>
            <w:tcW w:w="3525" w:type="dxa"/>
          </w:tcPr>
          <w:p w14:paraId="513586E1" w14:textId="77777777" w:rsidR="00D2242B" w:rsidRDefault="00D2242B" w:rsidP="00845AC6">
            <w:pPr>
              <w:pStyle w:val="Docnumber"/>
            </w:pPr>
            <w:r>
              <w:t>TSAG-TD365</w:t>
            </w:r>
          </w:p>
        </w:tc>
      </w:tr>
      <w:tr w:rsidR="00D2242B" w14:paraId="34F850DC" w14:textId="77777777" w:rsidTr="00064073">
        <w:trPr>
          <w:cantSplit/>
          <w:trHeight w:val="461"/>
        </w:trPr>
        <w:tc>
          <w:tcPr>
            <w:tcW w:w="1160" w:type="dxa"/>
            <w:vMerge/>
          </w:tcPr>
          <w:p w14:paraId="25D85ED1" w14:textId="77777777" w:rsidR="00D2242B" w:rsidRDefault="00D2242B" w:rsidP="00845AC6">
            <w:pPr>
              <w:rPr>
                <w:smallCaps/>
                <w:sz w:val="20"/>
              </w:rPr>
            </w:pPr>
          </w:p>
        </w:tc>
        <w:tc>
          <w:tcPr>
            <w:tcW w:w="4954" w:type="dxa"/>
            <w:gridSpan w:val="3"/>
            <w:vMerge/>
          </w:tcPr>
          <w:p w14:paraId="78BA5103" w14:textId="77777777" w:rsidR="00D2242B" w:rsidRDefault="00D2242B" w:rsidP="00845AC6">
            <w:pPr>
              <w:rPr>
                <w:smallCaps/>
                <w:sz w:val="20"/>
              </w:rPr>
            </w:pPr>
          </w:p>
        </w:tc>
        <w:tc>
          <w:tcPr>
            <w:tcW w:w="3525" w:type="dxa"/>
            <w:tcBorders>
              <w:bottom w:val="nil"/>
            </w:tcBorders>
          </w:tcPr>
          <w:p w14:paraId="1EC2DF2C" w14:textId="77777777" w:rsidR="00D2242B" w:rsidRDefault="00D2242B" w:rsidP="00845AC6">
            <w:pPr>
              <w:pStyle w:val="TSBHeaderRight14"/>
            </w:pPr>
            <w:r>
              <w:t>TSAG</w:t>
            </w:r>
          </w:p>
        </w:tc>
      </w:tr>
      <w:tr w:rsidR="00D2242B" w14:paraId="3478C2D8" w14:textId="77777777" w:rsidTr="00064073">
        <w:trPr>
          <w:cantSplit/>
          <w:trHeight w:val="379"/>
        </w:trPr>
        <w:tc>
          <w:tcPr>
            <w:tcW w:w="1160" w:type="dxa"/>
            <w:vMerge/>
            <w:tcBorders>
              <w:bottom w:val="single" w:sz="12" w:space="0" w:color="auto"/>
            </w:tcBorders>
          </w:tcPr>
          <w:p w14:paraId="3542D267" w14:textId="77777777" w:rsidR="00D2242B" w:rsidRDefault="00D2242B" w:rsidP="00845AC6">
            <w:pPr>
              <w:rPr>
                <w:b/>
                <w:bCs/>
                <w:sz w:val="26"/>
              </w:rPr>
            </w:pPr>
            <w:bookmarkStart w:id="2" w:name="dorlang" w:colFirst="2" w:colLast="2"/>
          </w:p>
        </w:tc>
        <w:tc>
          <w:tcPr>
            <w:tcW w:w="4954" w:type="dxa"/>
            <w:gridSpan w:val="3"/>
            <w:vMerge/>
            <w:tcBorders>
              <w:bottom w:val="single" w:sz="12" w:space="0" w:color="auto"/>
            </w:tcBorders>
          </w:tcPr>
          <w:p w14:paraId="5F8E8206" w14:textId="77777777" w:rsidR="00D2242B" w:rsidRDefault="00D2242B" w:rsidP="00845AC6">
            <w:pPr>
              <w:rPr>
                <w:b/>
                <w:bCs/>
                <w:sz w:val="26"/>
              </w:rPr>
            </w:pPr>
          </w:p>
        </w:tc>
        <w:tc>
          <w:tcPr>
            <w:tcW w:w="3525" w:type="dxa"/>
            <w:tcBorders>
              <w:bottom w:val="single" w:sz="12" w:space="0" w:color="auto"/>
            </w:tcBorders>
          </w:tcPr>
          <w:p w14:paraId="791EFA64" w14:textId="77777777" w:rsidR="00D2242B" w:rsidRDefault="00D2242B" w:rsidP="00845AC6">
            <w:pPr>
              <w:jc w:val="right"/>
              <w:rPr>
                <w:b/>
                <w:bCs/>
                <w:sz w:val="28"/>
              </w:rPr>
            </w:pPr>
            <w:r>
              <w:rPr>
                <w:b/>
                <w:bCs/>
                <w:sz w:val="28"/>
              </w:rPr>
              <w:t>Original: English</w:t>
            </w:r>
          </w:p>
        </w:tc>
      </w:tr>
      <w:bookmarkEnd w:id="2"/>
      <w:tr w:rsidR="00D2242B" w14:paraId="6056B65E" w14:textId="77777777" w:rsidTr="00064073">
        <w:trPr>
          <w:cantSplit/>
          <w:trHeight w:val="357"/>
        </w:trPr>
        <w:tc>
          <w:tcPr>
            <w:tcW w:w="1508" w:type="dxa"/>
            <w:gridSpan w:val="2"/>
          </w:tcPr>
          <w:p w14:paraId="17D79D55" w14:textId="77777777" w:rsidR="00D2242B" w:rsidRDefault="00D2242B" w:rsidP="00845AC6">
            <w:pPr>
              <w:rPr>
                <w:b/>
                <w:bCs/>
              </w:rPr>
            </w:pPr>
            <w:r>
              <w:rPr>
                <w:b/>
                <w:bCs/>
              </w:rPr>
              <w:t>Question(s):</w:t>
            </w:r>
          </w:p>
        </w:tc>
        <w:tc>
          <w:tcPr>
            <w:tcW w:w="4606" w:type="dxa"/>
            <w:gridSpan w:val="2"/>
          </w:tcPr>
          <w:p w14:paraId="45BB7695" w14:textId="777ECDE1" w:rsidR="00D2242B" w:rsidRDefault="00064073" w:rsidP="00845AC6">
            <w:pPr>
              <w:pStyle w:val="TSBHeaderQuestion"/>
            </w:pPr>
            <w:r>
              <w:t>N/</w:t>
            </w:r>
            <w:r w:rsidR="00D2242B">
              <w:t>A</w:t>
            </w:r>
          </w:p>
        </w:tc>
        <w:tc>
          <w:tcPr>
            <w:tcW w:w="3525" w:type="dxa"/>
          </w:tcPr>
          <w:p w14:paraId="43C10E84" w14:textId="77777777" w:rsidR="00D2242B" w:rsidRDefault="00D2242B" w:rsidP="00845AC6">
            <w:pPr>
              <w:pStyle w:val="VenueDate"/>
            </w:pPr>
            <w:r>
              <w:t>Geneva, 22-26 January 2024</w:t>
            </w:r>
          </w:p>
        </w:tc>
      </w:tr>
      <w:tr w:rsidR="00D2242B" w14:paraId="67D6DE56" w14:textId="77777777" w:rsidTr="00845AC6">
        <w:trPr>
          <w:cantSplit/>
          <w:trHeight w:val="357"/>
        </w:trPr>
        <w:tc>
          <w:tcPr>
            <w:tcW w:w="9639" w:type="dxa"/>
            <w:gridSpan w:val="5"/>
          </w:tcPr>
          <w:p w14:paraId="799F1ADF" w14:textId="58CEDEAA" w:rsidR="00D2242B" w:rsidRDefault="00D2242B" w:rsidP="00845AC6">
            <w:pPr>
              <w:jc w:val="center"/>
              <w:rPr>
                <w:b/>
                <w:bCs/>
              </w:rPr>
            </w:pPr>
            <w:bookmarkStart w:id="3" w:name="dtitle" w:colFirst="0" w:colLast="0"/>
            <w:r>
              <w:rPr>
                <w:b/>
                <w:bCs/>
              </w:rPr>
              <w:t>TD</w:t>
            </w:r>
            <w:r>
              <w:rPr>
                <w:b/>
                <w:bCs/>
              </w:rPr>
              <w:br/>
              <w:t>(Ref</w:t>
            </w:r>
            <w:r w:rsidR="00064073">
              <w:rPr>
                <w:b/>
                <w:bCs/>
              </w:rPr>
              <w:t>.</w:t>
            </w:r>
            <w:r>
              <w:rPr>
                <w:b/>
                <w:bCs/>
              </w:rPr>
              <w:t xml:space="preserve">: </w:t>
            </w:r>
            <w:hyperlink r:id="rId11" w:tooltip="ITU-T ftp file restricted to TIES access only" w:history="1">
              <w:r>
                <w:rPr>
                  <w:rStyle w:val="Hyperlink"/>
                </w:rPr>
                <w:t>SG11-LS118</w:t>
              </w:r>
            </w:hyperlink>
            <w:r>
              <w:rPr>
                <w:b/>
                <w:bCs/>
              </w:rPr>
              <w:t>)</w:t>
            </w:r>
          </w:p>
        </w:tc>
      </w:tr>
      <w:bookmarkEnd w:id="3"/>
      <w:tr w:rsidR="00D2242B" w14:paraId="308D0C80" w14:textId="77777777" w:rsidTr="00064073">
        <w:trPr>
          <w:cantSplit/>
          <w:trHeight w:val="357"/>
        </w:trPr>
        <w:tc>
          <w:tcPr>
            <w:tcW w:w="1508" w:type="dxa"/>
            <w:gridSpan w:val="2"/>
          </w:tcPr>
          <w:p w14:paraId="391C76DD" w14:textId="77777777" w:rsidR="00D2242B" w:rsidRDefault="00D2242B" w:rsidP="00845AC6">
            <w:pPr>
              <w:rPr>
                <w:b/>
                <w:bCs/>
              </w:rPr>
            </w:pPr>
            <w:r>
              <w:rPr>
                <w:b/>
                <w:bCs/>
              </w:rPr>
              <w:t>Source:</w:t>
            </w:r>
          </w:p>
        </w:tc>
        <w:tc>
          <w:tcPr>
            <w:tcW w:w="8131" w:type="dxa"/>
            <w:gridSpan w:val="3"/>
          </w:tcPr>
          <w:p w14:paraId="1408CC29" w14:textId="385972A9" w:rsidR="00D2242B" w:rsidRDefault="00064073" w:rsidP="00845AC6">
            <w:pPr>
              <w:pStyle w:val="TSBHeaderSource"/>
            </w:pPr>
            <w:bookmarkStart w:id="4" w:name="_Hlk149115051"/>
            <w:r w:rsidRPr="00471C77">
              <w:t>ITU-T Study Group 11</w:t>
            </w:r>
            <w:bookmarkEnd w:id="4"/>
          </w:p>
        </w:tc>
      </w:tr>
      <w:tr w:rsidR="00D2242B" w14:paraId="6C221ABE" w14:textId="77777777" w:rsidTr="00064073">
        <w:trPr>
          <w:cantSplit/>
          <w:trHeight w:val="357"/>
        </w:trPr>
        <w:tc>
          <w:tcPr>
            <w:tcW w:w="1508" w:type="dxa"/>
            <w:gridSpan w:val="2"/>
          </w:tcPr>
          <w:p w14:paraId="2E25488B" w14:textId="77777777" w:rsidR="00D2242B" w:rsidRDefault="00D2242B" w:rsidP="00845AC6">
            <w:pPr>
              <w:rPr>
                <w:b/>
                <w:bCs/>
              </w:rPr>
            </w:pPr>
            <w:r>
              <w:rPr>
                <w:b/>
                <w:bCs/>
              </w:rPr>
              <w:t>Title:</w:t>
            </w:r>
          </w:p>
        </w:tc>
        <w:tc>
          <w:tcPr>
            <w:tcW w:w="8131" w:type="dxa"/>
            <w:gridSpan w:val="3"/>
          </w:tcPr>
          <w:p w14:paraId="675CBF41" w14:textId="2EDA2E47" w:rsidR="00D2242B" w:rsidRDefault="00D2242B" w:rsidP="00845AC6">
            <w:pPr>
              <w:pStyle w:val="TSBHeaderTitle"/>
            </w:pPr>
            <w:r>
              <w:t>LS/r on the activities and studies on sustainable digital transformation (reply to TSAG-LS22)</w:t>
            </w:r>
            <w:r w:rsidR="00064073">
              <w:t xml:space="preserve"> [from ITU-T SG11]</w:t>
            </w:r>
          </w:p>
        </w:tc>
      </w:tr>
      <w:tr w:rsidR="00D2242B" w14:paraId="1B821CE8" w14:textId="77777777" w:rsidTr="00845AC6">
        <w:trPr>
          <w:cantSplit/>
          <w:trHeight w:val="357"/>
        </w:trPr>
        <w:tc>
          <w:tcPr>
            <w:tcW w:w="9639" w:type="dxa"/>
            <w:gridSpan w:val="5"/>
            <w:tcBorders>
              <w:top w:val="single" w:sz="12" w:space="0" w:color="auto"/>
            </w:tcBorders>
          </w:tcPr>
          <w:p w14:paraId="7368EE12" w14:textId="77777777" w:rsidR="00D2242B" w:rsidRDefault="00D2242B" w:rsidP="00845AC6">
            <w:pPr>
              <w:jc w:val="center"/>
              <w:rPr>
                <w:b/>
              </w:rPr>
            </w:pPr>
            <w:r>
              <w:rPr>
                <w:b/>
              </w:rPr>
              <w:t>LIAISON STATEMENT</w:t>
            </w:r>
          </w:p>
        </w:tc>
      </w:tr>
      <w:tr w:rsidR="00D2242B" w14:paraId="71536129" w14:textId="77777777" w:rsidTr="00064073">
        <w:trPr>
          <w:cantSplit/>
          <w:trHeight w:val="357"/>
        </w:trPr>
        <w:tc>
          <w:tcPr>
            <w:tcW w:w="2187" w:type="dxa"/>
            <w:gridSpan w:val="3"/>
          </w:tcPr>
          <w:p w14:paraId="699BA734" w14:textId="77777777" w:rsidR="00D2242B" w:rsidRDefault="00D2242B" w:rsidP="00845AC6">
            <w:pPr>
              <w:rPr>
                <w:b/>
                <w:bCs/>
              </w:rPr>
            </w:pPr>
            <w:r>
              <w:rPr>
                <w:b/>
                <w:bCs/>
              </w:rPr>
              <w:t>For action to:</w:t>
            </w:r>
          </w:p>
        </w:tc>
        <w:tc>
          <w:tcPr>
            <w:tcW w:w="7452" w:type="dxa"/>
            <w:gridSpan w:val="2"/>
          </w:tcPr>
          <w:p w14:paraId="136A5534" w14:textId="77777777" w:rsidR="00D2242B" w:rsidRDefault="00D2242B" w:rsidP="00845AC6">
            <w:r>
              <w:t>-</w:t>
            </w:r>
          </w:p>
        </w:tc>
      </w:tr>
      <w:tr w:rsidR="00D2242B" w14:paraId="00F6CD0C" w14:textId="77777777" w:rsidTr="00064073">
        <w:trPr>
          <w:cantSplit/>
          <w:trHeight w:val="357"/>
        </w:trPr>
        <w:tc>
          <w:tcPr>
            <w:tcW w:w="2187" w:type="dxa"/>
            <w:gridSpan w:val="3"/>
          </w:tcPr>
          <w:p w14:paraId="26C367B8" w14:textId="77777777" w:rsidR="00D2242B" w:rsidRDefault="00D2242B" w:rsidP="00845AC6">
            <w:pPr>
              <w:rPr>
                <w:b/>
                <w:bCs/>
              </w:rPr>
            </w:pPr>
            <w:r>
              <w:rPr>
                <w:b/>
                <w:bCs/>
              </w:rPr>
              <w:t>For information to:</w:t>
            </w:r>
          </w:p>
        </w:tc>
        <w:tc>
          <w:tcPr>
            <w:tcW w:w="7452" w:type="dxa"/>
            <w:gridSpan w:val="2"/>
          </w:tcPr>
          <w:p w14:paraId="316EC135" w14:textId="77777777" w:rsidR="00D2242B" w:rsidRDefault="00D2242B" w:rsidP="00845AC6">
            <w:r>
              <w:t>TSAG</w:t>
            </w:r>
          </w:p>
        </w:tc>
      </w:tr>
      <w:tr w:rsidR="00D2242B" w14:paraId="057D7660" w14:textId="77777777" w:rsidTr="00064073">
        <w:trPr>
          <w:cantSplit/>
          <w:trHeight w:val="357"/>
        </w:trPr>
        <w:tc>
          <w:tcPr>
            <w:tcW w:w="2187" w:type="dxa"/>
            <w:gridSpan w:val="3"/>
          </w:tcPr>
          <w:p w14:paraId="17250114" w14:textId="77777777" w:rsidR="00D2242B" w:rsidRDefault="00D2242B" w:rsidP="00845AC6">
            <w:pPr>
              <w:rPr>
                <w:b/>
                <w:bCs/>
              </w:rPr>
            </w:pPr>
            <w:r>
              <w:rPr>
                <w:b/>
                <w:bCs/>
              </w:rPr>
              <w:t>Approval:</w:t>
            </w:r>
          </w:p>
        </w:tc>
        <w:tc>
          <w:tcPr>
            <w:tcW w:w="7452" w:type="dxa"/>
            <w:gridSpan w:val="2"/>
          </w:tcPr>
          <w:p w14:paraId="01A72D32" w14:textId="77777777" w:rsidR="00D2242B" w:rsidRDefault="00D2242B" w:rsidP="00845AC6">
            <w:r>
              <w:t>ITU-T Study Group 11 meeting (Geneva, 20 October 2023)</w:t>
            </w:r>
          </w:p>
        </w:tc>
      </w:tr>
      <w:tr w:rsidR="00D2242B" w14:paraId="40B36019" w14:textId="77777777" w:rsidTr="00064073">
        <w:trPr>
          <w:cantSplit/>
          <w:trHeight w:val="357"/>
        </w:trPr>
        <w:tc>
          <w:tcPr>
            <w:tcW w:w="2187" w:type="dxa"/>
            <w:gridSpan w:val="3"/>
            <w:tcBorders>
              <w:bottom w:val="single" w:sz="12" w:space="0" w:color="auto"/>
            </w:tcBorders>
          </w:tcPr>
          <w:p w14:paraId="3932FA3C" w14:textId="77777777" w:rsidR="00D2242B" w:rsidRDefault="00D2242B" w:rsidP="00845AC6">
            <w:r>
              <w:rPr>
                <w:b/>
              </w:rPr>
              <w:t>Deadline:</w:t>
            </w:r>
          </w:p>
        </w:tc>
        <w:tc>
          <w:tcPr>
            <w:tcW w:w="7452" w:type="dxa"/>
            <w:gridSpan w:val="2"/>
            <w:tcBorders>
              <w:bottom w:val="single" w:sz="12" w:space="0" w:color="auto"/>
            </w:tcBorders>
          </w:tcPr>
          <w:p w14:paraId="73B6A3B6" w14:textId="77777777" w:rsidR="00D2242B" w:rsidRDefault="00D2242B" w:rsidP="00845AC6">
            <w:r>
              <w:t>N/A</w:t>
            </w:r>
          </w:p>
        </w:tc>
      </w:tr>
      <w:tr w:rsidR="00064073" w:rsidRPr="00122E3A" w14:paraId="17CDD2F1" w14:textId="77777777" w:rsidTr="00064073">
        <w:trPr>
          <w:trHeight w:val="204"/>
        </w:trPr>
        <w:tc>
          <w:tcPr>
            <w:tcW w:w="2187" w:type="dxa"/>
            <w:gridSpan w:val="3"/>
            <w:tcBorders>
              <w:bottom w:val="single" w:sz="12" w:space="0" w:color="auto"/>
            </w:tcBorders>
          </w:tcPr>
          <w:p w14:paraId="3C7A76F9" w14:textId="77777777" w:rsidR="00064073" w:rsidRDefault="00064073" w:rsidP="00064073">
            <w:pPr>
              <w:rPr>
                <w:b/>
                <w:bCs/>
              </w:rPr>
            </w:pPr>
            <w:r>
              <w:rPr>
                <w:b/>
                <w:bCs/>
              </w:rPr>
              <w:t>Contact:</w:t>
            </w:r>
          </w:p>
        </w:tc>
        <w:tc>
          <w:tcPr>
            <w:tcW w:w="3927" w:type="dxa"/>
            <w:tcBorders>
              <w:bottom w:val="single" w:sz="12" w:space="0" w:color="auto"/>
            </w:tcBorders>
          </w:tcPr>
          <w:p w14:paraId="41330AC5" w14:textId="22BDAFDD" w:rsidR="00064073" w:rsidRDefault="00064073" w:rsidP="00064073">
            <w:r w:rsidRPr="00515CD8">
              <w:rPr>
                <w:rFonts w:asciiTheme="majorBidi" w:hAnsiTheme="majorBidi" w:cstheme="majorBidi"/>
              </w:rPr>
              <w:t>Ritu Ranjan MITTAR</w:t>
            </w:r>
            <w:r>
              <w:rPr>
                <w:rFonts w:asciiTheme="majorBidi" w:hAnsiTheme="majorBidi" w:cstheme="majorBidi"/>
              </w:rPr>
              <w:br/>
              <w:t>SG11 Chairman, India</w:t>
            </w:r>
          </w:p>
        </w:tc>
        <w:tc>
          <w:tcPr>
            <w:tcW w:w="3525" w:type="dxa"/>
            <w:tcBorders>
              <w:bottom w:val="single" w:sz="12" w:space="0" w:color="auto"/>
            </w:tcBorders>
          </w:tcPr>
          <w:p w14:paraId="5E30F903" w14:textId="29D99FCE" w:rsidR="00064073" w:rsidRPr="00122E3A" w:rsidRDefault="00064073" w:rsidP="00064073">
            <w:pPr>
              <w:rPr>
                <w:lang w:val="de-DE"/>
              </w:rPr>
            </w:pPr>
            <w:r w:rsidRPr="00B477EB">
              <w:rPr>
                <w:lang w:val="de-DE"/>
              </w:rPr>
              <w:t>E-mail:</w:t>
            </w:r>
            <w:r>
              <w:rPr>
                <w:lang w:val="de-DE"/>
              </w:rPr>
              <w:t xml:space="preserve"> </w:t>
            </w:r>
            <w:hyperlink r:id="rId12" w:history="1">
              <w:r w:rsidRPr="00122E3A">
                <w:rPr>
                  <w:rStyle w:val="Hyperlink"/>
                  <w:lang w:val="de-DE"/>
                </w:rPr>
                <w:t>rr.mittar@gov.in</w:t>
              </w:r>
            </w:hyperlink>
          </w:p>
        </w:tc>
      </w:tr>
      <w:tr w:rsidR="00064073" w:rsidRPr="00122E3A" w14:paraId="3DB55CC4" w14:textId="77777777" w:rsidTr="00064073">
        <w:trPr>
          <w:trHeight w:val="204"/>
        </w:trPr>
        <w:tc>
          <w:tcPr>
            <w:tcW w:w="2187" w:type="dxa"/>
            <w:gridSpan w:val="3"/>
            <w:tcBorders>
              <w:bottom w:val="single" w:sz="12" w:space="0" w:color="auto"/>
            </w:tcBorders>
          </w:tcPr>
          <w:p w14:paraId="4E221BC6" w14:textId="77777777" w:rsidR="00064073" w:rsidRDefault="00064073" w:rsidP="00064073">
            <w:pPr>
              <w:rPr>
                <w:b/>
                <w:bCs/>
              </w:rPr>
            </w:pPr>
            <w:r>
              <w:rPr>
                <w:b/>
                <w:bCs/>
              </w:rPr>
              <w:t>Contact:</w:t>
            </w:r>
          </w:p>
        </w:tc>
        <w:tc>
          <w:tcPr>
            <w:tcW w:w="3927" w:type="dxa"/>
            <w:tcBorders>
              <w:bottom w:val="single" w:sz="12" w:space="0" w:color="auto"/>
            </w:tcBorders>
          </w:tcPr>
          <w:p w14:paraId="0D906BED" w14:textId="1EF56962" w:rsidR="00064073" w:rsidRDefault="00064073" w:rsidP="00064073">
            <w:r w:rsidRPr="0050243D">
              <w:rPr>
                <w:rFonts w:asciiTheme="majorBidi" w:hAnsiTheme="majorBidi" w:cstheme="majorBidi"/>
              </w:rPr>
              <w:t>Namseok KO</w:t>
            </w:r>
            <w:r>
              <w:rPr>
                <w:rFonts w:asciiTheme="majorBidi" w:hAnsiTheme="majorBidi" w:cstheme="majorBidi"/>
              </w:rPr>
              <w:br/>
              <w:t>VC of SG11, ETRI, Korea (Rep.of)</w:t>
            </w:r>
          </w:p>
        </w:tc>
        <w:tc>
          <w:tcPr>
            <w:tcW w:w="3525" w:type="dxa"/>
            <w:tcBorders>
              <w:bottom w:val="single" w:sz="12" w:space="0" w:color="auto"/>
            </w:tcBorders>
          </w:tcPr>
          <w:p w14:paraId="78891346" w14:textId="5C13D477" w:rsidR="00064073" w:rsidRPr="00122E3A" w:rsidRDefault="00064073" w:rsidP="00064073">
            <w:pPr>
              <w:rPr>
                <w:lang w:val="de-DE"/>
              </w:rPr>
            </w:pPr>
            <w:r w:rsidRPr="00122E3A">
              <w:rPr>
                <w:lang w:val="de-DE"/>
              </w:rPr>
              <w:t xml:space="preserve">E-mail: </w:t>
            </w:r>
            <w:hyperlink r:id="rId13" w:history="1">
              <w:r w:rsidRPr="00122E3A">
                <w:rPr>
                  <w:rStyle w:val="Hyperlink"/>
                  <w:lang w:val="de-DE"/>
                </w:rPr>
                <w:t>nsko@etri.re.kr</w:t>
              </w:r>
            </w:hyperlink>
          </w:p>
        </w:tc>
      </w:tr>
    </w:tbl>
    <w:p w14:paraId="71B49A40" w14:textId="77777777" w:rsidR="00D2242B" w:rsidRPr="00122E3A" w:rsidRDefault="00D2242B" w:rsidP="00D2242B">
      <w:pPr>
        <w:rPr>
          <w:lang w:val="de-DE"/>
        </w:rPr>
      </w:pPr>
    </w:p>
    <w:p w14:paraId="742A2852" w14:textId="77777777" w:rsidR="00D2242B" w:rsidRDefault="00D2242B" w:rsidP="00D2242B">
      <w:r>
        <w:t xml:space="preserve">This liaison statement answers </w:t>
      </w:r>
      <w:hyperlink r:id="rId14" w:history="1">
        <w:r>
          <w:rPr>
            <w:rStyle w:val="Hyperlink"/>
          </w:rPr>
          <w:t>TSAG-LS22</w:t>
        </w:r>
      </w:hyperlink>
      <w:r>
        <w:t>.</w:t>
      </w:r>
    </w:p>
    <w:p w14:paraId="1059D212" w14:textId="77777777" w:rsidR="00D2242B" w:rsidRDefault="00D2242B" w:rsidP="00D2242B"/>
    <w:p w14:paraId="60DCAED0" w14:textId="77777777" w:rsidR="00D2242B" w:rsidRDefault="00D2242B" w:rsidP="00D2242B">
      <w:r>
        <w:t>A new liaison statement has been received from SG11.</w:t>
      </w:r>
    </w:p>
    <w:p w14:paraId="0D2B5D33" w14:textId="77777777" w:rsidR="00D2242B" w:rsidRDefault="00D2242B" w:rsidP="00D2242B">
      <w:r>
        <w:t xml:space="preserve">This liaison statement follows and the original file can be downloaded from the ITU ftp server at </w:t>
      </w:r>
      <w:hyperlink r:id="rId15" w:tooltip="ITU-T ftp file restricted to TIES access only" w:history="1">
        <w:r>
          <w:rPr>
            <w:rStyle w:val="Hyperlink"/>
          </w:rPr>
          <w:t>http://handle.itu.int/11.1002/ls/sp17-sg11-oLS-00118.docx</w:t>
        </w:r>
      </w:hyperlink>
      <w:r>
        <w:t>.</w:t>
      </w:r>
    </w:p>
    <w:p w14:paraId="53A315C3" w14:textId="77777777" w:rsidR="00D2242B" w:rsidRDefault="00D2242B" w:rsidP="00D2242B">
      <w:pPr>
        <w:spacing w:before="0"/>
        <w:jc w:val="center"/>
      </w:pPr>
    </w:p>
    <w:p w14:paraId="2A84BB1F" w14:textId="77777777" w:rsidR="00D2242B" w:rsidRDefault="00D2242B">
      <w:r>
        <w:br w:type="page"/>
      </w:r>
    </w:p>
    <w:tbl>
      <w:tblPr>
        <w:tblW w:w="9645" w:type="dxa"/>
        <w:tblLayout w:type="fixed"/>
        <w:tblCellMar>
          <w:left w:w="57" w:type="dxa"/>
          <w:right w:w="57" w:type="dxa"/>
        </w:tblCellMar>
        <w:tblLook w:val="0000" w:firstRow="0" w:lastRow="0" w:firstColumn="0" w:lastColumn="0" w:noHBand="0" w:noVBand="0"/>
      </w:tblPr>
      <w:tblGrid>
        <w:gridCol w:w="1104"/>
        <w:gridCol w:w="314"/>
        <w:gridCol w:w="127"/>
        <w:gridCol w:w="582"/>
        <w:gridCol w:w="3328"/>
        <w:gridCol w:w="158"/>
        <w:gridCol w:w="4026"/>
        <w:gridCol w:w="6"/>
      </w:tblGrid>
      <w:tr w:rsidR="00471C77" w:rsidRPr="00471C77" w14:paraId="05BCAAFA" w14:textId="77777777" w:rsidTr="00471C77">
        <w:trPr>
          <w:gridAfter w:val="1"/>
          <w:wAfter w:w="6" w:type="dxa"/>
          <w:cantSplit/>
        </w:trPr>
        <w:tc>
          <w:tcPr>
            <w:tcW w:w="1104" w:type="dxa"/>
            <w:vMerge w:val="restart"/>
            <w:vAlign w:val="center"/>
          </w:tcPr>
          <w:p w14:paraId="429CDC9D" w14:textId="7831D351" w:rsidR="00471C77" w:rsidRPr="00471C77" w:rsidRDefault="00471C77" w:rsidP="00471C77">
            <w:pPr>
              <w:spacing w:before="0"/>
              <w:jc w:val="center"/>
              <w:rPr>
                <w:sz w:val="20"/>
                <w:szCs w:val="20"/>
              </w:rPr>
            </w:pPr>
            <w:r w:rsidRPr="00471C77">
              <w:rPr>
                <w:noProof/>
              </w:rPr>
              <w:lastRenderedPageBreak/>
              <w:drawing>
                <wp:inline distT="0" distB="0" distL="0" distR="0" wp14:anchorId="75AF793C" wp14:editId="67CADEB1">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16C84336" w14:textId="77777777" w:rsidR="00471C77" w:rsidRPr="00471C77" w:rsidRDefault="00471C77" w:rsidP="00471C77">
            <w:pPr>
              <w:rPr>
                <w:sz w:val="16"/>
                <w:szCs w:val="16"/>
              </w:rPr>
            </w:pPr>
            <w:r w:rsidRPr="00471C77">
              <w:rPr>
                <w:sz w:val="16"/>
                <w:szCs w:val="16"/>
              </w:rPr>
              <w:t>INTERNATIONAL TELECOMMUNICATION UNION</w:t>
            </w:r>
          </w:p>
          <w:p w14:paraId="1BC72FBB" w14:textId="77777777" w:rsidR="00471C77" w:rsidRPr="00471C77" w:rsidRDefault="00471C77" w:rsidP="00471C77">
            <w:pPr>
              <w:rPr>
                <w:b/>
                <w:bCs/>
                <w:sz w:val="26"/>
                <w:szCs w:val="26"/>
              </w:rPr>
            </w:pPr>
            <w:r w:rsidRPr="00471C77">
              <w:rPr>
                <w:b/>
                <w:bCs/>
                <w:sz w:val="26"/>
                <w:szCs w:val="26"/>
              </w:rPr>
              <w:t>TELECOMMUNICATION</w:t>
            </w:r>
            <w:r w:rsidRPr="00471C77">
              <w:rPr>
                <w:b/>
                <w:bCs/>
                <w:sz w:val="26"/>
                <w:szCs w:val="26"/>
              </w:rPr>
              <w:br/>
              <w:t>STANDARDIZATION SECTOR</w:t>
            </w:r>
          </w:p>
          <w:p w14:paraId="437EECDA" w14:textId="77777777" w:rsidR="00471C77" w:rsidRPr="00471C77" w:rsidRDefault="00471C77" w:rsidP="00471C77">
            <w:pPr>
              <w:rPr>
                <w:sz w:val="20"/>
                <w:szCs w:val="20"/>
              </w:rPr>
            </w:pPr>
            <w:r w:rsidRPr="00471C77">
              <w:rPr>
                <w:sz w:val="20"/>
                <w:szCs w:val="20"/>
              </w:rPr>
              <w:t xml:space="preserve">STUDY PERIOD </w:t>
            </w:r>
            <w:bookmarkStart w:id="5" w:name="dstudyperiod"/>
            <w:r w:rsidRPr="00471C77">
              <w:rPr>
                <w:sz w:val="20"/>
              </w:rPr>
              <w:t>2022</w:t>
            </w:r>
            <w:r w:rsidRPr="00471C77">
              <w:rPr>
                <w:sz w:val="20"/>
                <w:szCs w:val="20"/>
              </w:rPr>
              <w:t>-</w:t>
            </w:r>
            <w:r w:rsidRPr="00471C77">
              <w:rPr>
                <w:sz w:val="20"/>
              </w:rPr>
              <w:t>2024</w:t>
            </w:r>
            <w:bookmarkEnd w:id="5"/>
          </w:p>
        </w:tc>
        <w:tc>
          <w:tcPr>
            <w:tcW w:w="4184" w:type="dxa"/>
            <w:gridSpan w:val="2"/>
            <w:vAlign w:val="center"/>
          </w:tcPr>
          <w:p w14:paraId="775151D1" w14:textId="39654A4A" w:rsidR="00471C77" w:rsidRPr="00D2242B" w:rsidRDefault="00471C77" w:rsidP="00D2242B">
            <w:pPr>
              <w:jc w:val="right"/>
              <w:rPr>
                <w:b/>
                <w:sz w:val="28"/>
              </w:rPr>
            </w:pPr>
            <w:r w:rsidRPr="00D2242B">
              <w:rPr>
                <w:b/>
                <w:sz w:val="28"/>
              </w:rPr>
              <w:t>SG11-LS118</w:t>
            </w:r>
          </w:p>
        </w:tc>
      </w:tr>
      <w:tr w:rsidR="00471C77" w:rsidRPr="00471C77" w14:paraId="5C88F1C9" w14:textId="77777777" w:rsidTr="00471C77">
        <w:trPr>
          <w:gridAfter w:val="1"/>
          <w:wAfter w:w="6" w:type="dxa"/>
          <w:cantSplit/>
        </w:trPr>
        <w:tc>
          <w:tcPr>
            <w:tcW w:w="1104" w:type="dxa"/>
            <w:vMerge/>
          </w:tcPr>
          <w:p w14:paraId="31F7E99A" w14:textId="77777777" w:rsidR="00471C77" w:rsidRPr="00471C77" w:rsidRDefault="00471C77" w:rsidP="00471C77">
            <w:pPr>
              <w:rPr>
                <w:smallCaps/>
                <w:sz w:val="20"/>
              </w:rPr>
            </w:pPr>
            <w:bookmarkStart w:id="6" w:name="dsg" w:colFirst="2" w:colLast="2"/>
            <w:bookmarkEnd w:id="0"/>
          </w:p>
        </w:tc>
        <w:tc>
          <w:tcPr>
            <w:tcW w:w="4351" w:type="dxa"/>
            <w:gridSpan w:val="4"/>
            <w:vMerge/>
          </w:tcPr>
          <w:p w14:paraId="0EC975F1" w14:textId="77777777" w:rsidR="00471C77" w:rsidRPr="00471C77" w:rsidRDefault="00471C77" w:rsidP="00471C77">
            <w:pPr>
              <w:rPr>
                <w:smallCaps/>
                <w:sz w:val="20"/>
              </w:rPr>
            </w:pPr>
          </w:p>
        </w:tc>
        <w:tc>
          <w:tcPr>
            <w:tcW w:w="4184" w:type="dxa"/>
            <w:gridSpan w:val="2"/>
          </w:tcPr>
          <w:p w14:paraId="61BE4C7B" w14:textId="15150965" w:rsidR="00471C77" w:rsidRPr="00471C77" w:rsidRDefault="00471C77" w:rsidP="00471C77">
            <w:pPr>
              <w:jc w:val="right"/>
              <w:rPr>
                <w:b/>
                <w:bCs/>
                <w:smallCaps/>
                <w:sz w:val="28"/>
                <w:szCs w:val="28"/>
              </w:rPr>
            </w:pPr>
            <w:r>
              <w:rPr>
                <w:b/>
                <w:bCs/>
                <w:smallCaps/>
                <w:sz w:val="28"/>
                <w:szCs w:val="28"/>
              </w:rPr>
              <w:t>STUDY GROUP 11</w:t>
            </w:r>
          </w:p>
        </w:tc>
      </w:tr>
      <w:bookmarkEnd w:id="6"/>
      <w:tr w:rsidR="00471C77" w:rsidRPr="00471C77" w14:paraId="38FDB269" w14:textId="77777777" w:rsidTr="00471C77">
        <w:trPr>
          <w:gridAfter w:val="1"/>
          <w:wAfter w:w="6" w:type="dxa"/>
          <w:cantSplit/>
        </w:trPr>
        <w:tc>
          <w:tcPr>
            <w:tcW w:w="1104" w:type="dxa"/>
            <w:vMerge/>
            <w:tcBorders>
              <w:bottom w:val="single" w:sz="12" w:space="0" w:color="auto"/>
            </w:tcBorders>
          </w:tcPr>
          <w:p w14:paraId="0CB08377" w14:textId="77777777" w:rsidR="00471C77" w:rsidRPr="00471C77" w:rsidRDefault="00471C77" w:rsidP="00471C77">
            <w:pPr>
              <w:rPr>
                <w:b/>
                <w:bCs/>
                <w:sz w:val="26"/>
              </w:rPr>
            </w:pPr>
          </w:p>
        </w:tc>
        <w:tc>
          <w:tcPr>
            <w:tcW w:w="4351" w:type="dxa"/>
            <w:gridSpan w:val="4"/>
            <w:vMerge/>
            <w:tcBorders>
              <w:bottom w:val="single" w:sz="12" w:space="0" w:color="auto"/>
            </w:tcBorders>
          </w:tcPr>
          <w:p w14:paraId="6AB01EBB" w14:textId="77777777" w:rsidR="00471C77" w:rsidRPr="00471C77" w:rsidRDefault="00471C77" w:rsidP="00471C77">
            <w:pPr>
              <w:rPr>
                <w:b/>
                <w:bCs/>
                <w:sz w:val="26"/>
              </w:rPr>
            </w:pPr>
          </w:p>
        </w:tc>
        <w:tc>
          <w:tcPr>
            <w:tcW w:w="4184" w:type="dxa"/>
            <w:gridSpan w:val="2"/>
            <w:tcBorders>
              <w:bottom w:val="single" w:sz="12" w:space="0" w:color="auto"/>
            </w:tcBorders>
            <w:vAlign w:val="center"/>
          </w:tcPr>
          <w:p w14:paraId="0197D61C" w14:textId="77777777" w:rsidR="00471C77" w:rsidRPr="00471C77" w:rsidRDefault="00471C77" w:rsidP="00471C77">
            <w:pPr>
              <w:jc w:val="right"/>
              <w:rPr>
                <w:b/>
                <w:bCs/>
                <w:sz w:val="28"/>
                <w:szCs w:val="28"/>
              </w:rPr>
            </w:pPr>
            <w:r w:rsidRPr="00471C77">
              <w:rPr>
                <w:b/>
                <w:bCs/>
                <w:sz w:val="28"/>
                <w:szCs w:val="28"/>
              </w:rPr>
              <w:t>Original: English</w:t>
            </w:r>
          </w:p>
        </w:tc>
      </w:tr>
      <w:tr w:rsidR="00471C77" w:rsidRPr="00471C77" w14:paraId="0DDC980F" w14:textId="77777777" w:rsidTr="00471C77">
        <w:trPr>
          <w:gridAfter w:val="1"/>
          <w:wAfter w:w="6" w:type="dxa"/>
          <w:cantSplit/>
        </w:trPr>
        <w:tc>
          <w:tcPr>
            <w:tcW w:w="1545" w:type="dxa"/>
            <w:gridSpan w:val="3"/>
          </w:tcPr>
          <w:p w14:paraId="77B22F7F" w14:textId="77777777" w:rsidR="00471C77" w:rsidRPr="00471C77" w:rsidRDefault="00471C77" w:rsidP="00471C77">
            <w:pPr>
              <w:rPr>
                <w:b/>
                <w:bCs/>
              </w:rPr>
            </w:pPr>
            <w:bookmarkStart w:id="7" w:name="dbluepink" w:colFirst="1" w:colLast="1"/>
            <w:bookmarkStart w:id="8" w:name="dmeeting" w:colFirst="2" w:colLast="2"/>
            <w:r w:rsidRPr="00471C77">
              <w:rPr>
                <w:b/>
                <w:bCs/>
              </w:rPr>
              <w:t>Question(s):</w:t>
            </w:r>
          </w:p>
        </w:tc>
        <w:tc>
          <w:tcPr>
            <w:tcW w:w="3910" w:type="dxa"/>
            <w:gridSpan w:val="2"/>
          </w:tcPr>
          <w:p w14:paraId="09D52023" w14:textId="03C0BEB6" w:rsidR="00471C77" w:rsidRPr="00471C77" w:rsidRDefault="00471C77" w:rsidP="00471C77">
            <w:r w:rsidRPr="00471C77">
              <w:t>All/11</w:t>
            </w:r>
          </w:p>
        </w:tc>
        <w:tc>
          <w:tcPr>
            <w:tcW w:w="4184" w:type="dxa"/>
            <w:gridSpan w:val="2"/>
          </w:tcPr>
          <w:p w14:paraId="503EA213" w14:textId="37418909" w:rsidR="00471C77" w:rsidRPr="00471C77" w:rsidRDefault="00471C77" w:rsidP="00471C77">
            <w:pPr>
              <w:jc w:val="right"/>
            </w:pPr>
            <w:r w:rsidRPr="00471C77">
              <w:t>Geneva, 10-20 October 2023</w:t>
            </w:r>
          </w:p>
        </w:tc>
      </w:tr>
      <w:tr w:rsidR="00471C77" w:rsidRPr="00471C77" w14:paraId="4F31C98B" w14:textId="77777777" w:rsidTr="00471C77">
        <w:trPr>
          <w:gridAfter w:val="1"/>
          <w:wAfter w:w="6" w:type="dxa"/>
          <w:cantSplit/>
        </w:trPr>
        <w:tc>
          <w:tcPr>
            <w:tcW w:w="9639" w:type="dxa"/>
            <w:gridSpan w:val="7"/>
          </w:tcPr>
          <w:p w14:paraId="62C2332A" w14:textId="5DDA89EB" w:rsidR="00471C77" w:rsidRPr="00471C77" w:rsidRDefault="00471C77" w:rsidP="00471C77">
            <w:pPr>
              <w:jc w:val="center"/>
              <w:rPr>
                <w:b/>
                <w:bCs/>
              </w:rPr>
            </w:pPr>
            <w:bookmarkStart w:id="9" w:name="ddoctype"/>
            <w:bookmarkEnd w:id="7"/>
            <w:bookmarkEnd w:id="8"/>
            <w:r w:rsidRPr="00471C77">
              <w:rPr>
                <w:b/>
                <w:bCs/>
              </w:rPr>
              <w:t>Ref.: SG11-TD799/GEN</w:t>
            </w:r>
          </w:p>
        </w:tc>
      </w:tr>
      <w:tr w:rsidR="00471C77" w:rsidRPr="00471C77" w14:paraId="455B3FC7" w14:textId="77777777" w:rsidTr="00471C77">
        <w:trPr>
          <w:gridAfter w:val="1"/>
          <w:wAfter w:w="6" w:type="dxa"/>
          <w:cantSplit/>
        </w:trPr>
        <w:tc>
          <w:tcPr>
            <w:tcW w:w="1545" w:type="dxa"/>
            <w:gridSpan w:val="3"/>
          </w:tcPr>
          <w:p w14:paraId="440DB9EE" w14:textId="77777777" w:rsidR="00471C77" w:rsidRPr="00471C77" w:rsidRDefault="00471C77" w:rsidP="00471C77">
            <w:pPr>
              <w:rPr>
                <w:b/>
                <w:bCs/>
              </w:rPr>
            </w:pPr>
            <w:bookmarkStart w:id="10" w:name="dsource" w:colFirst="1" w:colLast="1"/>
            <w:bookmarkEnd w:id="9"/>
            <w:r w:rsidRPr="00471C77">
              <w:rPr>
                <w:b/>
                <w:bCs/>
              </w:rPr>
              <w:t>Source:</w:t>
            </w:r>
          </w:p>
        </w:tc>
        <w:tc>
          <w:tcPr>
            <w:tcW w:w="8094" w:type="dxa"/>
            <w:gridSpan w:val="4"/>
          </w:tcPr>
          <w:p w14:paraId="5DA2B088" w14:textId="3E3CD0C7" w:rsidR="00471C77" w:rsidRPr="00471C77" w:rsidRDefault="00064073" w:rsidP="00471C77">
            <w:r w:rsidRPr="00471C77">
              <w:t>ITU-T Study Group 11</w:t>
            </w:r>
          </w:p>
        </w:tc>
      </w:tr>
      <w:tr w:rsidR="00471C77" w:rsidRPr="00471C77" w14:paraId="0B592364" w14:textId="77777777" w:rsidTr="00471C77">
        <w:trPr>
          <w:gridAfter w:val="1"/>
          <w:wAfter w:w="6" w:type="dxa"/>
          <w:cantSplit/>
        </w:trPr>
        <w:tc>
          <w:tcPr>
            <w:tcW w:w="1545" w:type="dxa"/>
            <w:gridSpan w:val="3"/>
            <w:tcBorders>
              <w:bottom w:val="single" w:sz="8" w:space="0" w:color="auto"/>
            </w:tcBorders>
          </w:tcPr>
          <w:p w14:paraId="58AA7E1F" w14:textId="77777777" w:rsidR="00471C77" w:rsidRPr="00471C77" w:rsidRDefault="00471C77" w:rsidP="00471C77">
            <w:pPr>
              <w:rPr>
                <w:b/>
                <w:bCs/>
              </w:rPr>
            </w:pPr>
            <w:bookmarkStart w:id="11" w:name="dtitle1" w:colFirst="1" w:colLast="1"/>
            <w:bookmarkEnd w:id="10"/>
            <w:r w:rsidRPr="00471C77">
              <w:rPr>
                <w:b/>
                <w:bCs/>
              </w:rPr>
              <w:t>Title:</w:t>
            </w:r>
          </w:p>
        </w:tc>
        <w:tc>
          <w:tcPr>
            <w:tcW w:w="8094" w:type="dxa"/>
            <w:gridSpan w:val="4"/>
            <w:tcBorders>
              <w:bottom w:val="single" w:sz="8" w:space="0" w:color="auto"/>
            </w:tcBorders>
          </w:tcPr>
          <w:p w14:paraId="1FB55A62" w14:textId="4B08E54D" w:rsidR="00471C77" w:rsidRPr="00471C77" w:rsidRDefault="00471C77" w:rsidP="00471C77">
            <w:r w:rsidRPr="00471C77">
              <w:t xml:space="preserve">LS/r on the activities and studies on sustainable digital transformation </w:t>
            </w:r>
            <w:r>
              <w:t>(</w:t>
            </w:r>
            <w:r w:rsidR="001C73E5">
              <w:t xml:space="preserve">reply to </w:t>
            </w:r>
            <w:r w:rsidRPr="00471C77">
              <w:t>TSAG-LS22</w:t>
            </w:r>
            <w:r>
              <w:t>)</w:t>
            </w:r>
          </w:p>
        </w:tc>
      </w:tr>
      <w:bookmarkEnd w:id="1"/>
      <w:bookmarkEnd w:id="11"/>
      <w:tr w:rsidR="00E00130" w:rsidRPr="000B0B6C" w14:paraId="20EE1F05" w14:textId="77777777" w:rsidTr="00471C77">
        <w:tblPrEx>
          <w:tblLook w:val="04A0" w:firstRow="1" w:lastRow="0" w:firstColumn="1" w:lastColumn="0" w:noHBand="0" w:noVBand="1"/>
        </w:tblPrEx>
        <w:trPr>
          <w:cantSplit/>
          <w:trHeight w:val="357"/>
        </w:trPr>
        <w:tc>
          <w:tcPr>
            <w:tcW w:w="9645" w:type="dxa"/>
            <w:gridSpan w:val="8"/>
            <w:tcBorders>
              <w:top w:val="single" w:sz="12" w:space="0" w:color="auto"/>
              <w:left w:val="nil"/>
              <w:bottom w:val="nil"/>
              <w:right w:val="nil"/>
            </w:tcBorders>
            <w:hideMark/>
          </w:tcPr>
          <w:p w14:paraId="6E4D276B" w14:textId="77777777" w:rsidR="00E00130" w:rsidRPr="000B0B6C" w:rsidRDefault="00E00130" w:rsidP="005B618F">
            <w:pPr>
              <w:spacing w:line="256" w:lineRule="auto"/>
              <w:jc w:val="center"/>
              <w:rPr>
                <w:rFonts w:asciiTheme="majorBidi" w:hAnsiTheme="majorBidi" w:cstheme="majorBidi"/>
                <w:b/>
              </w:rPr>
            </w:pPr>
            <w:r w:rsidRPr="000B0B6C">
              <w:rPr>
                <w:rFonts w:asciiTheme="majorBidi" w:hAnsiTheme="majorBidi" w:cstheme="majorBidi"/>
                <w:b/>
              </w:rPr>
              <w:t>LIAISON STATEMENT</w:t>
            </w:r>
          </w:p>
        </w:tc>
      </w:tr>
      <w:tr w:rsidR="00E00130" w:rsidRPr="000B0B6C" w14:paraId="20F4E2C7" w14:textId="77777777" w:rsidTr="00471C77">
        <w:tblPrEx>
          <w:tblLook w:val="04A0" w:firstRow="1" w:lastRow="0" w:firstColumn="1" w:lastColumn="0" w:noHBand="0" w:noVBand="1"/>
        </w:tblPrEx>
        <w:trPr>
          <w:cantSplit/>
          <w:trHeight w:val="357"/>
        </w:trPr>
        <w:tc>
          <w:tcPr>
            <w:tcW w:w="2127" w:type="dxa"/>
            <w:gridSpan w:val="4"/>
            <w:hideMark/>
          </w:tcPr>
          <w:p w14:paraId="6A28D310"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action to:</w:t>
            </w:r>
          </w:p>
        </w:tc>
        <w:tc>
          <w:tcPr>
            <w:tcW w:w="7518" w:type="dxa"/>
            <w:gridSpan w:val="4"/>
          </w:tcPr>
          <w:p w14:paraId="3B35FB42" w14:textId="1F94B927" w:rsidR="00E00130" w:rsidRPr="000B0B6C" w:rsidRDefault="00B50E8B" w:rsidP="00E00130">
            <w:pPr>
              <w:pStyle w:val="LSForAction"/>
              <w:spacing w:line="256" w:lineRule="auto"/>
              <w:rPr>
                <w:rFonts w:asciiTheme="majorBidi" w:hAnsiTheme="majorBidi" w:cstheme="majorBidi"/>
                <w:szCs w:val="24"/>
              </w:rPr>
            </w:pPr>
            <w:r>
              <w:rPr>
                <w:rFonts w:cstheme="minorHAnsi"/>
              </w:rPr>
              <w:t>-</w:t>
            </w:r>
          </w:p>
        </w:tc>
      </w:tr>
      <w:tr w:rsidR="00E00130" w:rsidRPr="000B0B6C" w14:paraId="164A2897" w14:textId="77777777" w:rsidTr="00471C77">
        <w:tblPrEx>
          <w:tblLook w:val="04A0" w:firstRow="1" w:lastRow="0" w:firstColumn="1" w:lastColumn="0" w:noHBand="0" w:noVBand="1"/>
        </w:tblPrEx>
        <w:trPr>
          <w:cantSplit/>
          <w:trHeight w:val="357"/>
        </w:trPr>
        <w:tc>
          <w:tcPr>
            <w:tcW w:w="2127" w:type="dxa"/>
            <w:gridSpan w:val="4"/>
            <w:hideMark/>
          </w:tcPr>
          <w:p w14:paraId="6DACB0ED"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For information to:</w:t>
            </w:r>
          </w:p>
        </w:tc>
        <w:tc>
          <w:tcPr>
            <w:tcW w:w="7518" w:type="dxa"/>
            <w:gridSpan w:val="4"/>
          </w:tcPr>
          <w:p w14:paraId="150C5CA0" w14:textId="3C2DB9A4" w:rsidR="00E00130" w:rsidRPr="000B0B6C" w:rsidRDefault="00B50E8B" w:rsidP="00E00130">
            <w:pPr>
              <w:pStyle w:val="LSForInfo"/>
              <w:spacing w:line="256" w:lineRule="auto"/>
              <w:rPr>
                <w:rFonts w:asciiTheme="majorBidi" w:hAnsiTheme="majorBidi" w:cstheme="majorBidi"/>
              </w:rPr>
            </w:pPr>
            <w:r>
              <w:rPr>
                <w:rFonts w:cstheme="minorHAnsi"/>
              </w:rPr>
              <w:t>TSAG</w:t>
            </w:r>
          </w:p>
        </w:tc>
      </w:tr>
      <w:tr w:rsidR="00E00130" w:rsidRPr="000B0B6C" w14:paraId="0F2CB42A" w14:textId="77777777" w:rsidTr="00471C77">
        <w:tblPrEx>
          <w:tblLook w:val="04A0" w:firstRow="1" w:lastRow="0" w:firstColumn="1" w:lastColumn="0" w:noHBand="0" w:noVBand="1"/>
        </w:tblPrEx>
        <w:trPr>
          <w:cantSplit/>
          <w:trHeight w:val="357"/>
        </w:trPr>
        <w:tc>
          <w:tcPr>
            <w:tcW w:w="2127" w:type="dxa"/>
            <w:gridSpan w:val="4"/>
            <w:hideMark/>
          </w:tcPr>
          <w:p w14:paraId="3603E0C1"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Approval:</w:t>
            </w:r>
          </w:p>
        </w:tc>
        <w:tc>
          <w:tcPr>
            <w:tcW w:w="7518" w:type="dxa"/>
            <w:gridSpan w:val="4"/>
          </w:tcPr>
          <w:p w14:paraId="4DD212EC" w14:textId="4BA9F3B5" w:rsidR="00E00130" w:rsidRPr="00471C77" w:rsidRDefault="00B23196" w:rsidP="00E00130">
            <w:pPr>
              <w:pStyle w:val="LSApproval"/>
              <w:spacing w:line="256" w:lineRule="auto"/>
              <w:rPr>
                <w:rFonts w:asciiTheme="majorBidi" w:hAnsiTheme="majorBidi" w:cstheme="majorBidi"/>
              </w:rPr>
            </w:pPr>
            <w:r w:rsidRPr="00471C77">
              <w:t xml:space="preserve">ITU-T </w:t>
            </w:r>
            <w:r w:rsidR="00B50E8B" w:rsidRPr="00471C77">
              <w:t>S</w:t>
            </w:r>
            <w:r w:rsidRPr="00471C77">
              <w:t xml:space="preserve">tudy </w:t>
            </w:r>
            <w:r w:rsidR="00B50E8B" w:rsidRPr="00471C77">
              <w:t>G</w:t>
            </w:r>
            <w:r w:rsidRPr="00471C77">
              <w:t xml:space="preserve">roup </w:t>
            </w:r>
            <w:r w:rsidR="00B50E8B" w:rsidRPr="00471C77">
              <w:t>11 meeting</w:t>
            </w:r>
            <w:r w:rsidR="00E00130" w:rsidRPr="00471C77">
              <w:t xml:space="preserve"> (</w:t>
            </w:r>
            <w:r w:rsidRPr="00471C77">
              <w:t xml:space="preserve">Geneva, </w:t>
            </w:r>
            <w:r w:rsidR="00E00130" w:rsidRPr="00471C77">
              <w:t>2</w:t>
            </w:r>
            <w:r w:rsidR="00B50E8B" w:rsidRPr="00471C77">
              <w:t xml:space="preserve">0 October </w:t>
            </w:r>
            <w:r w:rsidR="00E00130" w:rsidRPr="00471C77">
              <w:t>2023)</w:t>
            </w:r>
          </w:p>
        </w:tc>
      </w:tr>
      <w:tr w:rsidR="00E00130" w:rsidRPr="000B0B6C" w14:paraId="3B14C72D" w14:textId="77777777" w:rsidTr="00471C77">
        <w:tblPrEx>
          <w:tblLook w:val="04A0" w:firstRow="1" w:lastRow="0" w:firstColumn="1" w:lastColumn="0" w:noHBand="0" w:noVBand="1"/>
        </w:tblPrEx>
        <w:trPr>
          <w:cantSplit/>
          <w:trHeight w:val="357"/>
        </w:trPr>
        <w:tc>
          <w:tcPr>
            <w:tcW w:w="2127" w:type="dxa"/>
            <w:gridSpan w:val="4"/>
            <w:tcBorders>
              <w:top w:val="nil"/>
              <w:left w:val="nil"/>
              <w:bottom w:val="single" w:sz="12" w:space="0" w:color="auto"/>
              <w:right w:val="nil"/>
            </w:tcBorders>
            <w:hideMark/>
          </w:tcPr>
          <w:p w14:paraId="41086D39" w14:textId="77777777" w:rsidR="00E00130" w:rsidRPr="000B0B6C" w:rsidRDefault="00E00130" w:rsidP="00E00130">
            <w:pPr>
              <w:spacing w:line="256" w:lineRule="auto"/>
              <w:rPr>
                <w:rFonts w:asciiTheme="majorBidi" w:hAnsiTheme="majorBidi" w:cstheme="majorBidi"/>
                <w:b/>
                <w:bCs/>
              </w:rPr>
            </w:pPr>
            <w:r w:rsidRPr="000B0B6C">
              <w:rPr>
                <w:rFonts w:asciiTheme="majorBidi" w:hAnsiTheme="majorBidi" w:cstheme="majorBidi"/>
                <w:b/>
                <w:bCs/>
              </w:rPr>
              <w:t>Deadline:</w:t>
            </w:r>
          </w:p>
        </w:tc>
        <w:tc>
          <w:tcPr>
            <w:tcW w:w="7518" w:type="dxa"/>
            <w:gridSpan w:val="4"/>
            <w:tcBorders>
              <w:top w:val="nil"/>
              <w:left w:val="nil"/>
              <w:bottom w:val="single" w:sz="12" w:space="0" w:color="auto"/>
              <w:right w:val="nil"/>
            </w:tcBorders>
          </w:tcPr>
          <w:p w14:paraId="7B5305DC" w14:textId="3F7DE573" w:rsidR="00E00130" w:rsidRPr="000B0B6C" w:rsidRDefault="00B50E8B" w:rsidP="00E00130">
            <w:pPr>
              <w:pStyle w:val="LSDeadline"/>
              <w:spacing w:line="256" w:lineRule="auto"/>
              <w:rPr>
                <w:rFonts w:asciiTheme="majorBidi" w:hAnsiTheme="majorBidi" w:cstheme="majorBidi"/>
              </w:rPr>
            </w:pPr>
            <w:r>
              <w:t>N/A</w:t>
            </w:r>
          </w:p>
        </w:tc>
      </w:tr>
      <w:tr w:rsidR="00E00130" w:rsidRPr="00122E3A" w14:paraId="442ED26F" w14:textId="77777777" w:rsidTr="00471C77">
        <w:trPr>
          <w:gridAfter w:val="1"/>
          <w:wAfter w:w="6" w:type="dxa"/>
          <w:cantSplit/>
          <w:trHeight w:val="843"/>
        </w:trPr>
        <w:tc>
          <w:tcPr>
            <w:tcW w:w="1418" w:type="dxa"/>
            <w:gridSpan w:val="2"/>
            <w:tcBorders>
              <w:top w:val="single" w:sz="8" w:space="0" w:color="auto"/>
              <w:bottom w:val="single" w:sz="8" w:space="0" w:color="auto"/>
            </w:tcBorders>
          </w:tcPr>
          <w:p w14:paraId="2729E5BC" w14:textId="77777777" w:rsidR="00E00130" w:rsidRPr="000B0B6C" w:rsidRDefault="00E00130" w:rsidP="00E00130">
            <w:pPr>
              <w:rPr>
                <w:rFonts w:asciiTheme="majorBidi" w:hAnsiTheme="majorBidi" w:cstheme="majorBidi"/>
                <w:b/>
                <w:bCs/>
              </w:rPr>
            </w:pPr>
            <w:r w:rsidRPr="003020D2">
              <w:rPr>
                <w:rFonts w:asciiTheme="majorBidi" w:hAnsiTheme="majorBidi" w:cstheme="majorBidi"/>
                <w:b/>
                <w:bCs/>
              </w:rPr>
              <w:t>Contact:</w:t>
            </w:r>
          </w:p>
        </w:tc>
        <w:tc>
          <w:tcPr>
            <w:tcW w:w="4195" w:type="dxa"/>
            <w:gridSpan w:val="4"/>
            <w:tcBorders>
              <w:top w:val="single" w:sz="8" w:space="0" w:color="auto"/>
              <w:bottom w:val="single" w:sz="8" w:space="0" w:color="auto"/>
            </w:tcBorders>
          </w:tcPr>
          <w:p w14:paraId="0D5F35B7" w14:textId="11DC1C73" w:rsidR="00E00130" w:rsidRPr="000B0B6C" w:rsidRDefault="00515CD8" w:rsidP="00E00130">
            <w:pPr>
              <w:rPr>
                <w:rFonts w:asciiTheme="majorBidi" w:hAnsiTheme="majorBidi" w:cstheme="majorBidi"/>
              </w:rPr>
            </w:pPr>
            <w:r w:rsidRPr="00515CD8">
              <w:rPr>
                <w:rFonts w:asciiTheme="majorBidi" w:hAnsiTheme="majorBidi" w:cstheme="majorBidi"/>
              </w:rPr>
              <w:t>Ritu Ranjan MITTAR</w:t>
            </w:r>
            <w:r>
              <w:rPr>
                <w:rFonts w:asciiTheme="majorBidi" w:hAnsiTheme="majorBidi" w:cstheme="majorBidi"/>
              </w:rPr>
              <w:br/>
              <w:t>SG11 Chairman, India</w:t>
            </w:r>
          </w:p>
        </w:tc>
        <w:tc>
          <w:tcPr>
            <w:tcW w:w="4026" w:type="dxa"/>
            <w:tcBorders>
              <w:top w:val="single" w:sz="8" w:space="0" w:color="auto"/>
              <w:bottom w:val="single" w:sz="8" w:space="0" w:color="auto"/>
            </w:tcBorders>
          </w:tcPr>
          <w:p w14:paraId="189C6DD9" w14:textId="34D8BC9F" w:rsidR="00E00130" w:rsidRPr="000B0B6C" w:rsidRDefault="00E00130" w:rsidP="00EB67A1">
            <w:pPr>
              <w:rPr>
                <w:rFonts w:asciiTheme="majorBidi" w:hAnsiTheme="majorBidi" w:cstheme="majorBidi"/>
                <w:lang w:val="de-DE"/>
              </w:rPr>
            </w:pPr>
            <w:r w:rsidRPr="00B477EB">
              <w:rPr>
                <w:lang w:val="de-DE"/>
              </w:rPr>
              <w:t>E-mail:</w:t>
            </w:r>
            <w:r w:rsidR="00EB67A1">
              <w:rPr>
                <w:lang w:val="de-DE"/>
              </w:rPr>
              <w:t xml:space="preserve"> </w:t>
            </w:r>
            <w:hyperlink r:id="rId16" w:history="1">
              <w:r w:rsidR="00B3595E" w:rsidRPr="00122E3A">
                <w:rPr>
                  <w:rStyle w:val="Hyperlink"/>
                  <w:lang w:val="de-DE"/>
                </w:rPr>
                <w:t>rr.mittar@gov.in</w:t>
              </w:r>
            </w:hyperlink>
          </w:p>
        </w:tc>
      </w:tr>
      <w:tr w:rsidR="00E00130" w:rsidRPr="00122E3A" w14:paraId="5182474A" w14:textId="77777777" w:rsidTr="00471C77">
        <w:trPr>
          <w:gridAfter w:val="1"/>
          <w:wAfter w:w="6" w:type="dxa"/>
          <w:cantSplit/>
          <w:trHeight w:val="871"/>
        </w:trPr>
        <w:tc>
          <w:tcPr>
            <w:tcW w:w="1418" w:type="dxa"/>
            <w:gridSpan w:val="2"/>
            <w:tcBorders>
              <w:top w:val="single" w:sz="8" w:space="0" w:color="auto"/>
              <w:bottom w:val="single" w:sz="8" w:space="0" w:color="auto"/>
            </w:tcBorders>
          </w:tcPr>
          <w:p w14:paraId="6DBB5B59" w14:textId="414C38A6" w:rsidR="00E00130" w:rsidRPr="003020D2" w:rsidRDefault="00E00130" w:rsidP="00E00130">
            <w:pPr>
              <w:rPr>
                <w:rFonts w:asciiTheme="majorBidi" w:hAnsiTheme="majorBidi" w:cstheme="majorBidi"/>
                <w:b/>
                <w:bCs/>
              </w:rPr>
            </w:pPr>
            <w:r w:rsidRPr="003020D2">
              <w:rPr>
                <w:rFonts w:asciiTheme="majorBidi" w:hAnsiTheme="majorBidi" w:cstheme="majorBidi"/>
                <w:b/>
                <w:bCs/>
              </w:rPr>
              <w:t>Contact:</w:t>
            </w:r>
          </w:p>
        </w:tc>
        <w:tc>
          <w:tcPr>
            <w:tcW w:w="4195" w:type="dxa"/>
            <w:gridSpan w:val="4"/>
            <w:tcBorders>
              <w:top w:val="single" w:sz="8" w:space="0" w:color="auto"/>
              <w:bottom w:val="single" w:sz="8" w:space="0" w:color="auto"/>
            </w:tcBorders>
          </w:tcPr>
          <w:p w14:paraId="47AC60AA" w14:textId="7956AE47" w:rsidR="00E00130" w:rsidRPr="000B0B6C" w:rsidRDefault="0050243D" w:rsidP="00E00130">
            <w:pPr>
              <w:rPr>
                <w:rFonts w:asciiTheme="majorBidi" w:hAnsiTheme="majorBidi" w:cstheme="majorBidi"/>
              </w:rPr>
            </w:pPr>
            <w:r w:rsidRPr="0050243D">
              <w:rPr>
                <w:rFonts w:asciiTheme="majorBidi" w:hAnsiTheme="majorBidi" w:cstheme="majorBidi"/>
              </w:rPr>
              <w:t>Namseok KO</w:t>
            </w:r>
            <w:r>
              <w:rPr>
                <w:rFonts w:asciiTheme="majorBidi" w:hAnsiTheme="majorBidi" w:cstheme="majorBidi"/>
              </w:rPr>
              <w:br/>
              <w:t>VC of SG11, ETRI, Korea (Rep.of)</w:t>
            </w:r>
          </w:p>
        </w:tc>
        <w:tc>
          <w:tcPr>
            <w:tcW w:w="4026" w:type="dxa"/>
            <w:tcBorders>
              <w:top w:val="single" w:sz="8" w:space="0" w:color="auto"/>
              <w:bottom w:val="single" w:sz="8" w:space="0" w:color="auto"/>
            </w:tcBorders>
          </w:tcPr>
          <w:p w14:paraId="3B0532FF" w14:textId="1F45E232" w:rsidR="00E00130" w:rsidRPr="000B0B6C" w:rsidRDefault="00E00130" w:rsidP="00E00130">
            <w:pPr>
              <w:tabs>
                <w:tab w:val="left" w:pos="794"/>
              </w:tabs>
              <w:rPr>
                <w:rFonts w:asciiTheme="majorBidi" w:hAnsiTheme="majorBidi" w:cstheme="majorBidi"/>
                <w:lang w:val="de-DE"/>
              </w:rPr>
            </w:pPr>
            <w:r w:rsidRPr="00122E3A">
              <w:rPr>
                <w:lang w:val="de-DE"/>
              </w:rPr>
              <w:t>E</w:t>
            </w:r>
            <w:r w:rsidR="00EB67A1" w:rsidRPr="00122E3A">
              <w:rPr>
                <w:lang w:val="de-DE"/>
              </w:rPr>
              <w:t>-</w:t>
            </w:r>
            <w:r w:rsidRPr="00122E3A">
              <w:rPr>
                <w:lang w:val="de-DE"/>
              </w:rPr>
              <w:t xml:space="preserve">mail: </w:t>
            </w:r>
            <w:hyperlink r:id="rId17" w:history="1">
              <w:r w:rsidR="00FC5ECA" w:rsidRPr="00122E3A">
                <w:rPr>
                  <w:rStyle w:val="Hyperlink"/>
                  <w:lang w:val="de-DE"/>
                </w:rPr>
                <w:t>nsko@etri.re.kr</w:t>
              </w:r>
            </w:hyperlink>
          </w:p>
        </w:tc>
      </w:tr>
    </w:tbl>
    <w:p w14:paraId="18E796F5" w14:textId="77777777" w:rsidR="00633938" w:rsidRPr="00B477EB" w:rsidRDefault="00633938" w:rsidP="0063393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33938" w:rsidRPr="00136DDD" w14:paraId="405D3002" w14:textId="77777777" w:rsidTr="00366F52">
        <w:trPr>
          <w:cantSplit/>
        </w:trPr>
        <w:tc>
          <w:tcPr>
            <w:tcW w:w="1588" w:type="dxa"/>
          </w:tcPr>
          <w:p w14:paraId="07970016" w14:textId="77777777" w:rsidR="00633938" w:rsidRPr="00136DDD" w:rsidRDefault="00633938" w:rsidP="00366F52">
            <w:pPr>
              <w:rPr>
                <w:b/>
                <w:bCs/>
              </w:rPr>
            </w:pPr>
            <w:r w:rsidRPr="00136DDD">
              <w:rPr>
                <w:b/>
                <w:bCs/>
              </w:rPr>
              <w:t>Abstract:</w:t>
            </w:r>
          </w:p>
        </w:tc>
        <w:tc>
          <w:tcPr>
            <w:tcW w:w="8051" w:type="dxa"/>
          </w:tcPr>
          <w:p w14:paraId="46EAFF9E" w14:textId="4FD61E11" w:rsidR="00633938" w:rsidRPr="008249A7" w:rsidRDefault="00633938" w:rsidP="00366F52">
            <w:pPr>
              <w:pStyle w:val="TSBHeaderSummary"/>
              <w:rPr>
                <w:highlight w:val="yellow"/>
              </w:rPr>
            </w:pPr>
            <w:r>
              <w:rPr>
                <w:rFonts w:cstheme="minorHAnsi"/>
                <w:lang w:eastAsia="zh-CN"/>
              </w:rPr>
              <w:t xml:space="preserve">The liaison statement aims to </w:t>
            </w:r>
            <w:r w:rsidR="00536BB3">
              <w:rPr>
                <w:rFonts w:cstheme="minorHAnsi"/>
                <w:lang w:eastAsia="zh-CN"/>
              </w:rPr>
              <w:t xml:space="preserve">inform TSAG RG-DT </w:t>
            </w:r>
            <w:r>
              <w:rPr>
                <w:rFonts w:cstheme="minorHAnsi"/>
                <w:lang w:eastAsia="zh-CN"/>
              </w:rPr>
              <w:t xml:space="preserve">on </w:t>
            </w:r>
            <w:r w:rsidRPr="00C55A14">
              <w:rPr>
                <w:iCs/>
                <w:lang w:val="en-US"/>
              </w:rPr>
              <w:t xml:space="preserve">the </w:t>
            </w:r>
            <w:r w:rsidR="00B23196" w:rsidRPr="00B23196">
              <w:rPr>
                <w:iCs/>
                <w:lang w:val="en-US"/>
              </w:rPr>
              <w:t xml:space="preserve">ITU-T </w:t>
            </w:r>
            <w:r w:rsidR="00536BB3">
              <w:rPr>
                <w:iCs/>
                <w:lang w:val="en-US"/>
              </w:rPr>
              <w:t xml:space="preserve">SG11 </w:t>
            </w:r>
            <w:r w:rsidRPr="00C55A14">
              <w:rPr>
                <w:iCs/>
                <w:lang w:val="en-US"/>
              </w:rPr>
              <w:t xml:space="preserve">activities and studies </w:t>
            </w:r>
            <w:r>
              <w:rPr>
                <w:iCs/>
                <w:lang w:val="en-US"/>
              </w:rPr>
              <w:t xml:space="preserve">related to </w:t>
            </w:r>
            <w:r w:rsidRPr="00C55A14">
              <w:rPr>
                <w:iCs/>
                <w:lang w:val="en-US"/>
              </w:rPr>
              <w:t>sustainable digital transformation</w:t>
            </w:r>
            <w:r>
              <w:rPr>
                <w:iCs/>
                <w:lang w:val="en-US"/>
              </w:rPr>
              <w:t>.</w:t>
            </w:r>
          </w:p>
        </w:tc>
      </w:tr>
    </w:tbl>
    <w:p w14:paraId="7F0FB04B" w14:textId="4322F0CB" w:rsidR="001E79D8" w:rsidRDefault="00536BB3" w:rsidP="00EA3EFE">
      <w:pPr>
        <w:pStyle w:val="ListParagraph"/>
        <w:spacing w:before="240" w:after="120"/>
        <w:ind w:left="0"/>
        <w:contextualSpacing w:val="0"/>
        <w:rPr>
          <w:iCs/>
          <w:lang w:val="en-US"/>
        </w:rPr>
      </w:pPr>
      <w:r>
        <w:rPr>
          <w:rFonts w:cstheme="minorHAnsi"/>
        </w:rPr>
        <w:t xml:space="preserve">ITU-T SG11 would like to </w:t>
      </w:r>
      <w:r w:rsidR="001E79D8">
        <w:rPr>
          <w:rFonts w:cstheme="minorHAnsi"/>
        </w:rPr>
        <w:t xml:space="preserve">thank </w:t>
      </w:r>
      <w:r>
        <w:rPr>
          <w:rFonts w:cstheme="minorHAnsi"/>
        </w:rPr>
        <w:t>t</w:t>
      </w:r>
      <w:r w:rsidR="00EA3EFE">
        <w:rPr>
          <w:rFonts w:cstheme="minorHAnsi"/>
        </w:rPr>
        <w:t>he TSAG</w:t>
      </w:r>
      <w:r w:rsidR="00B23196">
        <w:rPr>
          <w:rFonts w:cstheme="minorHAnsi"/>
        </w:rPr>
        <w:t>’s</w:t>
      </w:r>
      <w:r w:rsidR="00EA3EFE">
        <w:rPr>
          <w:rFonts w:cstheme="minorHAnsi"/>
        </w:rPr>
        <w:t xml:space="preserve"> </w:t>
      </w:r>
      <w:r w:rsidR="00716426">
        <w:rPr>
          <w:rFonts w:cstheme="minorHAnsi"/>
        </w:rPr>
        <w:t xml:space="preserve">rapporteur group on </w:t>
      </w:r>
      <w:r w:rsidR="00716426" w:rsidRPr="00C55A14">
        <w:rPr>
          <w:iCs/>
          <w:lang w:val="en-US"/>
        </w:rPr>
        <w:t>sustainable digital transformation</w:t>
      </w:r>
      <w:r w:rsidR="00716426">
        <w:rPr>
          <w:rFonts w:cstheme="minorHAnsi"/>
        </w:rPr>
        <w:t xml:space="preserve"> (</w:t>
      </w:r>
      <w:r w:rsidR="00EA3EFE">
        <w:rPr>
          <w:rFonts w:cstheme="minorHAnsi"/>
        </w:rPr>
        <w:t>RG-DT</w:t>
      </w:r>
      <w:r w:rsidR="00716426">
        <w:rPr>
          <w:rFonts w:cstheme="minorHAnsi"/>
        </w:rPr>
        <w:t>)</w:t>
      </w:r>
      <w:r w:rsidR="00EA3EFE">
        <w:rPr>
          <w:rFonts w:cstheme="minorHAnsi"/>
        </w:rPr>
        <w:t xml:space="preserve"> </w:t>
      </w:r>
      <w:r w:rsidR="00EA3EFE" w:rsidRPr="00C55A14">
        <w:rPr>
          <w:iCs/>
          <w:lang w:val="en-US"/>
        </w:rPr>
        <w:t xml:space="preserve">on the </w:t>
      </w:r>
      <w:r w:rsidR="001E79D8">
        <w:rPr>
          <w:iCs/>
          <w:lang w:val="en-US"/>
        </w:rPr>
        <w:t>iLS (</w:t>
      </w:r>
      <w:hyperlink r:id="rId18" w:tooltip="Click here to see more details" w:history="1">
        <w:r w:rsidR="0059278D" w:rsidRPr="0059278D">
          <w:rPr>
            <w:rStyle w:val="Hyperlink"/>
            <w:iCs/>
          </w:rPr>
          <w:t>TSAG-LS22</w:t>
        </w:r>
      </w:hyperlink>
      <w:r w:rsidR="001E79D8">
        <w:rPr>
          <w:iCs/>
          <w:lang w:val="en-US"/>
        </w:rPr>
        <w:t>).</w:t>
      </w:r>
    </w:p>
    <w:p w14:paraId="75C10F88" w14:textId="69F56ADF" w:rsidR="00464CC3" w:rsidRDefault="00AE3A75" w:rsidP="00EA3EFE">
      <w:pPr>
        <w:pStyle w:val="ListParagraph"/>
        <w:spacing w:before="240" w:after="120"/>
        <w:ind w:left="0"/>
        <w:contextualSpacing w:val="0"/>
        <w:rPr>
          <w:iCs/>
          <w:lang w:val="en-US"/>
        </w:rPr>
      </w:pPr>
      <w:r>
        <w:rPr>
          <w:iCs/>
          <w:lang w:val="en-US"/>
        </w:rPr>
        <w:t>SG11 consider</w:t>
      </w:r>
      <w:r w:rsidR="001E79D8">
        <w:rPr>
          <w:iCs/>
          <w:lang w:val="en-US"/>
        </w:rPr>
        <w:t xml:space="preserve">s </w:t>
      </w:r>
      <w:r>
        <w:rPr>
          <w:iCs/>
          <w:lang w:val="en-US"/>
        </w:rPr>
        <w:t xml:space="preserve">the </w:t>
      </w:r>
      <w:r w:rsidR="005A73A6">
        <w:rPr>
          <w:iCs/>
          <w:lang w:val="en-US"/>
        </w:rPr>
        <w:t xml:space="preserve">definition of </w:t>
      </w:r>
      <w:r w:rsidR="002E5F16">
        <w:rPr>
          <w:iCs/>
          <w:lang w:val="en-US"/>
        </w:rPr>
        <w:t xml:space="preserve">sector’s </w:t>
      </w:r>
      <w:r>
        <w:rPr>
          <w:iCs/>
          <w:lang w:val="en-US"/>
        </w:rPr>
        <w:t xml:space="preserve">digital transformation </w:t>
      </w:r>
      <w:r w:rsidR="008F148F">
        <w:rPr>
          <w:iCs/>
          <w:lang w:val="en-US"/>
        </w:rPr>
        <w:t xml:space="preserve">term </w:t>
      </w:r>
      <w:r w:rsidR="00425762">
        <w:rPr>
          <w:iCs/>
          <w:lang w:val="en-US"/>
        </w:rPr>
        <w:t xml:space="preserve">which </w:t>
      </w:r>
      <w:r w:rsidR="00CD0D97">
        <w:rPr>
          <w:iCs/>
          <w:lang w:val="en-US"/>
        </w:rPr>
        <w:t>i</w:t>
      </w:r>
      <w:r w:rsidR="008F148F">
        <w:rPr>
          <w:iCs/>
          <w:lang w:val="en-US"/>
        </w:rPr>
        <w:t xml:space="preserve">s defined in </w:t>
      </w:r>
      <w:hyperlink r:id="rId19" w:history="1">
        <w:r w:rsidR="008F148F" w:rsidRPr="003B3675">
          <w:rPr>
            <w:rStyle w:val="Hyperlink"/>
            <w:iCs/>
            <w:lang w:val="en-US"/>
          </w:rPr>
          <w:t>ITU-T Y.4906</w:t>
        </w:r>
      </w:hyperlink>
      <w:r w:rsidR="00464CC3">
        <w:rPr>
          <w:iCs/>
          <w:lang w:val="en-US"/>
        </w:rPr>
        <w:t xml:space="preserve"> – </w:t>
      </w:r>
      <w:r w:rsidR="003B3675" w:rsidRPr="003B3675">
        <w:rPr>
          <w:i/>
          <w:lang w:val="en-US"/>
        </w:rPr>
        <w:t>“A</w:t>
      </w:r>
      <w:r w:rsidR="00464CC3" w:rsidRPr="003B3675">
        <w:rPr>
          <w:i/>
          <w:lang w:val="en-US"/>
        </w:rPr>
        <w:t xml:space="preserve"> process during which, by advanced applications of ICTs in sectors' business activities such as R&amp;D, production, services, etc., the sectors' business activities are optimized, reconstructed and integrated, and sectors' development modes are disruptively reformed and innovated. The digital transformation is vitally useful for sectors to optimize resource configuration, improve operational efficiency and innovation capability, and hence realize sectors' sustainable development</w:t>
      </w:r>
      <w:r w:rsidR="003B3675" w:rsidRPr="003B3675">
        <w:rPr>
          <w:i/>
          <w:lang w:val="en-US"/>
        </w:rPr>
        <w:t>”</w:t>
      </w:r>
      <w:r w:rsidR="00464CC3" w:rsidRPr="00464CC3">
        <w:rPr>
          <w:iCs/>
          <w:lang w:val="en-US"/>
        </w:rPr>
        <w:t>.</w:t>
      </w:r>
    </w:p>
    <w:p w14:paraId="55DC71DA" w14:textId="03E16045" w:rsidR="00EA3EFE" w:rsidRPr="00C55A14" w:rsidRDefault="00BE7217" w:rsidP="00EA3EFE">
      <w:pPr>
        <w:pStyle w:val="ListParagraph"/>
        <w:spacing w:before="240" w:after="120"/>
        <w:ind w:left="0"/>
        <w:contextualSpacing w:val="0"/>
        <w:rPr>
          <w:iCs/>
          <w:lang w:val="en-US"/>
        </w:rPr>
      </w:pPr>
      <w:r>
        <w:rPr>
          <w:iCs/>
          <w:lang w:val="en-US"/>
        </w:rPr>
        <w:t xml:space="preserve">The </w:t>
      </w:r>
      <w:r w:rsidR="00B23196">
        <w:rPr>
          <w:iCs/>
          <w:lang w:val="en-US"/>
        </w:rPr>
        <w:t xml:space="preserve">ITU-T </w:t>
      </w:r>
      <w:r w:rsidR="00464CC3">
        <w:rPr>
          <w:iCs/>
          <w:lang w:val="en-US"/>
        </w:rPr>
        <w:t xml:space="preserve">SG11 activities on digital transformation </w:t>
      </w:r>
      <w:r>
        <w:rPr>
          <w:iCs/>
          <w:lang w:val="en-US"/>
        </w:rPr>
        <w:t xml:space="preserve">are highlighted in the table below (see </w:t>
      </w:r>
      <w:r w:rsidR="00EA3EFE">
        <w:rPr>
          <w:iCs/>
          <w:lang w:val="en-US"/>
        </w:rPr>
        <w:t xml:space="preserve">Annex </w:t>
      </w:r>
      <w:r w:rsidR="00633938">
        <w:rPr>
          <w:iCs/>
          <w:lang w:val="en-US"/>
        </w:rPr>
        <w:t>1</w:t>
      </w:r>
      <w:r>
        <w:rPr>
          <w:iCs/>
          <w:lang w:val="en-US"/>
        </w:rPr>
        <w:t>)</w:t>
      </w:r>
      <w:r w:rsidR="00EA3EFE">
        <w:rPr>
          <w:iCs/>
          <w:lang w:val="en-US"/>
        </w:rPr>
        <w:t>.</w:t>
      </w:r>
    </w:p>
    <w:p w14:paraId="0508914A" w14:textId="67C2E515" w:rsidR="00EA3EFE" w:rsidRDefault="00B23196" w:rsidP="00EA3EFE">
      <w:pPr>
        <w:spacing w:before="240"/>
        <w:rPr>
          <w:rFonts w:cstheme="minorHAnsi"/>
        </w:rPr>
      </w:pPr>
      <w:r w:rsidRPr="00B23196">
        <w:rPr>
          <w:rFonts w:cstheme="minorHAnsi"/>
        </w:rPr>
        <w:t xml:space="preserve">ITU-T </w:t>
      </w:r>
      <w:r w:rsidR="00BE7217">
        <w:rPr>
          <w:rFonts w:cstheme="minorHAnsi"/>
        </w:rPr>
        <w:t>SG11 l</w:t>
      </w:r>
      <w:r w:rsidR="00EA3EFE">
        <w:rPr>
          <w:rFonts w:cstheme="minorHAnsi"/>
        </w:rPr>
        <w:t>ook</w:t>
      </w:r>
      <w:r w:rsidR="00BE7217">
        <w:rPr>
          <w:rFonts w:cstheme="minorHAnsi"/>
        </w:rPr>
        <w:t>s</w:t>
      </w:r>
      <w:r w:rsidR="00EA3EFE">
        <w:rPr>
          <w:rFonts w:cstheme="minorHAnsi"/>
        </w:rPr>
        <w:t xml:space="preserve"> forward to </w:t>
      </w:r>
      <w:r w:rsidR="00BE7217">
        <w:rPr>
          <w:rFonts w:cstheme="minorHAnsi"/>
        </w:rPr>
        <w:t>collaborating with TSAG RG-DT on this subject matter</w:t>
      </w:r>
      <w:r w:rsidR="00EA3EFE">
        <w:rPr>
          <w:rFonts w:cstheme="minorHAnsi"/>
        </w:rPr>
        <w:t>.</w:t>
      </w:r>
    </w:p>
    <w:p w14:paraId="5AB6C2EF" w14:textId="004B07EB" w:rsidR="002369E6" w:rsidRDefault="002369E6">
      <w:pPr>
        <w:spacing w:before="0" w:after="160" w:line="259" w:lineRule="auto"/>
      </w:pPr>
      <w:r>
        <w:br w:type="page"/>
      </w:r>
    </w:p>
    <w:p w14:paraId="691CD77B" w14:textId="77777777" w:rsidR="002369E6" w:rsidRDefault="002369E6" w:rsidP="00394DBF">
      <w:pPr>
        <w:sectPr w:rsidR="002369E6" w:rsidSect="00D2242B">
          <w:headerReference w:type="default" r:id="rId20"/>
          <w:headerReference w:type="first" r:id="rId21"/>
          <w:pgSz w:w="11907" w:h="16840" w:code="9"/>
          <w:pgMar w:top="1134" w:right="1134" w:bottom="1134" w:left="1134" w:header="720" w:footer="720" w:gutter="0"/>
          <w:cols w:space="720"/>
          <w:titlePg/>
          <w:docGrid w:linePitch="360"/>
        </w:sectPr>
      </w:pPr>
    </w:p>
    <w:p w14:paraId="12838638" w14:textId="241CC15E" w:rsidR="002369E6" w:rsidRPr="001F6577" w:rsidRDefault="002369E6" w:rsidP="002369E6">
      <w:pPr>
        <w:spacing w:before="240" w:after="240"/>
        <w:rPr>
          <w:rFonts w:cstheme="minorHAnsi"/>
          <w:b/>
          <w:bCs/>
        </w:rPr>
      </w:pPr>
      <w:r w:rsidRPr="001F6577">
        <w:rPr>
          <w:rFonts w:cstheme="minorHAnsi"/>
          <w:b/>
          <w:bCs/>
        </w:rPr>
        <w:lastRenderedPageBreak/>
        <w:t>Annex</w:t>
      </w:r>
      <w:r w:rsidR="00633938">
        <w:rPr>
          <w:rFonts w:cstheme="minorHAnsi"/>
          <w:b/>
          <w:bCs/>
        </w:rPr>
        <w:t xml:space="preserve"> 1</w:t>
      </w:r>
      <w:r>
        <w:rPr>
          <w:rFonts w:cstheme="minorHAnsi"/>
          <w:b/>
          <w:bCs/>
        </w:rPr>
        <w:br/>
      </w:r>
      <w:r w:rsidR="00DA5DAD">
        <w:rPr>
          <w:rFonts w:cstheme="minorHAnsi"/>
          <w:b/>
          <w:bCs/>
        </w:rPr>
        <w:t xml:space="preserve">ITU-T SG11 </w:t>
      </w:r>
      <w:r>
        <w:rPr>
          <w:rFonts w:cstheme="minorHAnsi"/>
          <w:b/>
          <w:bCs/>
        </w:rPr>
        <w:t>A</w:t>
      </w:r>
      <w:r w:rsidRPr="00CC7C2F">
        <w:rPr>
          <w:rFonts w:cstheme="minorHAnsi"/>
          <w:b/>
          <w:bCs/>
        </w:rPr>
        <w:t xml:space="preserve">ctivities and studies </w:t>
      </w:r>
      <w:r>
        <w:rPr>
          <w:rFonts w:cstheme="minorHAnsi"/>
          <w:b/>
          <w:bCs/>
        </w:rPr>
        <w:t xml:space="preserve">related to </w:t>
      </w:r>
      <w:r w:rsidR="00C31029">
        <w:rPr>
          <w:rFonts w:cstheme="minorHAnsi"/>
          <w:b/>
          <w:bCs/>
        </w:rPr>
        <w:t>s</w:t>
      </w:r>
      <w:r w:rsidRPr="00CC7C2F">
        <w:rPr>
          <w:rFonts w:cstheme="minorHAnsi"/>
          <w:b/>
          <w:bCs/>
        </w:rPr>
        <w:t xml:space="preserve">ustainable </w:t>
      </w:r>
      <w:r w:rsidR="00C31029">
        <w:rPr>
          <w:rFonts w:cstheme="minorHAnsi"/>
          <w:b/>
          <w:bCs/>
        </w:rPr>
        <w:t>d</w:t>
      </w:r>
      <w:r w:rsidRPr="00CC7C2F">
        <w:rPr>
          <w:rFonts w:cstheme="minorHAnsi"/>
          <w:b/>
          <w:bCs/>
        </w:rPr>
        <w:t xml:space="preserve">igital </w:t>
      </w:r>
      <w:r w:rsidR="00C31029">
        <w:rPr>
          <w:rFonts w:cstheme="minorHAnsi"/>
          <w:b/>
          <w:bCs/>
        </w:rPr>
        <w:t>t</w:t>
      </w:r>
      <w:r w:rsidRPr="00CC7C2F">
        <w:rPr>
          <w:rFonts w:cstheme="minorHAnsi"/>
          <w:b/>
          <w:bCs/>
        </w:rPr>
        <w:t>ransformation</w:t>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571"/>
        <w:gridCol w:w="5580"/>
        <w:gridCol w:w="1800"/>
        <w:gridCol w:w="1890"/>
      </w:tblGrid>
      <w:tr w:rsidR="002369E6" w14:paraId="523F0817" w14:textId="77777777" w:rsidTr="00244066">
        <w:trPr>
          <w:tblHeader/>
        </w:trPr>
        <w:tc>
          <w:tcPr>
            <w:tcW w:w="2106" w:type="dxa"/>
            <w:shd w:val="clear" w:color="auto" w:fill="D5DCE4" w:themeFill="text2" w:themeFillTint="33"/>
          </w:tcPr>
          <w:p w14:paraId="5AC0C179" w14:textId="77777777" w:rsidR="002369E6" w:rsidRDefault="002369E6" w:rsidP="00B466A9">
            <w:pPr>
              <w:jc w:val="center"/>
              <w:rPr>
                <w:b/>
                <w:sz w:val="22"/>
                <w:szCs w:val="22"/>
              </w:rPr>
            </w:pPr>
            <w:r>
              <w:rPr>
                <w:b/>
                <w:sz w:val="22"/>
                <w:szCs w:val="22"/>
              </w:rPr>
              <w:t>Sector/Domain</w:t>
            </w:r>
          </w:p>
        </w:tc>
        <w:tc>
          <w:tcPr>
            <w:tcW w:w="1258" w:type="dxa"/>
            <w:shd w:val="clear" w:color="auto" w:fill="D5DCE4" w:themeFill="text2" w:themeFillTint="33"/>
          </w:tcPr>
          <w:p w14:paraId="2FCB2277" w14:textId="59C22BA6" w:rsidR="002369E6" w:rsidRDefault="002369E6" w:rsidP="00B466A9">
            <w:pPr>
              <w:jc w:val="center"/>
              <w:rPr>
                <w:b/>
                <w:sz w:val="22"/>
                <w:szCs w:val="22"/>
              </w:rPr>
            </w:pPr>
            <w:r>
              <w:rPr>
                <w:b/>
                <w:sz w:val="22"/>
                <w:szCs w:val="22"/>
              </w:rPr>
              <w:t xml:space="preserve">Study </w:t>
            </w:r>
            <w:r w:rsidR="00C31029">
              <w:rPr>
                <w:b/>
                <w:sz w:val="22"/>
                <w:szCs w:val="22"/>
              </w:rPr>
              <w:t>g</w:t>
            </w:r>
            <w:r>
              <w:rPr>
                <w:b/>
                <w:sz w:val="22"/>
                <w:szCs w:val="22"/>
              </w:rPr>
              <w:t>roup</w:t>
            </w:r>
            <w:r w:rsidR="00C31029">
              <w:rPr>
                <w:b/>
                <w:sz w:val="22"/>
                <w:szCs w:val="22"/>
              </w:rPr>
              <w:t xml:space="preserve"> or</w:t>
            </w:r>
          </w:p>
          <w:p w14:paraId="1EF5EB1A" w14:textId="77777777" w:rsidR="002369E6" w:rsidRDefault="002369E6" w:rsidP="00B466A9">
            <w:pPr>
              <w:jc w:val="center"/>
              <w:rPr>
                <w:b/>
                <w:sz w:val="22"/>
                <w:szCs w:val="22"/>
              </w:rPr>
            </w:pPr>
            <w:r>
              <w:rPr>
                <w:b/>
                <w:sz w:val="22"/>
                <w:szCs w:val="22"/>
              </w:rPr>
              <w:t>SDO</w:t>
            </w:r>
          </w:p>
        </w:tc>
        <w:tc>
          <w:tcPr>
            <w:tcW w:w="2571" w:type="dxa"/>
            <w:shd w:val="clear" w:color="auto" w:fill="D5DCE4" w:themeFill="text2" w:themeFillTint="33"/>
          </w:tcPr>
          <w:p w14:paraId="5B48FCF1" w14:textId="77777777" w:rsidR="002369E6" w:rsidRDefault="002369E6" w:rsidP="00B466A9">
            <w:pPr>
              <w:jc w:val="center"/>
              <w:rPr>
                <w:b/>
                <w:sz w:val="22"/>
                <w:szCs w:val="22"/>
              </w:rPr>
            </w:pPr>
            <w:r>
              <w:rPr>
                <w:b/>
                <w:sz w:val="22"/>
                <w:szCs w:val="22"/>
              </w:rPr>
              <w:t>Title of deliverable</w:t>
            </w:r>
          </w:p>
        </w:tc>
        <w:tc>
          <w:tcPr>
            <w:tcW w:w="5580" w:type="dxa"/>
            <w:shd w:val="clear" w:color="auto" w:fill="D5DCE4" w:themeFill="text2" w:themeFillTint="33"/>
          </w:tcPr>
          <w:p w14:paraId="1A1C81BE" w14:textId="77777777" w:rsidR="002369E6" w:rsidRDefault="002369E6" w:rsidP="00B466A9">
            <w:pPr>
              <w:jc w:val="center"/>
              <w:rPr>
                <w:b/>
                <w:sz w:val="22"/>
                <w:szCs w:val="22"/>
              </w:rPr>
            </w:pPr>
            <w:r>
              <w:rPr>
                <w:b/>
                <w:sz w:val="22"/>
                <w:szCs w:val="22"/>
              </w:rPr>
              <w:t>Scope of deliverable</w:t>
            </w:r>
          </w:p>
        </w:tc>
        <w:tc>
          <w:tcPr>
            <w:tcW w:w="1800" w:type="dxa"/>
            <w:shd w:val="clear" w:color="auto" w:fill="D5DCE4" w:themeFill="text2" w:themeFillTint="33"/>
          </w:tcPr>
          <w:p w14:paraId="52AA27D8" w14:textId="77777777" w:rsidR="002369E6" w:rsidRDefault="002369E6" w:rsidP="00B466A9">
            <w:pPr>
              <w:jc w:val="center"/>
              <w:rPr>
                <w:b/>
                <w:sz w:val="22"/>
                <w:szCs w:val="22"/>
              </w:rPr>
            </w:pPr>
            <w:r>
              <w:rPr>
                <w:b/>
                <w:sz w:val="22"/>
                <w:szCs w:val="22"/>
              </w:rPr>
              <w:t>Current status</w:t>
            </w:r>
          </w:p>
        </w:tc>
        <w:tc>
          <w:tcPr>
            <w:tcW w:w="1890" w:type="dxa"/>
            <w:shd w:val="clear" w:color="auto" w:fill="D5DCE4" w:themeFill="text2" w:themeFillTint="33"/>
          </w:tcPr>
          <w:p w14:paraId="64C770CB" w14:textId="77777777" w:rsidR="002369E6" w:rsidRDefault="002369E6" w:rsidP="00B466A9">
            <w:pPr>
              <w:jc w:val="center"/>
              <w:rPr>
                <w:b/>
                <w:sz w:val="22"/>
                <w:szCs w:val="22"/>
              </w:rPr>
            </w:pPr>
            <w:r>
              <w:rPr>
                <w:b/>
                <w:sz w:val="22"/>
                <w:szCs w:val="22"/>
              </w:rPr>
              <w:t>Reference/URI</w:t>
            </w:r>
          </w:p>
        </w:tc>
      </w:tr>
      <w:tr w:rsidR="00B33B55" w14:paraId="6AE60F40" w14:textId="77777777" w:rsidTr="00DC5EF4">
        <w:trPr>
          <w:trHeight w:val="2483"/>
        </w:trPr>
        <w:tc>
          <w:tcPr>
            <w:tcW w:w="2106" w:type="dxa"/>
            <w:shd w:val="clear" w:color="auto" w:fill="auto"/>
          </w:tcPr>
          <w:p w14:paraId="1B60A967" w14:textId="49BF7C78" w:rsidR="00B33B55" w:rsidRPr="00B33B55" w:rsidRDefault="007B4D99" w:rsidP="00B466A9">
            <w:pPr>
              <w:jc w:val="center"/>
              <w:rPr>
                <w:sz w:val="22"/>
                <w:szCs w:val="22"/>
                <w:lang w:val="en-US" w:eastAsia="zh-CN"/>
              </w:rPr>
            </w:pPr>
            <w:r>
              <w:rPr>
                <w:sz w:val="22"/>
                <w:szCs w:val="22"/>
                <w:lang w:val="en-US" w:eastAsia="zh-CN"/>
              </w:rPr>
              <w:t>Data center</w:t>
            </w:r>
          </w:p>
        </w:tc>
        <w:tc>
          <w:tcPr>
            <w:tcW w:w="1258" w:type="dxa"/>
            <w:shd w:val="clear" w:color="auto" w:fill="auto"/>
          </w:tcPr>
          <w:p w14:paraId="664F9A8D" w14:textId="0E2E71D3" w:rsidR="00B33B55" w:rsidRPr="00B33B55" w:rsidRDefault="00DC5EF4" w:rsidP="00B466A9">
            <w:pPr>
              <w:jc w:val="center"/>
              <w:rPr>
                <w:sz w:val="22"/>
                <w:szCs w:val="22"/>
                <w:lang w:val="en-US" w:eastAsia="zh-CN"/>
              </w:rPr>
            </w:pPr>
            <w:r>
              <w:rPr>
                <w:sz w:val="22"/>
                <w:szCs w:val="22"/>
                <w:lang w:val="en-US" w:eastAsia="zh-CN"/>
              </w:rPr>
              <w:t>ITU-T SG11</w:t>
            </w:r>
          </w:p>
        </w:tc>
        <w:tc>
          <w:tcPr>
            <w:tcW w:w="2571" w:type="dxa"/>
            <w:shd w:val="clear" w:color="auto" w:fill="auto"/>
          </w:tcPr>
          <w:p w14:paraId="16E8EDAA" w14:textId="026C10BA" w:rsidR="00B33B55" w:rsidRPr="00B33B55" w:rsidRDefault="00DC5EF4" w:rsidP="00B466A9">
            <w:pPr>
              <w:jc w:val="center"/>
              <w:rPr>
                <w:sz w:val="22"/>
                <w:szCs w:val="22"/>
                <w:lang w:val="en-US" w:eastAsia="zh-CN"/>
              </w:rPr>
            </w:pPr>
            <w:r w:rsidRPr="00DC5EF4">
              <w:rPr>
                <w:sz w:val="22"/>
                <w:szCs w:val="22"/>
                <w:lang w:val="en-US" w:eastAsia="zh-CN"/>
              </w:rPr>
              <w:t>Testing requirements and procedures for Internet of Things based green data centres</w:t>
            </w:r>
            <w:r w:rsidR="007B4D99">
              <w:rPr>
                <w:sz w:val="22"/>
                <w:szCs w:val="22"/>
                <w:lang w:val="en-US" w:eastAsia="zh-CN"/>
              </w:rPr>
              <w:t xml:space="preserve"> (ITU-T Q.4069)</w:t>
            </w:r>
          </w:p>
        </w:tc>
        <w:tc>
          <w:tcPr>
            <w:tcW w:w="5580" w:type="dxa"/>
            <w:shd w:val="clear" w:color="auto" w:fill="auto"/>
          </w:tcPr>
          <w:p w14:paraId="00F24F74" w14:textId="4451DDA6" w:rsidR="00B33B55" w:rsidRPr="00B33B55" w:rsidRDefault="00F94B40" w:rsidP="00F94B40">
            <w:pPr>
              <w:rPr>
                <w:sz w:val="22"/>
                <w:szCs w:val="22"/>
                <w:lang w:val="en-US" w:eastAsia="zh-CN"/>
              </w:rPr>
            </w:pPr>
            <w:r w:rsidRPr="00F94B40">
              <w:rPr>
                <w:sz w:val="22"/>
                <w:szCs w:val="22"/>
                <w:lang w:val="en-US" w:eastAsia="zh-CN"/>
              </w:rPr>
              <w:t>This Recommendation describes green data centres (GDCs) based on the Internet of things (IoT),</w:t>
            </w:r>
            <w:r>
              <w:rPr>
                <w:sz w:val="22"/>
                <w:szCs w:val="22"/>
                <w:lang w:val="en-US" w:eastAsia="zh-CN"/>
              </w:rPr>
              <w:t xml:space="preserve"> </w:t>
            </w:r>
            <w:r w:rsidRPr="00F94B40">
              <w:rPr>
                <w:sz w:val="22"/>
                <w:szCs w:val="22"/>
                <w:lang w:val="en-US" w:eastAsia="zh-CN"/>
              </w:rPr>
              <w:t>which includes multiple IoT devices, monitoring systems and the energy management platform, to</w:t>
            </w:r>
            <w:r>
              <w:rPr>
                <w:sz w:val="22"/>
                <w:szCs w:val="22"/>
                <w:lang w:val="en-US" w:eastAsia="zh-CN"/>
              </w:rPr>
              <w:t xml:space="preserve"> </w:t>
            </w:r>
            <w:r w:rsidRPr="00F94B40">
              <w:rPr>
                <w:sz w:val="22"/>
                <w:szCs w:val="22"/>
                <w:lang w:val="en-US" w:eastAsia="zh-CN"/>
              </w:rPr>
              <w:t>save energy. This Recommendation specifies testing requirements for: interoperability; functions;</w:t>
            </w:r>
            <w:r>
              <w:rPr>
                <w:sz w:val="22"/>
                <w:szCs w:val="22"/>
                <w:lang w:val="en-US" w:eastAsia="zh-CN"/>
              </w:rPr>
              <w:t xml:space="preserve"> </w:t>
            </w:r>
            <w:r w:rsidRPr="00F94B40">
              <w:rPr>
                <w:sz w:val="22"/>
                <w:szCs w:val="22"/>
                <w:lang w:val="en-US" w:eastAsia="zh-CN"/>
              </w:rPr>
              <w:t>and self-optimization, as well as the related testing procedures for IoT-based GDCs</w:t>
            </w:r>
          </w:p>
        </w:tc>
        <w:tc>
          <w:tcPr>
            <w:tcW w:w="1800" w:type="dxa"/>
            <w:shd w:val="clear" w:color="auto" w:fill="auto"/>
          </w:tcPr>
          <w:p w14:paraId="6ADECD8F" w14:textId="742B2F6D" w:rsidR="00B33B55" w:rsidRPr="00B33B55" w:rsidRDefault="00F94B40" w:rsidP="00B466A9">
            <w:pPr>
              <w:jc w:val="center"/>
              <w:rPr>
                <w:sz w:val="22"/>
                <w:szCs w:val="22"/>
                <w:lang w:val="en-US" w:eastAsia="zh-CN"/>
              </w:rPr>
            </w:pPr>
            <w:r>
              <w:rPr>
                <w:sz w:val="22"/>
                <w:szCs w:val="22"/>
                <w:lang w:val="en-US" w:eastAsia="zh-CN"/>
              </w:rPr>
              <w:t>In force</w:t>
            </w:r>
          </w:p>
        </w:tc>
        <w:tc>
          <w:tcPr>
            <w:tcW w:w="1890" w:type="dxa"/>
            <w:shd w:val="clear" w:color="auto" w:fill="auto"/>
          </w:tcPr>
          <w:p w14:paraId="0080DE8A" w14:textId="051827CE" w:rsidR="00B33B55" w:rsidRPr="00DC5EF4" w:rsidRDefault="00064073" w:rsidP="00B466A9">
            <w:pPr>
              <w:jc w:val="center"/>
              <w:rPr>
                <w:sz w:val="22"/>
                <w:szCs w:val="22"/>
                <w:lang w:val="en-US" w:eastAsia="zh-CN"/>
              </w:rPr>
            </w:pPr>
            <w:hyperlink r:id="rId22" w:history="1">
              <w:r w:rsidR="00A91CB6" w:rsidRPr="00817B18">
                <w:rPr>
                  <w:rStyle w:val="Hyperlink"/>
                  <w:sz w:val="22"/>
                  <w:szCs w:val="22"/>
                  <w:lang w:val="en-US" w:eastAsia="zh-CN"/>
                </w:rPr>
                <w:t>https://www.itu.int/ITU-T/recommendations/rec.aspx?rec=15046</w:t>
              </w:r>
            </w:hyperlink>
          </w:p>
        </w:tc>
      </w:tr>
      <w:tr w:rsidR="00FC5ECA" w14:paraId="2B879475" w14:textId="77777777" w:rsidTr="005502D5">
        <w:trPr>
          <w:trHeight w:val="3860"/>
        </w:trPr>
        <w:tc>
          <w:tcPr>
            <w:tcW w:w="2106" w:type="dxa"/>
          </w:tcPr>
          <w:p w14:paraId="77774861" w14:textId="2546F5CB" w:rsidR="00FC5ECA" w:rsidRPr="00FC5ECA" w:rsidRDefault="007B4D99" w:rsidP="00B466A9">
            <w:pPr>
              <w:jc w:val="center"/>
              <w:rPr>
                <w:sz w:val="22"/>
                <w:szCs w:val="22"/>
                <w:lang w:val="en-US"/>
              </w:rPr>
            </w:pPr>
            <w:r>
              <w:rPr>
                <w:sz w:val="22"/>
                <w:szCs w:val="22"/>
                <w:lang w:val="en-US"/>
              </w:rPr>
              <w:t>Agriculture</w:t>
            </w:r>
          </w:p>
        </w:tc>
        <w:tc>
          <w:tcPr>
            <w:tcW w:w="1258" w:type="dxa"/>
          </w:tcPr>
          <w:p w14:paraId="362098A4" w14:textId="2C9E2C48" w:rsidR="00FC5ECA" w:rsidRPr="00FC5ECA" w:rsidRDefault="00F90BBF" w:rsidP="00B466A9">
            <w:pPr>
              <w:jc w:val="center"/>
              <w:rPr>
                <w:sz w:val="22"/>
                <w:szCs w:val="22"/>
                <w:lang w:val="en-US"/>
              </w:rPr>
            </w:pPr>
            <w:r>
              <w:rPr>
                <w:sz w:val="22"/>
                <w:szCs w:val="22"/>
                <w:lang w:val="en-US"/>
              </w:rPr>
              <w:t>ITU-T SG11</w:t>
            </w:r>
          </w:p>
        </w:tc>
        <w:tc>
          <w:tcPr>
            <w:tcW w:w="2571" w:type="dxa"/>
          </w:tcPr>
          <w:p w14:paraId="1B8C9888" w14:textId="52A40D05" w:rsidR="00FC5ECA" w:rsidRPr="00FC5ECA" w:rsidRDefault="00F90BBF" w:rsidP="00B466A9">
            <w:pPr>
              <w:jc w:val="center"/>
              <w:rPr>
                <w:sz w:val="22"/>
                <w:szCs w:val="22"/>
                <w:lang w:val="en-US" w:eastAsia="zh-CN"/>
              </w:rPr>
            </w:pPr>
            <w:r w:rsidRPr="00F90BBF">
              <w:rPr>
                <w:sz w:val="22"/>
                <w:szCs w:val="22"/>
                <w:lang w:val="en-US" w:eastAsia="zh-CN"/>
              </w:rPr>
              <w:t>Data management interfaces for intelligent edge computing-based smart agriculture service</w:t>
            </w:r>
            <w:r w:rsidR="007B4D99">
              <w:rPr>
                <w:sz w:val="22"/>
                <w:szCs w:val="22"/>
                <w:lang w:val="en-US" w:eastAsia="zh-CN"/>
              </w:rPr>
              <w:t xml:space="preserve"> (ITU-T Q.5028)</w:t>
            </w:r>
          </w:p>
        </w:tc>
        <w:tc>
          <w:tcPr>
            <w:tcW w:w="5580" w:type="dxa"/>
          </w:tcPr>
          <w:p w14:paraId="5A9BA634" w14:textId="77777777" w:rsidR="005502D5" w:rsidRDefault="00CA1C40" w:rsidP="00B466A9">
            <w:pPr>
              <w:rPr>
                <w:sz w:val="22"/>
                <w:szCs w:val="22"/>
                <w:lang w:val="en-US"/>
              </w:rPr>
            </w:pPr>
            <w:r w:rsidRPr="00CA1C40">
              <w:rPr>
                <w:sz w:val="22"/>
                <w:szCs w:val="22"/>
                <w:lang w:val="en-US"/>
              </w:rPr>
              <w:t xml:space="preserve">As data and artificial intelligence (AI) technologies have emerged, smart agriculture can be aided by edge-cloud platform service which provides low delay service from edge server and powerful performance service from cloud server. As an edge cloud infrastructure realizing the edge cloud-aided smart agriculture system, intelligent edge computing (IEC) is a well-defined foundation. Among the reference points defined for IEC, reference points between terminal entity (TE) and edge networking entity (ENE) can be used for the interaction between agricultural entities, such as sensors and actuators used for smart agriculture, and an edge server. By use of the reference points, agricultural entities can report the crop-growth related data including configuration and measurement data to an edge server. Then the edge server can analyze and generate the optimal operation model for the smart greenhouse and the optimal growth model for crops on the basis of the analysis result. For deep analysis requiring high computation power, the </w:t>
            </w:r>
            <w:r w:rsidRPr="00CA1C40">
              <w:rPr>
                <w:sz w:val="22"/>
                <w:szCs w:val="22"/>
                <w:lang w:val="en-US"/>
              </w:rPr>
              <w:lastRenderedPageBreak/>
              <w:t>analysis and generation can be performed by the cloud. The edge server, then, sends the generated optimal models to terminal entities. To support the above operations, a method to interact on the defined reference points. Rec. ITU-T Q.5001 defines signalling messages for network functions and intelligent data processing. However, in addition to the defined signalling messages, it is needed to support an API such as Web API in order to accommodate legacy devices which only support Web-based communications. In addition, service-specific API will be helpful to support service-specific functions.</w:t>
            </w:r>
          </w:p>
          <w:p w14:paraId="7BC461C9" w14:textId="7212E9AE" w:rsidR="00FC5ECA" w:rsidRPr="00FC5ECA" w:rsidRDefault="00CA1C40" w:rsidP="00B466A9">
            <w:pPr>
              <w:rPr>
                <w:sz w:val="22"/>
                <w:szCs w:val="22"/>
                <w:lang w:val="en-US"/>
              </w:rPr>
            </w:pPr>
            <w:r w:rsidRPr="00CA1C40">
              <w:rPr>
                <w:sz w:val="22"/>
                <w:szCs w:val="22"/>
                <w:lang w:val="en-US"/>
              </w:rPr>
              <w:t>This draft Recommendation defines data management interfaces for intelligent edge computing-based smart agriculture service.</w:t>
            </w:r>
          </w:p>
        </w:tc>
        <w:tc>
          <w:tcPr>
            <w:tcW w:w="1800" w:type="dxa"/>
          </w:tcPr>
          <w:p w14:paraId="37E847B1" w14:textId="406836F0" w:rsidR="00FC5ECA" w:rsidRPr="00FC5ECA" w:rsidRDefault="00656647" w:rsidP="00B466A9">
            <w:pPr>
              <w:jc w:val="center"/>
              <w:rPr>
                <w:sz w:val="22"/>
                <w:szCs w:val="22"/>
                <w:lang w:val="en-US"/>
              </w:rPr>
            </w:pPr>
            <w:r>
              <w:rPr>
                <w:sz w:val="22"/>
                <w:szCs w:val="22"/>
                <w:lang w:val="en-US"/>
              </w:rPr>
              <w:lastRenderedPageBreak/>
              <w:t>Consented</w:t>
            </w:r>
          </w:p>
        </w:tc>
        <w:tc>
          <w:tcPr>
            <w:tcW w:w="1890" w:type="dxa"/>
          </w:tcPr>
          <w:p w14:paraId="65132BE3" w14:textId="0C8DCD9D" w:rsidR="00FC5ECA" w:rsidRPr="00FC5ECA" w:rsidRDefault="00064073" w:rsidP="00B466A9">
            <w:pPr>
              <w:jc w:val="center"/>
              <w:rPr>
                <w:lang w:val="en-US"/>
              </w:rPr>
            </w:pPr>
            <w:hyperlink r:id="rId23" w:history="1">
              <w:r w:rsidR="00244066" w:rsidRPr="00817B18">
                <w:rPr>
                  <w:rStyle w:val="Hyperlink"/>
                  <w:lang w:val="en-US"/>
                </w:rPr>
                <w:t>https://www.itu.int/ITU-T/workprog/wp_item.aspx?isn=18481</w:t>
              </w:r>
            </w:hyperlink>
          </w:p>
        </w:tc>
      </w:tr>
      <w:tr w:rsidR="00B97B86" w14:paraId="0EE80D55" w14:textId="77777777" w:rsidTr="005502D5">
        <w:trPr>
          <w:trHeight w:val="2870"/>
        </w:trPr>
        <w:tc>
          <w:tcPr>
            <w:tcW w:w="2106" w:type="dxa"/>
          </w:tcPr>
          <w:p w14:paraId="4B8A7831" w14:textId="462F3FDC" w:rsidR="00B97B86" w:rsidRPr="009B5C85" w:rsidRDefault="00B97B86" w:rsidP="00B97B86">
            <w:pPr>
              <w:jc w:val="center"/>
              <w:rPr>
                <w:rFonts w:ascii="Batang" w:eastAsia="Batang" w:hAnsi="Batang" w:cs="Batang"/>
                <w:sz w:val="22"/>
                <w:szCs w:val="22"/>
                <w:lang w:val="en-US" w:eastAsia="ko-KR"/>
              </w:rPr>
            </w:pPr>
            <w:r w:rsidRPr="009B5C85">
              <w:rPr>
                <w:sz w:val="22"/>
                <w:szCs w:val="22"/>
                <w:lang w:val="en-US" w:eastAsia="zh-CN"/>
              </w:rPr>
              <w:t>Edge computing</w:t>
            </w:r>
          </w:p>
        </w:tc>
        <w:tc>
          <w:tcPr>
            <w:tcW w:w="1258" w:type="dxa"/>
          </w:tcPr>
          <w:p w14:paraId="1A31C17A" w14:textId="20A4A05C" w:rsidR="00B97B86" w:rsidRDefault="00B97B86" w:rsidP="00B97B86">
            <w:pPr>
              <w:jc w:val="center"/>
              <w:rPr>
                <w:sz w:val="22"/>
                <w:szCs w:val="22"/>
                <w:lang w:val="en-US"/>
              </w:rPr>
            </w:pPr>
            <w:r>
              <w:rPr>
                <w:sz w:val="22"/>
                <w:szCs w:val="22"/>
                <w:lang w:val="en-US"/>
              </w:rPr>
              <w:t>ITU-T SG11</w:t>
            </w:r>
          </w:p>
        </w:tc>
        <w:tc>
          <w:tcPr>
            <w:tcW w:w="2571" w:type="dxa"/>
          </w:tcPr>
          <w:p w14:paraId="01D8185A" w14:textId="5216EE9F" w:rsidR="00B97B86" w:rsidRPr="006D6348" w:rsidRDefault="00B97B86" w:rsidP="00B97B86">
            <w:pPr>
              <w:jc w:val="center"/>
              <w:rPr>
                <w:sz w:val="22"/>
                <w:szCs w:val="22"/>
                <w:lang w:val="en-US" w:eastAsia="zh-CN"/>
              </w:rPr>
            </w:pPr>
            <w:r w:rsidRPr="00A92BE2">
              <w:rPr>
                <w:sz w:val="22"/>
                <w:szCs w:val="22"/>
                <w:lang w:val="en-US" w:eastAsia="zh-CN"/>
              </w:rPr>
              <w:t>Signalling architecture for microservices based intelligent edge computing</w:t>
            </w:r>
            <w:r>
              <w:rPr>
                <w:sz w:val="22"/>
                <w:szCs w:val="22"/>
                <w:lang w:val="en-US" w:eastAsia="zh-CN"/>
              </w:rPr>
              <w:t xml:space="preserve"> (Q.5007)</w:t>
            </w:r>
          </w:p>
        </w:tc>
        <w:tc>
          <w:tcPr>
            <w:tcW w:w="5580" w:type="dxa"/>
          </w:tcPr>
          <w:p w14:paraId="5BB71DC9" w14:textId="77777777" w:rsidR="00B97B86" w:rsidRPr="00A92BE2" w:rsidRDefault="00B97B86" w:rsidP="00B97B86">
            <w:pPr>
              <w:rPr>
                <w:sz w:val="22"/>
                <w:szCs w:val="22"/>
                <w:lang w:val="en-US"/>
              </w:rPr>
            </w:pPr>
            <w:r w:rsidRPr="00A92BE2">
              <w:rPr>
                <w:sz w:val="22"/>
                <w:szCs w:val="22"/>
                <w:lang w:val="en-US"/>
              </w:rPr>
              <w:t>For development of the IEC architecture, there are couple of software-oriented architectural ways to build flexible protocol architecture achieved by deploying and operating the architecture, for instance, an unified software oriented architecture, which is composing logically modular functions to tightly coupled way as a monolithic architecture and microservice architecture which is loosely composing logically or physically separated own processing functions as microservices.</w:t>
            </w:r>
          </w:p>
          <w:p w14:paraId="5A2ADC8E" w14:textId="1AFE82FC" w:rsidR="00B97B86" w:rsidRPr="00CE76A4" w:rsidRDefault="00B97B86" w:rsidP="00B97B86">
            <w:pPr>
              <w:rPr>
                <w:sz w:val="22"/>
                <w:szCs w:val="22"/>
                <w:lang w:val="en-US"/>
              </w:rPr>
            </w:pPr>
            <w:r w:rsidRPr="00A92BE2">
              <w:rPr>
                <w:sz w:val="22"/>
                <w:szCs w:val="22"/>
                <w:lang w:val="en-US"/>
              </w:rPr>
              <w:t xml:space="preserve">Because IEC has developed on different hardware specifications and various functionalities that each business wants, it is standardized based on microservices and used as a reference standard for implementation. As a result of microservices based IEC architecture, it can be continuously developed and operated by updating microservices. This Recommendation specifies signalling architecture, protocol </w:t>
            </w:r>
            <w:r w:rsidRPr="00A92BE2">
              <w:rPr>
                <w:sz w:val="22"/>
                <w:szCs w:val="22"/>
                <w:lang w:val="en-US"/>
              </w:rPr>
              <w:lastRenderedPageBreak/>
              <w:t>interfaces and protocol procedures for microservices based intelligent edge computing.</w:t>
            </w:r>
          </w:p>
        </w:tc>
        <w:tc>
          <w:tcPr>
            <w:tcW w:w="1800" w:type="dxa"/>
          </w:tcPr>
          <w:p w14:paraId="395C25B4" w14:textId="54CD1A3C" w:rsidR="00B97B86" w:rsidRPr="009B5C85" w:rsidRDefault="00B97B86" w:rsidP="00B97B86">
            <w:pPr>
              <w:jc w:val="center"/>
              <w:rPr>
                <w:rFonts w:ascii="Batang" w:eastAsia="Batang" w:hAnsi="Batang" w:cs="Batang"/>
                <w:sz w:val="22"/>
                <w:szCs w:val="22"/>
                <w:lang w:val="en-US" w:eastAsia="ko-KR"/>
              </w:rPr>
            </w:pPr>
            <w:r>
              <w:rPr>
                <w:sz w:val="22"/>
                <w:szCs w:val="22"/>
                <w:lang w:val="en-US"/>
              </w:rPr>
              <w:lastRenderedPageBreak/>
              <w:t>Consented</w:t>
            </w:r>
          </w:p>
        </w:tc>
        <w:tc>
          <w:tcPr>
            <w:tcW w:w="1890" w:type="dxa"/>
          </w:tcPr>
          <w:p w14:paraId="1F1F4D60" w14:textId="52BEFFDE" w:rsidR="00B97B86" w:rsidRDefault="00064073" w:rsidP="00B97B86">
            <w:pPr>
              <w:jc w:val="center"/>
            </w:pPr>
            <w:hyperlink r:id="rId24" w:history="1">
              <w:r w:rsidR="00B97B86" w:rsidRPr="00817B18">
                <w:rPr>
                  <w:rStyle w:val="Hyperlink"/>
                  <w:lang w:val="en-US"/>
                </w:rPr>
                <w:t>https://www.itu.int/ITU-T/workprog/wp_item.aspx?isn=18481</w:t>
              </w:r>
            </w:hyperlink>
          </w:p>
        </w:tc>
      </w:tr>
      <w:tr w:rsidR="00A92BE2" w14:paraId="7C3B2422" w14:textId="77777777" w:rsidTr="005502D5">
        <w:trPr>
          <w:trHeight w:val="2870"/>
        </w:trPr>
        <w:tc>
          <w:tcPr>
            <w:tcW w:w="2106" w:type="dxa"/>
          </w:tcPr>
          <w:p w14:paraId="1BFE8D68" w14:textId="14C08653" w:rsidR="00A92BE2" w:rsidRDefault="00A92BE2" w:rsidP="00A92BE2">
            <w:pPr>
              <w:jc w:val="center"/>
              <w:rPr>
                <w:sz w:val="22"/>
                <w:szCs w:val="22"/>
                <w:lang w:val="en-US"/>
              </w:rPr>
            </w:pPr>
            <w:r>
              <w:rPr>
                <w:sz w:val="22"/>
                <w:szCs w:val="22"/>
                <w:lang w:val="en-US" w:eastAsia="zh-CN"/>
              </w:rPr>
              <w:t>A</w:t>
            </w:r>
            <w:r w:rsidRPr="006D6348">
              <w:rPr>
                <w:sz w:val="22"/>
                <w:szCs w:val="22"/>
                <w:lang w:val="en-US" w:eastAsia="zh-CN"/>
              </w:rPr>
              <w:t>quaculture</w:t>
            </w:r>
          </w:p>
        </w:tc>
        <w:tc>
          <w:tcPr>
            <w:tcW w:w="1258" w:type="dxa"/>
          </w:tcPr>
          <w:p w14:paraId="0F838170" w14:textId="158B5EE3" w:rsidR="00A92BE2" w:rsidRDefault="00A92BE2" w:rsidP="00A92BE2">
            <w:pPr>
              <w:jc w:val="center"/>
              <w:rPr>
                <w:sz w:val="22"/>
                <w:szCs w:val="22"/>
                <w:lang w:val="en-US"/>
              </w:rPr>
            </w:pPr>
            <w:r>
              <w:rPr>
                <w:sz w:val="22"/>
                <w:szCs w:val="22"/>
                <w:lang w:val="en-US"/>
              </w:rPr>
              <w:t>ITU-T SG11</w:t>
            </w:r>
          </w:p>
        </w:tc>
        <w:tc>
          <w:tcPr>
            <w:tcW w:w="2571" w:type="dxa"/>
          </w:tcPr>
          <w:p w14:paraId="43095112" w14:textId="1A1C5225" w:rsidR="00A92BE2" w:rsidRPr="00F90BBF" w:rsidRDefault="00A92BE2" w:rsidP="00A92BE2">
            <w:pPr>
              <w:jc w:val="center"/>
              <w:rPr>
                <w:sz w:val="22"/>
                <w:szCs w:val="22"/>
                <w:lang w:val="en-US" w:eastAsia="zh-CN"/>
              </w:rPr>
            </w:pPr>
            <w:r w:rsidRPr="006D6348">
              <w:rPr>
                <w:sz w:val="22"/>
                <w:szCs w:val="22"/>
                <w:lang w:val="en-US" w:eastAsia="zh-CN"/>
              </w:rPr>
              <w:t>Data management interfaces for intelligent edge computing-based flowing-water smart aquaculture system</w:t>
            </w:r>
            <w:r>
              <w:rPr>
                <w:sz w:val="22"/>
                <w:szCs w:val="22"/>
                <w:lang w:val="en-US" w:eastAsia="zh-CN"/>
              </w:rPr>
              <w:t xml:space="preserve"> (</w:t>
            </w:r>
            <w:r w:rsidRPr="009B5C85">
              <w:rPr>
                <w:sz w:val="22"/>
                <w:szCs w:val="22"/>
                <w:lang w:val="en-US" w:eastAsia="zh-CN"/>
              </w:rPr>
              <w:t>Q.IEC-FWINF)</w:t>
            </w:r>
          </w:p>
        </w:tc>
        <w:tc>
          <w:tcPr>
            <w:tcW w:w="5580" w:type="dxa"/>
          </w:tcPr>
          <w:p w14:paraId="60B94771" w14:textId="77777777" w:rsidR="00A92BE2" w:rsidRDefault="00A92BE2" w:rsidP="00A92BE2">
            <w:pPr>
              <w:rPr>
                <w:sz w:val="22"/>
                <w:szCs w:val="22"/>
                <w:lang w:val="en-US"/>
              </w:rPr>
            </w:pPr>
            <w:r w:rsidRPr="00CE76A4">
              <w:rPr>
                <w:sz w:val="22"/>
                <w:szCs w:val="22"/>
                <w:lang w:val="en-US"/>
              </w:rPr>
              <w:t xml:space="preserve">The smart aquaculture system aims to increase the productivity of aquaculture and promote eco-friendly aquaculture technology by applying IoT, ICT, big data, and AI technologies to traditional aquaculture systems. With the emergence of big data, AI, and cloud technologies, intelligent edge cloud platform services provide powerful performance and resources for managing and analyzing vast amounts of data, enabling support for smart aquaculture technology. The intelligent edge cloud-supported flowing-water smart aquaculture system can be realized using the Rec. ITU-T Q.5001 intelligent edge computing (IEC). The TE of IEC can be used in the sensor and actuator parts of the flowing-water smart aquaculture system, and the reference points in IEC can be used for interaction with the edge server. By using these reference points, water quality, growth, energy, and environmental data collected in the aquaculture field can be transmitted to the edge server. Additionally, the edge server can generate essential settings and control values necessary for the growth of fish and the operation of aquaculture facilities using the collected data. For in-depth analysis that requires high computational </w:t>
            </w:r>
            <w:r w:rsidRPr="00CE76A4">
              <w:rPr>
                <w:sz w:val="22"/>
                <w:szCs w:val="22"/>
                <w:lang w:val="en-US"/>
              </w:rPr>
              <w:lastRenderedPageBreak/>
              <w:t>power, such as fish disease diagnosis or productivity enhancement, cloud-based analysis and generation can be performed. Then, the edge server transmits the generated optimal model to the driving part.</w:t>
            </w:r>
          </w:p>
          <w:p w14:paraId="5777FFE5" w14:textId="7A59C3CB" w:rsidR="00A92BE2" w:rsidRPr="00CA1C40" w:rsidRDefault="00A92BE2" w:rsidP="00A92BE2">
            <w:pPr>
              <w:rPr>
                <w:sz w:val="22"/>
                <w:szCs w:val="22"/>
                <w:lang w:val="en-US"/>
              </w:rPr>
            </w:pPr>
            <w:r w:rsidRPr="00CE76A4">
              <w:rPr>
                <w:sz w:val="22"/>
                <w:szCs w:val="22"/>
                <w:lang w:val="en-US"/>
              </w:rPr>
              <w:t>This draft recommendation defines the data management interfaces for intelligent edge computing-based flowing-water smart aquaculture systems.</w:t>
            </w:r>
          </w:p>
        </w:tc>
        <w:tc>
          <w:tcPr>
            <w:tcW w:w="1800" w:type="dxa"/>
          </w:tcPr>
          <w:p w14:paraId="31A0E4A9" w14:textId="5817FAAB" w:rsidR="00A92BE2" w:rsidRDefault="00A92BE2" w:rsidP="00A92BE2">
            <w:pPr>
              <w:jc w:val="center"/>
              <w:rPr>
                <w:sz w:val="22"/>
                <w:szCs w:val="22"/>
                <w:lang w:val="en-US"/>
              </w:rPr>
            </w:pPr>
            <w:r>
              <w:rPr>
                <w:sz w:val="22"/>
                <w:szCs w:val="22"/>
                <w:lang w:val="en-US"/>
              </w:rPr>
              <w:lastRenderedPageBreak/>
              <w:t>Under study</w:t>
            </w:r>
          </w:p>
        </w:tc>
        <w:tc>
          <w:tcPr>
            <w:tcW w:w="1890" w:type="dxa"/>
          </w:tcPr>
          <w:p w14:paraId="0470F387" w14:textId="34B85ED5" w:rsidR="00A92BE2" w:rsidRDefault="00064073" w:rsidP="00A92BE2">
            <w:pPr>
              <w:jc w:val="center"/>
              <w:rPr>
                <w:lang w:val="en-US"/>
              </w:rPr>
            </w:pPr>
            <w:hyperlink r:id="rId25" w:history="1">
              <w:r w:rsidR="00A92BE2" w:rsidRPr="00817B18">
                <w:rPr>
                  <w:rStyle w:val="Hyperlink"/>
                  <w:lang w:val="en-US"/>
                </w:rPr>
                <w:t>https://www.itu.int/ITU-T/workprog/wp_item.aspx?isn=18918</w:t>
              </w:r>
            </w:hyperlink>
          </w:p>
        </w:tc>
      </w:tr>
      <w:tr w:rsidR="00A92BE2" w14:paraId="7C4E347E" w14:textId="77777777" w:rsidTr="00D9272B">
        <w:trPr>
          <w:trHeight w:val="1880"/>
        </w:trPr>
        <w:tc>
          <w:tcPr>
            <w:tcW w:w="2106" w:type="dxa"/>
          </w:tcPr>
          <w:p w14:paraId="614D6D6C" w14:textId="17B27E75" w:rsidR="00A92BE2" w:rsidRPr="009113A2" w:rsidRDefault="00A92BE2" w:rsidP="00A92BE2">
            <w:pPr>
              <w:jc w:val="center"/>
              <w:rPr>
                <w:lang w:val="en-US"/>
              </w:rPr>
            </w:pPr>
            <w:r>
              <w:rPr>
                <w:lang w:val="en-US"/>
              </w:rPr>
              <w:t>Home</w:t>
            </w:r>
          </w:p>
        </w:tc>
        <w:tc>
          <w:tcPr>
            <w:tcW w:w="1258" w:type="dxa"/>
          </w:tcPr>
          <w:p w14:paraId="726BA704" w14:textId="08D1756E" w:rsidR="00A92BE2" w:rsidRDefault="00A92BE2" w:rsidP="00A92BE2">
            <w:pPr>
              <w:jc w:val="center"/>
              <w:rPr>
                <w:sz w:val="22"/>
                <w:szCs w:val="22"/>
                <w:lang w:val="en-US"/>
              </w:rPr>
            </w:pPr>
            <w:r>
              <w:rPr>
                <w:sz w:val="22"/>
                <w:szCs w:val="22"/>
                <w:lang w:val="en-US"/>
              </w:rPr>
              <w:t>ITU-T SG11</w:t>
            </w:r>
          </w:p>
        </w:tc>
        <w:tc>
          <w:tcPr>
            <w:tcW w:w="2571" w:type="dxa"/>
          </w:tcPr>
          <w:p w14:paraId="26F33C0A" w14:textId="4654C693" w:rsidR="00A92BE2" w:rsidRPr="006D6348" w:rsidRDefault="00A92BE2" w:rsidP="00A92BE2">
            <w:pPr>
              <w:jc w:val="center"/>
              <w:rPr>
                <w:sz w:val="22"/>
                <w:szCs w:val="22"/>
                <w:lang w:val="en-US" w:eastAsia="zh-CN"/>
              </w:rPr>
            </w:pPr>
            <w:r w:rsidRPr="00A145FD">
              <w:rPr>
                <w:sz w:val="22"/>
                <w:szCs w:val="22"/>
                <w:lang w:val="en-US" w:eastAsia="zh-CN"/>
              </w:rPr>
              <w:t>Signalling requirements and interfaces of edge-aided energy management agent at intelligent edge computing</w:t>
            </w:r>
            <w:r>
              <w:rPr>
                <w:sz w:val="22"/>
                <w:szCs w:val="22"/>
                <w:lang w:val="en-US" w:eastAsia="zh-CN"/>
              </w:rPr>
              <w:t xml:space="preserve"> (</w:t>
            </w:r>
            <w:r w:rsidRPr="009B5C85">
              <w:rPr>
                <w:sz w:val="22"/>
                <w:szCs w:val="22"/>
                <w:lang w:val="en-US" w:eastAsia="zh-CN"/>
              </w:rPr>
              <w:t>Q.IEC-EEMA)</w:t>
            </w:r>
          </w:p>
        </w:tc>
        <w:tc>
          <w:tcPr>
            <w:tcW w:w="5580" w:type="dxa"/>
          </w:tcPr>
          <w:p w14:paraId="5C532193" w14:textId="6FD26DF2" w:rsidR="00A92BE2" w:rsidRPr="00CE76A4" w:rsidRDefault="00A92BE2" w:rsidP="00A92BE2">
            <w:pPr>
              <w:rPr>
                <w:sz w:val="22"/>
                <w:szCs w:val="22"/>
                <w:lang w:val="en-US"/>
              </w:rPr>
            </w:pPr>
            <w:r w:rsidRPr="006D08CC">
              <w:rPr>
                <w:sz w:val="22"/>
                <w:szCs w:val="22"/>
                <w:lang w:val="en-US"/>
              </w:rPr>
              <w:t>This Recommendation describes the Signalling requirements and interfaces of edge-aided energy management agent at intelligent edge computing. This Recommendation focuses on the signalling functionality of the edge-aided energy management agent (EEMA) and interfaces among EEMAs.</w:t>
            </w:r>
          </w:p>
        </w:tc>
        <w:tc>
          <w:tcPr>
            <w:tcW w:w="1800" w:type="dxa"/>
          </w:tcPr>
          <w:p w14:paraId="7C3BEB5A" w14:textId="1AD5DA3D" w:rsidR="00A92BE2" w:rsidRDefault="00A92BE2" w:rsidP="00A92BE2">
            <w:pPr>
              <w:jc w:val="center"/>
              <w:rPr>
                <w:sz w:val="22"/>
                <w:szCs w:val="22"/>
                <w:lang w:val="en-US"/>
              </w:rPr>
            </w:pPr>
            <w:r>
              <w:rPr>
                <w:sz w:val="22"/>
                <w:szCs w:val="22"/>
                <w:lang w:val="en-US"/>
              </w:rPr>
              <w:t>Under study</w:t>
            </w:r>
          </w:p>
        </w:tc>
        <w:tc>
          <w:tcPr>
            <w:tcW w:w="1890" w:type="dxa"/>
          </w:tcPr>
          <w:p w14:paraId="21C0CB91" w14:textId="1E9FE21F" w:rsidR="00A92BE2" w:rsidRDefault="00064073" w:rsidP="00A92BE2">
            <w:pPr>
              <w:jc w:val="center"/>
              <w:rPr>
                <w:lang w:val="en-US"/>
              </w:rPr>
            </w:pPr>
            <w:hyperlink r:id="rId26" w:history="1">
              <w:r w:rsidR="00A92BE2" w:rsidRPr="00817B18">
                <w:rPr>
                  <w:rStyle w:val="Hyperlink"/>
                  <w:lang w:val="en-US"/>
                </w:rPr>
                <w:t>https://www.itu.int/ITU-T/workprog/wp_item.aspx?isn=18482</w:t>
              </w:r>
            </w:hyperlink>
          </w:p>
        </w:tc>
      </w:tr>
    </w:tbl>
    <w:p w14:paraId="3E17DB40" w14:textId="77777777" w:rsidR="002369E6" w:rsidRDefault="002369E6" w:rsidP="002369E6">
      <w:pPr>
        <w:spacing w:before="0"/>
        <w:jc w:val="center"/>
      </w:pPr>
      <w:bookmarkStart w:id="12" w:name="Proposal"/>
      <w:bookmarkEnd w:id="12"/>
    </w:p>
    <w:p w14:paraId="595BAEDD" w14:textId="22868B2B" w:rsidR="007F1869" w:rsidRDefault="002369E6" w:rsidP="002369E6">
      <w:pPr>
        <w:spacing w:before="0"/>
        <w:jc w:val="center"/>
      </w:pPr>
      <w:r w:rsidRPr="00B016B2">
        <w:t>_______________________</w:t>
      </w:r>
    </w:p>
    <w:sectPr w:rsidR="007F1869" w:rsidSect="00471C77">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D0E6" w14:textId="77777777" w:rsidR="00393E5F" w:rsidRDefault="00393E5F" w:rsidP="00C42125">
      <w:pPr>
        <w:spacing w:before="0"/>
      </w:pPr>
      <w:r>
        <w:separator/>
      </w:r>
    </w:p>
  </w:endnote>
  <w:endnote w:type="continuationSeparator" w:id="0">
    <w:p w14:paraId="462DA908" w14:textId="77777777" w:rsidR="00393E5F" w:rsidRDefault="00393E5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1213" w14:textId="77777777" w:rsidR="00393E5F" w:rsidRDefault="00393E5F" w:rsidP="00C42125">
      <w:pPr>
        <w:spacing w:before="0"/>
      </w:pPr>
      <w:r>
        <w:separator/>
      </w:r>
    </w:p>
  </w:footnote>
  <w:footnote w:type="continuationSeparator" w:id="0">
    <w:p w14:paraId="1A3035E8" w14:textId="77777777" w:rsidR="00393E5F" w:rsidRDefault="00393E5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B1BD" w14:textId="29AF765A" w:rsidR="00471C77" w:rsidRPr="00471C77" w:rsidRDefault="00471C77" w:rsidP="00471C77">
    <w:pPr>
      <w:pStyle w:val="Header"/>
    </w:pPr>
    <w:r w:rsidRPr="00471C77">
      <w:t xml:space="preserve">- </w:t>
    </w:r>
    <w:r w:rsidRPr="00471C77">
      <w:fldChar w:fldCharType="begin"/>
    </w:r>
    <w:r w:rsidRPr="00471C77">
      <w:instrText xml:space="preserve"> PAGE  \* MERGEFORMAT </w:instrText>
    </w:r>
    <w:r w:rsidRPr="00471C77">
      <w:fldChar w:fldCharType="separate"/>
    </w:r>
    <w:r w:rsidRPr="00471C77">
      <w:rPr>
        <w:noProof/>
      </w:rPr>
      <w:t>1</w:t>
    </w:r>
    <w:r w:rsidRPr="00471C77">
      <w:fldChar w:fldCharType="end"/>
    </w:r>
    <w:r w:rsidRPr="00471C77">
      <w:t xml:space="preserve"> -</w:t>
    </w:r>
  </w:p>
  <w:p w14:paraId="29B1547B" w14:textId="32C2A8AA" w:rsidR="00471C77" w:rsidRPr="00471C77" w:rsidRDefault="00471C77" w:rsidP="00471C77">
    <w:pPr>
      <w:pStyle w:val="Header"/>
      <w:spacing w:after="240"/>
    </w:pPr>
    <w:r w:rsidRPr="00471C77">
      <w:fldChar w:fldCharType="begin"/>
    </w:r>
    <w:r w:rsidRPr="00471C77">
      <w:instrText xml:space="preserve"> STYLEREF  Docnumber  </w:instrText>
    </w:r>
    <w:r w:rsidRPr="00471C77">
      <w:fldChar w:fldCharType="separate"/>
    </w:r>
    <w:r w:rsidR="00064073">
      <w:rPr>
        <w:noProof/>
      </w:rPr>
      <w:t>TSAG-TD365</w:t>
    </w:r>
    <w:r w:rsidRPr="00471C7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2352" w14:textId="4D345284" w:rsidR="00664C92" w:rsidRPr="00BB441B" w:rsidRDefault="00664C92" w:rsidP="00BB441B">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num w:numId="1" w16cid:durableId="1108233595">
    <w:abstractNumId w:val="9"/>
  </w:num>
  <w:num w:numId="2" w16cid:durableId="1029525820">
    <w:abstractNumId w:val="7"/>
  </w:num>
  <w:num w:numId="3" w16cid:durableId="1631134092">
    <w:abstractNumId w:val="6"/>
  </w:num>
  <w:num w:numId="4" w16cid:durableId="1586841524">
    <w:abstractNumId w:val="5"/>
  </w:num>
  <w:num w:numId="5" w16cid:durableId="15350037">
    <w:abstractNumId w:val="4"/>
  </w:num>
  <w:num w:numId="6" w16cid:durableId="601033127">
    <w:abstractNumId w:val="8"/>
  </w:num>
  <w:num w:numId="7" w16cid:durableId="1971126304">
    <w:abstractNumId w:val="3"/>
  </w:num>
  <w:num w:numId="8" w16cid:durableId="1385910250">
    <w:abstractNumId w:val="2"/>
  </w:num>
  <w:num w:numId="9" w16cid:durableId="1392387161">
    <w:abstractNumId w:val="1"/>
  </w:num>
  <w:num w:numId="10" w16cid:durableId="13827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73"/>
    <w:rsid w:val="000640E0"/>
    <w:rsid w:val="000A3367"/>
    <w:rsid w:val="000A5CA2"/>
    <w:rsid w:val="000C5359"/>
    <w:rsid w:val="000C722F"/>
    <w:rsid w:val="000E6A3A"/>
    <w:rsid w:val="00101257"/>
    <w:rsid w:val="00122E3A"/>
    <w:rsid w:val="00125432"/>
    <w:rsid w:val="00137F40"/>
    <w:rsid w:val="001871EC"/>
    <w:rsid w:val="001A670F"/>
    <w:rsid w:val="001B5FB0"/>
    <w:rsid w:val="001C62B8"/>
    <w:rsid w:val="001C73E5"/>
    <w:rsid w:val="001E79D8"/>
    <w:rsid w:val="001E7B0E"/>
    <w:rsid w:val="001F141D"/>
    <w:rsid w:val="00200A06"/>
    <w:rsid w:val="002369E6"/>
    <w:rsid w:val="00244066"/>
    <w:rsid w:val="002622FA"/>
    <w:rsid w:val="00263518"/>
    <w:rsid w:val="00277326"/>
    <w:rsid w:val="002A21E5"/>
    <w:rsid w:val="002A401B"/>
    <w:rsid w:val="002B3C3D"/>
    <w:rsid w:val="002C26C0"/>
    <w:rsid w:val="002D6037"/>
    <w:rsid w:val="002E5F16"/>
    <w:rsid w:val="002E79CB"/>
    <w:rsid w:val="002F7879"/>
    <w:rsid w:val="002F7F55"/>
    <w:rsid w:val="0030745F"/>
    <w:rsid w:val="00314630"/>
    <w:rsid w:val="0032090A"/>
    <w:rsid w:val="00321CDE"/>
    <w:rsid w:val="00323440"/>
    <w:rsid w:val="00333E15"/>
    <w:rsid w:val="00355A43"/>
    <w:rsid w:val="0036651C"/>
    <w:rsid w:val="00381AB0"/>
    <w:rsid w:val="0038715D"/>
    <w:rsid w:val="00393E5F"/>
    <w:rsid w:val="00394DBF"/>
    <w:rsid w:val="003A43EF"/>
    <w:rsid w:val="003B2821"/>
    <w:rsid w:val="003B3675"/>
    <w:rsid w:val="003B527C"/>
    <w:rsid w:val="003C7D40"/>
    <w:rsid w:val="003D7027"/>
    <w:rsid w:val="003F2BED"/>
    <w:rsid w:val="0041461E"/>
    <w:rsid w:val="00425762"/>
    <w:rsid w:val="00443878"/>
    <w:rsid w:val="00464CC3"/>
    <w:rsid w:val="004712CA"/>
    <w:rsid w:val="00471C77"/>
    <w:rsid w:val="0047422E"/>
    <w:rsid w:val="00484109"/>
    <w:rsid w:val="0049280A"/>
    <w:rsid w:val="004B4202"/>
    <w:rsid w:val="004C0673"/>
    <w:rsid w:val="004C12FB"/>
    <w:rsid w:val="004F3816"/>
    <w:rsid w:val="0050243D"/>
    <w:rsid w:val="00510920"/>
    <w:rsid w:val="0051199B"/>
    <w:rsid w:val="00515CD8"/>
    <w:rsid w:val="00536BB3"/>
    <w:rsid w:val="0054699C"/>
    <w:rsid w:val="005502D5"/>
    <w:rsid w:val="0056481F"/>
    <w:rsid w:val="00565DB9"/>
    <w:rsid w:val="00566EDA"/>
    <w:rsid w:val="00572654"/>
    <w:rsid w:val="00573C12"/>
    <w:rsid w:val="0059278D"/>
    <w:rsid w:val="005A73A6"/>
    <w:rsid w:val="005B0012"/>
    <w:rsid w:val="005B1E57"/>
    <w:rsid w:val="005B5629"/>
    <w:rsid w:val="005C0300"/>
    <w:rsid w:val="005F4B6A"/>
    <w:rsid w:val="00615A0A"/>
    <w:rsid w:val="00621A25"/>
    <w:rsid w:val="006333D4"/>
    <w:rsid w:val="00633938"/>
    <w:rsid w:val="00634F1F"/>
    <w:rsid w:val="006369B2"/>
    <w:rsid w:val="00652C03"/>
    <w:rsid w:val="00656647"/>
    <w:rsid w:val="006570B0"/>
    <w:rsid w:val="00664C92"/>
    <w:rsid w:val="0069210B"/>
    <w:rsid w:val="00694BC7"/>
    <w:rsid w:val="00697365"/>
    <w:rsid w:val="006A4055"/>
    <w:rsid w:val="006C5641"/>
    <w:rsid w:val="006D08CC"/>
    <w:rsid w:val="006D1089"/>
    <w:rsid w:val="006D2B8A"/>
    <w:rsid w:val="006D6348"/>
    <w:rsid w:val="006D7355"/>
    <w:rsid w:val="00716426"/>
    <w:rsid w:val="00731135"/>
    <w:rsid w:val="007324AF"/>
    <w:rsid w:val="007409B4"/>
    <w:rsid w:val="00752187"/>
    <w:rsid w:val="0075525E"/>
    <w:rsid w:val="007903F8"/>
    <w:rsid w:val="00794F4F"/>
    <w:rsid w:val="007974BE"/>
    <w:rsid w:val="007A0916"/>
    <w:rsid w:val="007A0DFD"/>
    <w:rsid w:val="007B4D99"/>
    <w:rsid w:val="007C7122"/>
    <w:rsid w:val="007D3F11"/>
    <w:rsid w:val="007E3652"/>
    <w:rsid w:val="007F1869"/>
    <w:rsid w:val="007F21DA"/>
    <w:rsid w:val="007F664D"/>
    <w:rsid w:val="00807E3A"/>
    <w:rsid w:val="00824758"/>
    <w:rsid w:val="00842137"/>
    <w:rsid w:val="00850C7A"/>
    <w:rsid w:val="0089088E"/>
    <w:rsid w:val="00892297"/>
    <w:rsid w:val="00896E48"/>
    <w:rsid w:val="008D599B"/>
    <w:rsid w:val="008E0172"/>
    <w:rsid w:val="008F148F"/>
    <w:rsid w:val="009113A2"/>
    <w:rsid w:val="00925845"/>
    <w:rsid w:val="00930F6B"/>
    <w:rsid w:val="009354B5"/>
    <w:rsid w:val="009406B5"/>
    <w:rsid w:val="00946166"/>
    <w:rsid w:val="00966465"/>
    <w:rsid w:val="00977C51"/>
    <w:rsid w:val="00982C67"/>
    <w:rsid w:val="00983164"/>
    <w:rsid w:val="009922EA"/>
    <w:rsid w:val="009972EF"/>
    <w:rsid w:val="009B5C85"/>
    <w:rsid w:val="009E6045"/>
    <w:rsid w:val="009E766E"/>
    <w:rsid w:val="009F365A"/>
    <w:rsid w:val="009F715E"/>
    <w:rsid w:val="00A06D03"/>
    <w:rsid w:val="00A10DBB"/>
    <w:rsid w:val="00A12119"/>
    <w:rsid w:val="00A145FD"/>
    <w:rsid w:val="00A25503"/>
    <w:rsid w:val="00A4013E"/>
    <w:rsid w:val="00A427CD"/>
    <w:rsid w:val="00A4600B"/>
    <w:rsid w:val="00A5207F"/>
    <w:rsid w:val="00A679D3"/>
    <w:rsid w:val="00A67A81"/>
    <w:rsid w:val="00A728A3"/>
    <w:rsid w:val="00A730A6"/>
    <w:rsid w:val="00A82DA4"/>
    <w:rsid w:val="00A91CB6"/>
    <w:rsid w:val="00A92BE2"/>
    <w:rsid w:val="00A971A0"/>
    <w:rsid w:val="00A97C64"/>
    <w:rsid w:val="00AA1F22"/>
    <w:rsid w:val="00AE3A75"/>
    <w:rsid w:val="00AE443D"/>
    <w:rsid w:val="00B05821"/>
    <w:rsid w:val="00B23196"/>
    <w:rsid w:val="00B26C28"/>
    <w:rsid w:val="00B33B55"/>
    <w:rsid w:val="00B3595E"/>
    <w:rsid w:val="00B453F5"/>
    <w:rsid w:val="00B477EB"/>
    <w:rsid w:val="00B50E8B"/>
    <w:rsid w:val="00B53D1B"/>
    <w:rsid w:val="00B718A5"/>
    <w:rsid w:val="00B97B86"/>
    <w:rsid w:val="00BB441B"/>
    <w:rsid w:val="00BB586E"/>
    <w:rsid w:val="00BE7217"/>
    <w:rsid w:val="00C21365"/>
    <w:rsid w:val="00C31029"/>
    <w:rsid w:val="00C42125"/>
    <w:rsid w:val="00C62814"/>
    <w:rsid w:val="00C707AC"/>
    <w:rsid w:val="00C74937"/>
    <w:rsid w:val="00C85F1C"/>
    <w:rsid w:val="00C9460E"/>
    <w:rsid w:val="00CA1C40"/>
    <w:rsid w:val="00CD0D97"/>
    <w:rsid w:val="00CE13AE"/>
    <w:rsid w:val="00CE1FAE"/>
    <w:rsid w:val="00CE76A4"/>
    <w:rsid w:val="00D10A14"/>
    <w:rsid w:val="00D2242B"/>
    <w:rsid w:val="00D9272B"/>
    <w:rsid w:val="00DA5DAD"/>
    <w:rsid w:val="00DC5EF4"/>
    <w:rsid w:val="00DE3062"/>
    <w:rsid w:val="00DE659C"/>
    <w:rsid w:val="00E00130"/>
    <w:rsid w:val="00E1406C"/>
    <w:rsid w:val="00E204DD"/>
    <w:rsid w:val="00E37A74"/>
    <w:rsid w:val="00E53C24"/>
    <w:rsid w:val="00EA08F9"/>
    <w:rsid w:val="00EA10F1"/>
    <w:rsid w:val="00EA3EFE"/>
    <w:rsid w:val="00EB444D"/>
    <w:rsid w:val="00EB67A1"/>
    <w:rsid w:val="00F00EFD"/>
    <w:rsid w:val="00F02294"/>
    <w:rsid w:val="00F075D9"/>
    <w:rsid w:val="00F11CD1"/>
    <w:rsid w:val="00F35F57"/>
    <w:rsid w:val="00F50467"/>
    <w:rsid w:val="00F90BBF"/>
    <w:rsid w:val="00F94B40"/>
    <w:rsid w:val="00FC5ECA"/>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Recommendation,List Paragraph11,O5,Para_sk,Resume Title,- Bullets"/>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EA3EFE"/>
    <w:rPr>
      <w:rFonts w:ascii="Times New Roman" w:hAnsi="Times New Roman" w:cs="Times New Roman"/>
      <w:sz w:val="24"/>
      <w:szCs w:val="24"/>
      <w:lang w:val="en-GB" w:eastAsia="ja-JP"/>
    </w:rPr>
  </w:style>
  <w:style w:type="paragraph" w:customStyle="1" w:styleId="LSDeadline">
    <w:name w:val="LSDeadline"/>
    <w:basedOn w:val="Normal"/>
    <w:next w:val="Normal"/>
    <w:rsid w:val="00633938"/>
    <w:rPr>
      <w:rFonts w:eastAsiaTheme="minorHAnsi"/>
    </w:rPr>
  </w:style>
  <w:style w:type="paragraph" w:customStyle="1" w:styleId="LSForAction">
    <w:name w:val="LSForAction"/>
    <w:basedOn w:val="Normal"/>
    <w:next w:val="Normal"/>
    <w:rsid w:val="00633938"/>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633938"/>
    <w:rPr>
      <w:rFonts w:eastAsiaTheme="minorHAnsi"/>
      <w:bCs/>
    </w:rPr>
  </w:style>
  <w:style w:type="paragraph" w:customStyle="1" w:styleId="LSApproval">
    <w:name w:val="LSApproval"/>
    <w:basedOn w:val="Normal"/>
    <w:rsid w:val="00633938"/>
    <w:rPr>
      <w:b/>
      <w:bCs/>
    </w:rPr>
  </w:style>
  <w:style w:type="paragraph" w:styleId="Revision">
    <w:name w:val="Revision"/>
    <w:hidden/>
    <w:uiPriority w:val="99"/>
    <w:semiHidden/>
    <w:rsid w:val="00694BC7"/>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sko@etri.re.kr" TargetMode="External"/><Relationship Id="rId18" Type="http://schemas.openxmlformats.org/officeDocument/2006/relationships/hyperlink" Target="https://www.itu.int/net/itu-t/ls/ls.aspx?isn=29477" TargetMode="External"/><Relationship Id="rId26" Type="http://schemas.openxmlformats.org/officeDocument/2006/relationships/hyperlink" Target="https://www.itu.int/ITU-T/workprog/wp_item.aspx?isn=1848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rr.mittar@gov.in" TargetMode="External"/><Relationship Id="rId17" Type="http://schemas.openxmlformats.org/officeDocument/2006/relationships/hyperlink" Target="mailto:nsko@etri.re.kr" TargetMode="External"/><Relationship Id="rId25" Type="http://schemas.openxmlformats.org/officeDocument/2006/relationships/hyperlink" Target="https://www.itu.int/ITU-T/workprog/wp_item.aspx?isn=18918" TargetMode="External"/><Relationship Id="rId2" Type="http://schemas.openxmlformats.org/officeDocument/2006/relationships/customXml" Target="../customXml/item2.xml"/><Relationship Id="rId16" Type="http://schemas.openxmlformats.org/officeDocument/2006/relationships/hyperlink" Target="mailto:rr.mittar@gov.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11-oLS-00118.docx" TargetMode="External"/><Relationship Id="rId24" Type="http://schemas.openxmlformats.org/officeDocument/2006/relationships/hyperlink" Target="https://www.itu.int/ITU-T/workprog/wp_item.aspx?isn=18481" TargetMode="External"/><Relationship Id="rId5" Type="http://schemas.openxmlformats.org/officeDocument/2006/relationships/styles" Target="styles.xml"/><Relationship Id="rId15" Type="http://schemas.openxmlformats.org/officeDocument/2006/relationships/hyperlink" Target="http://handle.itu.int/11.1002/ls/sp17-sg11-oLS-00118.docx" TargetMode="External"/><Relationship Id="rId23" Type="http://schemas.openxmlformats.org/officeDocument/2006/relationships/hyperlink" Target="https://www.itu.int/ITU-T/workprog/wp_item.aspx?isn=18481"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tu.int/itu-t/recommendations/rec.aspx?rec=139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fa/t/2022/ls/tsag/sp17-tsag-oLS-00022.docx" TargetMode="External"/><Relationship Id="rId22" Type="http://schemas.openxmlformats.org/officeDocument/2006/relationships/hyperlink" Target="https://www.itu.int/ITU-T/recommendations/rec.aspx?rec=1504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2023-07-24</When>
    <Meeting xmlns="3f6fad35-1f81-480e-a4e5-6e5474dcfb96">775</Meeting>
    <DocumentSource xmlns="3f6fad35-1f81-480e-a4e5-6e5474dcfb96">Telecommunication Standardization Advisory Group</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RGDT</TermName>
          <TermId xmlns="http://schemas.microsoft.com/office/infopath/2007/PartnerControls">5cc848c2-94fd-4afb-8627-379bce51e8ae</TermId>
        </TermInfo>
      </Terms>
    </g7c634529dc642298f3d45250a210339>
    <IsRevision xmlns="3f6fad35-1f81-480e-a4e5-6e5474dcfb96">true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document contains the revised draft liaison statement prepared during RG-DT e-meeting, 24 July 2023.</Abstract>
    <TaxCatchAll xmlns="3f6fad35-1f81-480e-a4e5-6e5474dcfb96">
      <Value>1273</Value>
    </TaxCatchAll>
    <SourceRGM xmlns="3f6fad35-1f81-480e-a4e5-6e5474dcfb96">Associate Rapporteur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
    <DocTypeText xmlns="3f6fad35-1f81-480e-a4e5-6e5474dcfb96">DOC</DocTypeText>
    <CategoryDescription xmlns="http://schemas.microsoft.com/sharepoint.v3">TSAG RG-DT e-meeting</CategoryDescription>
    <DocStatusText xmlns="3f6fad35-1f81-480e-a4e5-6e5474dcfb96" xsi:nil="true"/>
    <ShortName xmlns="3f6fad35-1f81-480e-a4e5-6e5474dcfb96">TSAG-LS22</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C795E0367740474D8BC4F61CC21670D6" ma:contentTypeVersion="0" ma:contentTypeDescription="" ma:contentTypeScope="" ma:versionID="b0d279f6ee782dc65162180275662bdb">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12BCEA5-BE21-4EAF-B41F-9055CF6F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1460</Words>
  <Characters>8326</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LS on the activities and studies on sustainable digital transformation [to ITU-T SGs, ITU-R SGs, ITU-D SGs, RAG, TDAG, IEC/SMB/SG12, IEEE P2023 Digital Transformation Working Group and ISO/IEC JTC1/SC40]</vt:lpstr>
      <vt:lpstr>LS on the activities and studies on sustainable digital transformation [to ITU-T SGs, ITU-R SGs, ITU-D SGs, RAG, TDAG, IEC/SMB/SG12, IEEE P2023 Digital Transformation Working Group and ISO/IEC JTC1/SC40]</vt:lpstr>
      <vt:lpstr>Output – draft oLS on the activities and studies on sustainable digital transformation [to ITU-T SGs, ITU-R SGs, ITU-D SGs, IEC/SMB/SG12, IEEE P2023 Digital Transformation Working Group and ISO/IEC JTC1/SC40]</vt:lpstr>
    </vt:vector>
  </TitlesOfParts>
  <Manager>ITU-T</Manager>
  <Company>International Telecommunication Union (ITU)</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the activities and studies on sustainable digital transformation [to TSAG]</dc:title>
  <dc:subject/>
  <dc:creator>Telecommunication Standardization Advisory Group</dc:creator>
  <cp:keywords>N/A</cp:keywords>
  <dc:description>SG11-LS118  For: Geneva, 10-20 October 2023_x000d_Document date: _x000d_Saved by ITU51017470 at 18:29:25 on 23/10/2023</dc:description>
  <cp:lastModifiedBy>Al-Mnini, Lara</cp:lastModifiedBy>
  <cp:revision>3</cp:revision>
  <dcterms:created xsi:type="dcterms:W3CDTF">2023-10-25T06:26:00Z</dcterms:created>
  <dcterms:modified xsi:type="dcterms:W3CDTF">2023-10-25T06:32:00Z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0x01010072A901B997EC694AA911983CD90730E700C795E0367740474D8BC4F61CC21670D6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1273;#RGDT|5cc848c2-94fd-4afb-8627-379bce51e8ae</vt:lpwstr>
  </property>
  <property fmtid="{D5CDD505-2E9C-101B-9397-08002B2CF9AE}" pid="10" name="Docnum">
    <vt:lpwstr>SG11-LS118</vt:lpwstr>
  </property>
  <property fmtid="{D5CDD505-2E9C-101B-9397-08002B2CF9AE}" pid="11" name="Docdate">
    <vt:lpwstr/>
  </property>
  <property fmtid="{D5CDD505-2E9C-101B-9397-08002B2CF9AE}" pid="12" name="Docorlang">
    <vt:lpwstr/>
  </property>
  <property fmtid="{D5CDD505-2E9C-101B-9397-08002B2CF9AE}" pid="13" name="Docbluepink">
    <vt:lpwstr>All/11</vt:lpwstr>
  </property>
  <property fmtid="{D5CDD505-2E9C-101B-9397-08002B2CF9AE}" pid="14" name="Docdest">
    <vt:lpwstr>Geneva, 10-20 October 2023</vt:lpwstr>
  </property>
  <property fmtid="{D5CDD505-2E9C-101B-9397-08002B2CF9AE}" pid="15" name="Docauthor">
    <vt:lpwstr>Telecommunication Standardization Advisory Group</vt:lpwstr>
  </property>
</Properties>
</file>