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30077B2B" w:rsidR="006C4954" w:rsidRPr="00B032FC" w:rsidRDefault="006C4954" w:rsidP="007119E8">
            <w:pPr>
              <w:pStyle w:val="Docnumber"/>
            </w:pPr>
            <w:r w:rsidRPr="00B032FC">
              <w:t>TSAG-TD</w:t>
            </w:r>
            <w:r w:rsidR="00FA6AA4" w:rsidRPr="00BB7AB2">
              <w:t>409</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6"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6"/>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7" w:name="dbluepink" w:colFirst="1" w:colLast="1"/>
            <w:bookmarkStart w:id="8"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6DCF82D6" w:rsidR="006C4954" w:rsidRPr="00B032FC" w:rsidRDefault="006C4954" w:rsidP="007119E8">
            <w:pPr>
              <w:jc w:val="right"/>
            </w:pPr>
            <w:r w:rsidRPr="00B032FC">
              <w:t xml:space="preserve">Geneva, </w:t>
            </w:r>
            <w:r w:rsidR="00FA6AA4">
              <w:t>22-26</w:t>
            </w:r>
            <w:r w:rsidR="00CD3D6C" w:rsidRPr="00235706">
              <w:t xml:space="preserve"> </w:t>
            </w:r>
            <w:r w:rsidR="00FA6AA4">
              <w:t xml:space="preserve">January </w:t>
            </w:r>
            <w:r w:rsidRPr="00235706">
              <w:t>202</w:t>
            </w:r>
            <w:r w:rsidR="00FA6AA4">
              <w:t>4</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9" w:name="ddoctype" w:colFirst="0" w:colLast="0"/>
            <w:bookmarkEnd w:id="7"/>
            <w:bookmarkEnd w:id="8"/>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1" w:name="dtitle1" w:colFirst="1" w:colLast="1"/>
            <w:bookmarkEnd w:id="10"/>
            <w:r w:rsidRPr="00B032FC">
              <w:rPr>
                <w:b/>
                <w:bCs/>
              </w:rPr>
              <w:t>Title:</w:t>
            </w:r>
          </w:p>
        </w:tc>
        <w:tc>
          <w:tcPr>
            <w:tcW w:w="8306" w:type="dxa"/>
            <w:gridSpan w:val="2"/>
          </w:tcPr>
          <w:p w14:paraId="7CBB092B" w14:textId="4C5DD95B" w:rsidR="006C4954" w:rsidRPr="00B032FC" w:rsidRDefault="006C4954" w:rsidP="007119E8">
            <w:r w:rsidRPr="00B032FC">
              <w:t xml:space="preserve">Report of activities in ITU-T (from </w:t>
            </w:r>
            <w:r w:rsidR="00FA6AA4">
              <w:t xml:space="preserve">May to </w:t>
            </w:r>
            <w:r w:rsidR="00CD3D6C" w:rsidRPr="00235706">
              <w:t>December</w:t>
            </w:r>
            <w:r w:rsidRPr="00235706">
              <w:t xml:space="preserve"> </w:t>
            </w:r>
            <w:r w:rsidR="00CD3D6C" w:rsidRPr="00235706">
              <w:t>202</w:t>
            </w:r>
            <w:r w:rsidR="00FA6AA4">
              <w:t>3</w:t>
            </w:r>
            <w:r w:rsidRPr="00B032FC">
              <w:t>)</w:t>
            </w:r>
          </w:p>
        </w:tc>
      </w:tr>
      <w:bookmarkEnd w:id="1"/>
      <w:bookmarkEnd w:id="11"/>
      <w:tr w:rsidR="006C4954" w:rsidRPr="00770357"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64639675" w:rsidR="006C4954" w:rsidRPr="00B032FC" w:rsidRDefault="00117EF8" w:rsidP="007119E8">
            <w:r>
              <w:t>Matthew Dalais</w:t>
            </w:r>
            <w:r>
              <w:br/>
            </w:r>
            <w:r w:rsidR="006C4954" w:rsidRPr="00B032FC">
              <w:t>TSB</w:t>
            </w:r>
            <w:r>
              <w:t>; Communication officer</w:t>
            </w:r>
          </w:p>
        </w:tc>
        <w:tc>
          <w:tcPr>
            <w:tcW w:w="4681" w:type="dxa"/>
            <w:tcBorders>
              <w:top w:val="single" w:sz="8" w:space="0" w:color="auto"/>
              <w:bottom w:val="single" w:sz="8" w:space="0" w:color="auto"/>
            </w:tcBorders>
          </w:tcPr>
          <w:p w14:paraId="2AEB76D7" w14:textId="795FA096" w:rsidR="006C4954" w:rsidRPr="00770357" w:rsidRDefault="006C4954" w:rsidP="007119E8">
            <w:pPr>
              <w:spacing w:after="40"/>
              <w:rPr>
                <w:lang w:val="de-DE"/>
              </w:rPr>
            </w:pPr>
            <w:r w:rsidRPr="003253DC">
              <w:rPr>
                <w:lang w:val="de-DE"/>
              </w:rPr>
              <w:t xml:space="preserve">E-mail: </w:t>
            </w:r>
            <w:r>
              <w:fldChar w:fldCharType="begin"/>
            </w:r>
            <w:r w:rsidRPr="00770357">
              <w:rPr>
                <w:lang w:val="de-DE"/>
              </w:rPr>
              <w:instrText>HYPERLINK "mailto:Matthew.Dalais@itu.int"</w:instrText>
            </w:r>
            <w:r>
              <w:fldChar w:fldCharType="separate"/>
            </w:r>
            <w:r w:rsidR="00117EF8" w:rsidRPr="00770357">
              <w:rPr>
                <w:rStyle w:val="Hyperlink"/>
                <w:lang w:val="de-DE"/>
              </w:rPr>
              <w:t>matthew.dalais@itu.int</w:t>
            </w:r>
            <w:r>
              <w:rPr>
                <w:rStyle w:val="Hyperlink"/>
                <w:lang w:val="fr-FR"/>
              </w:rPr>
              <w:fldChar w:fldCharType="end"/>
            </w:r>
            <w:r w:rsidR="00117EF8" w:rsidRPr="00770357">
              <w:rPr>
                <w:lang w:val="de-DE"/>
              </w:rPr>
              <w:t xml:space="preserve"> </w:t>
            </w:r>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0A03270F" w:rsidR="006C4954" w:rsidRPr="00B032FC" w:rsidRDefault="00CD3D6C" w:rsidP="007119E8">
                <w:r w:rsidRPr="00235706" w:rsidDel="0033393D">
                  <w:t xml:space="preserve">This report </w:t>
                </w:r>
                <w:r w:rsidRPr="00235706">
                  <w:t xml:space="preserve">summarizes TSB facilitation of ITU-T activities from </w:t>
                </w:r>
                <w:r w:rsidR="00FA6AA4">
                  <w:t>May to December 2023.</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3FB9904B" w14:textId="5522E9BD" w:rsidR="005F0369" w:rsidRDefault="00136E7B">
      <w:pPr>
        <w:pStyle w:val="TOC1"/>
        <w:rPr>
          <w:rFonts w:asciiTheme="minorHAnsi" w:eastAsiaTheme="minorEastAsia" w:hAnsiTheme="minorHAnsi" w:cstheme="minorBidi"/>
          <w:kern w:val="2"/>
          <w:sz w:val="22"/>
          <w:szCs w:val="22"/>
          <w:lang w:eastAsia="en-GB"/>
          <w14:ligatures w14:val="standardContextual"/>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56392403" w:history="1">
        <w:r w:rsidR="005F0369" w:rsidRPr="005121E7">
          <w:rPr>
            <w:rStyle w:val="Hyperlink"/>
          </w:rPr>
          <w:t>Executive Summary</w:t>
        </w:r>
        <w:r w:rsidR="005F0369">
          <w:rPr>
            <w:webHidden/>
          </w:rPr>
          <w:tab/>
        </w:r>
        <w:r w:rsidR="005F0369">
          <w:rPr>
            <w:webHidden/>
          </w:rPr>
          <w:fldChar w:fldCharType="begin"/>
        </w:r>
        <w:r w:rsidR="005F0369">
          <w:rPr>
            <w:webHidden/>
          </w:rPr>
          <w:instrText xml:space="preserve"> PAGEREF _Toc156392403 \h </w:instrText>
        </w:r>
        <w:r w:rsidR="005F0369">
          <w:rPr>
            <w:webHidden/>
          </w:rPr>
        </w:r>
        <w:r w:rsidR="005F0369">
          <w:rPr>
            <w:webHidden/>
          </w:rPr>
          <w:fldChar w:fldCharType="separate"/>
        </w:r>
        <w:r w:rsidR="005F0369">
          <w:rPr>
            <w:webHidden/>
          </w:rPr>
          <w:t>4</w:t>
        </w:r>
        <w:r w:rsidR="005F0369">
          <w:rPr>
            <w:webHidden/>
          </w:rPr>
          <w:fldChar w:fldCharType="end"/>
        </w:r>
      </w:hyperlink>
    </w:p>
    <w:p w14:paraId="4CE15ACC" w14:textId="3D58A77B"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04" w:history="1">
        <w:r w:rsidR="005F0369" w:rsidRPr="005121E7">
          <w:rPr>
            <w:rStyle w:val="Hyperlink"/>
          </w:rPr>
          <w:t>Annex – Full report of activities in ITU-T in the study period</w:t>
        </w:r>
        <w:r w:rsidR="005F0369">
          <w:rPr>
            <w:webHidden/>
          </w:rPr>
          <w:tab/>
        </w:r>
        <w:r w:rsidR="005F0369">
          <w:rPr>
            <w:webHidden/>
          </w:rPr>
          <w:fldChar w:fldCharType="begin"/>
        </w:r>
        <w:r w:rsidR="005F0369">
          <w:rPr>
            <w:webHidden/>
          </w:rPr>
          <w:instrText xml:space="preserve"> PAGEREF _Toc156392404 \h </w:instrText>
        </w:r>
        <w:r w:rsidR="005F0369">
          <w:rPr>
            <w:webHidden/>
          </w:rPr>
        </w:r>
        <w:r w:rsidR="005F0369">
          <w:rPr>
            <w:webHidden/>
          </w:rPr>
          <w:fldChar w:fldCharType="separate"/>
        </w:r>
        <w:r w:rsidR="005F0369">
          <w:rPr>
            <w:webHidden/>
          </w:rPr>
          <w:t>6</w:t>
        </w:r>
        <w:r w:rsidR="005F0369">
          <w:rPr>
            <w:webHidden/>
          </w:rPr>
          <w:fldChar w:fldCharType="end"/>
        </w:r>
      </w:hyperlink>
    </w:p>
    <w:p w14:paraId="7C651DDF" w14:textId="56E9EB96"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05" w:history="1">
        <w:r w:rsidR="005F0369" w:rsidRPr="005121E7">
          <w:rPr>
            <w:rStyle w:val="Hyperlink"/>
          </w:rPr>
          <w:t>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ITU-T study groups</w:t>
        </w:r>
        <w:r w:rsidR="005F0369">
          <w:rPr>
            <w:webHidden/>
          </w:rPr>
          <w:tab/>
        </w:r>
        <w:r w:rsidR="005F0369">
          <w:rPr>
            <w:webHidden/>
          </w:rPr>
          <w:fldChar w:fldCharType="begin"/>
        </w:r>
        <w:r w:rsidR="005F0369">
          <w:rPr>
            <w:webHidden/>
          </w:rPr>
          <w:instrText xml:space="preserve"> PAGEREF _Toc156392405 \h </w:instrText>
        </w:r>
        <w:r w:rsidR="005F0369">
          <w:rPr>
            <w:webHidden/>
          </w:rPr>
        </w:r>
        <w:r w:rsidR="005F0369">
          <w:rPr>
            <w:webHidden/>
          </w:rPr>
          <w:fldChar w:fldCharType="separate"/>
        </w:r>
        <w:r w:rsidR="005F0369">
          <w:rPr>
            <w:webHidden/>
          </w:rPr>
          <w:t>6</w:t>
        </w:r>
        <w:r w:rsidR="005F0369">
          <w:rPr>
            <w:webHidden/>
          </w:rPr>
          <w:fldChar w:fldCharType="end"/>
        </w:r>
      </w:hyperlink>
    </w:p>
    <w:p w14:paraId="4E37E514" w14:textId="18C92D11"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06" w:history="1">
        <w:r w:rsidR="005F0369" w:rsidRPr="005121E7">
          <w:rPr>
            <w:rStyle w:val="Hyperlink"/>
          </w:rPr>
          <w:t>1.1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Standards approved and study group meetings</w:t>
        </w:r>
        <w:r w:rsidR="005F0369">
          <w:rPr>
            <w:webHidden/>
          </w:rPr>
          <w:tab/>
        </w:r>
        <w:r w:rsidR="005F0369">
          <w:rPr>
            <w:webHidden/>
          </w:rPr>
          <w:fldChar w:fldCharType="begin"/>
        </w:r>
        <w:r w:rsidR="005F0369">
          <w:rPr>
            <w:webHidden/>
          </w:rPr>
          <w:instrText xml:space="preserve"> PAGEREF _Toc156392406 \h </w:instrText>
        </w:r>
        <w:r w:rsidR="005F0369">
          <w:rPr>
            <w:webHidden/>
          </w:rPr>
        </w:r>
        <w:r w:rsidR="005F0369">
          <w:rPr>
            <w:webHidden/>
          </w:rPr>
          <w:fldChar w:fldCharType="separate"/>
        </w:r>
        <w:r w:rsidR="005F0369">
          <w:rPr>
            <w:webHidden/>
          </w:rPr>
          <w:t>6</w:t>
        </w:r>
        <w:r w:rsidR="005F0369">
          <w:rPr>
            <w:webHidden/>
          </w:rPr>
          <w:fldChar w:fldCharType="end"/>
        </w:r>
      </w:hyperlink>
    </w:p>
    <w:p w14:paraId="515C0DDA" w14:textId="3F198929"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07" w:history="1">
        <w:r w:rsidR="005F0369" w:rsidRPr="005121E7">
          <w:rPr>
            <w:rStyle w:val="Hyperlink"/>
          </w:rPr>
          <w:t>1.2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Non-attendance of chairmen and vice-chairmen</w:t>
        </w:r>
        <w:r w:rsidR="005F0369">
          <w:rPr>
            <w:webHidden/>
          </w:rPr>
          <w:tab/>
        </w:r>
        <w:r w:rsidR="005F0369">
          <w:rPr>
            <w:webHidden/>
          </w:rPr>
          <w:fldChar w:fldCharType="begin"/>
        </w:r>
        <w:r w:rsidR="005F0369">
          <w:rPr>
            <w:webHidden/>
          </w:rPr>
          <w:instrText xml:space="preserve"> PAGEREF _Toc156392407 \h </w:instrText>
        </w:r>
        <w:r w:rsidR="005F0369">
          <w:rPr>
            <w:webHidden/>
          </w:rPr>
        </w:r>
        <w:r w:rsidR="005F0369">
          <w:rPr>
            <w:webHidden/>
          </w:rPr>
          <w:fldChar w:fldCharType="separate"/>
        </w:r>
        <w:r w:rsidR="005F0369">
          <w:rPr>
            <w:webHidden/>
          </w:rPr>
          <w:t>6</w:t>
        </w:r>
        <w:r w:rsidR="005F0369">
          <w:rPr>
            <w:webHidden/>
          </w:rPr>
          <w:fldChar w:fldCharType="end"/>
        </w:r>
      </w:hyperlink>
    </w:p>
    <w:p w14:paraId="538C3903" w14:textId="28ECE817"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08" w:history="1">
        <w:r w:rsidR="005F0369" w:rsidRPr="005121E7">
          <w:rPr>
            <w:rStyle w:val="Hyperlink"/>
          </w:rPr>
          <w:t>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ITU-T focus groups</w:t>
        </w:r>
        <w:r w:rsidR="005F0369">
          <w:rPr>
            <w:webHidden/>
          </w:rPr>
          <w:tab/>
        </w:r>
        <w:r w:rsidR="005F0369">
          <w:rPr>
            <w:webHidden/>
          </w:rPr>
          <w:fldChar w:fldCharType="begin"/>
        </w:r>
        <w:r w:rsidR="005F0369">
          <w:rPr>
            <w:webHidden/>
          </w:rPr>
          <w:instrText xml:space="preserve"> PAGEREF _Toc156392408 \h </w:instrText>
        </w:r>
        <w:r w:rsidR="005F0369">
          <w:rPr>
            <w:webHidden/>
          </w:rPr>
        </w:r>
        <w:r w:rsidR="005F0369">
          <w:rPr>
            <w:webHidden/>
          </w:rPr>
          <w:fldChar w:fldCharType="separate"/>
        </w:r>
        <w:r w:rsidR="005F0369">
          <w:rPr>
            <w:webHidden/>
          </w:rPr>
          <w:t>7</w:t>
        </w:r>
        <w:r w:rsidR="005F0369">
          <w:rPr>
            <w:webHidden/>
          </w:rPr>
          <w:fldChar w:fldCharType="end"/>
        </w:r>
      </w:hyperlink>
    </w:p>
    <w:p w14:paraId="4574199B" w14:textId="67DAE020"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09" w:history="1">
        <w:r w:rsidR="005F0369" w:rsidRPr="005121E7">
          <w:rPr>
            <w:rStyle w:val="Hyperlink"/>
          </w:rPr>
          <w:t>2.1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Active groups</w:t>
        </w:r>
        <w:r w:rsidR="005F0369">
          <w:rPr>
            <w:webHidden/>
          </w:rPr>
          <w:tab/>
        </w:r>
        <w:r w:rsidR="005F0369">
          <w:rPr>
            <w:webHidden/>
          </w:rPr>
          <w:fldChar w:fldCharType="begin"/>
        </w:r>
        <w:r w:rsidR="005F0369">
          <w:rPr>
            <w:webHidden/>
          </w:rPr>
          <w:instrText xml:space="preserve"> PAGEREF _Toc156392409 \h </w:instrText>
        </w:r>
        <w:r w:rsidR="005F0369">
          <w:rPr>
            <w:webHidden/>
          </w:rPr>
        </w:r>
        <w:r w:rsidR="005F0369">
          <w:rPr>
            <w:webHidden/>
          </w:rPr>
          <w:fldChar w:fldCharType="separate"/>
        </w:r>
        <w:r w:rsidR="005F0369">
          <w:rPr>
            <w:webHidden/>
          </w:rPr>
          <w:t>7</w:t>
        </w:r>
        <w:r w:rsidR="005F0369">
          <w:rPr>
            <w:webHidden/>
          </w:rPr>
          <w:fldChar w:fldCharType="end"/>
        </w:r>
      </w:hyperlink>
    </w:p>
    <w:p w14:paraId="12073045" w14:textId="1E2AD52A"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0" w:history="1">
        <w:r w:rsidR="005F0369" w:rsidRPr="005121E7">
          <w:rPr>
            <w:rStyle w:val="Hyperlink"/>
          </w:rPr>
          <w:t>2.2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Concluded groups</w:t>
        </w:r>
        <w:r w:rsidR="005F0369">
          <w:rPr>
            <w:webHidden/>
          </w:rPr>
          <w:tab/>
        </w:r>
        <w:r w:rsidR="005F0369">
          <w:rPr>
            <w:webHidden/>
          </w:rPr>
          <w:fldChar w:fldCharType="begin"/>
        </w:r>
        <w:r w:rsidR="005F0369">
          <w:rPr>
            <w:webHidden/>
          </w:rPr>
          <w:instrText xml:space="preserve"> PAGEREF _Toc156392410 \h </w:instrText>
        </w:r>
        <w:r w:rsidR="005F0369">
          <w:rPr>
            <w:webHidden/>
          </w:rPr>
        </w:r>
        <w:r w:rsidR="005F0369">
          <w:rPr>
            <w:webHidden/>
          </w:rPr>
          <w:fldChar w:fldCharType="separate"/>
        </w:r>
        <w:r w:rsidR="005F0369">
          <w:rPr>
            <w:webHidden/>
          </w:rPr>
          <w:t>8</w:t>
        </w:r>
        <w:r w:rsidR="005F0369">
          <w:rPr>
            <w:webHidden/>
          </w:rPr>
          <w:fldChar w:fldCharType="end"/>
        </w:r>
      </w:hyperlink>
    </w:p>
    <w:p w14:paraId="38D37C31" w14:textId="765784BA"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11" w:history="1">
        <w:r w:rsidR="005F0369" w:rsidRPr="005121E7">
          <w:rPr>
            <w:rStyle w:val="Hyperlink"/>
          </w:rPr>
          <w:t>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Workshops, symposia and webinars</w:t>
        </w:r>
        <w:r w:rsidR="005F0369">
          <w:rPr>
            <w:webHidden/>
          </w:rPr>
          <w:tab/>
        </w:r>
        <w:r w:rsidR="005F0369">
          <w:rPr>
            <w:webHidden/>
          </w:rPr>
          <w:fldChar w:fldCharType="begin"/>
        </w:r>
        <w:r w:rsidR="005F0369">
          <w:rPr>
            <w:webHidden/>
          </w:rPr>
          <w:instrText xml:space="preserve"> PAGEREF _Toc156392411 \h </w:instrText>
        </w:r>
        <w:r w:rsidR="005F0369">
          <w:rPr>
            <w:webHidden/>
          </w:rPr>
        </w:r>
        <w:r w:rsidR="005F0369">
          <w:rPr>
            <w:webHidden/>
          </w:rPr>
          <w:fldChar w:fldCharType="separate"/>
        </w:r>
        <w:r w:rsidR="005F0369">
          <w:rPr>
            <w:webHidden/>
          </w:rPr>
          <w:t>8</w:t>
        </w:r>
        <w:r w:rsidR="005F0369">
          <w:rPr>
            <w:webHidden/>
          </w:rPr>
          <w:fldChar w:fldCharType="end"/>
        </w:r>
      </w:hyperlink>
    </w:p>
    <w:p w14:paraId="24503553" w14:textId="670AABBA"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12" w:history="1">
        <w:r w:rsidR="005F0369" w:rsidRPr="005121E7">
          <w:rPr>
            <w:rStyle w:val="Hyperlink"/>
          </w:rPr>
          <w:t>4</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Virtual meetings</w:t>
        </w:r>
        <w:r w:rsidR="005F0369">
          <w:rPr>
            <w:webHidden/>
          </w:rPr>
          <w:tab/>
        </w:r>
        <w:r w:rsidR="005F0369">
          <w:rPr>
            <w:webHidden/>
          </w:rPr>
          <w:fldChar w:fldCharType="begin"/>
        </w:r>
        <w:r w:rsidR="005F0369">
          <w:rPr>
            <w:webHidden/>
          </w:rPr>
          <w:instrText xml:space="preserve"> PAGEREF _Toc156392412 \h </w:instrText>
        </w:r>
        <w:r w:rsidR="005F0369">
          <w:rPr>
            <w:webHidden/>
          </w:rPr>
        </w:r>
        <w:r w:rsidR="005F0369">
          <w:rPr>
            <w:webHidden/>
          </w:rPr>
          <w:fldChar w:fldCharType="separate"/>
        </w:r>
        <w:r w:rsidR="005F0369">
          <w:rPr>
            <w:webHidden/>
          </w:rPr>
          <w:t>8</w:t>
        </w:r>
        <w:r w:rsidR="005F0369">
          <w:rPr>
            <w:webHidden/>
          </w:rPr>
          <w:fldChar w:fldCharType="end"/>
        </w:r>
      </w:hyperlink>
    </w:p>
    <w:p w14:paraId="341A7C9B" w14:textId="673F6BF3"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13" w:history="1">
        <w:r w:rsidR="005F0369" w:rsidRPr="005121E7">
          <w:rPr>
            <w:rStyle w:val="Hyperlink"/>
          </w:rPr>
          <w:t>5</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Collaboration initiatives</w:t>
        </w:r>
        <w:r w:rsidR="005F0369">
          <w:rPr>
            <w:webHidden/>
          </w:rPr>
          <w:tab/>
        </w:r>
        <w:r w:rsidR="005F0369">
          <w:rPr>
            <w:webHidden/>
          </w:rPr>
          <w:fldChar w:fldCharType="begin"/>
        </w:r>
        <w:r w:rsidR="005F0369">
          <w:rPr>
            <w:webHidden/>
          </w:rPr>
          <w:instrText xml:space="preserve"> PAGEREF _Toc156392413 \h </w:instrText>
        </w:r>
        <w:r w:rsidR="005F0369">
          <w:rPr>
            <w:webHidden/>
          </w:rPr>
        </w:r>
        <w:r w:rsidR="005F0369">
          <w:rPr>
            <w:webHidden/>
          </w:rPr>
          <w:fldChar w:fldCharType="separate"/>
        </w:r>
        <w:r w:rsidR="005F0369">
          <w:rPr>
            <w:webHidden/>
          </w:rPr>
          <w:t>9</w:t>
        </w:r>
        <w:r w:rsidR="005F0369">
          <w:rPr>
            <w:webHidden/>
          </w:rPr>
          <w:fldChar w:fldCharType="end"/>
        </w:r>
      </w:hyperlink>
    </w:p>
    <w:p w14:paraId="772B1CC6" w14:textId="60CEC684"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4" w:history="1">
        <w:r w:rsidR="005F0369" w:rsidRPr="005121E7">
          <w:rPr>
            <w:rStyle w:val="Hyperlink"/>
          </w:rPr>
          <w:t>5.1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Artificial intelligence and machine learning</w:t>
        </w:r>
        <w:r w:rsidR="005F0369">
          <w:rPr>
            <w:webHidden/>
          </w:rPr>
          <w:tab/>
        </w:r>
        <w:r w:rsidR="005F0369">
          <w:rPr>
            <w:webHidden/>
          </w:rPr>
          <w:fldChar w:fldCharType="begin"/>
        </w:r>
        <w:r w:rsidR="005F0369">
          <w:rPr>
            <w:webHidden/>
          </w:rPr>
          <w:instrText xml:space="preserve"> PAGEREF _Toc156392414 \h </w:instrText>
        </w:r>
        <w:r w:rsidR="005F0369">
          <w:rPr>
            <w:webHidden/>
          </w:rPr>
        </w:r>
        <w:r w:rsidR="005F0369">
          <w:rPr>
            <w:webHidden/>
          </w:rPr>
          <w:fldChar w:fldCharType="separate"/>
        </w:r>
        <w:r w:rsidR="005F0369">
          <w:rPr>
            <w:webHidden/>
          </w:rPr>
          <w:t>9</w:t>
        </w:r>
        <w:r w:rsidR="005F0369">
          <w:rPr>
            <w:webHidden/>
          </w:rPr>
          <w:fldChar w:fldCharType="end"/>
        </w:r>
      </w:hyperlink>
    </w:p>
    <w:p w14:paraId="4BFBC94C" w14:textId="75C02A9D"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5" w:history="1">
        <w:r w:rsidR="005F0369" w:rsidRPr="005121E7">
          <w:rPr>
            <w:rStyle w:val="Hyperlink"/>
          </w:rPr>
          <w:t>5.2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Artificial intelligence for health</w:t>
        </w:r>
        <w:r w:rsidR="005F0369">
          <w:rPr>
            <w:webHidden/>
          </w:rPr>
          <w:tab/>
        </w:r>
        <w:r w:rsidR="005F0369">
          <w:rPr>
            <w:webHidden/>
          </w:rPr>
          <w:fldChar w:fldCharType="begin"/>
        </w:r>
        <w:r w:rsidR="005F0369">
          <w:rPr>
            <w:webHidden/>
          </w:rPr>
          <w:instrText xml:space="preserve"> PAGEREF _Toc156392415 \h </w:instrText>
        </w:r>
        <w:r w:rsidR="005F0369">
          <w:rPr>
            <w:webHidden/>
          </w:rPr>
        </w:r>
        <w:r w:rsidR="005F0369">
          <w:rPr>
            <w:webHidden/>
          </w:rPr>
          <w:fldChar w:fldCharType="separate"/>
        </w:r>
        <w:r w:rsidR="005F0369">
          <w:rPr>
            <w:webHidden/>
          </w:rPr>
          <w:t>11</w:t>
        </w:r>
        <w:r w:rsidR="005F0369">
          <w:rPr>
            <w:webHidden/>
          </w:rPr>
          <w:fldChar w:fldCharType="end"/>
        </w:r>
      </w:hyperlink>
    </w:p>
    <w:p w14:paraId="15663BB5" w14:textId="79AD1B2D"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6" w:history="1">
        <w:r w:rsidR="005F0369" w:rsidRPr="005121E7">
          <w:rPr>
            <w:rStyle w:val="Hyperlink"/>
          </w:rPr>
          <w:t>5.3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Digital financial inclusion and fintech</w:t>
        </w:r>
        <w:r w:rsidR="005F0369">
          <w:rPr>
            <w:webHidden/>
          </w:rPr>
          <w:tab/>
        </w:r>
        <w:r w:rsidR="005F0369">
          <w:rPr>
            <w:webHidden/>
          </w:rPr>
          <w:fldChar w:fldCharType="begin"/>
        </w:r>
        <w:r w:rsidR="005F0369">
          <w:rPr>
            <w:webHidden/>
          </w:rPr>
          <w:instrText xml:space="preserve"> PAGEREF _Toc156392416 \h </w:instrText>
        </w:r>
        <w:r w:rsidR="005F0369">
          <w:rPr>
            <w:webHidden/>
          </w:rPr>
        </w:r>
        <w:r w:rsidR="005F0369">
          <w:rPr>
            <w:webHidden/>
          </w:rPr>
          <w:fldChar w:fldCharType="separate"/>
        </w:r>
        <w:r w:rsidR="005F0369">
          <w:rPr>
            <w:webHidden/>
          </w:rPr>
          <w:t>11</w:t>
        </w:r>
        <w:r w:rsidR="005F0369">
          <w:rPr>
            <w:webHidden/>
          </w:rPr>
          <w:fldChar w:fldCharType="end"/>
        </w:r>
      </w:hyperlink>
    </w:p>
    <w:p w14:paraId="0E0D5318" w14:textId="7ABEABCA"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7" w:history="1">
        <w:r w:rsidR="005F0369" w:rsidRPr="005121E7">
          <w:rPr>
            <w:rStyle w:val="Hyperlink"/>
          </w:rPr>
          <w:t>5.4</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Digital transformation for smart cities and communities</w:t>
        </w:r>
        <w:r w:rsidR="005F0369">
          <w:rPr>
            <w:webHidden/>
          </w:rPr>
          <w:tab/>
        </w:r>
        <w:r w:rsidR="005F0369">
          <w:rPr>
            <w:webHidden/>
          </w:rPr>
          <w:fldChar w:fldCharType="begin"/>
        </w:r>
        <w:r w:rsidR="005F0369">
          <w:rPr>
            <w:webHidden/>
          </w:rPr>
          <w:instrText xml:space="preserve"> PAGEREF _Toc156392417 \h </w:instrText>
        </w:r>
        <w:r w:rsidR="005F0369">
          <w:rPr>
            <w:webHidden/>
          </w:rPr>
        </w:r>
        <w:r w:rsidR="005F0369">
          <w:rPr>
            <w:webHidden/>
          </w:rPr>
          <w:fldChar w:fldCharType="separate"/>
        </w:r>
        <w:r w:rsidR="005F0369">
          <w:rPr>
            <w:webHidden/>
          </w:rPr>
          <w:t>13</w:t>
        </w:r>
        <w:r w:rsidR="005F0369">
          <w:rPr>
            <w:webHidden/>
          </w:rPr>
          <w:fldChar w:fldCharType="end"/>
        </w:r>
      </w:hyperlink>
    </w:p>
    <w:p w14:paraId="30396602" w14:textId="55CB84AE"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8" w:history="1">
        <w:r w:rsidR="005F0369" w:rsidRPr="005121E7">
          <w:rPr>
            <w:rStyle w:val="Hyperlink"/>
          </w:rPr>
          <w:t>5.5</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Intelligent transport systems</w:t>
        </w:r>
        <w:r w:rsidR="005F0369">
          <w:rPr>
            <w:webHidden/>
          </w:rPr>
          <w:tab/>
        </w:r>
        <w:r w:rsidR="005F0369">
          <w:rPr>
            <w:webHidden/>
          </w:rPr>
          <w:fldChar w:fldCharType="begin"/>
        </w:r>
        <w:r w:rsidR="005F0369">
          <w:rPr>
            <w:webHidden/>
          </w:rPr>
          <w:instrText xml:space="preserve"> PAGEREF _Toc156392418 \h </w:instrText>
        </w:r>
        <w:r w:rsidR="005F0369">
          <w:rPr>
            <w:webHidden/>
          </w:rPr>
        </w:r>
        <w:r w:rsidR="005F0369">
          <w:rPr>
            <w:webHidden/>
          </w:rPr>
          <w:fldChar w:fldCharType="separate"/>
        </w:r>
        <w:r w:rsidR="005F0369">
          <w:rPr>
            <w:webHidden/>
          </w:rPr>
          <w:t>14</w:t>
        </w:r>
        <w:r w:rsidR="005F0369">
          <w:rPr>
            <w:webHidden/>
          </w:rPr>
          <w:fldChar w:fldCharType="end"/>
        </w:r>
      </w:hyperlink>
    </w:p>
    <w:p w14:paraId="250B2D99" w14:textId="193DABB7"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9" w:history="1">
        <w:r w:rsidR="005F0369" w:rsidRPr="005121E7">
          <w:rPr>
            <w:rStyle w:val="Hyperlink"/>
          </w:rPr>
          <w:t>5.6</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CTO and CxO meetings</w:t>
        </w:r>
        <w:r w:rsidR="005F0369">
          <w:rPr>
            <w:webHidden/>
          </w:rPr>
          <w:tab/>
        </w:r>
        <w:r w:rsidR="005F0369">
          <w:rPr>
            <w:webHidden/>
          </w:rPr>
          <w:fldChar w:fldCharType="begin"/>
        </w:r>
        <w:r w:rsidR="005F0369">
          <w:rPr>
            <w:webHidden/>
          </w:rPr>
          <w:instrText xml:space="preserve"> PAGEREF _Toc156392419 \h </w:instrText>
        </w:r>
        <w:r w:rsidR="005F0369">
          <w:rPr>
            <w:webHidden/>
          </w:rPr>
        </w:r>
        <w:r w:rsidR="005F0369">
          <w:rPr>
            <w:webHidden/>
          </w:rPr>
          <w:fldChar w:fldCharType="separate"/>
        </w:r>
        <w:r w:rsidR="005F0369">
          <w:rPr>
            <w:webHidden/>
          </w:rPr>
          <w:t>15</w:t>
        </w:r>
        <w:r w:rsidR="005F0369">
          <w:rPr>
            <w:webHidden/>
          </w:rPr>
          <w:fldChar w:fldCharType="end"/>
        </w:r>
      </w:hyperlink>
    </w:p>
    <w:p w14:paraId="38E11C60" w14:textId="5200C3D5"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0" w:history="1">
        <w:r w:rsidR="005F0369" w:rsidRPr="005121E7">
          <w:rPr>
            <w:rStyle w:val="Hyperlink"/>
          </w:rPr>
          <w:t>5.7</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Green digital action at COP28</w:t>
        </w:r>
        <w:r w:rsidR="005F0369">
          <w:rPr>
            <w:webHidden/>
          </w:rPr>
          <w:tab/>
        </w:r>
        <w:r w:rsidR="005F0369">
          <w:rPr>
            <w:webHidden/>
          </w:rPr>
          <w:fldChar w:fldCharType="begin"/>
        </w:r>
        <w:r w:rsidR="005F0369">
          <w:rPr>
            <w:webHidden/>
          </w:rPr>
          <w:instrText xml:space="preserve"> PAGEREF _Toc156392420 \h </w:instrText>
        </w:r>
        <w:r w:rsidR="005F0369">
          <w:rPr>
            <w:webHidden/>
          </w:rPr>
        </w:r>
        <w:r w:rsidR="005F0369">
          <w:rPr>
            <w:webHidden/>
          </w:rPr>
          <w:fldChar w:fldCharType="separate"/>
        </w:r>
        <w:r w:rsidR="005F0369">
          <w:rPr>
            <w:webHidden/>
          </w:rPr>
          <w:t>15</w:t>
        </w:r>
        <w:r w:rsidR="005F0369">
          <w:rPr>
            <w:webHidden/>
          </w:rPr>
          <w:fldChar w:fldCharType="end"/>
        </w:r>
      </w:hyperlink>
    </w:p>
    <w:p w14:paraId="2F0A67E4" w14:textId="1E43A538"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21" w:history="1">
        <w:r w:rsidR="005F0369" w:rsidRPr="005121E7">
          <w:rPr>
            <w:rStyle w:val="Hyperlink"/>
          </w:rPr>
          <w:t>6</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Academia</w:t>
        </w:r>
        <w:r w:rsidR="005F0369">
          <w:rPr>
            <w:webHidden/>
          </w:rPr>
          <w:tab/>
        </w:r>
        <w:r w:rsidR="005F0369">
          <w:rPr>
            <w:webHidden/>
          </w:rPr>
          <w:fldChar w:fldCharType="begin"/>
        </w:r>
        <w:r w:rsidR="005F0369">
          <w:rPr>
            <w:webHidden/>
          </w:rPr>
          <w:instrText xml:space="preserve"> PAGEREF _Toc156392421 \h </w:instrText>
        </w:r>
        <w:r w:rsidR="005F0369">
          <w:rPr>
            <w:webHidden/>
          </w:rPr>
        </w:r>
        <w:r w:rsidR="005F0369">
          <w:rPr>
            <w:webHidden/>
          </w:rPr>
          <w:fldChar w:fldCharType="separate"/>
        </w:r>
        <w:r w:rsidR="005F0369">
          <w:rPr>
            <w:webHidden/>
          </w:rPr>
          <w:t>16</w:t>
        </w:r>
        <w:r w:rsidR="005F0369">
          <w:rPr>
            <w:webHidden/>
          </w:rPr>
          <w:fldChar w:fldCharType="end"/>
        </w:r>
      </w:hyperlink>
    </w:p>
    <w:p w14:paraId="3D406793" w14:textId="7CE884ED"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2" w:history="1">
        <w:r w:rsidR="005F0369" w:rsidRPr="005121E7">
          <w:rPr>
            <w:rStyle w:val="Hyperlink"/>
          </w:rPr>
          <w:t>6.1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 Journal</w:t>
        </w:r>
        <w:r w:rsidR="005F0369">
          <w:rPr>
            <w:webHidden/>
          </w:rPr>
          <w:tab/>
        </w:r>
        <w:r w:rsidR="005F0369">
          <w:rPr>
            <w:webHidden/>
          </w:rPr>
          <w:fldChar w:fldCharType="begin"/>
        </w:r>
        <w:r w:rsidR="005F0369">
          <w:rPr>
            <w:webHidden/>
          </w:rPr>
          <w:instrText xml:space="preserve"> PAGEREF _Toc156392422 \h </w:instrText>
        </w:r>
        <w:r w:rsidR="005F0369">
          <w:rPr>
            <w:webHidden/>
          </w:rPr>
        </w:r>
        <w:r w:rsidR="005F0369">
          <w:rPr>
            <w:webHidden/>
          </w:rPr>
          <w:fldChar w:fldCharType="separate"/>
        </w:r>
        <w:r w:rsidR="005F0369">
          <w:rPr>
            <w:webHidden/>
          </w:rPr>
          <w:t>16</w:t>
        </w:r>
        <w:r w:rsidR="005F0369">
          <w:rPr>
            <w:webHidden/>
          </w:rPr>
          <w:fldChar w:fldCharType="end"/>
        </w:r>
      </w:hyperlink>
    </w:p>
    <w:p w14:paraId="6AD252C2" w14:textId="6035A313"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3" w:history="1">
        <w:r w:rsidR="005F0369" w:rsidRPr="005121E7">
          <w:rPr>
            <w:rStyle w:val="Hyperlink"/>
          </w:rPr>
          <w:t>6.2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 Kaleidoscope academic conferences</w:t>
        </w:r>
        <w:r w:rsidR="005F0369">
          <w:rPr>
            <w:webHidden/>
          </w:rPr>
          <w:tab/>
        </w:r>
        <w:r w:rsidR="005F0369">
          <w:rPr>
            <w:webHidden/>
          </w:rPr>
          <w:fldChar w:fldCharType="begin"/>
        </w:r>
        <w:r w:rsidR="005F0369">
          <w:rPr>
            <w:webHidden/>
          </w:rPr>
          <w:instrText xml:space="preserve"> PAGEREF _Toc156392423 \h </w:instrText>
        </w:r>
        <w:r w:rsidR="005F0369">
          <w:rPr>
            <w:webHidden/>
          </w:rPr>
        </w:r>
        <w:r w:rsidR="005F0369">
          <w:rPr>
            <w:webHidden/>
          </w:rPr>
          <w:fldChar w:fldCharType="separate"/>
        </w:r>
        <w:r w:rsidR="005F0369">
          <w:rPr>
            <w:webHidden/>
          </w:rPr>
          <w:t>17</w:t>
        </w:r>
        <w:r w:rsidR="005F0369">
          <w:rPr>
            <w:webHidden/>
          </w:rPr>
          <w:fldChar w:fldCharType="end"/>
        </w:r>
      </w:hyperlink>
    </w:p>
    <w:p w14:paraId="21BDCCF2" w14:textId="07D09FEF"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24" w:history="1">
        <w:r w:rsidR="005F0369" w:rsidRPr="005121E7">
          <w:rPr>
            <w:rStyle w:val="Hyperlink"/>
          </w:rPr>
          <w:t>7</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Cooperation and coordination</w:t>
        </w:r>
        <w:r w:rsidR="005F0369">
          <w:rPr>
            <w:webHidden/>
          </w:rPr>
          <w:tab/>
        </w:r>
        <w:r w:rsidR="005F0369">
          <w:rPr>
            <w:webHidden/>
          </w:rPr>
          <w:fldChar w:fldCharType="begin"/>
        </w:r>
        <w:r w:rsidR="005F0369">
          <w:rPr>
            <w:webHidden/>
          </w:rPr>
          <w:instrText xml:space="preserve"> PAGEREF _Toc156392424 \h </w:instrText>
        </w:r>
        <w:r w:rsidR="005F0369">
          <w:rPr>
            <w:webHidden/>
          </w:rPr>
        </w:r>
        <w:r w:rsidR="005F0369">
          <w:rPr>
            <w:webHidden/>
          </w:rPr>
          <w:fldChar w:fldCharType="separate"/>
        </w:r>
        <w:r w:rsidR="005F0369">
          <w:rPr>
            <w:webHidden/>
          </w:rPr>
          <w:t>17</w:t>
        </w:r>
        <w:r w:rsidR="005F0369">
          <w:rPr>
            <w:webHidden/>
          </w:rPr>
          <w:fldChar w:fldCharType="end"/>
        </w:r>
      </w:hyperlink>
    </w:p>
    <w:p w14:paraId="096C2C1F" w14:textId="3A238694"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5" w:history="1">
        <w:r w:rsidR="005F0369" w:rsidRPr="005121E7">
          <w:rPr>
            <w:rStyle w:val="Hyperlink"/>
          </w:rPr>
          <w:t>7.1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International standardization bodies</w:t>
        </w:r>
        <w:r w:rsidR="005F0369">
          <w:rPr>
            <w:webHidden/>
          </w:rPr>
          <w:tab/>
        </w:r>
        <w:r w:rsidR="005F0369">
          <w:rPr>
            <w:webHidden/>
          </w:rPr>
          <w:fldChar w:fldCharType="begin"/>
        </w:r>
        <w:r w:rsidR="005F0369">
          <w:rPr>
            <w:webHidden/>
          </w:rPr>
          <w:instrText xml:space="preserve"> PAGEREF _Toc156392425 \h </w:instrText>
        </w:r>
        <w:r w:rsidR="005F0369">
          <w:rPr>
            <w:webHidden/>
          </w:rPr>
        </w:r>
        <w:r w:rsidR="005F0369">
          <w:rPr>
            <w:webHidden/>
          </w:rPr>
          <w:fldChar w:fldCharType="separate"/>
        </w:r>
        <w:r w:rsidR="005F0369">
          <w:rPr>
            <w:webHidden/>
          </w:rPr>
          <w:t>17</w:t>
        </w:r>
        <w:r w:rsidR="005F0369">
          <w:rPr>
            <w:webHidden/>
          </w:rPr>
          <w:fldChar w:fldCharType="end"/>
        </w:r>
      </w:hyperlink>
    </w:p>
    <w:p w14:paraId="15E54A53" w14:textId="5E6E61AB"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6" w:history="1">
        <w:r w:rsidR="005F0369" w:rsidRPr="005121E7">
          <w:rPr>
            <w:rStyle w:val="Hyperlink"/>
          </w:rPr>
          <w:t>7.2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National and regional standardization bodies</w:t>
        </w:r>
        <w:r w:rsidR="005F0369">
          <w:rPr>
            <w:webHidden/>
          </w:rPr>
          <w:tab/>
        </w:r>
        <w:r w:rsidR="005F0369">
          <w:rPr>
            <w:webHidden/>
          </w:rPr>
          <w:fldChar w:fldCharType="begin"/>
        </w:r>
        <w:r w:rsidR="005F0369">
          <w:rPr>
            <w:webHidden/>
          </w:rPr>
          <w:instrText xml:space="preserve"> PAGEREF _Toc156392426 \h </w:instrText>
        </w:r>
        <w:r w:rsidR="005F0369">
          <w:rPr>
            <w:webHidden/>
          </w:rPr>
        </w:r>
        <w:r w:rsidR="005F0369">
          <w:rPr>
            <w:webHidden/>
          </w:rPr>
          <w:fldChar w:fldCharType="separate"/>
        </w:r>
        <w:r w:rsidR="005F0369">
          <w:rPr>
            <w:webHidden/>
          </w:rPr>
          <w:t>18</w:t>
        </w:r>
        <w:r w:rsidR="005F0369">
          <w:rPr>
            <w:webHidden/>
          </w:rPr>
          <w:fldChar w:fldCharType="end"/>
        </w:r>
      </w:hyperlink>
    </w:p>
    <w:p w14:paraId="18611A50" w14:textId="4434C076"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7" w:history="1">
        <w:r w:rsidR="005F0369" w:rsidRPr="005121E7">
          <w:rPr>
            <w:rStyle w:val="Hyperlink"/>
          </w:rPr>
          <w:t>7.3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bCs/>
            <w:lang w:eastAsia="ja-JP"/>
          </w:rPr>
          <w:t>TSB and ITU regional and area offices</w:t>
        </w:r>
        <w:r w:rsidR="005F0369">
          <w:rPr>
            <w:webHidden/>
          </w:rPr>
          <w:tab/>
        </w:r>
        <w:r w:rsidR="005F0369">
          <w:rPr>
            <w:webHidden/>
          </w:rPr>
          <w:fldChar w:fldCharType="begin"/>
        </w:r>
        <w:r w:rsidR="005F0369">
          <w:rPr>
            <w:webHidden/>
          </w:rPr>
          <w:instrText xml:space="preserve"> PAGEREF _Toc156392427 \h </w:instrText>
        </w:r>
        <w:r w:rsidR="005F0369">
          <w:rPr>
            <w:webHidden/>
          </w:rPr>
        </w:r>
        <w:r w:rsidR="005F0369">
          <w:rPr>
            <w:webHidden/>
          </w:rPr>
          <w:fldChar w:fldCharType="separate"/>
        </w:r>
        <w:r w:rsidR="005F0369">
          <w:rPr>
            <w:webHidden/>
          </w:rPr>
          <w:t>18</w:t>
        </w:r>
        <w:r w:rsidR="005F0369">
          <w:rPr>
            <w:webHidden/>
          </w:rPr>
          <w:fldChar w:fldCharType="end"/>
        </w:r>
      </w:hyperlink>
    </w:p>
    <w:p w14:paraId="603B1F77" w14:textId="6F1AAF0C"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8" w:history="1">
        <w:r w:rsidR="005F0369" w:rsidRPr="005121E7">
          <w:rPr>
            <w:rStyle w:val="Hyperlink"/>
            <w:lang w:val="en-US"/>
          </w:rPr>
          <w:t>7.4</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lang w:val="en-US"/>
          </w:rPr>
          <w:t>ITU Sectors</w:t>
        </w:r>
        <w:r w:rsidR="005F0369">
          <w:rPr>
            <w:webHidden/>
          </w:rPr>
          <w:tab/>
        </w:r>
        <w:r w:rsidR="005F0369">
          <w:rPr>
            <w:webHidden/>
          </w:rPr>
          <w:fldChar w:fldCharType="begin"/>
        </w:r>
        <w:r w:rsidR="005F0369">
          <w:rPr>
            <w:webHidden/>
          </w:rPr>
          <w:instrText xml:space="preserve"> PAGEREF _Toc156392428 \h </w:instrText>
        </w:r>
        <w:r w:rsidR="005F0369">
          <w:rPr>
            <w:webHidden/>
          </w:rPr>
        </w:r>
        <w:r w:rsidR="005F0369">
          <w:rPr>
            <w:webHidden/>
          </w:rPr>
          <w:fldChar w:fldCharType="separate"/>
        </w:r>
        <w:r w:rsidR="005F0369">
          <w:rPr>
            <w:webHidden/>
          </w:rPr>
          <w:t>18</w:t>
        </w:r>
        <w:r w:rsidR="005F0369">
          <w:rPr>
            <w:webHidden/>
          </w:rPr>
          <w:fldChar w:fldCharType="end"/>
        </w:r>
      </w:hyperlink>
    </w:p>
    <w:p w14:paraId="5732FF1B" w14:textId="1F02DF45"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9" w:history="1">
        <w:r w:rsidR="005F0369" w:rsidRPr="005121E7">
          <w:rPr>
            <w:rStyle w:val="Hyperlink"/>
          </w:rPr>
          <w:t>7.5</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External cooperation</w:t>
        </w:r>
        <w:r w:rsidR="005F0369">
          <w:rPr>
            <w:webHidden/>
          </w:rPr>
          <w:tab/>
        </w:r>
        <w:r w:rsidR="005F0369">
          <w:rPr>
            <w:webHidden/>
          </w:rPr>
          <w:fldChar w:fldCharType="begin"/>
        </w:r>
        <w:r w:rsidR="005F0369">
          <w:rPr>
            <w:webHidden/>
          </w:rPr>
          <w:instrText xml:space="preserve"> PAGEREF _Toc156392429 \h </w:instrText>
        </w:r>
        <w:r w:rsidR="005F0369">
          <w:rPr>
            <w:webHidden/>
          </w:rPr>
        </w:r>
        <w:r w:rsidR="005F0369">
          <w:rPr>
            <w:webHidden/>
          </w:rPr>
          <w:fldChar w:fldCharType="separate"/>
        </w:r>
        <w:r w:rsidR="005F0369">
          <w:rPr>
            <w:webHidden/>
          </w:rPr>
          <w:t>19</w:t>
        </w:r>
        <w:r w:rsidR="005F0369">
          <w:rPr>
            <w:webHidden/>
          </w:rPr>
          <w:fldChar w:fldCharType="end"/>
        </w:r>
      </w:hyperlink>
    </w:p>
    <w:p w14:paraId="5A7197B5" w14:textId="6A69641E"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30" w:history="1">
        <w:r w:rsidR="005F0369" w:rsidRPr="005121E7">
          <w:rPr>
            <w:rStyle w:val="Hyperlink"/>
          </w:rPr>
          <w:t>8</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Conformity and interoperability programme</w:t>
        </w:r>
        <w:r w:rsidR="005F0369">
          <w:rPr>
            <w:webHidden/>
          </w:rPr>
          <w:tab/>
        </w:r>
        <w:r w:rsidR="005F0369">
          <w:rPr>
            <w:webHidden/>
          </w:rPr>
          <w:fldChar w:fldCharType="begin"/>
        </w:r>
        <w:r w:rsidR="005F0369">
          <w:rPr>
            <w:webHidden/>
          </w:rPr>
          <w:instrText xml:space="preserve"> PAGEREF _Toc156392430 \h </w:instrText>
        </w:r>
        <w:r w:rsidR="005F0369">
          <w:rPr>
            <w:webHidden/>
          </w:rPr>
        </w:r>
        <w:r w:rsidR="005F0369">
          <w:rPr>
            <w:webHidden/>
          </w:rPr>
          <w:fldChar w:fldCharType="separate"/>
        </w:r>
        <w:r w:rsidR="005F0369">
          <w:rPr>
            <w:webHidden/>
          </w:rPr>
          <w:t>20</w:t>
        </w:r>
        <w:r w:rsidR="005F0369">
          <w:rPr>
            <w:webHidden/>
          </w:rPr>
          <w:fldChar w:fldCharType="end"/>
        </w:r>
      </w:hyperlink>
    </w:p>
    <w:p w14:paraId="52D5DFFB" w14:textId="41FA4FC8"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31" w:history="1">
        <w:r w:rsidR="005F0369" w:rsidRPr="005121E7">
          <w:rPr>
            <w:rStyle w:val="Hyperlink"/>
          </w:rPr>
          <w:t>9</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Mainstreaming accessibility</w:t>
        </w:r>
        <w:r w:rsidR="005F0369">
          <w:rPr>
            <w:webHidden/>
          </w:rPr>
          <w:tab/>
        </w:r>
        <w:r w:rsidR="005F0369">
          <w:rPr>
            <w:webHidden/>
          </w:rPr>
          <w:fldChar w:fldCharType="begin"/>
        </w:r>
        <w:r w:rsidR="005F0369">
          <w:rPr>
            <w:webHidden/>
          </w:rPr>
          <w:instrText xml:space="preserve"> PAGEREF _Toc156392431 \h </w:instrText>
        </w:r>
        <w:r w:rsidR="005F0369">
          <w:rPr>
            <w:webHidden/>
          </w:rPr>
        </w:r>
        <w:r w:rsidR="005F0369">
          <w:rPr>
            <w:webHidden/>
          </w:rPr>
          <w:fldChar w:fldCharType="separate"/>
        </w:r>
        <w:r w:rsidR="005F0369">
          <w:rPr>
            <w:webHidden/>
          </w:rPr>
          <w:t>21</w:t>
        </w:r>
        <w:r w:rsidR="005F0369">
          <w:rPr>
            <w:webHidden/>
          </w:rPr>
          <w:fldChar w:fldCharType="end"/>
        </w:r>
      </w:hyperlink>
    </w:p>
    <w:p w14:paraId="71FE893B" w14:textId="6B7914EF"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32" w:history="1">
        <w:r w:rsidR="005F0369" w:rsidRPr="005121E7">
          <w:rPr>
            <w:rStyle w:val="Hyperlink"/>
            <w:rFonts w:asciiTheme="majorBidi" w:hAnsiTheme="majorBidi" w:cstheme="majorBidi"/>
          </w:rPr>
          <w:t>10</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Fonts w:asciiTheme="majorBidi" w:hAnsiTheme="majorBidi" w:cstheme="majorBidi"/>
          </w:rPr>
          <w:t>Intellectual property rights</w:t>
        </w:r>
        <w:r w:rsidR="005F0369">
          <w:rPr>
            <w:webHidden/>
          </w:rPr>
          <w:tab/>
        </w:r>
        <w:r w:rsidR="005F0369">
          <w:rPr>
            <w:webHidden/>
          </w:rPr>
          <w:fldChar w:fldCharType="begin"/>
        </w:r>
        <w:r w:rsidR="005F0369">
          <w:rPr>
            <w:webHidden/>
          </w:rPr>
          <w:instrText xml:space="preserve"> PAGEREF _Toc156392432 \h </w:instrText>
        </w:r>
        <w:r w:rsidR="005F0369">
          <w:rPr>
            <w:webHidden/>
          </w:rPr>
        </w:r>
        <w:r w:rsidR="005F0369">
          <w:rPr>
            <w:webHidden/>
          </w:rPr>
          <w:fldChar w:fldCharType="separate"/>
        </w:r>
        <w:r w:rsidR="005F0369">
          <w:rPr>
            <w:webHidden/>
          </w:rPr>
          <w:t>21</w:t>
        </w:r>
        <w:r w:rsidR="005F0369">
          <w:rPr>
            <w:webHidden/>
          </w:rPr>
          <w:fldChar w:fldCharType="end"/>
        </w:r>
      </w:hyperlink>
    </w:p>
    <w:p w14:paraId="4CE38F99" w14:textId="7085DAC5"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33" w:history="1">
        <w:r w:rsidR="005F0369" w:rsidRPr="005121E7">
          <w:rPr>
            <w:rStyle w:val="Hyperlink"/>
          </w:rPr>
          <w:t>11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Membership</w:t>
        </w:r>
        <w:r w:rsidR="005F0369">
          <w:rPr>
            <w:webHidden/>
          </w:rPr>
          <w:tab/>
        </w:r>
        <w:r w:rsidR="005F0369">
          <w:rPr>
            <w:webHidden/>
          </w:rPr>
          <w:fldChar w:fldCharType="begin"/>
        </w:r>
        <w:r w:rsidR="005F0369">
          <w:rPr>
            <w:webHidden/>
          </w:rPr>
          <w:instrText xml:space="preserve"> PAGEREF _Toc156392433 \h </w:instrText>
        </w:r>
        <w:r w:rsidR="005F0369">
          <w:rPr>
            <w:webHidden/>
          </w:rPr>
        </w:r>
        <w:r w:rsidR="005F0369">
          <w:rPr>
            <w:webHidden/>
          </w:rPr>
          <w:fldChar w:fldCharType="separate"/>
        </w:r>
        <w:r w:rsidR="005F0369">
          <w:rPr>
            <w:webHidden/>
          </w:rPr>
          <w:t>22</w:t>
        </w:r>
        <w:r w:rsidR="005F0369">
          <w:rPr>
            <w:webHidden/>
          </w:rPr>
          <w:fldChar w:fldCharType="end"/>
        </w:r>
      </w:hyperlink>
    </w:p>
    <w:p w14:paraId="5108C177" w14:textId="668745C0"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34" w:history="1">
        <w:r w:rsidR="005F0369" w:rsidRPr="005121E7">
          <w:rPr>
            <w:rStyle w:val="Hyperlink"/>
          </w:rPr>
          <w:t>12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Bridging the standardization gap</w:t>
        </w:r>
        <w:r w:rsidR="005F0369">
          <w:rPr>
            <w:webHidden/>
          </w:rPr>
          <w:tab/>
        </w:r>
        <w:r w:rsidR="005F0369">
          <w:rPr>
            <w:webHidden/>
          </w:rPr>
          <w:fldChar w:fldCharType="begin"/>
        </w:r>
        <w:r w:rsidR="005F0369">
          <w:rPr>
            <w:webHidden/>
          </w:rPr>
          <w:instrText xml:space="preserve"> PAGEREF _Toc156392434 \h </w:instrText>
        </w:r>
        <w:r w:rsidR="005F0369">
          <w:rPr>
            <w:webHidden/>
          </w:rPr>
        </w:r>
        <w:r w:rsidR="005F0369">
          <w:rPr>
            <w:webHidden/>
          </w:rPr>
          <w:fldChar w:fldCharType="separate"/>
        </w:r>
        <w:r w:rsidR="005F0369">
          <w:rPr>
            <w:webHidden/>
          </w:rPr>
          <w:t>23</w:t>
        </w:r>
        <w:r w:rsidR="005F0369">
          <w:rPr>
            <w:webHidden/>
          </w:rPr>
          <w:fldChar w:fldCharType="end"/>
        </w:r>
      </w:hyperlink>
    </w:p>
    <w:p w14:paraId="57F2C6C0" w14:textId="68418947"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35" w:history="1">
        <w:r w:rsidR="005F0369" w:rsidRPr="005121E7">
          <w:rPr>
            <w:rStyle w:val="Hyperlink"/>
          </w:rPr>
          <w:t>13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Gender</w:t>
        </w:r>
        <w:r w:rsidR="005F0369">
          <w:rPr>
            <w:webHidden/>
          </w:rPr>
          <w:tab/>
        </w:r>
        <w:r w:rsidR="005F0369">
          <w:rPr>
            <w:webHidden/>
          </w:rPr>
          <w:fldChar w:fldCharType="begin"/>
        </w:r>
        <w:r w:rsidR="005F0369">
          <w:rPr>
            <w:webHidden/>
          </w:rPr>
          <w:instrText xml:space="preserve"> PAGEREF _Toc156392435 \h </w:instrText>
        </w:r>
        <w:r w:rsidR="005F0369">
          <w:rPr>
            <w:webHidden/>
          </w:rPr>
        </w:r>
        <w:r w:rsidR="005F0369">
          <w:rPr>
            <w:webHidden/>
          </w:rPr>
          <w:fldChar w:fldCharType="separate"/>
        </w:r>
        <w:r w:rsidR="005F0369">
          <w:rPr>
            <w:webHidden/>
          </w:rPr>
          <w:t>26</w:t>
        </w:r>
        <w:r w:rsidR="005F0369">
          <w:rPr>
            <w:webHidden/>
          </w:rPr>
          <w:fldChar w:fldCharType="end"/>
        </w:r>
      </w:hyperlink>
    </w:p>
    <w:p w14:paraId="17BF8965" w14:textId="7D18786C"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36" w:history="1">
        <w:r w:rsidR="005F0369" w:rsidRPr="005121E7">
          <w:rPr>
            <w:rStyle w:val="Hyperlink"/>
          </w:rPr>
          <w:t>14</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Publications</w:t>
        </w:r>
        <w:r w:rsidR="005F0369">
          <w:rPr>
            <w:webHidden/>
          </w:rPr>
          <w:tab/>
        </w:r>
        <w:r w:rsidR="005F0369">
          <w:rPr>
            <w:webHidden/>
          </w:rPr>
          <w:fldChar w:fldCharType="begin"/>
        </w:r>
        <w:r w:rsidR="005F0369">
          <w:rPr>
            <w:webHidden/>
          </w:rPr>
          <w:instrText xml:space="preserve"> PAGEREF _Toc156392436 \h </w:instrText>
        </w:r>
        <w:r w:rsidR="005F0369">
          <w:rPr>
            <w:webHidden/>
          </w:rPr>
        </w:r>
        <w:r w:rsidR="005F0369">
          <w:rPr>
            <w:webHidden/>
          </w:rPr>
          <w:fldChar w:fldCharType="separate"/>
        </w:r>
        <w:r w:rsidR="005F0369">
          <w:rPr>
            <w:webHidden/>
          </w:rPr>
          <w:t>28</w:t>
        </w:r>
        <w:r w:rsidR="005F0369">
          <w:rPr>
            <w:webHidden/>
          </w:rPr>
          <w:fldChar w:fldCharType="end"/>
        </w:r>
      </w:hyperlink>
    </w:p>
    <w:p w14:paraId="2A06B2C5" w14:textId="68B55389"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37" w:history="1">
        <w:r w:rsidR="005F0369" w:rsidRPr="005121E7">
          <w:rPr>
            <w:rStyle w:val="Hyperlink"/>
          </w:rPr>
          <w:t>14.1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Recommendations and supplements</w:t>
        </w:r>
        <w:r w:rsidR="005F0369">
          <w:rPr>
            <w:webHidden/>
          </w:rPr>
          <w:tab/>
        </w:r>
        <w:r w:rsidR="005F0369">
          <w:rPr>
            <w:webHidden/>
          </w:rPr>
          <w:fldChar w:fldCharType="begin"/>
        </w:r>
        <w:r w:rsidR="005F0369">
          <w:rPr>
            <w:webHidden/>
          </w:rPr>
          <w:instrText xml:space="preserve"> PAGEREF _Toc156392437 \h </w:instrText>
        </w:r>
        <w:r w:rsidR="005F0369">
          <w:rPr>
            <w:webHidden/>
          </w:rPr>
        </w:r>
        <w:r w:rsidR="005F0369">
          <w:rPr>
            <w:webHidden/>
          </w:rPr>
          <w:fldChar w:fldCharType="separate"/>
        </w:r>
        <w:r w:rsidR="005F0369">
          <w:rPr>
            <w:webHidden/>
          </w:rPr>
          <w:t>28</w:t>
        </w:r>
        <w:r w:rsidR="005F0369">
          <w:rPr>
            <w:webHidden/>
          </w:rPr>
          <w:fldChar w:fldCharType="end"/>
        </w:r>
      </w:hyperlink>
    </w:p>
    <w:p w14:paraId="5E05098E" w14:textId="2074E649"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38" w:history="1">
        <w:r w:rsidR="005F0369" w:rsidRPr="005121E7">
          <w:rPr>
            <w:rStyle w:val="Hyperlink"/>
          </w:rPr>
          <w:t>14.1.1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Recommendations deleted between WTSAs</w:t>
        </w:r>
        <w:r w:rsidR="005F0369">
          <w:rPr>
            <w:webHidden/>
          </w:rPr>
          <w:tab/>
        </w:r>
        <w:r w:rsidR="005F0369">
          <w:rPr>
            <w:webHidden/>
          </w:rPr>
          <w:fldChar w:fldCharType="begin"/>
        </w:r>
        <w:r w:rsidR="005F0369">
          <w:rPr>
            <w:webHidden/>
          </w:rPr>
          <w:instrText xml:space="preserve"> PAGEREF _Toc156392438 \h </w:instrText>
        </w:r>
        <w:r w:rsidR="005F0369">
          <w:rPr>
            <w:webHidden/>
          </w:rPr>
        </w:r>
        <w:r w:rsidR="005F0369">
          <w:rPr>
            <w:webHidden/>
          </w:rPr>
          <w:fldChar w:fldCharType="separate"/>
        </w:r>
        <w:r w:rsidR="005F0369">
          <w:rPr>
            <w:webHidden/>
          </w:rPr>
          <w:t>29</w:t>
        </w:r>
        <w:r w:rsidR="005F0369">
          <w:rPr>
            <w:webHidden/>
          </w:rPr>
          <w:fldChar w:fldCharType="end"/>
        </w:r>
      </w:hyperlink>
    </w:p>
    <w:p w14:paraId="024C6C33" w14:textId="2DE9D47B"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39" w:history="1">
        <w:r w:rsidR="005F0369" w:rsidRPr="005121E7">
          <w:rPr>
            <w:rStyle w:val="Hyperlink"/>
          </w:rPr>
          <w:t>14.2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Official languages on an equal footing</w:t>
        </w:r>
        <w:r w:rsidR="005F0369">
          <w:rPr>
            <w:webHidden/>
          </w:rPr>
          <w:tab/>
        </w:r>
        <w:r w:rsidR="005F0369">
          <w:rPr>
            <w:webHidden/>
          </w:rPr>
          <w:fldChar w:fldCharType="begin"/>
        </w:r>
        <w:r w:rsidR="005F0369">
          <w:rPr>
            <w:webHidden/>
          </w:rPr>
          <w:instrText xml:space="preserve"> PAGEREF _Toc156392439 \h </w:instrText>
        </w:r>
        <w:r w:rsidR="005F0369">
          <w:rPr>
            <w:webHidden/>
          </w:rPr>
        </w:r>
        <w:r w:rsidR="005F0369">
          <w:rPr>
            <w:webHidden/>
          </w:rPr>
          <w:fldChar w:fldCharType="separate"/>
        </w:r>
        <w:r w:rsidR="005F0369">
          <w:rPr>
            <w:webHidden/>
          </w:rPr>
          <w:t>30</w:t>
        </w:r>
        <w:r w:rsidR="005F0369">
          <w:rPr>
            <w:webHidden/>
          </w:rPr>
          <w:fldChar w:fldCharType="end"/>
        </w:r>
      </w:hyperlink>
    </w:p>
    <w:p w14:paraId="48DF8B50" w14:textId="0C4523FC"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40" w:history="1">
        <w:r w:rsidR="005F0369" w:rsidRPr="005121E7">
          <w:rPr>
            <w:rStyle w:val="Hyperlink"/>
          </w:rPr>
          <w:t>15</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Electronic working methods and tools</w:t>
        </w:r>
        <w:r w:rsidR="005F0369">
          <w:rPr>
            <w:webHidden/>
          </w:rPr>
          <w:tab/>
        </w:r>
        <w:r w:rsidR="005F0369">
          <w:rPr>
            <w:webHidden/>
          </w:rPr>
          <w:fldChar w:fldCharType="begin"/>
        </w:r>
        <w:r w:rsidR="005F0369">
          <w:rPr>
            <w:webHidden/>
          </w:rPr>
          <w:instrText xml:space="preserve"> PAGEREF _Toc156392440 \h </w:instrText>
        </w:r>
        <w:r w:rsidR="005F0369">
          <w:rPr>
            <w:webHidden/>
          </w:rPr>
        </w:r>
        <w:r w:rsidR="005F0369">
          <w:rPr>
            <w:webHidden/>
          </w:rPr>
          <w:fldChar w:fldCharType="separate"/>
        </w:r>
        <w:r w:rsidR="005F0369">
          <w:rPr>
            <w:webHidden/>
          </w:rPr>
          <w:t>30</w:t>
        </w:r>
        <w:r w:rsidR="005F0369">
          <w:rPr>
            <w:webHidden/>
          </w:rPr>
          <w:fldChar w:fldCharType="end"/>
        </w:r>
      </w:hyperlink>
    </w:p>
    <w:p w14:paraId="42F04B0A" w14:textId="38345567"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41" w:history="1">
        <w:r w:rsidR="005F0369" w:rsidRPr="005121E7">
          <w:rPr>
            <w:rStyle w:val="Hyperlink"/>
          </w:rPr>
          <w:t>15.1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ITU-T website</w:t>
        </w:r>
        <w:r w:rsidR="005F0369">
          <w:rPr>
            <w:webHidden/>
          </w:rPr>
          <w:tab/>
        </w:r>
        <w:r w:rsidR="005F0369">
          <w:rPr>
            <w:webHidden/>
          </w:rPr>
          <w:fldChar w:fldCharType="begin"/>
        </w:r>
        <w:r w:rsidR="005F0369">
          <w:rPr>
            <w:webHidden/>
          </w:rPr>
          <w:instrText xml:space="preserve"> PAGEREF _Toc156392441 \h </w:instrText>
        </w:r>
        <w:r w:rsidR="005F0369">
          <w:rPr>
            <w:webHidden/>
          </w:rPr>
        </w:r>
        <w:r w:rsidR="005F0369">
          <w:rPr>
            <w:webHidden/>
          </w:rPr>
          <w:fldChar w:fldCharType="separate"/>
        </w:r>
        <w:r w:rsidR="005F0369">
          <w:rPr>
            <w:webHidden/>
          </w:rPr>
          <w:t>30</w:t>
        </w:r>
        <w:r w:rsidR="005F0369">
          <w:rPr>
            <w:webHidden/>
          </w:rPr>
          <w:fldChar w:fldCharType="end"/>
        </w:r>
      </w:hyperlink>
    </w:p>
    <w:p w14:paraId="177B9A59" w14:textId="6FDFA6B6"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42" w:history="1">
        <w:r w:rsidR="005F0369" w:rsidRPr="005121E7">
          <w:rPr>
            <w:rStyle w:val="Hyperlink"/>
          </w:rPr>
          <w:t>15.2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Tools and applications</w:t>
        </w:r>
        <w:r w:rsidR="005F0369">
          <w:rPr>
            <w:webHidden/>
          </w:rPr>
          <w:tab/>
        </w:r>
        <w:r w:rsidR="005F0369">
          <w:rPr>
            <w:webHidden/>
          </w:rPr>
          <w:fldChar w:fldCharType="begin"/>
        </w:r>
        <w:r w:rsidR="005F0369">
          <w:rPr>
            <w:webHidden/>
          </w:rPr>
          <w:instrText xml:space="preserve"> PAGEREF _Toc156392442 \h </w:instrText>
        </w:r>
        <w:r w:rsidR="005F0369">
          <w:rPr>
            <w:webHidden/>
          </w:rPr>
        </w:r>
        <w:r w:rsidR="005F0369">
          <w:rPr>
            <w:webHidden/>
          </w:rPr>
          <w:fldChar w:fldCharType="separate"/>
        </w:r>
        <w:r w:rsidR="005F0369">
          <w:rPr>
            <w:webHidden/>
          </w:rPr>
          <w:t>31</w:t>
        </w:r>
        <w:r w:rsidR="005F0369">
          <w:rPr>
            <w:webHidden/>
          </w:rPr>
          <w:fldChar w:fldCharType="end"/>
        </w:r>
      </w:hyperlink>
    </w:p>
    <w:p w14:paraId="7BDD0864" w14:textId="198C803A" w:rsidR="005F0369" w:rsidRDefault="009A3DC3">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43" w:history="1">
        <w:r w:rsidR="005F0369" w:rsidRPr="005121E7">
          <w:rPr>
            <w:rStyle w:val="Hyperlink"/>
          </w:rPr>
          <w:t>15.3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Web applications</w:t>
        </w:r>
        <w:r w:rsidR="005F0369">
          <w:rPr>
            <w:webHidden/>
          </w:rPr>
          <w:tab/>
        </w:r>
        <w:r w:rsidR="005F0369">
          <w:rPr>
            <w:webHidden/>
          </w:rPr>
          <w:fldChar w:fldCharType="begin"/>
        </w:r>
        <w:r w:rsidR="005F0369">
          <w:rPr>
            <w:webHidden/>
          </w:rPr>
          <w:instrText xml:space="preserve"> PAGEREF _Toc156392443 \h </w:instrText>
        </w:r>
        <w:r w:rsidR="005F0369">
          <w:rPr>
            <w:webHidden/>
          </w:rPr>
        </w:r>
        <w:r w:rsidR="005F0369">
          <w:rPr>
            <w:webHidden/>
          </w:rPr>
          <w:fldChar w:fldCharType="separate"/>
        </w:r>
        <w:r w:rsidR="005F0369">
          <w:rPr>
            <w:webHidden/>
          </w:rPr>
          <w:t>31</w:t>
        </w:r>
        <w:r w:rsidR="005F0369">
          <w:rPr>
            <w:webHidden/>
          </w:rPr>
          <w:fldChar w:fldCharType="end"/>
        </w:r>
      </w:hyperlink>
    </w:p>
    <w:p w14:paraId="6997F024" w14:textId="3606B6BF" w:rsidR="005F0369" w:rsidRDefault="009A3DC3">
      <w:pPr>
        <w:pStyle w:val="TOC1"/>
        <w:rPr>
          <w:rFonts w:asciiTheme="minorHAnsi" w:eastAsiaTheme="minorEastAsia" w:hAnsiTheme="minorHAnsi" w:cstheme="minorBidi"/>
          <w:kern w:val="2"/>
          <w:sz w:val="22"/>
          <w:szCs w:val="22"/>
          <w:lang w:eastAsia="en-GB"/>
          <w14:ligatures w14:val="standardContextual"/>
        </w:rPr>
      </w:pPr>
      <w:hyperlink w:anchor="_Toc156392444" w:history="1">
        <w:r w:rsidR="005F0369" w:rsidRPr="005121E7">
          <w:rPr>
            <w:rStyle w:val="Hyperlink"/>
          </w:rPr>
          <w:t>Appendix I – List of approved texts and texts undergoing approval</w:t>
        </w:r>
        <w:r w:rsidR="005F0369">
          <w:rPr>
            <w:webHidden/>
          </w:rPr>
          <w:tab/>
        </w:r>
        <w:r w:rsidR="005F0369">
          <w:rPr>
            <w:webHidden/>
          </w:rPr>
          <w:fldChar w:fldCharType="begin"/>
        </w:r>
        <w:r w:rsidR="005F0369">
          <w:rPr>
            <w:webHidden/>
          </w:rPr>
          <w:instrText xml:space="preserve"> PAGEREF _Toc156392444 \h </w:instrText>
        </w:r>
        <w:r w:rsidR="005F0369">
          <w:rPr>
            <w:webHidden/>
          </w:rPr>
        </w:r>
        <w:r w:rsidR="005F0369">
          <w:rPr>
            <w:webHidden/>
          </w:rPr>
          <w:fldChar w:fldCharType="separate"/>
        </w:r>
        <w:r w:rsidR="005F0369">
          <w:rPr>
            <w:webHidden/>
          </w:rPr>
          <w:t>35</w:t>
        </w:r>
        <w:r w:rsidR="005F0369">
          <w:rPr>
            <w:webHidden/>
          </w:rPr>
          <w:fldChar w:fldCharType="end"/>
        </w:r>
      </w:hyperlink>
    </w:p>
    <w:p w14:paraId="79602B41" w14:textId="04E49330"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6F087B1C" w:rsidR="00AE5DF9" w:rsidRPr="000B1097" w:rsidRDefault="00136E7B" w:rsidP="000B1097">
      <w:pPr>
        <w:pStyle w:val="Heading1"/>
        <w:pageBreakBefore/>
        <w:jc w:val="center"/>
      </w:pPr>
      <w:bookmarkStart w:id="12" w:name="_Toc480527764"/>
      <w:bookmarkStart w:id="13" w:name="_Toc156392403"/>
      <w:r w:rsidRPr="00D22378">
        <w:lastRenderedPageBreak/>
        <w:t>Executive Summary</w:t>
      </w:r>
      <w:bookmarkEnd w:id="12"/>
      <w:bookmarkEnd w:id="13"/>
    </w:p>
    <w:p w14:paraId="1007A95D" w14:textId="04B06CEC" w:rsidR="00AA2C3E" w:rsidRDefault="00AA2C3E" w:rsidP="00AA2C3E">
      <w:r w:rsidRPr="00C32576">
        <w:t>ITU approved</w:t>
      </w:r>
      <w:r>
        <w:t xml:space="preserve"> </w:t>
      </w:r>
      <w:r w:rsidR="00986416">
        <w:t>200</w:t>
      </w:r>
      <w:r>
        <w:t xml:space="preserve"> </w:t>
      </w:r>
      <w:r w:rsidRPr="00C32576">
        <w:t>new and revised ITU-T Recommendations</w:t>
      </w:r>
      <w:r>
        <w:t xml:space="preserve"> and related texts</w:t>
      </w:r>
      <w:r w:rsidR="0025401A">
        <w:t xml:space="preserve"> from Ma</w:t>
      </w:r>
      <w:r w:rsidR="00922781">
        <w:t>y</w:t>
      </w:r>
      <w:r w:rsidR="0025401A">
        <w:t xml:space="preserve"> </w:t>
      </w:r>
      <w:r w:rsidR="00986416">
        <w:t xml:space="preserve">to 18 December </w:t>
      </w:r>
      <w:r w:rsidR="0025401A">
        <w:t>2023</w:t>
      </w:r>
      <w:r>
        <w:t xml:space="preserve">. </w:t>
      </w:r>
      <w:r w:rsidR="009620CF">
        <w:t xml:space="preserve">The appendix </w:t>
      </w:r>
      <w:r>
        <w:t xml:space="preserve">to this report lists these texts as well as texts undergoing approval and summarizes their contents. </w:t>
      </w:r>
      <w:r w:rsidRPr="00C32576">
        <w:t xml:space="preserve">Executive summaries </w:t>
      </w:r>
      <w:r>
        <w:t xml:space="preserve">of ITU-T study group </w:t>
      </w:r>
      <w:r w:rsidRPr="00C32576">
        <w:t>meetings can be found on the</w:t>
      </w:r>
      <w:r>
        <w:t>ir respective</w:t>
      </w:r>
      <w:r w:rsidRPr="00C32576">
        <w:t xml:space="preserve"> </w:t>
      </w:r>
      <w:hyperlink r:id="rId12" w:history="1">
        <w:r w:rsidRPr="00EE273D">
          <w:rPr>
            <w:rStyle w:val="Hyperlink"/>
          </w:rPr>
          <w:t>homepages</w:t>
        </w:r>
      </w:hyperlink>
      <w:r>
        <w:t xml:space="preserve">. See </w:t>
      </w:r>
      <w:hyperlink w:anchor="_1_ITU-T_Study" w:history="1">
        <w:r w:rsidRPr="006279A8">
          <w:rPr>
            <w:rStyle w:val="Hyperlink"/>
          </w:rPr>
          <w:t>section 1</w:t>
        </w:r>
      </w:hyperlink>
      <w:r w:rsidR="006279A8">
        <w:t>.</w:t>
      </w:r>
    </w:p>
    <w:p w14:paraId="10F91873" w14:textId="112E9293" w:rsidR="00AA2C3E" w:rsidRDefault="00C52A30" w:rsidP="00AA2C3E">
      <w:pPr>
        <w:rPr>
          <w:lang w:eastAsia="en-US"/>
        </w:rPr>
      </w:pPr>
      <w:r>
        <w:rPr>
          <w:lang w:eastAsia="en-US"/>
        </w:rPr>
        <w:t>S</w:t>
      </w:r>
      <w:r w:rsidR="00986416">
        <w:rPr>
          <w:lang w:eastAsia="en-US"/>
        </w:rPr>
        <w:t>ix</w:t>
      </w:r>
      <w:r w:rsidR="00AA2C3E">
        <w:rPr>
          <w:lang w:eastAsia="en-US"/>
        </w:rPr>
        <w:t xml:space="preserve"> </w:t>
      </w:r>
      <w:r w:rsidR="00AA2C3E" w:rsidRPr="23BA8EF4">
        <w:rPr>
          <w:lang w:eastAsia="en-US"/>
        </w:rPr>
        <w:t xml:space="preserve">ITU-T </w:t>
      </w:r>
      <w:r w:rsidR="00AA2C3E">
        <w:rPr>
          <w:lang w:eastAsia="en-US"/>
        </w:rPr>
        <w:t>f</w:t>
      </w:r>
      <w:r w:rsidR="00AA2C3E" w:rsidRPr="23BA8EF4">
        <w:rPr>
          <w:lang w:eastAsia="en-US"/>
        </w:rPr>
        <w:t xml:space="preserve">ocus </w:t>
      </w:r>
      <w:r w:rsidR="00AA2C3E">
        <w:rPr>
          <w:lang w:eastAsia="en-US"/>
        </w:rPr>
        <w:t>g</w:t>
      </w:r>
      <w:r w:rsidR="00AA2C3E" w:rsidRPr="23BA8EF4">
        <w:rPr>
          <w:lang w:eastAsia="en-US"/>
        </w:rPr>
        <w:t xml:space="preserve">roups </w:t>
      </w:r>
      <w:r w:rsidR="00AA2C3E">
        <w:rPr>
          <w:lang w:eastAsia="en-US"/>
        </w:rPr>
        <w:t>are active.</w:t>
      </w:r>
      <w:r w:rsidR="00986416">
        <w:rPr>
          <w:lang w:eastAsia="en-US"/>
        </w:rPr>
        <w:t xml:space="preserve"> </w:t>
      </w:r>
      <w:r w:rsidR="00AA2C3E">
        <w:rPr>
          <w:lang w:eastAsia="en-US"/>
        </w:rPr>
        <w:t>I</w:t>
      </w:r>
      <w:r w:rsidR="00AA2C3E" w:rsidRPr="23BA8EF4">
        <w:rPr>
          <w:lang w:eastAsia="en-US"/>
        </w:rPr>
        <w:t>nformation</w:t>
      </w:r>
      <w:r w:rsidR="00AA2C3E">
        <w:rPr>
          <w:lang w:eastAsia="en-US"/>
        </w:rPr>
        <w:t xml:space="preserve"> on the </w:t>
      </w:r>
      <w:r w:rsidR="00AA2C3E" w:rsidRPr="23BA8EF4">
        <w:rPr>
          <w:lang w:eastAsia="en-US"/>
        </w:rPr>
        <w:t xml:space="preserve">activities and deliverables of </w:t>
      </w:r>
      <w:r w:rsidR="00AA2C3E">
        <w:rPr>
          <w:lang w:eastAsia="en-US"/>
        </w:rPr>
        <w:t xml:space="preserve">ITU-T focus </w:t>
      </w:r>
      <w:r w:rsidR="00AA2C3E" w:rsidRPr="23BA8EF4">
        <w:rPr>
          <w:lang w:eastAsia="en-US"/>
        </w:rPr>
        <w:t>group</w:t>
      </w:r>
      <w:r w:rsidR="00AA2C3E">
        <w:rPr>
          <w:lang w:eastAsia="en-US"/>
        </w:rPr>
        <w:t>s</w:t>
      </w:r>
      <w:r w:rsidR="00AA2C3E" w:rsidRPr="23BA8EF4">
        <w:rPr>
          <w:lang w:eastAsia="en-US"/>
        </w:rPr>
        <w:t xml:space="preserve"> can be found on their respective </w:t>
      </w:r>
      <w:hyperlink r:id="rId13" w:history="1">
        <w:r w:rsidR="00AA2C3E" w:rsidRPr="00562E6B">
          <w:rPr>
            <w:rStyle w:val="Hyperlink"/>
            <w:lang w:eastAsia="en-US"/>
          </w:rPr>
          <w:t>homepages</w:t>
        </w:r>
      </w:hyperlink>
      <w:r w:rsidR="00AA2C3E">
        <w:rPr>
          <w:lang w:eastAsia="en-US"/>
        </w:rPr>
        <w:t xml:space="preserve"> and an index of these groups and their timeframes is provided i</w:t>
      </w:r>
      <w:r w:rsidR="006279A8">
        <w:rPr>
          <w:lang w:eastAsia="en-US"/>
        </w:rPr>
        <w:t xml:space="preserve">n </w:t>
      </w:r>
      <w:hyperlink w:anchor="_2_ITU-T_Focus" w:history="1">
        <w:r w:rsidR="006279A8" w:rsidRPr="006279A8">
          <w:rPr>
            <w:rStyle w:val="Hyperlink"/>
            <w:lang w:eastAsia="en-US"/>
          </w:rPr>
          <w:t>section 2</w:t>
        </w:r>
      </w:hyperlink>
      <w:r w:rsidR="00AA2C3E">
        <w:rPr>
          <w:lang w:eastAsia="en-US"/>
        </w:rPr>
        <w:t xml:space="preserve">. </w:t>
      </w:r>
    </w:p>
    <w:p w14:paraId="3F2BA814" w14:textId="1E4C2499" w:rsidR="00AA2C3E" w:rsidRDefault="00986416" w:rsidP="00AA2C3E">
      <w:r>
        <w:t>73</w:t>
      </w:r>
      <w:r w:rsidR="00AA2C3E">
        <w:t xml:space="preserve"> ITU-T </w:t>
      </w:r>
      <w:hyperlink r:id="rId14" w:history="1">
        <w:r w:rsidR="00AA2C3E" w:rsidRPr="00E63E0C">
          <w:rPr>
            <w:rStyle w:val="Hyperlink"/>
          </w:rPr>
          <w:t>workshops and symposia</w:t>
        </w:r>
      </w:hyperlink>
      <w:r w:rsidR="00AA2C3E">
        <w:t xml:space="preserve"> were organized in the reporting period, </w:t>
      </w:r>
      <w:r w:rsidR="00AA2C3E" w:rsidRPr="00C32576">
        <w:t xml:space="preserve">in addition to the </w:t>
      </w:r>
      <w:r w:rsidR="00C52A30">
        <w:t>near-daily</w:t>
      </w:r>
      <w:r w:rsidR="00AA2C3E" w:rsidRPr="00C32576">
        <w:t xml:space="preserve"> programming of the year-round </w:t>
      </w:r>
      <w:hyperlink r:id="rId15">
        <w:r w:rsidR="00AA2C3E" w:rsidRPr="00C32576">
          <w:rPr>
            <w:rStyle w:val="Hyperlink"/>
          </w:rPr>
          <w:t>AI for Good</w:t>
        </w:r>
      </w:hyperlink>
      <w:r w:rsidR="00AA2C3E" w:rsidRPr="00C32576">
        <w:t xml:space="preserve"> digital platform</w:t>
      </w:r>
      <w:r w:rsidR="003C2728">
        <w:t>. S</w:t>
      </w:r>
      <w:r w:rsidR="00AA2C3E">
        <w:t>ee</w:t>
      </w:r>
      <w:r w:rsidR="006279A8">
        <w:t xml:space="preserve"> </w:t>
      </w:r>
      <w:hyperlink w:anchor="_3_Workshops_and" w:history="1">
        <w:r w:rsidR="006279A8" w:rsidRPr="006279A8">
          <w:rPr>
            <w:rStyle w:val="Hyperlink"/>
          </w:rPr>
          <w:t>section 3</w:t>
        </w:r>
      </w:hyperlink>
      <w:r w:rsidR="00AA2C3E">
        <w:t>. TSB</w:t>
      </w:r>
      <w:r w:rsidR="00000837">
        <w:t xml:space="preserve"> </w:t>
      </w:r>
      <w:r w:rsidR="00AA2C3E">
        <w:t xml:space="preserve">facilitated </w:t>
      </w:r>
      <w:r w:rsidRPr="00986416">
        <w:t xml:space="preserve">4,143 </w:t>
      </w:r>
      <w:proofErr w:type="spellStart"/>
      <w:r w:rsidRPr="00986416">
        <w:t>e-meetings</w:t>
      </w:r>
      <w:proofErr w:type="spellEnd"/>
      <w:r>
        <w:t xml:space="preserve"> with </w:t>
      </w:r>
      <w:r w:rsidRPr="00986416">
        <w:t xml:space="preserve">68,734 connections </w:t>
      </w:r>
      <w:r w:rsidR="00000837">
        <w:t>in 2023</w:t>
      </w:r>
      <w:r w:rsidR="00AA2C3E">
        <w:t xml:space="preserve">. See </w:t>
      </w:r>
      <w:hyperlink w:anchor="_4_Virtual_meetings" w:history="1">
        <w:r w:rsidR="00AA2C3E" w:rsidRPr="006279A8">
          <w:rPr>
            <w:rStyle w:val="Hyperlink"/>
          </w:rPr>
          <w:t>section</w:t>
        </w:r>
        <w:r w:rsidR="006279A8" w:rsidRPr="006279A8">
          <w:rPr>
            <w:rStyle w:val="Hyperlink"/>
          </w:rPr>
          <w:t xml:space="preserve"> 4</w:t>
        </w:r>
      </w:hyperlink>
      <w:r w:rsidR="006279A8">
        <w:t>.</w:t>
      </w:r>
    </w:p>
    <w:p w14:paraId="67D83CE2" w14:textId="4F4CFB86" w:rsidR="00986416" w:rsidRDefault="00D20714" w:rsidP="00D20714">
      <w:pPr>
        <w:keepNext/>
        <w:keepLines/>
      </w:pPr>
      <w:r w:rsidRPr="001A3BF9">
        <w:rPr>
          <w:rFonts w:eastAsia="Calibri"/>
        </w:rPr>
        <w:t>ITU-T hosts 2</w:t>
      </w:r>
      <w:r w:rsidR="00986416">
        <w:rPr>
          <w:rFonts w:eastAsia="Calibri"/>
        </w:rPr>
        <w:t>72</w:t>
      </w:r>
      <w:r w:rsidRPr="001A3BF9">
        <w:rPr>
          <w:rFonts w:eastAsia="Calibri"/>
        </w:rPr>
        <w:t xml:space="preserve"> Sector Members and 22</w:t>
      </w:r>
      <w:r w:rsidR="00986416">
        <w:rPr>
          <w:rFonts w:eastAsia="Calibri"/>
        </w:rPr>
        <w:t>7</w:t>
      </w:r>
      <w:r w:rsidRPr="001A3BF9">
        <w:rPr>
          <w:rFonts w:eastAsia="Calibri"/>
        </w:rPr>
        <w:t xml:space="preserve"> Associates. ITU Academia members now total </w:t>
      </w:r>
      <w:r w:rsidR="00986416">
        <w:rPr>
          <w:rFonts w:eastAsia="Calibri"/>
        </w:rPr>
        <w:t>169</w:t>
      </w:r>
      <w:r w:rsidRPr="001A3BF9">
        <w:rPr>
          <w:rFonts w:eastAsia="Calibri"/>
        </w:rPr>
        <w:t xml:space="preserve">. </w:t>
      </w:r>
      <w:r w:rsidR="00986416">
        <w:rPr>
          <w:rFonts w:eastAsia="Calibri"/>
        </w:rPr>
        <w:t>6</w:t>
      </w:r>
      <w:r w:rsidRPr="001A3BF9">
        <w:rPr>
          <w:rFonts w:eastAsia="Calibri"/>
        </w:rPr>
        <w:t xml:space="preserve">6 of ITU-T's Associates are now participating under the reduced fee structure for small and medium-sized enterprises which came into effect on 31 January 2020. </w:t>
      </w:r>
      <w:r w:rsidR="00AA2C3E">
        <w:t xml:space="preserve">See </w:t>
      </w:r>
      <w:hyperlink w:anchor="_11_Membership" w:history="1">
        <w:r w:rsidR="00AA2C3E" w:rsidRPr="00821BE1">
          <w:rPr>
            <w:rStyle w:val="Hyperlink"/>
          </w:rPr>
          <w:t xml:space="preserve">section </w:t>
        </w:r>
        <w:r w:rsidR="00821BE1" w:rsidRPr="00821BE1">
          <w:rPr>
            <w:rStyle w:val="Hyperlink"/>
          </w:rPr>
          <w:t>11</w:t>
        </w:r>
      </w:hyperlink>
      <w:r w:rsidR="00821BE1">
        <w:t>.</w:t>
      </w:r>
    </w:p>
    <w:p w14:paraId="03950C9B" w14:textId="2799E2D4" w:rsidR="00E83330" w:rsidRPr="00E83330" w:rsidRDefault="00E83330" w:rsidP="00E83330">
      <w:pPr>
        <w:rPr>
          <w:bCs/>
        </w:rPr>
      </w:pPr>
      <w:r>
        <w:t xml:space="preserve">In </w:t>
      </w:r>
      <w:r w:rsidRPr="003D5F16">
        <w:t>addition to ITU infrastructure services</w:t>
      </w:r>
      <w:r>
        <w:t xml:space="preserve">, </w:t>
      </w:r>
      <w:r w:rsidRPr="003D5F16">
        <w:t>TSB continuously</w:t>
      </w:r>
      <w:r>
        <w:t xml:space="preserve"> </w:t>
      </w:r>
      <w:r w:rsidRPr="003D5F16">
        <w:t>enhanc</w:t>
      </w:r>
      <w:r>
        <w:t>es</w:t>
      </w:r>
      <w:r w:rsidRPr="003D5F16">
        <w:t xml:space="preserve"> existing applications </w:t>
      </w:r>
      <w:r>
        <w:t xml:space="preserve">and </w:t>
      </w:r>
      <w:r w:rsidRPr="003D5F16">
        <w:t>develops new applications</w:t>
      </w:r>
      <w:r>
        <w:t xml:space="preserve">, using </w:t>
      </w:r>
      <w:r w:rsidRPr="003D5F16">
        <w:t>open-source and machine learning solutions</w:t>
      </w:r>
      <w:r>
        <w:t xml:space="preserve"> where applicable, </w:t>
      </w:r>
      <w:r w:rsidRPr="003D5F16">
        <w:t>to expand further its ongoing digital transformation.</w:t>
      </w:r>
      <w:r>
        <w:rPr>
          <w:bCs/>
        </w:rPr>
        <w:t xml:space="preserve"> See </w:t>
      </w:r>
      <w:hyperlink w:anchor="_15_Services_and" w:history="1">
        <w:r w:rsidRPr="00DD2950">
          <w:rPr>
            <w:rStyle w:val="Hyperlink"/>
            <w:bCs/>
          </w:rPr>
          <w:t>section 15</w:t>
        </w:r>
      </w:hyperlink>
      <w:r>
        <w:rPr>
          <w:bCs/>
        </w:rPr>
        <w:t>.</w:t>
      </w:r>
    </w:p>
    <w:p w14:paraId="7DBCB7C1" w14:textId="4FDF2B10" w:rsidR="00DC1B0E" w:rsidRDefault="00AA2C3E" w:rsidP="00476CBD">
      <w:pPr>
        <w:rPr>
          <w:bCs/>
        </w:rPr>
      </w:pPr>
      <w:r>
        <w:t xml:space="preserve">The </w:t>
      </w:r>
      <w:hyperlink r:id="rId16" w:history="1">
        <w:r w:rsidRPr="00DD2950">
          <w:rPr>
            <w:rStyle w:val="Hyperlink"/>
          </w:rPr>
          <w:t>AI for Good Global Summit</w:t>
        </w:r>
      </w:hyperlink>
      <w:r>
        <w:t xml:space="preserve"> in Geneva, 6-7 July 2023, </w:t>
      </w:r>
      <w:r w:rsidR="00DC1B0E">
        <w:t xml:space="preserve">featured </w:t>
      </w:r>
      <w:r>
        <w:t>world-renowned experts in AI and humanitarian action</w:t>
      </w:r>
      <w:r w:rsidR="00D20714">
        <w:t xml:space="preserve"> and the world's largest-ever gathering of humanoid and specialized robots</w:t>
      </w:r>
      <w:r>
        <w:t xml:space="preserve">. It </w:t>
      </w:r>
      <w:r>
        <w:rPr>
          <w:bCs/>
        </w:rPr>
        <w:t>w</w:t>
      </w:r>
      <w:r w:rsidR="00986416">
        <w:rPr>
          <w:bCs/>
        </w:rPr>
        <w:t>as</w:t>
      </w:r>
      <w:r>
        <w:rPr>
          <w:bCs/>
        </w:rPr>
        <w:t xml:space="preserve"> </w:t>
      </w:r>
      <w:r w:rsidR="00986416">
        <w:rPr>
          <w:bCs/>
        </w:rPr>
        <w:t xml:space="preserve">preceded by </w:t>
      </w:r>
      <w:r w:rsidR="00235706">
        <w:rPr>
          <w:bCs/>
        </w:rPr>
        <w:t>machine learning</w:t>
      </w:r>
      <w:r>
        <w:rPr>
          <w:bCs/>
        </w:rPr>
        <w:t xml:space="preserve"> workshops</w:t>
      </w:r>
      <w:r w:rsidR="0018643A">
        <w:rPr>
          <w:bCs/>
        </w:rPr>
        <w:t>,</w:t>
      </w:r>
      <w:r>
        <w:rPr>
          <w:bCs/>
        </w:rPr>
        <w:t xml:space="preserve"> </w:t>
      </w:r>
      <w:r w:rsidR="0018643A">
        <w:rPr>
          <w:bCs/>
        </w:rPr>
        <w:t>4-</w:t>
      </w:r>
      <w:r>
        <w:rPr>
          <w:bCs/>
        </w:rPr>
        <w:t xml:space="preserve">5 July, drawing on expertise from the AI for Good Discovery programme. </w:t>
      </w:r>
      <w:r w:rsidR="0074441F">
        <w:rPr>
          <w:bCs/>
        </w:rPr>
        <w:t>The</w:t>
      </w:r>
      <w:r w:rsidR="0074441F">
        <w:t xml:space="preserve"> </w:t>
      </w:r>
      <w:r w:rsidR="00DC1B0E">
        <w:t xml:space="preserve">next </w:t>
      </w:r>
      <w:hyperlink r:id="rId17" w:history="1">
        <w:r w:rsidR="00DC1B0E" w:rsidRPr="005A4A98">
          <w:rPr>
            <w:rStyle w:val="Hyperlink"/>
          </w:rPr>
          <w:t>AI for Good Global Summit</w:t>
        </w:r>
      </w:hyperlink>
      <w:r w:rsidR="00DC1B0E">
        <w:t xml:space="preserve"> </w:t>
      </w:r>
      <w:r w:rsidR="0074441F">
        <w:t xml:space="preserve">will take place </w:t>
      </w:r>
      <w:r w:rsidR="00DC1B0E">
        <w:t xml:space="preserve">in Geneva, 30-31 May 2024, preceded by discussions on global AI governance on 29 May. The 2024 edition comes in conjunction with the </w:t>
      </w:r>
      <w:hyperlink r:id="rId18" w:history="1">
        <w:r w:rsidR="00DC1B0E" w:rsidRPr="005A4A98">
          <w:rPr>
            <w:rStyle w:val="Hyperlink"/>
          </w:rPr>
          <w:t>World Summit on the Information Society (WSIS) +20 meeting</w:t>
        </w:r>
      </w:hyperlink>
      <w:r w:rsidR="00DC1B0E">
        <w:t xml:space="preserve"> in Geneva, 27-31 May, ensuring complementary perspectives on digital development.</w:t>
      </w:r>
      <w:r w:rsidR="0074441F">
        <w:rPr>
          <w:bCs/>
        </w:rPr>
        <w:t xml:space="preserve"> </w:t>
      </w:r>
      <w:r>
        <w:t xml:space="preserve">Over </w:t>
      </w:r>
      <w:r w:rsidR="00986416">
        <w:t>25</w:t>
      </w:r>
      <w:r w:rsidRPr="00D20714">
        <w:t>,000</w:t>
      </w:r>
      <w:r>
        <w:t xml:space="preserve"> people have created profiles on the </w:t>
      </w:r>
      <w:hyperlink r:id="rId19" w:history="1">
        <w:r w:rsidRPr="00DD2950">
          <w:rPr>
            <w:rStyle w:val="Hyperlink"/>
          </w:rPr>
          <w:t>AI for Good Neural Network</w:t>
        </w:r>
      </w:hyperlink>
      <w:r>
        <w:t xml:space="preserve"> since its launch in February 2022.</w:t>
      </w:r>
      <w:r>
        <w:rPr>
          <w:bCs/>
        </w:rPr>
        <w:t xml:space="preserve"> </w:t>
      </w:r>
      <w:r w:rsidR="006D3365">
        <w:rPr>
          <w:bCs/>
        </w:rPr>
        <w:t xml:space="preserve">See </w:t>
      </w:r>
      <w:hyperlink w:anchor="_5.1_Artificial_intelligence" w:history="1">
        <w:r w:rsidR="00E83330" w:rsidRPr="00E83330">
          <w:rPr>
            <w:rStyle w:val="Hyperlink"/>
            <w:bCs/>
          </w:rPr>
          <w:t>section 5.1</w:t>
        </w:r>
      </w:hyperlink>
      <w:r w:rsidR="00E83330">
        <w:rPr>
          <w:bCs/>
        </w:rPr>
        <w:t xml:space="preserve">. </w:t>
      </w:r>
    </w:p>
    <w:p w14:paraId="49249A43" w14:textId="4FEF0879" w:rsidR="00DC1B0E" w:rsidRDefault="009A3DC3" w:rsidP="00DC1B0E">
      <w:hyperlink r:id="rId20" w:history="1">
        <w:r w:rsidR="00DC1B0E" w:rsidRPr="00ED4751">
          <w:rPr>
            <w:rStyle w:val="Hyperlink"/>
          </w:rPr>
          <w:t>The fourth edition of the ITU AI/ML in 5G Challenge</w:t>
        </w:r>
      </w:hyperlink>
      <w:r w:rsidR="00DC1B0E" w:rsidRPr="00ED4751">
        <w:t xml:space="preserve"> –</w:t>
      </w:r>
      <w:r w:rsidR="00DC1B0E">
        <w:t xml:space="preserve"> </w:t>
      </w:r>
      <w:r w:rsidR="00DC1B0E" w:rsidRPr="00ED4751">
        <w:t xml:space="preserve">in focus throughout </w:t>
      </w:r>
      <w:r w:rsidR="00DC1B0E">
        <w:t xml:space="preserve">2023 </w:t>
      </w:r>
      <w:r w:rsidR="00DC1B0E" w:rsidRPr="00ED4751">
        <w:t>(including as part of a </w:t>
      </w:r>
      <w:hyperlink r:id="rId21" w:history="1">
        <w:r w:rsidR="00DC1B0E" w:rsidRPr="00ED4751">
          <w:rPr>
            <w:rStyle w:val="Hyperlink"/>
          </w:rPr>
          <w:t>series of AI for Good webinars</w:t>
        </w:r>
      </w:hyperlink>
      <w:r w:rsidR="00DC1B0E" w:rsidRPr="00ED4751">
        <w:rPr>
          <w:u w:val="single"/>
        </w:rPr>
        <w:t>)</w:t>
      </w:r>
      <w:r w:rsidR="00DC1B0E" w:rsidRPr="00ED4751">
        <w:t xml:space="preserve"> – culminate</w:t>
      </w:r>
      <w:r w:rsidR="00DC1B0E">
        <w:t>d</w:t>
      </w:r>
      <w:r w:rsidR="00DC1B0E" w:rsidRPr="00ED4751">
        <w:t xml:space="preserve"> with Challenge Finale</w:t>
      </w:r>
      <w:r w:rsidR="00DC1B0E">
        <w:t>s</w:t>
      </w:r>
      <w:r w:rsidR="00DC1B0E" w:rsidRPr="00ED4751">
        <w:t xml:space="preserve"> </w:t>
      </w:r>
      <w:r w:rsidR="00DC1B0E">
        <w:t xml:space="preserve">in October and </w:t>
      </w:r>
      <w:r w:rsidR="00DC1B0E" w:rsidRPr="00ED4751">
        <w:t xml:space="preserve">December 2023. </w:t>
      </w:r>
      <w:r w:rsidR="00DC1B0E" w:rsidRPr="009862B8">
        <w:t>In the 2023</w:t>
      </w:r>
      <w:r w:rsidR="00DC1B0E">
        <w:t xml:space="preserve"> edition of the</w:t>
      </w:r>
      <w:r w:rsidR="00DC1B0E" w:rsidRPr="009862B8">
        <w:t xml:space="preserve"> ITU AI/ML </w:t>
      </w:r>
      <w:r w:rsidR="00DC1B0E">
        <w:t xml:space="preserve">in 5G </w:t>
      </w:r>
      <w:r w:rsidR="00DC1B0E" w:rsidRPr="009862B8">
        <w:t>Challenge, participants made a combined total of more than 21</w:t>
      </w:r>
      <w:r w:rsidR="00DC1B0E">
        <w:t>,</w:t>
      </w:r>
      <w:r w:rsidR="00DC1B0E" w:rsidRPr="009862B8">
        <w:t>000 submissions.</w:t>
      </w:r>
      <w:r w:rsidR="00DC1B0E">
        <w:t xml:space="preserve"> </w:t>
      </w:r>
      <w:r w:rsidR="00DC1B0E" w:rsidRPr="00ED4751">
        <w:t xml:space="preserve">More than </w:t>
      </w:r>
      <w:r w:rsidR="00DC1B0E">
        <w:t xml:space="preserve">70 per cent of the participants </w:t>
      </w:r>
      <w:r w:rsidR="00DC1B0E" w:rsidRPr="00ED4751">
        <w:t>in 202</w:t>
      </w:r>
      <w:r w:rsidR="00DC1B0E">
        <w:t>3</w:t>
      </w:r>
      <w:r w:rsidR="00DC1B0E" w:rsidRPr="00ED4751">
        <w:t xml:space="preserve"> were students, with a large majority</w:t>
      </w:r>
      <w:r w:rsidR="00DC1B0E">
        <w:t xml:space="preserve"> from Africa.</w:t>
      </w:r>
      <w:r w:rsidR="006D3365" w:rsidRPr="006D3365">
        <w:rPr>
          <w:bCs/>
        </w:rPr>
        <w:t xml:space="preserve"> </w:t>
      </w:r>
      <w:r w:rsidR="006D3365">
        <w:rPr>
          <w:bCs/>
        </w:rPr>
        <w:t xml:space="preserve">See </w:t>
      </w:r>
      <w:hyperlink w:anchor="_5.1_Artificial_intelligence" w:history="1">
        <w:r w:rsidR="006D3365" w:rsidRPr="00E83330">
          <w:rPr>
            <w:rStyle w:val="Hyperlink"/>
            <w:bCs/>
          </w:rPr>
          <w:t>section 5.1</w:t>
        </w:r>
      </w:hyperlink>
      <w:r w:rsidR="002F0686">
        <w:t xml:space="preserve">. </w:t>
      </w:r>
    </w:p>
    <w:p w14:paraId="6C646F31" w14:textId="518F60ED" w:rsidR="00E83330" w:rsidRPr="00ED4751" w:rsidRDefault="00E83330" w:rsidP="00DC1B0E">
      <w:r>
        <w:t>The new</w:t>
      </w:r>
      <w:r w:rsidRPr="00AF18F5">
        <w:rPr>
          <w:lang w:val="en-PH"/>
        </w:rPr>
        <w:t xml:space="preserve"> </w:t>
      </w:r>
      <w:hyperlink r:id="rId22" w:history="1">
        <w:r w:rsidRPr="00AF18F5">
          <w:rPr>
            <w:rStyle w:val="Hyperlink"/>
          </w:rPr>
          <w:t>Global Initiative on AI for Health</w:t>
        </w:r>
      </w:hyperlink>
      <w:r>
        <w:t xml:space="preserve"> </w:t>
      </w:r>
      <w:r w:rsidRPr="00AF18F5">
        <w:t>driven by ITU, WHO and WIPO a</w:t>
      </w:r>
      <w:r>
        <w:t xml:space="preserve">ims to </w:t>
      </w:r>
      <w:r w:rsidRPr="00AF18F5">
        <w:t>aims to develop technical standards and policy guidance, facilitate knowledge and data sharing, and support evidence-based decisions on the introduction of AI solutions for health.</w:t>
      </w:r>
      <w:r>
        <w:t xml:space="preserve"> The initiative's launch was announced at the AI for Good Global Summit 2023</w:t>
      </w:r>
      <w:r w:rsidR="006D3365">
        <w:t>. I</w:t>
      </w:r>
      <w:r>
        <w:t xml:space="preserve">ts </w:t>
      </w:r>
      <w:hyperlink r:id="rId23" w:history="1">
        <w:r w:rsidRPr="006D3365">
          <w:rPr>
            <w:rStyle w:val="Hyperlink"/>
          </w:rPr>
          <w:t>first meeting</w:t>
        </w:r>
      </w:hyperlink>
      <w:r>
        <w:t xml:space="preserve"> was held in Riyadh, Saudi Arabia, 30 October </w:t>
      </w:r>
      <w:r w:rsidR="002F0686">
        <w:t xml:space="preserve">- </w:t>
      </w:r>
      <w:r>
        <w:t xml:space="preserve">2 November 2023. The initiative </w:t>
      </w:r>
      <w:r w:rsidRPr="00AF18F5">
        <w:t xml:space="preserve">builds on the momentum of the </w:t>
      </w:r>
      <w:hyperlink r:id="rId24" w:history="1">
        <w:r w:rsidRPr="00AF18F5">
          <w:rPr>
            <w:rStyle w:val="Hyperlink"/>
          </w:rPr>
          <w:t>ITU-WHO Focus Group on AI for Health</w:t>
        </w:r>
      </w:hyperlink>
      <w:r w:rsidRPr="00AF18F5">
        <w:t>.</w:t>
      </w:r>
      <w:r w:rsidR="006D3365">
        <w:t xml:space="preserve"> See </w:t>
      </w:r>
      <w:hyperlink w:anchor="_5.2_Artificial_intelligence" w:history="1">
        <w:r w:rsidR="006D3365" w:rsidRPr="006D3365">
          <w:rPr>
            <w:rStyle w:val="Hyperlink"/>
          </w:rPr>
          <w:t>section 5.2</w:t>
        </w:r>
      </w:hyperlink>
      <w:r w:rsidR="006D3365">
        <w:t xml:space="preserve">. </w:t>
      </w:r>
    </w:p>
    <w:p w14:paraId="6455468D" w14:textId="399B6831" w:rsidR="00DC1B0E" w:rsidRDefault="009A3DC3" w:rsidP="00AA2C3E">
      <w:pPr>
        <w:rPr>
          <w:color w:val="0D0D0D" w:themeColor="text1" w:themeTint="F2"/>
        </w:rPr>
      </w:pPr>
      <w:hyperlink r:id="rId25" w:history="1">
        <w:r w:rsidR="00AA2C3E" w:rsidRPr="00727F08">
          <w:rPr>
            <w:rStyle w:val="Hyperlink"/>
          </w:rPr>
          <w:t>ITU Security Clinic</w:t>
        </w:r>
        <w:r w:rsidR="00AA2C3E">
          <w:rPr>
            <w:rStyle w:val="Hyperlink"/>
          </w:rPr>
          <w:t>s for Digital Financial Services (DFS)</w:t>
        </w:r>
      </w:hyperlink>
      <w:r w:rsidR="00AA2C3E" w:rsidRPr="00727F08">
        <w:rPr>
          <w:color w:val="0D0D0D" w:themeColor="text1" w:themeTint="F2"/>
        </w:rPr>
        <w:t> offer guidance to regulators and DFS providers on adopting the security best practices developed under</w:t>
      </w:r>
      <w:r w:rsidR="00AA2C3E">
        <w:rPr>
          <w:color w:val="0D0D0D" w:themeColor="text1" w:themeTint="F2"/>
        </w:rPr>
        <w:t xml:space="preserve"> the</w:t>
      </w:r>
      <w:r w:rsidR="00AA2C3E" w:rsidRPr="00727F08">
        <w:rPr>
          <w:color w:val="0D0D0D" w:themeColor="text1" w:themeTint="F2"/>
          <w:lang w:val="en-US"/>
        </w:rPr>
        <w:t xml:space="preserve"> </w:t>
      </w:r>
      <w:hyperlink r:id="rId26" w:history="1">
        <w:r w:rsidR="00AA2C3E" w:rsidRPr="00727F08">
          <w:rPr>
            <w:rStyle w:val="Hyperlink"/>
            <w:lang w:val="en-US"/>
          </w:rPr>
          <w:t>Financial Inclusion Global Initiative (</w:t>
        </w:r>
        <w:r w:rsidR="00AA2C3E">
          <w:rPr>
            <w:rStyle w:val="Hyperlink"/>
            <w:lang w:val="en-US"/>
          </w:rPr>
          <w:t>FIGI</w:t>
        </w:r>
        <w:r w:rsidR="00AA2C3E" w:rsidRPr="00727F08">
          <w:rPr>
            <w:rStyle w:val="Hyperlink"/>
            <w:lang w:val="en-US"/>
          </w:rPr>
          <w:t>)</w:t>
        </w:r>
      </w:hyperlink>
      <w:r w:rsidR="00AA2C3E" w:rsidRPr="00727F08">
        <w:rPr>
          <w:color w:val="0D0D0D" w:themeColor="text1" w:themeTint="F2"/>
        </w:rPr>
        <w:t>. </w:t>
      </w:r>
      <w:r w:rsidR="00AA2C3E">
        <w:rPr>
          <w:color w:val="0D0D0D" w:themeColor="text1" w:themeTint="F2"/>
        </w:rPr>
        <w:t xml:space="preserve">The </w:t>
      </w:r>
      <w:hyperlink r:id="rId27" w:history="1">
        <w:r w:rsidR="00AA2C3E" w:rsidRPr="00727F08">
          <w:rPr>
            <w:rStyle w:val="Hyperlink"/>
          </w:rPr>
          <w:t>ITU</w:t>
        </w:r>
        <w:r w:rsidR="00AA2C3E">
          <w:rPr>
            <w:rStyle w:val="Hyperlink"/>
          </w:rPr>
          <w:t xml:space="preserve"> DFS </w:t>
        </w:r>
        <w:r w:rsidR="00AA2C3E" w:rsidRPr="00727F08">
          <w:rPr>
            <w:rStyle w:val="Hyperlink"/>
          </w:rPr>
          <w:t>Security Lab</w:t>
        </w:r>
      </w:hyperlink>
      <w:r w:rsidR="00AA2C3E" w:rsidRPr="00727F08">
        <w:rPr>
          <w:color w:val="0D0D0D" w:themeColor="text1" w:themeTint="F2"/>
        </w:rPr>
        <w:t> help</w:t>
      </w:r>
      <w:r w:rsidR="00AA2C3E">
        <w:rPr>
          <w:color w:val="0D0D0D" w:themeColor="text1" w:themeTint="F2"/>
        </w:rPr>
        <w:t xml:space="preserve">s stakeholders to </w:t>
      </w:r>
      <w:r w:rsidR="00AA2C3E" w:rsidRPr="00727F08">
        <w:rPr>
          <w:color w:val="0D0D0D" w:themeColor="text1" w:themeTint="F2"/>
        </w:rPr>
        <w:t>verify that these best practices are being followed.</w:t>
      </w:r>
      <w:r w:rsidR="00AA2C3E">
        <w:rPr>
          <w:color w:val="0D0D0D" w:themeColor="text1" w:themeTint="F2"/>
        </w:rPr>
        <w:t xml:space="preserve"> </w:t>
      </w:r>
      <w:r w:rsidR="00B32D90">
        <w:rPr>
          <w:color w:val="0D0D0D" w:themeColor="text1" w:themeTint="F2"/>
        </w:rPr>
        <w:t>A growing number of c</w:t>
      </w:r>
      <w:r w:rsidR="00AA2C3E">
        <w:rPr>
          <w:color w:val="0D0D0D" w:themeColor="text1" w:themeTint="F2"/>
        </w:rPr>
        <w:t xml:space="preserve">ountries </w:t>
      </w:r>
      <w:r w:rsidR="0074441F">
        <w:rPr>
          <w:color w:val="0D0D0D" w:themeColor="text1" w:themeTint="F2"/>
        </w:rPr>
        <w:t xml:space="preserve">as well as regional organizations </w:t>
      </w:r>
      <w:r w:rsidR="003C2728">
        <w:rPr>
          <w:color w:val="0D0D0D" w:themeColor="text1" w:themeTint="F2"/>
        </w:rPr>
        <w:t xml:space="preserve">are </w:t>
      </w:r>
      <w:r w:rsidR="00AA2C3E">
        <w:rPr>
          <w:color w:val="0D0D0D" w:themeColor="text1" w:themeTint="F2"/>
        </w:rPr>
        <w:t>adopt</w:t>
      </w:r>
      <w:r w:rsidR="00B32D90">
        <w:rPr>
          <w:color w:val="0D0D0D" w:themeColor="text1" w:themeTint="F2"/>
        </w:rPr>
        <w:t>ing</w:t>
      </w:r>
      <w:r w:rsidR="00AA2C3E">
        <w:rPr>
          <w:color w:val="0D0D0D" w:themeColor="text1" w:themeTint="F2"/>
        </w:rPr>
        <w:t xml:space="preserve"> the DFS security recommendations developed under FIGI and establishing their own DFS security labs with the support of ITU knowledge-transfer activities. </w:t>
      </w:r>
      <w:r w:rsidR="0074441F">
        <w:rPr>
          <w:color w:val="0D0D0D" w:themeColor="text1" w:themeTint="F2"/>
        </w:rPr>
        <w:t xml:space="preserve">A new </w:t>
      </w:r>
      <w:hyperlink r:id="rId28" w:history="1">
        <w:r w:rsidR="0074441F" w:rsidRPr="009C7A95">
          <w:rPr>
            <w:rStyle w:val="Hyperlink"/>
          </w:rPr>
          <w:t>ITU cybersecurity resilience assessment toolkit for DFS critical infrastructure</w:t>
        </w:r>
      </w:hyperlink>
      <w:r w:rsidR="0074441F">
        <w:rPr>
          <w:color w:val="0D0D0D" w:themeColor="text1" w:themeTint="F2"/>
        </w:rPr>
        <w:t xml:space="preserve"> was </w:t>
      </w:r>
      <w:r w:rsidR="009C7A95">
        <w:rPr>
          <w:color w:val="0D0D0D" w:themeColor="text1" w:themeTint="F2"/>
        </w:rPr>
        <w:t xml:space="preserve">published </w:t>
      </w:r>
      <w:r w:rsidR="0074441F">
        <w:rPr>
          <w:color w:val="0D0D0D" w:themeColor="text1" w:themeTint="F2"/>
        </w:rPr>
        <w:t xml:space="preserve">in </w:t>
      </w:r>
      <w:r w:rsidR="009C7A95">
        <w:rPr>
          <w:color w:val="0D0D0D" w:themeColor="text1" w:themeTint="F2"/>
        </w:rPr>
        <w:t xml:space="preserve">October </w:t>
      </w:r>
      <w:r w:rsidR="0074441F">
        <w:rPr>
          <w:color w:val="0D0D0D" w:themeColor="text1" w:themeTint="F2"/>
        </w:rPr>
        <w:t>2023</w:t>
      </w:r>
      <w:r w:rsidR="0074441F" w:rsidRPr="00FD24C8">
        <w:rPr>
          <w:color w:val="0D0D0D" w:themeColor="text1" w:themeTint="F2"/>
        </w:rPr>
        <w:t xml:space="preserve">. </w:t>
      </w:r>
      <w:r w:rsidR="00821BE1">
        <w:rPr>
          <w:color w:val="0D0D0D" w:themeColor="text1" w:themeTint="F2"/>
        </w:rPr>
        <w:t xml:space="preserve">See </w:t>
      </w:r>
      <w:hyperlink w:anchor="_5.3_Digital_financial" w:history="1">
        <w:r w:rsidR="00821BE1" w:rsidRPr="00821BE1">
          <w:rPr>
            <w:rStyle w:val="Hyperlink"/>
          </w:rPr>
          <w:t>section 5.</w:t>
        </w:r>
        <w:r w:rsidR="006D3365">
          <w:rPr>
            <w:rStyle w:val="Hyperlink"/>
          </w:rPr>
          <w:t>3</w:t>
        </w:r>
      </w:hyperlink>
      <w:r w:rsidR="00821BE1">
        <w:rPr>
          <w:color w:val="0D0D0D" w:themeColor="text1" w:themeTint="F2"/>
        </w:rPr>
        <w:t>.</w:t>
      </w:r>
    </w:p>
    <w:p w14:paraId="2CCC42E6" w14:textId="7EFF2147" w:rsidR="00AA2C3E" w:rsidRDefault="00AA2C3E" w:rsidP="00AA2C3E">
      <w:r>
        <w:t xml:space="preserve">The </w:t>
      </w:r>
      <w:hyperlink r:id="rId29">
        <w:r w:rsidRPr="66B47D12">
          <w:rPr>
            <w:rStyle w:val="Hyperlink"/>
            <w:rFonts w:eastAsiaTheme="majorEastAsia"/>
          </w:rPr>
          <w:t>United for Smart Sustainable Cities (U4SSC)</w:t>
        </w:r>
      </w:hyperlink>
      <w:r w:rsidRPr="66B47D12">
        <w:rPr>
          <w:rFonts w:eastAsiaTheme="majorEastAsia"/>
        </w:rPr>
        <w:t xml:space="preserve"> initiative</w:t>
      </w:r>
      <w:r>
        <w:t xml:space="preserve"> is supported by 1</w:t>
      </w:r>
      <w:r w:rsidR="00120FF2">
        <w:t>9</w:t>
      </w:r>
      <w:r>
        <w:t xml:space="preserve"> UN bodies with the aim of achieving the SDG11 ("Make cities and human settlements inclusive, safe, resilient and sustainable"). </w:t>
      </w:r>
      <w:r w:rsidR="00D20714" w:rsidRPr="00D20714">
        <w:t xml:space="preserve">Over 150 cities have adopted </w:t>
      </w:r>
      <w:hyperlink r:id="rId30" w:history="1">
        <w:r w:rsidRPr="00D20714">
          <w:rPr>
            <w:rStyle w:val="Hyperlink"/>
          </w:rPr>
          <w:t>U4SSC Key Performance Indicators</w:t>
        </w:r>
      </w:hyperlink>
      <w:r w:rsidR="00D20714" w:rsidRPr="00D20714">
        <w:t xml:space="preserve"> based on ITU standards. </w:t>
      </w:r>
      <w:r w:rsidR="00D20714" w:rsidRPr="00C32576">
        <w:t xml:space="preserve">The results of </w:t>
      </w:r>
      <w:r w:rsidR="00650DEE">
        <w:t xml:space="preserve">these </w:t>
      </w:r>
      <w:r w:rsidR="00D20714" w:rsidRPr="00C32576">
        <w:t xml:space="preserve">evaluations are shared by </w:t>
      </w:r>
      <w:hyperlink r:id="rId31" w:history="1">
        <w:r w:rsidR="00D20714" w:rsidRPr="00D20714">
          <w:rPr>
            <w:rStyle w:val="Hyperlink"/>
          </w:rPr>
          <w:t xml:space="preserve">city snapshots, factsheets, verification </w:t>
        </w:r>
        <w:r w:rsidR="00D20714" w:rsidRPr="00D20714">
          <w:rPr>
            <w:rStyle w:val="Hyperlink"/>
          </w:rPr>
          <w:lastRenderedPageBreak/>
          <w:t>reports and case studies</w:t>
        </w:r>
      </w:hyperlink>
      <w:r w:rsidR="00650DEE">
        <w:t xml:space="preserve">. </w:t>
      </w:r>
      <w:r w:rsidR="002C1199">
        <w:t xml:space="preserve">The </w:t>
      </w:r>
      <w:hyperlink r:id="rId32" w:history="1">
        <w:r w:rsidR="002C1199" w:rsidRPr="002C1199">
          <w:rPr>
            <w:rStyle w:val="Hyperlink"/>
          </w:rPr>
          <w:t>seventh U4SSC meeting</w:t>
        </w:r>
      </w:hyperlink>
      <w:r w:rsidR="002C1199">
        <w:t xml:space="preserve"> was held online </w:t>
      </w:r>
      <w:r w:rsidR="002668E2">
        <w:t xml:space="preserve">on 20 </w:t>
      </w:r>
      <w:r w:rsidR="002C1199">
        <w:t xml:space="preserve">June 2023. Highlights of the meeting included the appointment of the new </w:t>
      </w:r>
      <w:hyperlink r:id="rId33" w:history="1">
        <w:r w:rsidR="002C1199" w:rsidRPr="00375784">
          <w:rPr>
            <w:rStyle w:val="Hyperlink"/>
          </w:rPr>
          <w:t>U4SSC management team</w:t>
        </w:r>
      </w:hyperlink>
      <w:r w:rsidR="002C1199">
        <w:t xml:space="preserve"> and the announcement of a new U4SSC Country Hub in </w:t>
      </w:r>
      <w:proofErr w:type="spellStart"/>
      <w:r w:rsidR="002C1199">
        <w:t>Kyebi</w:t>
      </w:r>
      <w:proofErr w:type="spellEnd"/>
      <w:r w:rsidR="002C1199">
        <w:t xml:space="preserve">, Ghana. Three </w:t>
      </w:r>
      <w:hyperlink r:id="rId34" w:history="1">
        <w:r w:rsidR="00D20714" w:rsidRPr="00D20714">
          <w:rPr>
            <w:rStyle w:val="Hyperlink"/>
          </w:rPr>
          <w:t>U4SSC reports</w:t>
        </w:r>
      </w:hyperlink>
      <w:r w:rsidR="00D20714" w:rsidRPr="00D20714">
        <w:t xml:space="preserve"> </w:t>
      </w:r>
      <w:r w:rsidR="002C1199">
        <w:t xml:space="preserve">and four </w:t>
      </w:r>
      <w:hyperlink r:id="rId35" w:history="1">
        <w:r w:rsidR="002C1199">
          <w:rPr>
            <w:rStyle w:val="Hyperlink"/>
          </w:rPr>
          <w:t>ITU</w:t>
        </w:r>
        <w:r w:rsidR="002C1199" w:rsidRPr="002679D0">
          <w:rPr>
            <w:rStyle w:val="Hyperlink"/>
          </w:rPr>
          <w:t xml:space="preserve"> reports</w:t>
        </w:r>
      </w:hyperlink>
      <w:r w:rsidR="002C1199">
        <w:t xml:space="preserve"> on smart cities were published in 2023</w:t>
      </w:r>
      <w:r>
        <w:t>.</w:t>
      </w:r>
      <w:r w:rsidR="00821BE1">
        <w:t xml:space="preserve"> </w:t>
      </w:r>
      <w:r w:rsidR="002C1199" w:rsidRPr="00345800">
        <w:t>The</w:t>
      </w:r>
      <w:r w:rsidR="002C1199">
        <w:t xml:space="preserve"> </w:t>
      </w:r>
      <w:hyperlink r:id="rId36" w:history="1">
        <w:r w:rsidR="002C1199" w:rsidRPr="00DF623F">
          <w:rPr>
            <w:rStyle w:val="Hyperlink"/>
          </w:rPr>
          <w:t>ITU webinar series on digital transformation</w:t>
        </w:r>
      </w:hyperlink>
      <w:r w:rsidR="002C1199">
        <w:t xml:space="preserve"> featured 19 webinars in 2023. </w:t>
      </w:r>
      <w:r w:rsidR="00821BE1">
        <w:t xml:space="preserve">See </w:t>
      </w:r>
      <w:hyperlink w:anchor="_5.4_Digital_transformation" w:history="1">
        <w:r w:rsidR="00821BE1" w:rsidRPr="00821BE1">
          <w:rPr>
            <w:rStyle w:val="Hyperlink"/>
          </w:rPr>
          <w:t>section 5.</w:t>
        </w:r>
        <w:r w:rsidR="006D3365">
          <w:rPr>
            <w:rStyle w:val="Hyperlink"/>
          </w:rPr>
          <w:t>4</w:t>
        </w:r>
      </w:hyperlink>
      <w:r w:rsidR="00821BE1">
        <w:t>.</w:t>
      </w:r>
    </w:p>
    <w:p w14:paraId="11D4E072" w14:textId="7F8E5E7A" w:rsidR="00605B98" w:rsidRDefault="00AA2C3E" w:rsidP="00AA2C3E">
      <w:r>
        <w:t xml:space="preserve">The </w:t>
      </w:r>
      <w:r w:rsidR="002C1199">
        <w:t xml:space="preserve">first regional </w:t>
      </w:r>
      <w:hyperlink r:id="rId37" w:history="1">
        <w:r w:rsidRPr="008B405E">
          <w:rPr>
            <w:rStyle w:val="Hyperlink"/>
          </w:rPr>
          <w:t>ITU-UNECE Future Networked Car Symposium</w:t>
        </w:r>
      </w:hyperlink>
      <w:r>
        <w:t xml:space="preserve"> </w:t>
      </w:r>
      <w:r w:rsidR="002C1199">
        <w:t xml:space="preserve">was held on 6 October 2023 in Doha, Qatar, moving to Doha together with the </w:t>
      </w:r>
      <w:r w:rsidR="002C1199" w:rsidRPr="00B84019">
        <w:t>Geneva International Motor Show</w:t>
      </w:r>
      <w:r w:rsidR="002C1199">
        <w:t xml:space="preserve">. Discussions </w:t>
      </w:r>
      <w:r w:rsidR="002C1199" w:rsidRPr="00B84019">
        <w:t>focus</w:t>
      </w:r>
      <w:r w:rsidR="002C1199">
        <w:t>ed</w:t>
      </w:r>
      <w:r w:rsidR="002C1199" w:rsidRPr="00B84019">
        <w:t xml:space="preserve"> on opportunities and challenges for Gulf Cooperation Council (GCC) countries</w:t>
      </w:r>
      <w:r w:rsidR="002C1199">
        <w:t xml:space="preserve">. </w:t>
      </w:r>
      <w:r w:rsidR="006C6CD3">
        <w:t xml:space="preserve">The annual flagship edition of the symposium be held online from 11 to 14 March 2024. </w:t>
      </w:r>
      <w:r w:rsidR="006C6CD3" w:rsidRPr="00C32576">
        <w:t>The</w:t>
      </w:r>
      <w:r w:rsidR="006C6CD3">
        <w:t xml:space="preserve"> ITU-led</w:t>
      </w:r>
      <w:r w:rsidR="006C6CD3" w:rsidRPr="00C32576">
        <w:t xml:space="preserve"> </w:t>
      </w:r>
      <w:hyperlink r:id="rId38" w:history="1">
        <w:r w:rsidR="006C6CD3" w:rsidRPr="00C34764">
          <w:rPr>
            <w:rStyle w:val="Hyperlink"/>
          </w:rPr>
          <w:t>Collaboration on ITS Communication Standards (CITS)</w:t>
        </w:r>
      </w:hyperlink>
      <w:r w:rsidR="006C6CD3" w:rsidRPr="00C32576">
        <w:t xml:space="preserve"> </w:t>
      </w:r>
      <w:r w:rsidR="006C6CD3">
        <w:t xml:space="preserve">has launched a new </w:t>
      </w:r>
      <w:hyperlink r:id="rId39" w:history="1">
        <w:r w:rsidR="006C6CD3" w:rsidRPr="00397BAB">
          <w:rPr>
            <w:rStyle w:val="Hyperlink"/>
          </w:rPr>
          <w:t>expert group on communications technology for automated driving</w:t>
        </w:r>
      </w:hyperlink>
      <w:r w:rsidR="006C6CD3">
        <w:t xml:space="preserve">. </w:t>
      </w:r>
      <w:r w:rsidR="00821BE1">
        <w:t xml:space="preserve">See </w:t>
      </w:r>
      <w:hyperlink w:anchor="_5.5_Intelligent_transport" w:history="1">
        <w:r w:rsidR="00821BE1" w:rsidRPr="00821BE1">
          <w:rPr>
            <w:rStyle w:val="Hyperlink"/>
          </w:rPr>
          <w:t>section 5.5</w:t>
        </w:r>
      </w:hyperlink>
      <w:r w:rsidR="00821BE1">
        <w:t>.</w:t>
      </w:r>
    </w:p>
    <w:p w14:paraId="28800C98" w14:textId="1014F683" w:rsidR="006C6CD3" w:rsidRDefault="006C6CD3" w:rsidP="006C6CD3">
      <w:r>
        <w:t xml:space="preserve">A </w:t>
      </w:r>
      <w:hyperlink r:id="rId40" w:history="1">
        <w:proofErr w:type="spellStart"/>
        <w:r w:rsidRPr="004C3AFB">
          <w:rPr>
            <w:rStyle w:val="Hyperlink"/>
          </w:rPr>
          <w:t>CxO</w:t>
        </w:r>
        <w:proofErr w:type="spellEnd"/>
        <w:r w:rsidRPr="004C3AFB">
          <w:rPr>
            <w:rStyle w:val="Hyperlink"/>
          </w:rPr>
          <w:t xml:space="preserve"> </w:t>
        </w:r>
        <w:r>
          <w:rPr>
            <w:rStyle w:val="Hyperlink"/>
          </w:rPr>
          <w:t>Roundtable</w:t>
        </w:r>
      </w:hyperlink>
      <w:r>
        <w:t xml:space="preserve"> was held on 5 December 2023 at the </w:t>
      </w:r>
      <w:r w:rsidRPr="00251558">
        <w:t>Telecom Review Leader's Summit</w:t>
      </w:r>
      <w:r>
        <w:t xml:space="preserve"> in </w:t>
      </w:r>
      <w:r w:rsidRPr="00251558">
        <w:t xml:space="preserve">Dubai, </w:t>
      </w:r>
      <w:r>
        <w:t xml:space="preserve">UAE, with additional participation online. </w:t>
      </w:r>
      <w:proofErr w:type="spellStart"/>
      <w:r w:rsidRPr="00210841">
        <w:t>CxOs</w:t>
      </w:r>
      <w:proofErr w:type="spellEnd"/>
      <w:r w:rsidRPr="00210841">
        <w:t xml:space="preserve"> discussed the support for IMT-2030 (6G) required from optical networks, AI</w:t>
      </w:r>
      <w:r>
        <w:t>,</w:t>
      </w:r>
      <w:r w:rsidRPr="00210841">
        <w:t xml:space="preserve"> and semantic communications. They also shared their outlook on addressing the digital divide, non-terrestrial networks, smart mobility</w:t>
      </w:r>
      <w:r w:rsidR="00B010C3">
        <w:t xml:space="preserve">, </w:t>
      </w:r>
      <w:r w:rsidRPr="00210841">
        <w:t>powerline communications, disaster response, machine vision technology, blockchain, fraud mitigation</w:t>
      </w:r>
      <w:r w:rsidR="00B010C3">
        <w:t>,</w:t>
      </w:r>
      <w:r w:rsidRPr="00210841">
        <w:t xml:space="preserve"> and quantum information technologies</w:t>
      </w:r>
      <w:r>
        <w:t>.</w:t>
      </w:r>
      <w:r w:rsidRPr="00D9258A">
        <w:t xml:space="preserve"> </w:t>
      </w:r>
      <w:r>
        <w:t>See meeting</w:t>
      </w:r>
      <w:r w:rsidRPr="00D9258A">
        <w:t xml:space="preserve"> </w:t>
      </w:r>
      <w:hyperlink r:id="rId41" w:history="1">
        <w:r w:rsidRPr="007C74BC">
          <w:rPr>
            <w:rStyle w:val="Hyperlink"/>
          </w:rPr>
          <w:t>communiqué</w:t>
        </w:r>
      </w:hyperlink>
      <w:r w:rsidR="006D3365">
        <w:t xml:space="preserve"> and </w:t>
      </w:r>
      <w:hyperlink w:anchor="_5.6_CTO_and" w:history="1">
        <w:r w:rsidR="006D3365" w:rsidRPr="006D3365">
          <w:rPr>
            <w:rStyle w:val="Hyperlink"/>
          </w:rPr>
          <w:t>section 5.6</w:t>
        </w:r>
      </w:hyperlink>
      <w:r w:rsidR="006D3365">
        <w:t>.</w:t>
      </w:r>
    </w:p>
    <w:p w14:paraId="0E33BC5B" w14:textId="2E621322" w:rsidR="006C6CD3" w:rsidRPr="006C6CD3" w:rsidRDefault="006C6CD3" w:rsidP="006C6CD3">
      <w:pPr>
        <w:rPr>
          <w:rFonts w:eastAsiaTheme="minorHAnsi"/>
          <w:lang w:eastAsia="en-US"/>
        </w:rPr>
      </w:pPr>
      <w:r w:rsidRPr="00801F3D">
        <w:rPr>
          <w:rFonts w:eastAsiaTheme="minorHAnsi"/>
          <w:lang w:eastAsia="en-US"/>
        </w:rPr>
        <w:t xml:space="preserve">ITU convened the </w:t>
      </w:r>
      <w:hyperlink r:id="rId42" w:history="1">
        <w:r w:rsidRPr="00777E55">
          <w:rPr>
            <w:rStyle w:val="Hyperlink"/>
            <w:rFonts w:eastAsiaTheme="minorHAnsi"/>
            <w:lang w:eastAsia="en-US"/>
          </w:rPr>
          <w:t>Green Digital Action track at COP28</w:t>
        </w:r>
      </w:hyperlink>
      <w:r w:rsidRPr="00801F3D">
        <w:rPr>
          <w:rFonts w:eastAsiaTheme="minorHAnsi"/>
          <w:lang w:eastAsia="en-US"/>
        </w:rPr>
        <w:t xml:space="preserve"> </w:t>
      </w:r>
      <w:r w:rsidR="002668E2">
        <w:rPr>
          <w:rFonts w:eastAsiaTheme="minorHAnsi"/>
          <w:lang w:eastAsia="en-US"/>
        </w:rPr>
        <w:t xml:space="preserve">together </w:t>
      </w:r>
      <w:r w:rsidRPr="00801F3D">
        <w:rPr>
          <w:rFonts w:eastAsiaTheme="minorHAnsi"/>
          <w:lang w:eastAsia="en-US"/>
        </w:rPr>
        <w:t>with partners spanning governments, companies, industry associations, civil society and fellow UN agencies. TSB/ITU-T played a leading role in the facilitation of Green Digital Action activities focused on standardization.</w:t>
      </w:r>
      <w:r>
        <w:rPr>
          <w:rFonts w:eastAsiaTheme="minorHAnsi"/>
          <w:lang w:eastAsia="en-US"/>
        </w:rPr>
        <w:t xml:space="preserve"> </w:t>
      </w:r>
      <w:hyperlink r:id="rId43" w:history="1">
        <w:r>
          <w:rPr>
            <w:rStyle w:val="Hyperlink"/>
            <w:rFonts w:eastAsiaTheme="minorHAnsi"/>
            <w:lang w:eastAsia="en-US"/>
          </w:rPr>
          <w:t>O</w:t>
        </w:r>
        <w:r w:rsidRPr="002A09A2">
          <w:rPr>
            <w:rStyle w:val="Hyperlink"/>
            <w:rFonts w:eastAsiaTheme="minorHAnsi"/>
            <w:lang w:eastAsia="en-US"/>
          </w:rPr>
          <w:t>utcomes</w:t>
        </w:r>
      </w:hyperlink>
      <w:r w:rsidRPr="002A09A2">
        <w:rPr>
          <w:rFonts w:eastAsiaTheme="minorHAnsi"/>
          <w:lang w:eastAsia="en-US"/>
        </w:rPr>
        <w:t> </w:t>
      </w:r>
      <w:r>
        <w:rPr>
          <w:rFonts w:eastAsiaTheme="minorHAnsi"/>
          <w:lang w:eastAsia="en-US"/>
        </w:rPr>
        <w:t xml:space="preserve">included a </w:t>
      </w:r>
      <w:hyperlink r:id="rId44" w:history="1">
        <w:r>
          <w:rPr>
            <w:rStyle w:val="Hyperlink"/>
            <w:rFonts w:eastAsiaTheme="minorHAnsi"/>
            <w:lang w:eastAsia="en-US"/>
          </w:rPr>
          <w:t>j</w:t>
        </w:r>
        <w:r w:rsidRPr="002A09A2">
          <w:rPr>
            <w:rStyle w:val="Hyperlink"/>
            <w:rFonts w:eastAsiaTheme="minorHAnsi"/>
            <w:lang w:eastAsia="en-US"/>
          </w:rPr>
          <w:t>oint statement</w:t>
        </w:r>
      </w:hyperlink>
      <w:r w:rsidRPr="002A09A2">
        <w:rPr>
          <w:rFonts w:eastAsiaTheme="minorHAnsi"/>
          <w:lang w:eastAsia="en-US"/>
        </w:rPr>
        <w:t xml:space="preserve"> by ITU, ISO and IEC on the importance of sustainability being built into technical standards development by design</w:t>
      </w:r>
      <w:r w:rsidR="00B010C3">
        <w:rPr>
          <w:rFonts w:eastAsiaTheme="minorHAnsi"/>
          <w:lang w:eastAsia="en-US"/>
        </w:rPr>
        <w:t xml:space="preserve"> and an </w:t>
      </w:r>
      <w:hyperlink r:id="rId45" w:history="1">
        <w:r w:rsidRPr="002A09A2">
          <w:rPr>
            <w:rStyle w:val="Hyperlink"/>
            <w:rFonts w:eastAsiaTheme="minorHAnsi"/>
            <w:lang w:eastAsia="en-US"/>
          </w:rPr>
          <w:t>action plan</w:t>
        </w:r>
      </w:hyperlink>
      <w:r w:rsidR="00B010C3">
        <w:rPr>
          <w:rFonts w:eastAsiaTheme="minorHAnsi"/>
          <w:lang w:eastAsia="en-US"/>
        </w:rPr>
        <w:t xml:space="preserve"> supporting </w:t>
      </w:r>
      <w:r w:rsidR="00B010C3" w:rsidRPr="002A09A2">
        <w:rPr>
          <w:rFonts w:eastAsiaTheme="minorHAnsi"/>
          <w:lang w:eastAsia="en-US"/>
        </w:rPr>
        <w:t>the implementation of environmental sustainability standards</w:t>
      </w:r>
      <w:r w:rsidRPr="002A09A2">
        <w:rPr>
          <w:rFonts w:eastAsiaTheme="minorHAnsi"/>
          <w:lang w:eastAsia="en-US"/>
        </w:rPr>
        <w:t>.</w:t>
      </w:r>
      <w:r>
        <w:rPr>
          <w:rFonts w:eastAsiaTheme="minorHAnsi"/>
          <w:lang w:eastAsia="en-US"/>
        </w:rPr>
        <w:t xml:space="preserve"> The</w:t>
      </w:r>
      <w:r w:rsidRPr="00C02DCB">
        <w:rPr>
          <w:rFonts w:eastAsiaTheme="minorHAnsi"/>
          <w:lang w:eastAsia="en-US"/>
        </w:rPr>
        <w:t xml:space="preserve"> </w:t>
      </w:r>
      <w:hyperlink r:id="rId46" w:tgtFrame="_blank" w:history="1">
        <w:r w:rsidRPr="00C02DCB">
          <w:rPr>
            <w:rStyle w:val="Hyperlink"/>
            <w:rFonts w:eastAsiaTheme="minorHAnsi"/>
            <w:lang w:eastAsia="en-US"/>
          </w:rPr>
          <w:t>AI/ML Solutions for Climate Change challenge</w:t>
        </w:r>
      </w:hyperlink>
      <w:r w:rsidRPr="00C02DCB">
        <w:rPr>
          <w:rFonts w:eastAsiaTheme="minorHAnsi"/>
          <w:lang w:eastAsia="en-US"/>
        </w:rPr>
        <w:t> </w:t>
      </w:r>
      <w:r>
        <w:rPr>
          <w:rFonts w:eastAsiaTheme="minorHAnsi"/>
          <w:lang w:eastAsia="en-US"/>
        </w:rPr>
        <w:t xml:space="preserve">also </w:t>
      </w:r>
      <w:r w:rsidRPr="00C02DCB">
        <w:rPr>
          <w:rFonts w:eastAsiaTheme="minorHAnsi"/>
          <w:lang w:eastAsia="en-US"/>
        </w:rPr>
        <w:t>culminated at COP28.</w:t>
      </w:r>
      <w:r w:rsidR="006D3365">
        <w:rPr>
          <w:rFonts w:eastAsiaTheme="minorHAnsi"/>
          <w:lang w:eastAsia="en-US"/>
        </w:rPr>
        <w:t xml:space="preserve"> See </w:t>
      </w:r>
      <w:hyperlink w:anchor="_5.7_Green_Digital" w:history="1">
        <w:r w:rsidR="006D3365" w:rsidRPr="006D3365">
          <w:rPr>
            <w:rStyle w:val="Hyperlink"/>
            <w:rFonts w:eastAsiaTheme="minorHAnsi"/>
            <w:lang w:eastAsia="en-US"/>
          </w:rPr>
          <w:t>section 5.7</w:t>
        </w:r>
      </w:hyperlink>
      <w:r w:rsidR="006D3365">
        <w:rPr>
          <w:rFonts w:eastAsiaTheme="minorHAnsi"/>
          <w:lang w:eastAsia="en-US"/>
        </w:rPr>
        <w:t>.</w:t>
      </w:r>
    </w:p>
    <w:p w14:paraId="0DCC2E76" w14:textId="08336C22" w:rsidR="00B010C3" w:rsidRDefault="009A3DC3" w:rsidP="00605B98">
      <w:hyperlink r:id="rId47" w:history="1">
        <w:r w:rsidR="00AA2C3E" w:rsidRPr="00617C11">
          <w:rPr>
            <w:rStyle w:val="Hyperlink"/>
          </w:rPr>
          <w:t>ITU Academia membership</w:t>
        </w:r>
      </w:hyperlink>
      <w:r w:rsidR="00AA2C3E">
        <w:t>, the</w:t>
      </w:r>
      <w:r w:rsidR="00AA2C3E" w:rsidRPr="00C32576">
        <w:t xml:space="preserve"> </w:t>
      </w:r>
      <w:hyperlink r:id="rId48" w:history="1">
        <w:r w:rsidR="00AA2C3E" w:rsidRPr="00C32576">
          <w:rPr>
            <w:rStyle w:val="Hyperlink"/>
          </w:rPr>
          <w:t>ITU Journal on Future and Evolving Technologies</w:t>
        </w:r>
      </w:hyperlink>
      <w:r w:rsidR="00B32D90">
        <w:t xml:space="preserve">, </w:t>
      </w:r>
      <w:r w:rsidR="00AA2C3E">
        <w:t xml:space="preserve">and </w:t>
      </w:r>
      <w:hyperlink r:id="rId49" w:history="1">
        <w:r w:rsidR="00AA2C3E" w:rsidRPr="00617C11">
          <w:rPr>
            <w:rStyle w:val="Hyperlink"/>
          </w:rPr>
          <w:t>ITU Kaleidoscope conferences</w:t>
        </w:r>
      </w:hyperlink>
      <w:r w:rsidR="00AA2C3E">
        <w:t xml:space="preserve"> form key avenues for academics to engage in ITU’s work.</w:t>
      </w:r>
      <w:r w:rsidR="006D3365">
        <w:t xml:space="preserve"> The ITU Journal</w:t>
      </w:r>
      <w:r w:rsidR="00AA2C3E">
        <w:t xml:space="preserve"> </w:t>
      </w:r>
      <w:r w:rsidR="006D3365">
        <w:t xml:space="preserve">– free of charge to both readers and authors – </w:t>
      </w:r>
      <w:r w:rsidR="006D3365" w:rsidRPr="00F15D4B">
        <w:t>offers comprehensive coverage of communications and networkin</w:t>
      </w:r>
      <w:r w:rsidR="006D3365">
        <w:t>g</w:t>
      </w:r>
      <w:r w:rsidR="006D3365" w:rsidRPr="00F15D4B">
        <w:t xml:space="preserve">. </w:t>
      </w:r>
      <w:r w:rsidR="00B010C3">
        <w:t xml:space="preserve">Volume 4 (2023) of the ITU Journal includes four issues. The journal </w:t>
      </w:r>
      <w:r w:rsidR="006D3365">
        <w:t xml:space="preserve">also </w:t>
      </w:r>
      <w:r w:rsidR="00B010C3" w:rsidRPr="008523F2">
        <w:t>includes </w:t>
      </w:r>
      <w:hyperlink r:id="rId50" w:tgtFrame="_blank" w:history="1">
        <w:r w:rsidR="00B010C3" w:rsidRPr="008523F2">
          <w:rPr>
            <w:rStyle w:val="Hyperlink"/>
          </w:rPr>
          <w:t>recorded webinar discussions</w:t>
        </w:r>
      </w:hyperlink>
      <w:r w:rsidR="00B010C3" w:rsidRPr="008523F2">
        <w:t> with researchers</w:t>
      </w:r>
      <w:r w:rsidR="00B010C3">
        <w:t xml:space="preserve"> and industry leaders, with a new special series of journal webinars</w:t>
      </w:r>
      <w:r w:rsidR="006D3365">
        <w:t xml:space="preserve"> with Chief Technology Officers</w:t>
      </w:r>
      <w:r w:rsidR="00B010C3">
        <w:t xml:space="preserve"> launched in 2023. </w:t>
      </w:r>
      <w:r w:rsidR="00AA2C3E">
        <w:t>Kaleidoscope 202</w:t>
      </w:r>
      <w:r w:rsidR="00B010C3">
        <w:t>4</w:t>
      </w:r>
      <w:r w:rsidR="00AA2C3E">
        <w:t xml:space="preserve"> </w:t>
      </w:r>
      <w:r w:rsidR="00B010C3">
        <w:t>will be held in conjunction with WTSA-24 in New Delhi, India</w:t>
      </w:r>
      <w:r w:rsidR="00AA2C3E">
        <w:t xml:space="preserve">. See </w:t>
      </w:r>
      <w:hyperlink w:anchor="_6_Academia" w:history="1">
        <w:r w:rsidR="00AA2C3E" w:rsidRPr="00DD2950">
          <w:rPr>
            <w:rStyle w:val="Hyperlink"/>
          </w:rPr>
          <w:t xml:space="preserve">section </w:t>
        </w:r>
        <w:r w:rsidR="00DD2950" w:rsidRPr="00DD2950">
          <w:rPr>
            <w:rStyle w:val="Hyperlink"/>
          </w:rPr>
          <w:t>6</w:t>
        </w:r>
      </w:hyperlink>
      <w:r w:rsidR="00DD2950">
        <w:t>.</w:t>
      </w:r>
    </w:p>
    <w:p w14:paraId="252F2AB8" w14:textId="05B2C7E2" w:rsidR="00AA2C3E" w:rsidRDefault="00B010C3" w:rsidP="00605B98">
      <w:r>
        <w:t>ITU's</w:t>
      </w:r>
      <w:r w:rsidR="00161F18">
        <w:t xml:space="preserve"> re-envisioned</w:t>
      </w:r>
      <w:r>
        <w:t xml:space="preserve"> </w:t>
      </w:r>
      <w:hyperlink r:id="rId51" w:history="1">
        <w:r w:rsidR="00AA2C3E" w:rsidRPr="004A0FB5">
          <w:rPr>
            <w:rStyle w:val="Hyperlink"/>
          </w:rPr>
          <w:t xml:space="preserve">Bridging the Standardization Gap (BSG) </w:t>
        </w:r>
        <w:r w:rsidR="0023184E">
          <w:rPr>
            <w:rStyle w:val="Hyperlink"/>
          </w:rPr>
          <w:t>P</w:t>
        </w:r>
        <w:r w:rsidR="00AA2C3E" w:rsidRPr="004A0FB5">
          <w:rPr>
            <w:rStyle w:val="Hyperlink"/>
          </w:rPr>
          <w:t>rogramme</w:t>
        </w:r>
      </w:hyperlink>
      <w:r w:rsidR="00AA2C3E" w:rsidRPr="00C32576">
        <w:t xml:space="preserve"> </w:t>
      </w:r>
      <w:r w:rsidR="00161F18">
        <w:t xml:space="preserve">includes two </w:t>
      </w:r>
      <w:r w:rsidR="00161F18" w:rsidRPr="006C076E">
        <w:t xml:space="preserve">main strategic pillars – </w:t>
      </w:r>
      <w:r w:rsidR="00161F18" w:rsidRPr="006C076E">
        <w:rPr>
          <w:i/>
          <w:iCs/>
        </w:rPr>
        <w:t>Development</w:t>
      </w:r>
      <w:r w:rsidR="00161F18" w:rsidRPr="006C076E">
        <w:t xml:space="preserve"> and </w:t>
      </w:r>
      <w:r w:rsidR="00161F18" w:rsidRPr="006C076E">
        <w:rPr>
          <w:i/>
          <w:iCs/>
        </w:rPr>
        <w:t>Implementation –</w:t>
      </w:r>
      <w:r w:rsidR="00161F18" w:rsidRPr="006C076E">
        <w:t xml:space="preserve"> supported by </w:t>
      </w:r>
      <w:r w:rsidR="00161F18" w:rsidRPr="006C076E">
        <w:rPr>
          <w:i/>
          <w:iCs/>
        </w:rPr>
        <w:t xml:space="preserve">Resources </w:t>
      </w:r>
      <w:r w:rsidR="00161F18" w:rsidRPr="006C076E">
        <w:t xml:space="preserve">and </w:t>
      </w:r>
      <w:r w:rsidR="00161F18" w:rsidRPr="006C076E">
        <w:rPr>
          <w:i/>
          <w:iCs/>
        </w:rPr>
        <w:t>Partnership</w:t>
      </w:r>
      <w:r w:rsidR="00161F18" w:rsidRPr="006C076E">
        <w:t xml:space="preserve">. Japan's Ministry of Internal Affairs and Communications funded the BSG </w:t>
      </w:r>
      <w:r w:rsidR="0023184E">
        <w:t>P</w:t>
      </w:r>
      <w:r w:rsidR="00161F18" w:rsidRPr="006C076E">
        <w:t>rogramme in 2023</w:t>
      </w:r>
      <w:r w:rsidR="00161F18">
        <w:t>. Five</w:t>
      </w:r>
      <w:r w:rsidR="00AA2C3E">
        <w:t xml:space="preserve"> BSG training</w:t>
      </w:r>
      <w:r w:rsidR="00AA2C3E" w:rsidRPr="00C32576">
        <w:t xml:space="preserve"> </w:t>
      </w:r>
      <w:r w:rsidR="00AA2C3E">
        <w:t>sessions were held in the reporting period.</w:t>
      </w:r>
      <w:r w:rsidR="004F5C65">
        <w:rPr>
          <w:rFonts w:eastAsia="SimSun"/>
        </w:rPr>
        <w:t xml:space="preserve"> </w:t>
      </w:r>
      <w:r w:rsidR="002668E2">
        <w:rPr>
          <w:rFonts w:eastAsia="SimSun"/>
        </w:rPr>
        <w:t xml:space="preserve">The Regional Group for Asia and the Pacific within ITU-T Study Group 2020, ITU-T's newest regional group, met for the first time in July 2023. </w:t>
      </w:r>
      <w:r w:rsidR="00161F18" w:rsidRPr="00594191">
        <w:t>422 fellowships were requested in 2023 and 152 were awarded.</w:t>
      </w:r>
      <w:r w:rsidR="00AA2C3E">
        <w:t xml:space="preserve"> See </w:t>
      </w:r>
      <w:hyperlink w:anchor="_12_Bridging_the" w:history="1">
        <w:r w:rsidR="00AA2C3E" w:rsidRPr="00DD2950">
          <w:rPr>
            <w:rStyle w:val="Hyperlink"/>
          </w:rPr>
          <w:t xml:space="preserve">section </w:t>
        </w:r>
        <w:r w:rsidR="00DD2950" w:rsidRPr="00DD2950">
          <w:rPr>
            <w:rStyle w:val="Hyperlink"/>
          </w:rPr>
          <w:t>12</w:t>
        </w:r>
      </w:hyperlink>
      <w:r w:rsidR="00DD2950">
        <w:t>.</w:t>
      </w:r>
    </w:p>
    <w:p w14:paraId="1D86AE29" w14:textId="6CDC9A84" w:rsidR="00AA2C3E" w:rsidRPr="00AF18F5" w:rsidRDefault="00161F18" w:rsidP="00AA2C3E">
      <w:pPr>
        <w:rPr>
          <w:rFonts w:asciiTheme="majorBidi" w:hAnsiTheme="majorBidi" w:cstheme="majorBidi"/>
        </w:rPr>
      </w:pPr>
      <w:r w:rsidRPr="00C15E46">
        <w:rPr>
          <w:rFonts w:asciiTheme="majorBidi" w:hAnsiTheme="majorBidi" w:cstheme="majorBidi"/>
        </w:rPr>
        <w:t xml:space="preserve">TSB remains dedicated to integrating a gender perspective in all </w:t>
      </w:r>
      <w:r w:rsidR="006D3365">
        <w:rPr>
          <w:rFonts w:asciiTheme="majorBidi" w:hAnsiTheme="majorBidi" w:cstheme="majorBidi"/>
        </w:rPr>
        <w:t xml:space="preserve">of </w:t>
      </w:r>
      <w:r w:rsidRPr="00C15E46">
        <w:rPr>
          <w:rFonts w:asciiTheme="majorBidi" w:hAnsiTheme="majorBidi" w:cstheme="majorBidi"/>
        </w:rPr>
        <w:t xml:space="preserve">its activities and programmes, leveraging the framework of ITU Gender Task Force and the </w:t>
      </w:r>
      <w:hyperlink r:id="rId52" w:history="1">
        <w:r w:rsidRPr="002668E2">
          <w:rPr>
            <w:rStyle w:val="Hyperlink"/>
            <w:rFonts w:asciiTheme="majorBidi" w:hAnsiTheme="majorBidi" w:cstheme="majorBidi"/>
          </w:rPr>
          <w:t>Network of Women in ITU-T (</w:t>
        </w:r>
        <w:proofErr w:type="spellStart"/>
        <w:r w:rsidRPr="002668E2">
          <w:rPr>
            <w:rStyle w:val="Hyperlink"/>
            <w:rFonts w:asciiTheme="majorBidi" w:hAnsiTheme="majorBidi" w:cstheme="majorBidi"/>
          </w:rPr>
          <w:t>NoW</w:t>
        </w:r>
        <w:proofErr w:type="spellEnd"/>
        <w:r w:rsidRPr="002668E2">
          <w:rPr>
            <w:rStyle w:val="Hyperlink"/>
            <w:rFonts w:asciiTheme="majorBidi" w:hAnsiTheme="majorBidi" w:cstheme="majorBidi"/>
          </w:rPr>
          <w:t xml:space="preserve"> in ITU-T)</w:t>
        </w:r>
      </w:hyperlink>
      <w:r w:rsidRPr="00C15E46">
        <w:rPr>
          <w:rFonts w:asciiTheme="majorBidi" w:hAnsiTheme="majorBidi" w:cstheme="majorBidi"/>
        </w:rPr>
        <w:t xml:space="preserve">. </w:t>
      </w:r>
      <w:r w:rsidR="00AF18F5" w:rsidRPr="002668E2">
        <w:rPr>
          <w:lang w:eastAsia="en-US"/>
        </w:rPr>
        <w:t xml:space="preserve">Terms of Reference outlining the mission, </w:t>
      </w:r>
      <w:proofErr w:type="gramStart"/>
      <w:r w:rsidR="00AF18F5" w:rsidRPr="002668E2">
        <w:rPr>
          <w:lang w:eastAsia="en-US"/>
        </w:rPr>
        <w:t>scope</w:t>
      </w:r>
      <w:proofErr w:type="gramEnd"/>
      <w:r w:rsidR="00AF18F5" w:rsidRPr="002668E2">
        <w:rPr>
          <w:lang w:eastAsia="en-US"/>
        </w:rPr>
        <w:t xml:space="preserve"> and work plan of </w:t>
      </w:r>
      <w:proofErr w:type="spellStart"/>
      <w:r w:rsidR="00AF18F5" w:rsidRPr="002668E2">
        <w:rPr>
          <w:lang w:eastAsia="en-US"/>
        </w:rPr>
        <w:t>NoW</w:t>
      </w:r>
      <w:proofErr w:type="spellEnd"/>
      <w:r w:rsidR="00AF18F5">
        <w:rPr>
          <w:lang w:eastAsia="en-US"/>
        </w:rPr>
        <w:t xml:space="preserve"> </w:t>
      </w:r>
      <w:r w:rsidR="00AF18F5" w:rsidRPr="002668E2">
        <w:rPr>
          <w:lang w:eastAsia="en-US"/>
        </w:rPr>
        <w:t xml:space="preserve">will be presented to this meeting of TSAG for </w:t>
      </w:r>
      <w:r w:rsidR="00AF18F5">
        <w:rPr>
          <w:lang w:eastAsia="en-US"/>
        </w:rPr>
        <w:t>review</w:t>
      </w:r>
      <w:r w:rsidR="00AF18F5">
        <w:rPr>
          <w:rFonts w:asciiTheme="majorBidi" w:hAnsiTheme="majorBidi" w:cstheme="majorBidi"/>
        </w:rPr>
        <w:t xml:space="preserve">. </w:t>
      </w:r>
      <w:r w:rsidR="002668E2" w:rsidRPr="00F46FC9">
        <w:rPr>
          <w:lang w:eastAsia="en-US"/>
        </w:rPr>
        <w:t>Gender</w:t>
      </w:r>
      <w:r w:rsidR="002668E2">
        <w:rPr>
          <w:lang w:eastAsia="en-US"/>
        </w:rPr>
        <w:t xml:space="preserve"> </w:t>
      </w:r>
      <w:r w:rsidR="002668E2" w:rsidRPr="00F46FC9">
        <w:rPr>
          <w:lang w:eastAsia="en-US"/>
        </w:rPr>
        <w:t>parity objectives for WTSA-24, supported by the NOW4WTSA-24 campaign, encourage Member States to pledge support for growth in the number of women in ITU-T leadership positions and the target of 35 per cent female participation at WTSA-24</w:t>
      </w:r>
      <w:r w:rsidR="00AF18F5">
        <w:rPr>
          <w:rFonts w:asciiTheme="majorBidi" w:hAnsiTheme="majorBidi" w:cstheme="majorBidi"/>
        </w:rPr>
        <w:t xml:space="preserve">. </w:t>
      </w:r>
      <w:r w:rsidR="00AA2C3E">
        <w:rPr>
          <w:rFonts w:asciiTheme="majorBidi" w:hAnsiTheme="majorBidi" w:cstheme="majorBidi"/>
        </w:rPr>
        <w:t xml:space="preserve">See </w:t>
      </w:r>
      <w:hyperlink w:anchor="_13_Gender" w:history="1">
        <w:r w:rsidR="00AA2C3E" w:rsidRPr="00DD2950">
          <w:rPr>
            <w:rStyle w:val="Hyperlink"/>
          </w:rPr>
          <w:t xml:space="preserve">section </w:t>
        </w:r>
        <w:r w:rsidR="00DD2950" w:rsidRPr="00DD2950">
          <w:rPr>
            <w:rStyle w:val="Hyperlink"/>
          </w:rPr>
          <w:t>13</w:t>
        </w:r>
      </w:hyperlink>
      <w:r w:rsidR="00DD2950">
        <w:t>.</w:t>
      </w:r>
    </w:p>
    <w:p w14:paraId="52D42227" w14:textId="5E00B749" w:rsidR="00AA2C3E" w:rsidRDefault="00AA2C3E" w:rsidP="00AA2C3E">
      <w:pPr>
        <w:snapToGrid w:val="0"/>
      </w:pPr>
      <w:r w:rsidRPr="000C6BE2">
        <w:t xml:space="preserve">Testing labs can </w:t>
      </w:r>
      <w:r w:rsidR="00476CBD">
        <w:t xml:space="preserve">now </w:t>
      </w:r>
      <w:r w:rsidRPr="000C6BE2">
        <w:t xml:space="preserve">obtain official recognition from ITU for their competence to test the conformance of products with </w:t>
      </w:r>
      <w:r>
        <w:t>ITU-T Recommendation</w:t>
      </w:r>
      <w:r w:rsidRPr="000C6BE2">
        <w:t>.</w:t>
      </w:r>
      <w:r>
        <w:t xml:space="preserve"> </w:t>
      </w:r>
      <w:r w:rsidR="00AF18F5">
        <w:t xml:space="preserve">12 </w:t>
      </w:r>
      <w:r w:rsidRPr="000C6BE2">
        <w:t>testing labs hav</w:t>
      </w:r>
      <w:r>
        <w:t xml:space="preserve">e </w:t>
      </w:r>
      <w:r w:rsidRPr="000C6BE2">
        <w:t xml:space="preserve">been listed in the </w:t>
      </w:r>
      <w:hyperlink r:id="rId53"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54"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 xml:space="preserve">compliant with ITU-T Recommendations. </w:t>
      </w:r>
      <w:r w:rsidRPr="000C6BE2">
        <w:t>The testing lab recognition scheme</w:t>
      </w:r>
      <w:r>
        <w:t xml:space="preserve">, supported by the </w:t>
      </w:r>
      <w:hyperlink r:id="rId55" w:tgtFrame="_blank" w:history="1">
        <w:r w:rsidRPr="00CB7DA4">
          <w:rPr>
            <w:rStyle w:val="Hyperlink"/>
          </w:rPr>
          <w:t xml:space="preserve">ITU-T Conformity </w:t>
        </w:r>
        <w:r w:rsidRPr="00CB7DA4">
          <w:rPr>
            <w:rStyle w:val="Hyperlink"/>
          </w:rPr>
          <w:lastRenderedPageBreak/>
          <w:t>Assessment Steering Committee</w:t>
        </w:r>
      </w:hyperlink>
      <w:r>
        <w:t>,</w:t>
      </w:r>
      <w:r w:rsidRPr="000C6BE2">
        <w:t xml:space="preserve"> is the latest initiative under</w:t>
      </w:r>
      <w:r>
        <w:t xml:space="preserve"> the </w:t>
      </w:r>
      <w:hyperlink r:id="rId56" w:history="1">
        <w:r w:rsidRPr="002A494E">
          <w:rPr>
            <w:rStyle w:val="Hyperlink"/>
          </w:rPr>
          <w:t>ITU Conformity and Interoperability programme</w:t>
        </w:r>
      </w:hyperlink>
      <w:r w:rsidRPr="000C6BE2">
        <w:t xml:space="preserve">. </w:t>
      </w:r>
      <w:r>
        <w:t xml:space="preserve">See </w:t>
      </w:r>
      <w:hyperlink w:anchor="_8_Conformity_and" w:history="1">
        <w:r w:rsidRPr="00DD2950">
          <w:rPr>
            <w:rStyle w:val="Hyperlink"/>
          </w:rPr>
          <w:t>section</w:t>
        </w:r>
        <w:r w:rsidR="00DD2950" w:rsidRPr="00DD2950">
          <w:rPr>
            <w:rStyle w:val="Hyperlink"/>
          </w:rPr>
          <w:t xml:space="preserve"> 8</w:t>
        </w:r>
      </w:hyperlink>
      <w:r w:rsidR="00DD2950">
        <w:t>.</w:t>
      </w:r>
    </w:p>
    <w:p w14:paraId="528B70FC" w14:textId="3A804565" w:rsidR="00AA2C3E" w:rsidRDefault="00AF18F5" w:rsidP="00AA2C3E">
      <w:r>
        <w:t xml:space="preserve">Close to 300 </w:t>
      </w:r>
      <w:r w:rsidR="00AA2C3E" w:rsidRPr="00C32576">
        <w:t>ITU-T Recommendations and Supplements were published</w:t>
      </w:r>
      <w:r w:rsidR="00AA2C3E">
        <w:t xml:space="preserve"> in the reporting period</w:t>
      </w:r>
      <w:r w:rsidR="00AA2C3E" w:rsidRPr="00C32576">
        <w:t>.</w:t>
      </w:r>
      <w:r>
        <w:t xml:space="preserve"> </w:t>
      </w:r>
      <w:r w:rsidR="00AA2C3E" w:rsidRPr="00C32576">
        <w:t xml:space="preserve">TSB continues to collect all new terms and definitions proposed by ITU-T </w:t>
      </w:r>
      <w:r w:rsidR="00AA2C3E">
        <w:t>study groups</w:t>
      </w:r>
      <w:r w:rsidR="00AA2C3E" w:rsidRPr="00C32576">
        <w:t xml:space="preserve">, entering them into the online </w:t>
      </w:r>
      <w:hyperlink r:id="rId57" w:anchor="/" w:history="1">
        <w:r w:rsidR="00AA2C3E" w:rsidRPr="00B32D90">
          <w:rPr>
            <w:rStyle w:val="Hyperlink"/>
          </w:rPr>
          <w:t>ITU Terms and Definitions database</w:t>
        </w:r>
      </w:hyperlink>
      <w:r w:rsidR="00AA2C3E" w:rsidRPr="00C32576">
        <w:t xml:space="preserve">. TSB </w:t>
      </w:r>
      <w:r w:rsidR="00AA2C3E">
        <w:t xml:space="preserve">continues to translate all Recommendations approved under the Traditional Approval Process as well as all TSAG reports. On request, TSB </w:t>
      </w:r>
      <w:r w:rsidR="00AA2C3E" w:rsidRPr="00C32576">
        <w:t>translated</w:t>
      </w:r>
      <w:r w:rsidR="00AA2C3E">
        <w:t xml:space="preserve"> </w:t>
      </w:r>
      <w:r>
        <w:t xml:space="preserve">six </w:t>
      </w:r>
      <w:r w:rsidR="00AA2C3E" w:rsidRPr="00C32576">
        <w:t>Recommendations</w:t>
      </w:r>
      <w:r w:rsidR="00AA2C3E">
        <w:t xml:space="preserve"> approved under the Alternative Approval Process in the reporting period. See</w:t>
      </w:r>
      <w:r w:rsidR="00DD2950">
        <w:t xml:space="preserve"> </w:t>
      </w:r>
      <w:hyperlink w:anchor="_14_Publications" w:history="1">
        <w:r w:rsidR="00DD2950" w:rsidRPr="00DD2950">
          <w:rPr>
            <w:rStyle w:val="Hyperlink"/>
          </w:rPr>
          <w:t>section 14</w:t>
        </w:r>
      </w:hyperlink>
      <w:r w:rsidR="00AA2C3E">
        <w:t>.</w:t>
      </w:r>
    </w:p>
    <w:p w14:paraId="2939E2DC" w14:textId="541EE1F4" w:rsidR="00136E7B" w:rsidRPr="00C32576" w:rsidRDefault="5EE8545A" w:rsidP="222B8D80">
      <w:pPr>
        <w:pStyle w:val="Heading1"/>
        <w:jc w:val="center"/>
      </w:pPr>
      <w:bookmarkStart w:id="14" w:name="_Toc480527765"/>
      <w:bookmarkStart w:id="15" w:name="_Toc156392404"/>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r w:rsidRPr="00C32576">
        <w:t xml:space="preserve">Annex – Full </w:t>
      </w:r>
      <w:r w:rsidR="00A9765D">
        <w:t>r</w:t>
      </w:r>
      <w:r w:rsidRPr="00C32576">
        <w:t xml:space="preserve">eport of activities in ITU-T </w:t>
      </w:r>
      <w:r w:rsidR="00526CBB">
        <w:t>in the study period</w:t>
      </w:r>
      <w:bookmarkEnd w:id="14"/>
      <w:bookmarkEnd w:id="15"/>
    </w:p>
    <w:p w14:paraId="1C91FA37" w14:textId="57E744F4" w:rsidR="00A63A18" w:rsidRPr="00C32576" w:rsidRDefault="00136E7B" w:rsidP="000B3E92">
      <w:pPr>
        <w:pStyle w:val="Heading1"/>
        <w:spacing w:before="240"/>
      </w:pPr>
      <w:bookmarkStart w:id="25" w:name="_1_Achievements_in"/>
      <w:bookmarkStart w:id="26" w:name="_1_ITU-T_Study"/>
      <w:bookmarkStart w:id="27" w:name="_Toc156392405"/>
      <w:bookmarkStart w:id="28" w:name="_Toc480527766"/>
      <w:bookmarkEnd w:id="25"/>
      <w:bookmarkEnd w:id="26"/>
      <w:r w:rsidRPr="00C32576">
        <w:t>1</w:t>
      </w:r>
      <w:r w:rsidRPr="00C32576">
        <w:tab/>
        <w:t xml:space="preserve">ITU-T </w:t>
      </w:r>
      <w:r w:rsidR="00B44AD8">
        <w:t>s</w:t>
      </w:r>
      <w:r w:rsidR="00F17FE4">
        <w:t xml:space="preserve">tudy </w:t>
      </w:r>
      <w:r w:rsidR="00B44AD8">
        <w:t>g</w:t>
      </w:r>
      <w:r w:rsidR="00F17FE4" w:rsidRPr="00C5776F">
        <w:t>roup</w:t>
      </w:r>
      <w:r w:rsidR="00F17FE4">
        <w:t>s</w:t>
      </w:r>
      <w:bookmarkEnd w:id="27"/>
    </w:p>
    <w:p w14:paraId="7E71528E" w14:textId="6126D5E1" w:rsidR="005A4A98" w:rsidRDefault="005A4A98" w:rsidP="005A4A98">
      <w:pPr>
        <w:pStyle w:val="Heading2"/>
        <w:ind w:left="0" w:firstLine="0"/>
      </w:pPr>
      <w:bookmarkStart w:id="29" w:name="_Toc156392406"/>
      <w:r>
        <w:t>1</w:t>
      </w:r>
      <w:r w:rsidRPr="00C32576">
        <w:t>.</w:t>
      </w:r>
      <w:r>
        <w:t>1</w:t>
      </w:r>
      <w:r w:rsidRPr="00C32576">
        <w:tab/>
      </w:r>
      <w:r>
        <w:t xml:space="preserve">Standards approved and study group </w:t>
      </w:r>
      <w:proofErr w:type="gramStart"/>
      <w:r>
        <w:t>meetings</w:t>
      </w:r>
      <w:bookmarkEnd w:id="29"/>
      <w:proofErr w:type="gramEnd"/>
    </w:p>
    <w:p w14:paraId="2FCB0627" w14:textId="2DCF22A8" w:rsidR="00DD2950" w:rsidRDefault="003D3598" w:rsidP="003D3598">
      <w:r w:rsidRPr="00C32576">
        <w:t>ITU approved</w:t>
      </w:r>
      <w:r w:rsidR="00EF6426">
        <w:t xml:space="preserve"> </w:t>
      </w:r>
      <w:r w:rsidR="00A406A6">
        <w:t xml:space="preserve">200 </w:t>
      </w:r>
      <w:r w:rsidRPr="00C32576">
        <w:t>new and revised ITU-T Recommendations</w:t>
      </w:r>
      <w:r w:rsidR="00EF6426">
        <w:t xml:space="preserve"> and related texts</w:t>
      </w:r>
      <w:r w:rsidR="00D56A4B">
        <w:t xml:space="preserve"> from to Ma</w:t>
      </w:r>
      <w:r w:rsidR="00922781">
        <w:t>y</w:t>
      </w:r>
      <w:r w:rsidR="00D56A4B">
        <w:t xml:space="preserve"> </w:t>
      </w:r>
      <w:r w:rsidR="00A406A6">
        <w:t xml:space="preserve">to 18 December </w:t>
      </w:r>
      <w:r w:rsidR="00D56A4B">
        <w:t>2023</w:t>
      </w:r>
      <w:r w:rsidR="00EF6426">
        <w:t>.</w:t>
      </w:r>
      <w:r w:rsidR="007C17D2">
        <w:t xml:space="preserve"> </w:t>
      </w:r>
      <w:r w:rsidR="003A5841">
        <w:t>Annex 1 to this report lists these texts as well as texts undergoing approval and summarizes their contents</w:t>
      </w:r>
      <w:r w:rsidR="00A406A6">
        <w:t>, as of 18 December 2023</w:t>
      </w:r>
      <w:r w:rsidR="003A5841">
        <w:t xml:space="preserve">. </w:t>
      </w:r>
      <w:r w:rsidR="00EF6426">
        <w:t xml:space="preserve">For all ITU-T Recommendations in force, see </w:t>
      </w:r>
      <w:r w:rsidR="00FC1E81">
        <w:t xml:space="preserve">the </w:t>
      </w:r>
      <w:hyperlink r:id="rId58"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59" w:history="1">
        <w:r w:rsidRPr="00EE273D">
          <w:rPr>
            <w:rStyle w:val="Hyperlink"/>
          </w:rPr>
          <w:t>homepages</w:t>
        </w:r>
      </w:hyperlink>
      <w:r w:rsidR="00950F9F">
        <w:t>.</w:t>
      </w:r>
      <w:bookmarkStart w:id="30" w:name="_1.1_AI-based_mapping"/>
      <w:bookmarkEnd w:id="30"/>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5A46572B" w14:textId="67FFB8A5" w:rsidR="000A66DC" w:rsidRDefault="009A3DC3" w:rsidP="00770357">
      <w:pPr>
        <w:numPr>
          <w:ilvl w:val="0"/>
          <w:numId w:val="21"/>
        </w:numPr>
      </w:pPr>
      <w:hyperlink r:id="rId60" w:history="1">
        <w:r w:rsidR="000A66DC" w:rsidRPr="000A66DC">
          <w:rPr>
            <w:rStyle w:val="Hyperlink"/>
          </w:rPr>
          <w:t>SG2</w:t>
        </w:r>
      </w:hyperlink>
      <w:r w:rsidR="000A66DC">
        <w:t xml:space="preserve">: </w:t>
      </w:r>
      <w:r w:rsidR="000A66DC" w:rsidRPr="000A66DC">
        <w:t>Geneva, 8-17 November 2023</w:t>
      </w:r>
    </w:p>
    <w:p w14:paraId="0C96EA63" w14:textId="0DFDBCF2" w:rsidR="006941EA" w:rsidRPr="006941EA" w:rsidRDefault="009A3DC3" w:rsidP="00770357">
      <w:pPr>
        <w:numPr>
          <w:ilvl w:val="0"/>
          <w:numId w:val="21"/>
        </w:numPr>
      </w:pPr>
      <w:hyperlink r:id="rId61" w:history="1">
        <w:r w:rsidR="006941EA" w:rsidRPr="006941EA">
          <w:rPr>
            <w:rStyle w:val="Hyperlink"/>
          </w:rPr>
          <w:t>SG3</w:t>
        </w:r>
      </w:hyperlink>
      <w:r w:rsidR="003A5841">
        <w:t xml:space="preserve">: </w:t>
      </w:r>
      <w:r w:rsidR="006941EA" w:rsidRPr="006941EA">
        <w:t>Geneva,</w:t>
      </w:r>
      <w:r w:rsidR="00AF4404">
        <w:t xml:space="preserve"> 10 </w:t>
      </w:r>
      <w:r w:rsidR="00D84240">
        <w:t>November</w:t>
      </w:r>
      <w:r w:rsidR="00AF4404">
        <w:t xml:space="preserve"> </w:t>
      </w:r>
      <w:r w:rsidR="006941EA" w:rsidRPr="006941EA">
        <w:t>202</w:t>
      </w:r>
      <w:r w:rsidR="00AF4404">
        <w:t>3</w:t>
      </w:r>
    </w:p>
    <w:p w14:paraId="14AA9ABB" w14:textId="1281E9CD" w:rsidR="006941EA" w:rsidRPr="006941EA" w:rsidRDefault="009A3DC3" w:rsidP="00770357">
      <w:pPr>
        <w:numPr>
          <w:ilvl w:val="0"/>
          <w:numId w:val="21"/>
        </w:numPr>
      </w:pPr>
      <w:hyperlink r:id="rId62" w:history="1">
        <w:r w:rsidR="006941EA" w:rsidRPr="006941EA">
          <w:rPr>
            <w:rStyle w:val="Hyperlink"/>
          </w:rPr>
          <w:t>SG5</w:t>
        </w:r>
      </w:hyperlink>
      <w:r w:rsidR="006941EA" w:rsidRPr="006941EA">
        <w:t xml:space="preserve">: </w:t>
      </w:r>
      <w:r w:rsidR="00D84240">
        <w:t>Geneva</w:t>
      </w:r>
      <w:r w:rsidR="006941EA" w:rsidRPr="006941EA">
        <w:t xml:space="preserve">, </w:t>
      </w:r>
      <w:r w:rsidR="00D84240">
        <w:t>13-22 Novem</w:t>
      </w:r>
      <w:r w:rsidR="00D73518">
        <w:t>ber 20</w:t>
      </w:r>
      <w:r w:rsidR="00D84240">
        <w:t>23</w:t>
      </w:r>
      <w:r w:rsidR="000A66DC">
        <w:t xml:space="preserve">; </w:t>
      </w:r>
      <w:r w:rsidR="000A66DC" w:rsidRPr="00D05584">
        <w:t>Sophia Antipolis, France, 13-23 June 2023</w:t>
      </w:r>
    </w:p>
    <w:p w14:paraId="6FFEA556" w14:textId="28EFE3C6" w:rsidR="006941EA" w:rsidRPr="006941EA" w:rsidRDefault="009A3DC3" w:rsidP="00770357">
      <w:pPr>
        <w:numPr>
          <w:ilvl w:val="0"/>
          <w:numId w:val="21"/>
        </w:numPr>
      </w:pPr>
      <w:hyperlink r:id="rId63" w:history="1">
        <w:r w:rsidR="006941EA" w:rsidRPr="006941EA">
          <w:rPr>
            <w:rStyle w:val="Hyperlink"/>
          </w:rPr>
          <w:t>SG9</w:t>
        </w:r>
      </w:hyperlink>
      <w:r w:rsidR="006941EA" w:rsidRPr="006941EA">
        <w:t xml:space="preserve">: </w:t>
      </w:r>
      <w:r w:rsidR="00D84240" w:rsidRPr="00D84240">
        <w:t>Bogotá, Colombia</w:t>
      </w:r>
      <w:r w:rsidR="00D84240" w:rsidRPr="00310193">
        <w:t xml:space="preserve">, </w:t>
      </w:r>
      <w:r w:rsidR="00D84240">
        <w:t>14-23</w:t>
      </w:r>
      <w:r w:rsidR="00D84240" w:rsidRPr="00310193">
        <w:t xml:space="preserve"> </w:t>
      </w:r>
      <w:r w:rsidR="00D84240">
        <w:t>November</w:t>
      </w:r>
      <w:r w:rsidR="00D84240" w:rsidRPr="00310193">
        <w:t xml:space="preserve"> 2023</w:t>
      </w:r>
      <w:r w:rsidR="00D84240">
        <w:t xml:space="preserve">; </w:t>
      </w:r>
      <w:r w:rsidR="00D73518" w:rsidRPr="00310193">
        <w:t>Bangalore</w:t>
      </w:r>
      <w:r w:rsidR="006941EA" w:rsidRPr="00310193">
        <w:t>,</w:t>
      </w:r>
      <w:r w:rsidR="00D73518" w:rsidRPr="00310193">
        <w:t xml:space="preserve"> India, 9-18 May 2023</w:t>
      </w:r>
    </w:p>
    <w:p w14:paraId="1719D74B" w14:textId="6AD33EC4" w:rsidR="006941EA" w:rsidRPr="006941EA" w:rsidRDefault="009A3DC3" w:rsidP="00770357">
      <w:pPr>
        <w:numPr>
          <w:ilvl w:val="0"/>
          <w:numId w:val="21"/>
        </w:numPr>
      </w:pPr>
      <w:hyperlink r:id="rId64" w:history="1">
        <w:r w:rsidR="006941EA" w:rsidRPr="006941EA">
          <w:rPr>
            <w:rStyle w:val="Hyperlink"/>
          </w:rPr>
          <w:t>SG11</w:t>
        </w:r>
      </w:hyperlink>
      <w:r w:rsidR="006941EA" w:rsidRPr="006941EA">
        <w:t xml:space="preserve">: </w:t>
      </w:r>
      <w:r w:rsidR="00D84240">
        <w:t xml:space="preserve">Geneva, 10-20 October 2023; </w:t>
      </w:r>
      <w:r w:rsidR="006941EA" w:rsidRPr="00310193">
        <w:t xml:space="preserve">Geneva, </w:t>
      </w:r>
      <w:r w:rsidR="00D73518" w:rsidRPr="00310193">
        <w:t>10-19 May 2023</w:t>
      </w:r>
    </w:p>
    <w:p w14:paraId="5565263F" w14:textId="075E40D3" w:rsidR="006941EA" w:rsidRPr="006941EA" w:rsidRDefault="009A3DC3" w:rsidP="00770357">
      <w:pPr>
        <w:numPr>
          <w:ilvl w:val="0"/>
          <w:numId w:val="21"/>
        </w:numPr>
      </w:pPr>
      <w:hyperlink r:id="rId65" w:history="1">
        <w:r w:rsidR="006941EA" w:rsidRPr="006941EA">
          <w:rPr>
            <w:rStyle w:val="Hyperlink"/>
          </w:rPr>
          <w:t>SG12</w:t>
        </w:r>
      </w:hyperlink>
      <w:r w:rsidR="006941EA" w:rsidRPr="006941EA">
        <w:t>:</w:t>
      </w:r>
      <w:r w:rsidR="00D84240">
        <w:t xml:space="preserve"> Mexico City</w:t>
      </w:r>
      <w:r w:rsidR="006941EA" w:rsidRPr="006941EA">
        <w:t xml:space="preserve">, </w:t>
      </w:r>
      <w:r w:rsidR="00D84240">
        <w:t>Mexico, 19-28 September</w:t>
      </w:r>
      <w:r w:rsidR="00D73518">
        <w:t xml:space="preserve"> 2023</w:t>
      </w:r>
    </w:p>
    <w:p w14:paraId="24791C19" w14:textId="2A4E588C" w:rsidR="006941EA" w:rsidRDefault="009A3DC3" w:rsidP="00770357">
      <w:pPr>
        <w:numPr>
          <w:ilvl w:val="0"/>
          <w:numId w:val="21"/>
        </w:numPr>
      </w:pPr>
      <w:hyperlink r:id="rId66" w:history="1">
        <w:r w:rsidR="006941EA" w:rsidRPr="006941EA">
          <w:rPr>
            <w:rStyle w:val="Hyperlink"/>
          </w:rPr>
          <w:t>SG13</w:t>
        </w:r>
      </w:hyperlink>
      <w:r w:rsidR="006941EA" w:rsidRPr="006941EA">
        <w:t xml:space="preserve">: Geneva, </w:t>
      </w:r>
      <w:r w:rsidR="00D84240">
        <w:t xml:space="preserve">23 October </w:t>
      </w:r>
      <w:r w:rsidR="00D73518">
        <w:t>-</w:t>
      </w:r>
      <w:r w:rsidR="00D84240">
        <w:t xml:space="preserve"> 3</w:t>
      </w:r>
      <w:r w:rsidR="00D73518">
        <w:t xml:space="preserve"> </w:t>
      </w:r>
      <w:r w:rsidR="00D84240">
        <w:t>November</w:t>
      </w:r>
      <w:r w:rsidR="00D73518">
        <w:t xml:space="preserve"> 2023</w:t>
      </w:r>
      <w:r w:rsidR="00D84240">
        <w:t>; Geneva, 26 July 2023</w:t>
      </w:r>
    </w:p>
    <w:p w14:paraId="3CFFA543" w14:textId="484E9273" w:rsidR="00A61119" w:rsidRPr="006941EA" w:rsidRDefault="009A3DC3" w:rsidP="00770357">
      <w:pPr>
        <w:numPr>
          <w:ilvl w:val="0"/>
          <w:numId w:val="21"/>
        </w:numPr>
      </w:pPr>
      <w:hyperlink r:id="rId67" w:history="1">
        <w:r w:rsidR="00A61119" w:rsidRPr="00A61119">
          <w:rPr>
            <w:rStyle w:val="Hyperlink"/>
          </w:rPr>
          <w:t>SG16</w:t>
        </w:r>
      </w:hyperlink>
      <w:r w:rsidR="00A61119">
        <w:t>: Geneva, 10-21 July 2023</w:t>
      </w:r>
    </w:p>
    <w:p w14:paraId="5537C36C" w14:textId="45A6FBA4" w:rsidR="006941EA" w:rsidRPr="006941EA" w:rsidRDefault="009A3DC3" w:rsidP="00770357">
      <w:pPr>
        <w:numPr>
          <w:ilvl w:val="0"/>
          <w:numId w:val="21"/>
        </w:numPr>
      </w:pPr>
      <w:hyperlink r:id="rId68" w:history="1">
        <w:r w:rsidR="006941EA" w:rsidRPr="006941EA">
          <w:rPr>
            <w:rStyle w:val="Hyperlink"/>
          </w:rPr>
          <w:t>SG15</w:t>
        </w:r>
      </w:hyperlink>
      <w:r w:rsidR="006941EA" w:rsidRPr="006941EA">
        <w:t xml:space="preserve">: Geneva, </w:t>
      </w:r>
      <w:r w:rsidR="00D84240">
        <w:t>20 November - 1 December 2023</w:t>
      </w:r>
    </w:p>
    <w:p w14:paraId="5594205B" w14:textId="7C21A651" w:rsidR="006941EA" w:rsidRPr="006941EA" w:rsidRDefault="009A3DC3" w:rsidP="00770357">
      <w:pPr>
        <w:numPr>
          <w:ilvl w:val="0"/>
          <w:numId w:val="21"/>
        </w:numPr>
      </w:pPr>
      <w:hyperlink r:id="rId69" w:history="1">
        <w:r w:rsidR="006941EA" w:rsidRPr="006941EA">
          <w:rPr>
            <w:rStyle w:val="Hyperlink"/>
          </w:rPr>
          <w:t>SG17</w:t>
        </w:r>
      </w:hyperlink>
      <w:r w:rsidR="006941EA" w:rsidRPr="006941EA">
        <w:t xml:space="preserve">: </w:t>
      </w:r>
      <w:proofErr w:type="spellStart"/>
      <w:r w:rsidR="00D84240" w:rsidRPr="00D84240">
        <w:t>Goyang</w:t>
      </w:r>
      <w:proofErr w:type="spellEnd"/>
      <w:r w:rsidR="00D84240" w:rsidRPr="00D84240">
        <w:t xml:space="preserve">, </w:t>
      </w:r>
      <w:r w:rsidR="00D84240">
        <w:t xml:space="preserve">Korea (Rep. of), </w:t>
      </w:r>
      <w:r w:rsidR="00D84240" w:rsidRPr="00D84240">
        <w:t>29 August - 8 September 2023</w:t>
      </w:r>
      <w:r w:rsidR="00D84240">
        <w:t xml:space="preserve">; </w:t>
      </w:r>
      <w:r w:rsidR="00A61119">
        <w:t>online</w:t>
      </w:r>
      <w:r w:rsidR="00D84240">
        <w:t>, 8 May 2023</w:t>
      </w:r>
    </w:p>
    <w:p w14:paraId="2EAA3028" w14:textId="7238F436" w:rsidR="006941EA" w:rsidRDefault="009A3DC3" w:rsidP="00770357">
      <w:pPr>
        <w:numPr>
          <w:ilvl w:val="0"/>
          <w:numId w:val="21"/>
        </w:numPr>
      </w:pPr>
      <w:hyperlink r:id="rId70" w:history="1">
        <w:r w:rsidR="006941EA" w:rsidRPr="006941EA">
          <w:rPr>
            <w:rStyle w:val="Hyperlink"/>
          </w:rPr>
          <w:t>SG20</w:t>
        </w:r>
      </w:hyperlink>
      <w:r w:rsidR="006941EA" w:rsidRPr="006941EA">
        <w:t xml:space="preserve">: </w:t>
      </w:r>
      <w:r w:rsidR="00D84240">
        <w:t>Arusha</w:t>
      </w:r>
      <w:r w:rsidR="006941EA" w:rsidRPr="006941EA">
        <w:t xml:space="preserve">, </w:t>
      </w:r>
      <w:r w:rsidR="000A66DC">
        <w:t>Tanzania</w:t>
      </w:r>
      <w:r w:rsidR="00D84240">
        <w:t xml:space="preserve">, </w:t>
      </w:r>
      <w:r w:rsidR="00A61119">
        <w:t xml:space="preserve">13-22 September </w:t>
      </w:r>
      <w:r w:rsidR="006941EA" w:rsidRPr="006941EA">
        <w:t>202</w:t>
      </w:r>
      <w:r w:rsidR="00D73518">
        <w:t>3</w:t>
      </w:r>
    </w:p>
    <w:p w14:paraId="59BA0DC9" w14:textId="280C2780" w:rsidR="006941EA" w:rsidRDefault="006941EA" w:rsidP="006941EA">
      <w:pPr>
        <w:pStyle w:val="Heading2"/>
        <w:ind w:left="0" w:firstLine="0"/>
      </w:pPr>
      <w:bookmarkStart w:id="31" w:name="_Toc156392407"/>
      <w:r>
        <w:t>1</w:t>
      </w:r>
      <w:r w:rsidRPr="00C32576">
        <w:t>.</w:t>
      </w:r>
      <w:r w:rsidR="000E3711">
        <w:t>2</w:t>
      </w:r>
      <w:r w:rsidRPr="00C32576">
        <w:tab/>
      </w:r>
      <w:r>
        <w:t xml:space="preserve">Non-attendance of chairmen and </w:t>
      </w:r>
      <w:r w:rsidRPr="00C5776F">
        <w:t>vice-chairmen</w:t>
      </w:r>
      <w:bookmarkEnd w:id="31"/>
    </w:p>
    <w:p w14:paraId="07E7E1C8" w14:textId="13FD039B"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hair</w:t>
      </w:r>
      <w:r w:rsidR="00BB7AB2">
        <w:rPr>
          <w:lang w:val="en-US"/>
        </w:rPr>
        <w:t>s</w:t>
      </w:r>
      <w:r w:rsidR="006941EA" w:rsidRPr="00E2737A">
        <w:rPr>
          <w:lang w:val="en-US"/>
        </w:rPr>
        <w:t xml:space="preserve"> and </w:t>
      </w:r>
      <w:r w:rsidR="006941EA">
        <w:rPr>
          <w:lang w:val="en-US"/>
        </w:rPr>
        <w:t>V</w:t>
      </w:r>
      <w:r w:rsidR="006941EA" w:rsidRPr="00E2737A">
        <w:rPr>
          <w:lang w:val="en-US"/>
        </w:rPr>
        <w:t>ice-</w:t>
      </w:r>
      <w:r w:rsidR="006941EA">
        <w:rPr>
          <w:lang w:val="en-US"/>
        </w:rPr>
        <w:t>C</w:t>
      </w:r>
      <w:r w:rsidR="006941EA" w:rsidRPr="00E2737A">
        <w:rPr>
          <w:lang w:val="en-US"/>
        </w:rPr>
        <w:t>hai</w:t>
      </w:r>
      <w:r w:rsidR="00BB7AB2">
        <w:rPr>
          <w:lang w:val="en-US"/>
        </w:rPr>
        <w:t>rs</w:t>
      </w:r>
      <w:r w:rsidR="006941EA" w:rsidRPr="00E2737A">
        <w:rPr>
          <w:lang w:val="en-US"/>
        </w:rPr>
        <w:t xml:space="preserve">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733F87BC" w14:textId="429A0FA0" w:rsidR="00D05584" w:rsidRDefault="00E96F5A" w:rsidP="00D05584">
      <w:pPr>
        <w:spacing w:after="120"/>
        <w:rPr>
          <w:lang w:val="en-US"/>
        </w:rPr>
      </w:pPr>
      <w:r>
        <w:rPr>
          <w:lang w:val="en-US"/>
        </w:rPr>
        <w:t xml:space="preserve">The following table lists </w:t>
      </w:r>
      <w:r w:rsidR="00D73518">
        <w:rPr>
          <w:lang w:val="en-US"/>
        </w:rPr>
        <w:t>V</w:t>
      </w:r>
      <w:r>
        <w:rPr>
          <w:lang w:val="en-US"/>
        </w:rPr>
        <w:t>ice-</w:t>
      </w:r>
      <w:r w:rsidR="00D73518">
        <w:rPr>
          <w:lang w:val="en-US"/>
        </w:rPr>
        <w:t>C</w:t>
      </w:r>
      <w:r>
        <w:rPr>
          <w:lang w:val="en-US"/>
        </w:rPr>
        <w:t>hair</w:t>
      </w:r>
      <w:r w:rsidR="00BB7AB2">
        <w:rPr>
          <w:lang w:val="en-US"/>
        </w:rPr>
        <w:t>s</w:t>
      </w:r>
      <w:r>
        <w:rPr>
          <w:lang w:val="en-US"/>
        </w:rPr>
        <w:t xml:space="preserve"> not in attendance at study group meetings held in the reporting period</w:t>
      </w:r>
      <w:r w:rsidR="00BB7AB2">
        <w:rPr>
          <w:lang w:val="en-US"/>
        </w:rPr>
        <w:t>. No Chairs were absent from meetings in the reporting period. No Vice-Chairs were absent from meetings of SG2, SG15 and SG20 in the reporting period.</w:t>
      </w:r>
    </w:p>
    <w:p w14:paraId="1FC56533" w14:textId="77777777" w:rsidR="00BB7AB2" w:rsidRDefault="00BB7AB2" w:rsidP="00BB7AB2">
      <w:pPr>
        <w:spacing w:after="120"/>
        <w:rPr>
          <w:lang w:val="en-US"/>
        </w:rPr>
      </w:pPr>
    </w:p>
    <w:tbl>
      <w:tblPr>
        <w:tblStyle w:val="TableGrid"/>
        <w:tblW w:w="5000" w:type="pct"/>
        <w:tblLook w:val="04A0" w:firstRow="1" w:lastRow="0" w:firstColumn="1" w:lastColumn="0" w:noHBand="0" w:noVBand="1"/>
      </w:tblPr>
      <w:tblGrid>
        <w:gridCol w:w="1009"/>
        <w:gridCol w:w="3376"/>
        <w:gridCol w:w="5244"/>
      </w:tblGrid>
      <w:tr w:rsidR="00BB7AB2" w14:paraId="35BD1DC8" w14:textId="77777777" w:rsidTr="00BB7AB2">
        <w:tc>
          <w:tcPr>
            <w:tcW w:w="524" w:type="pct"/>
            <w:tcBorders>
              <w:top w:val="single" w:sz="4" w:space="0" w:color="auto"/>
              <w:left w:val="single" w:sz="4" w:space="0" w:color="auto"/>
              <w:bottom w:val="single" w:sz="4" w:space="0" w:color="auto"/>
              <w:right w:val="single" w:sz="4" w:space="0" w:color="auto"/>
            </w:tcBorders>
            <w:vAlign w:val="center"/>
            <w:hideMark/>
          </w:tcPr>
          <w:p w14:paraId="72C819C9" w14:textId="77777777" w:rsidR="00BB7AB2" w:rsidRDefault="00BB7AB2">
            <w:pPr>
              <w:jc w:val="center"/>
              <w:rPr>
                <w:b/>
                <w:bCs/>
                <w:lang w:val="en-US" w:eastAsia="en-US"/>
              </w:rPr>
            </w:pPr>
            <w:r>
              <w:rPr>
                <w:b/>
                <w:bCs/>
                <w:lang w:eastAsia="en-US"/>
              </w:rPr>
              <w:lastRenderedPageBreak/>
              <w:t>Study Group</w:t>
            </w:r>
          </w:p>
        </w:tc>
        <w:tc>
          <w:tcPr>
            <w:tcW w:w="1753" w:type="pct"/>
            <w:tcBorders>
              <w:top w:val="single" w:sz="4" w:space="0" w:color="auto"/>
              <w:left w:val="single" w:sz="4" w:space="0" w:color="auto"/>
              <w:bottom w:val="single" w:sz="4" w:space="0" w:color="auto"/>
              <w:right w:val="single" w:sz="4" w:space="0" w:color="auto"/>
            </w:tcBorders>
            <w:vAlign w:val="center"/>
            <w:hideMark/>
          </w:tcPr>
          <w:p w14:paraId="01922012" w14:textId="77777777" w:rsidR="00BB7AB2" w:rsidRDefault="00BB7AB2">
            <w:pPr>
              <w:jc w:val="center"/>
              <w:rPr>
                <w:b/>
                <w:bCs/>
                <w:lang w:eastAsia="en-US"/>
              </w:rPr>
            </w:pPr>
            <w:r>
              <w:rPr>
                <w:b/>
                <w:bCs/>
                <w:lang w:eastAsia="en-US"/>
              </w:rPr>
              <w:t>Meeting</w:t>
            </w:r>
          </w:p>
        </w:tc>
        <w:tc>
          <w:tcPr>
            <w:tcW w:w="2723" w:type="pct"/>
            <w:tcBorders>
              <w:top w:val="single" w:sz="4" w:space="0" w:color="auto"/>
              <w:left w:val="single" w:sz="4" w:space="0" w:color="auto"/>
              <w:bottom w:val="single" w:sz="4" w:space="0" w:color="auto"/>
              <w:right w:val="single" w:sz="4" w:space="0" w:color="auto"/>
            </w:tcBorders>
            <w:vAlign w:val="center"/>
            <w:hideMark/>
          </w:tcPr>
          <w:p w14:paraId="5DE50351" w14:textId="77777777" w:rsidR="00BB7AB2" w:rsidRDefault="00BB7AB2">
            <w:pPr>
              <w:jc w:val="center"/>
              <w:rPr>
                <w:b/>
                <w:bCs/>
                <w:lang w:eastAsia="en-US"/>
              </w:rPr>
            </w:pPr>
            <w:r>
              <w:rPr>
                <w:b/>
                <w:bCs/>
                <w:lang w:eastAsia="en-US"/>
              </w:rPr>
              <w:t>Non-attendance of</w:t>
            </w:r>
          </w:p>
        </w:tc>
      </w:tr>
      <w:tr w:rsidR="00BB7AB2" w14:paraId="5FBFFD19"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332C616A" w14:textId="77777777" w:rsidR="00BB7AB2" w:rsidRDefault="00BB7AB2">
            <w:pPr>
              <w:jc w:val="center"/>
              <w:rPr>
                <w:b/>
                <w:bCs/>
                <w:lang w:eastAsia="en-US"/>
              </w:rPr>
            </w:pPr>
            <w:r>
              <w:rPr>
                <w:lang w:eastAsia="en-US"/>
              </w:rPr>
              <w:t>SG3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48A1FE97" w14:textId="77777777" w:rsidR="00BB7AB2" w:rsidRDefault="00BB7AB2">
            <w:pPr>
              <w:rPr>
                <w:lang w:eastAsia="zh-CN"/>
              </w:rPr>
            </w:pPr>
            <w:r>
              <w:rPr>
                <w:lang w:eastAsia="en-US"/>
              </w:rPr>
              <w:t xml:space="preserve">Geneva, </w:t>
            </w:r>
            <w:r>
              <w:t>10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09B0D3F4" w14:textId="77777777" w:rsidR="00BB7AB2" w:rsidRDefault="00BB7AB2">
            <w:pPr>
              <w:rPr>
                <w:b/>
                <w:bCs/>
                <w:lang w:eastAsia="en-US"/>
              </w:rPr>
            </w:pPr>
            <w:r>
              <w:t>Karima MAHMOUDI, Tunisia</w:t>
            </w:r>
          </w:p>
        </w:tc>
      </w:tr>
      <w:tr w:rsidR="00BB7AB2" w14:paraId="7D263CBF"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635D9088" w14:textId="77777777" w:rsidR="00BB7AB2" w:rsidRDefault="00BB7AB2">
            <w:pPr>
              <w:spacing w:before="0"/>
              <w:rPr>
                <w:rFonts w:eastAsia="SimSun"/>
                <w:b/>
                <w:bCs/>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E9331"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6DE173D9" w14:textId="77777777" w:rsidR="00BB7AB2" w:rsidRDefault="00BB7AB2">
            <w:pPr>
              <w:rPr>
                <w:lang w:eastAsia="zh-CN"/>
              </w:rPr>
            </w:pPr>
            <w:r>
              <w:t>Shailendra Kumar MISHRA, India</w:t>
            </w:r>
          </w:p>
        </w:tc>
      </w:tr>
      <w:tr w:rsidR="00BB7AB2" w14:paraId="3C371BDD"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3EF56166" w14:textId="77777777" w:rsidR="00BB7AB2" w:rsidRDefault="00BB7AB2">
            <w:pPr>
              <w:spacing w:before="0"/>
              <w:rPr>
                <w:rFonts w:eastAsia="SimSun"/>
                <w:b/>
                <w:bCs/>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66330"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1838202D" w14:textId="77777777" w:rsidR="00BB7AB2" w:rsidRDefault="00BB7AB2">
            <w:r>
              <w:t>Marthe UWAMARIYA, Rwanda</w:t>
            </w:r>
          </w:p>
        </w:tc>
      </w:tr>
      <w:tr w:rsidR="00BB7AB2" w14:paraId="55867C67"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2934CBFF" w14:textId="77777777" w:rsidR="00BB7AB2" w:rsidRDefault="00BB7AB2">
            <w:pPr>
              <w:jc w:val="center"/>
              <w:rPr>
                <w:lang w:eastAsia="en-US"/>
              </w:rPr>
            </w:pPr>
            <w:r>
              <w:rPr>
                <w:lang w:eastAsia="en-US"/>
              </w:rPr>
              <w:t>SG5</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6982BFE3" w14:textId="77777777" w:rsidR="00BB7AB2" w:rsidRDefault="00BB7AB2">
            <w:pPr>
              <w:rPr>
                <w:lang w:eastAsia="zh-CN"/>
              </w:rPr>
            </w:pPr>
            <w:r>
              <w:t>Sophia Antipolis, France, 13-23 June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580867E4" w14:textId="77777777" w:rsidR="00BB7AB2" w:rsidRDefault="00BB7AB2">
            <w:pPr>
              <w:rPr>
                <w:lang w:eastAsia="en-US"/>
              </w:rPr>
            </w:pPr>
            <w:r>
              <w:t>Pedro BRISSON, Argentina</w:t>
            </w:r>
          </w:p>
        </w:tc>
      </w:tr>
      <w:tr w:rsidR="00BB7AB2" w14:paraId="43B24B08"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235F6ECF"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ACA8D"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47A94469" w14:textId="77777777" w:rsidR="00BB7AB2" w:rsidRDefault="00BB7AB2">
            <w:pPr>
              <w:rPr>
                <w:lang w:eastAsia="en-US"/>
              </w:rPr>
            </w:pPr>
            <w:r>
              <w:t>Vincent Urbain NAMRONA, Central African Rep.</w:t>
            </w:r>
          </w:p>
        </w:tc>
      </w:tr>
      <w:tr w:rsidR="00BB7AB2" w14:paraId="5AF2E099"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29F55869"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D7A34"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6B55F05C" w14:textId="77777777" w:rsidR="00BB7AB2" w:rsidRDefault="00BB7AB2">
            <w:pPr>
              <w:tabs>
                <w:tab w:val="clear" w:pos="794"/>
                <w:tab w:val="clear" w:pos="1588"/>
                <w:tab w:val="clear" w:pos="1985"/>
              </w:tabs>
              <w:rPr>
                <w:lang w:eastAsia="en-US"/>
              </w:rPr>
            </w:pPr>
            <w:proofErr w:type="spellStart"/>
            <w:r>
              <w:t>Saidiahrol</w:t>
            </w:r>
            <w:proofErr w:type="spellEnd"/>
            <w:r>
              <w:t xml:space="preserve"> </w:t>
            </w:r>
            <w:proofErr w:type="spellStart"/>
            <w:r>
              <w:t>SAIDIAKBAROV</w:t>
            </w:r>
            <w:proofErr w:type="spellEnd"/>
            <w:r>
              <w:t>, Republic of Uzbekistan</w:t>
            </w:r>
          </w:p>
        </w:tc>
      </w:tr>
      <w:tr w:rsidR="00BB7AB2" w14:paraId="0494CD49"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329F2C11" w14:textId="77777777" w:rsidR="00BB7AB2" w:rsidRDefault="00BB7AB2">
            <w:pPr>
              <w:spacing w:before="0"/>
              <w:rPr>
                <w:rFonts w:eastAsia="SimSun"/>
                <w:lang w:val="en-US" w:eastAsia="en-US"/>
              </w:rPr>
            </w:pP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1F6A63E4" w14:textId="77777777" w:rsidR="00BB7AB2" w:rsidRDefault="00BB7AB2">
            <w:pPr>
              <w:rPr>
                <w:lang w:eastAsia="zh-CN"/>
              </w:rPr>
            </w:pPr>
            <w:r>
              <w:t>Geneva, 13-22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4F86E1E4" w14:textId="77777777" w:rsidR="00BB7AB2" w:rsidRDefault="00BB7AB2">
            <w:pPr>
              <w:rPr>
                <w:lang w:eastAsia="en-US"/>
              </w:rPr>
            </w:pPr>
            <w:r>
              <w:t>Vincent Urbain NAMRONA, Central African Rep.</w:t>
            </w:r>
          </w:p>
        </w:tc>
      </w:tr>
      <w:tr w:rsidR="00BB7AB2" w14:paraId="4DF49E7F"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5B941ABF"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2F830"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47882B5E" w14:textId="77777777" w:rsidR="00BB7AB2" w:rsidRDefault="00BB7AB2">
            <w:pPr>
              <w:rPr>
                <w:lang w:eastAsia="en-US"/>
              </w:rPr>
            </w:pPr>
            <w:proofErr w:type="spellStart"/>
            <w:r>
              <w:t>Saidiahrol</w:t>
            </w:r>
            <w:proofErr w:type="spellEnd"/>
            <w:r>
              <w:t xml:space="preserve"> </w:t>
            </w:r>
            <w:proofErr w:type="spellStart"/>
            <w:r>
              <w:t>SAIDIAKBAROV</w:t>
            </w:r>
            <w:proofErr w:type="spellEnd"/>
            <w:r>
              <w:t>, Republic of Uzbekistan</w:t>
            </w:r>
          </w:p>
        </w:tc>
      </w:tr>
      <w:tr w:rsidR="00BB7AB2" w14:paraId="1CB2FBA2" w14:textId="77777777" w:rsidTr="00BB7AB2">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156D0"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C39E2"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4CE58884" w14:textId="77777777" w:rsidR="00BB7AB2" w:rsidRDefault="00BB7AB2">
            <w:pPr>
              <w:snapToGrid w:val="0"/>
              <w:rPr>
                <w:lang w:eastAsia="en-US"/>
              </w:rPr>
            </w:pPr>
            <w:r>
              <w:t>Kazuhiro TAKAYA, Japan</w:t>
            </w:r>
          </w:p>
        </w:tc>
      </w:tr>
      <w:tr w:rsidR="00BB7AB2" w14:paraId="5990F9B0" w14:textId="77777777" w:rsidTr="00BB7AB2">
        <w:trPr>
          <w:trHeight w:val="362"/>
        </w:trPr>
        <w:tc>
          <w:tcPr>
            <w:tcW w:w="524" w:type="pct"/>
            <w:vMerge w:val="restart"/>
            <w:tcBorders>
              <w:top w:val="single" w:sz="4" w:space="0" w:color="auto"/>
              <w:left w:val="single" w:sz="4" w:space="0" w:color="auto"/>
              <w:bottom w:val="nil"/>
              <w:right w:val="single" w:sz="4" w:space="0" w:color="auto"/>
            </w:tcBorders>
            <w:vAlign w:val="center"/>
            <w:hideMark/>
          </w:tcPr>
          <w:p w14:paraId="196C3ADD" w14:textId="77777777" w:rsidR="00BB7AB2" w:rsidRDefault="00BB7AB2">
            <w:pPr>
              <w:jc w:val="center"/>
              <w:rPr>
                <w:lang w:eastAsia="en-US"/>
              </w:rPr>
            </w:pPr>
            <w:r>
              <w:rPr>
                <w:lang w:eastAsia="en-US"/>
              </w:rPr>
              <w:t>SG9</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681AEEEC" w14:textId="77777777" w:rsidR="00BB7AB2" w:rsidRDefault="00BB7AB2">
            <w:pPr>
              <w:rPr>
                <w:lang w:eastAsia="zh-CN"/>
              </w:rPr>
            </w:pPr>
            <w:r>
              <w:t>Bogotá, Colombia, 14-23 November 2023</w:t>
            </w:r>
          </w:p>
        </w:tc>
        <w:tc>
          <w:tcPr>
            <w:tcW w:w="2723" w:type="pct"/>
            <w:tcBorders>
              <w:top w:val="single" w:sz="4" w:space="0" w:color="auto"/>
              <w:left w:val="single" w:sz="4" w:space="0" w:color="auto"/>
              <w:bottom w:val="single" w:sz="4" w:space="0" w:color="auto"/>
              <w:right w:val="single" w:sz="4" w:space="0" w:color="auto"/>
            </w:tcBorders>
            <w:hideMark/>
          </w:tcPr>
          <w:p w14:paraId="6C4CCE3D" w14:textId="77777777" w:rsidR="00BB7AB2" w:rsidRDefault="00BB7AB2">
            <w:pPr>
              <w:rPr>
                <w:rFonts w:eastAsia="Times New Roman"/>
              </w:rPr>
            </w:pPr>
            <w:r>
              <w:t>Blaise MAMADOU, Central African Rep.</w:t>
            </w:r>
          </w:p>
        </w:tc>
      </w:tr>
      <w:tr w:rsidR="00BB7AB2" w14:paraId="117D2DC9" w14:textId="77777777" w:rsidTr="00BB7AB2">
        <w:trPr>
          <w:trHeight w:val="400"/>
        </w:trPr>
        <w:tc>
          <w:tcPr>
            <w:tcW w:w="0" w:type="auto"/>
            <w:vMerge/>
            <w:tcBorders>
              <w:top w:val="single" w:sz="4" w:space="0" w:color="auto"/>
              <w:left w:val="single" w:sz="4" w:space="0" w:color="auto"/>
              <w:bottom w:val="nil"/>
              <w:right w:val="single" w:sz="4" w:space="0" w:color="auto"/>
            </w:tcBorders>
            <w:vAlign w:val="center"/>
            <w:hideMark/>
          </w:tcPr>
          <w:p w14:paraId="29C7B4C6"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ECF9E"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4F1FC95F" w14:textId="77777777" w:rsidR="00BB7AB2" w:rsidRDefault="00BB7AB2">
            <w:pPr>
              <w:rPr>
                <w:rFonts w:eastAsia="SimSun"/>
              </w:rPr>
            </w:pPr>
            <w:proofErr w:type="spellStart"/>
            <w:r>
              <w:t>Zhifan</w:t>
            </w:r>
            <w:proofErr w:type="spellEnd"/>
            <w:r>
              <w:t xml:space="preserve"> SHENG, China</w:t>
            </w:r>
          </w:p>
        </w:tc>
      </w:tr>
      <w:tr w:rsidR="00BB7AB2" w14:paraId="2447CDF3"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A523D8E" w14:textId="77777777" w:rsidR="00BB7AB2" w:rsidRDefault="00BB7AB2">
            <w:pPr>
              <w:jc w:val="center"/>
              <w:rPr>
                <w:lang w:eastAsia="en-US"/>
              </w:rPr>
            </w:pPr>
            <w:r>
              <w:rPr>
                <w:lang w:eastAsia="en-US"/>
              </w:rPr>
              <w:t>SG11</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101039A5" w14:textId="77777777" w:rsidR="00BB7AB2" w:rsidRDefault="00BB7AB2">
            <w:pPr>
              <w:rPr>
                <w:lang w:eastAsia="zh-CN"/>
              </w:rPr>
            </w:pPr>
            <w:r>
              <w:t>Geneva, 10-20 October 2023</w:t>
            </w:r>
          </w:p>
        </w:tc>
        <w:tc>
          <w:tcPr>
            <w:tcW w:w="2723" w:type="pct"/>
            <w:tcBorders>
              <w:top w:val="single" w:sz="4" w:space="0" w:color="auto"/>
              <w:left w:val="single" w:sz="4" w:space="0" w:color="auto"/>
              <w:bottom w:val="single" w:sz="4" w:space="0" w:color="auto"/>
              <w:right w:val="single" w:sz="4" w:space="0" w:color="auto"/>
            </w:tcBorders>
            <w:hideMark/>
          </w:tcPr>
          <w:p w14:paraId="5980263D" w14:textId="77777777" w:rsidR="00BB7AB2" w:rsidRDefault="00BB7AB2">
            <w:pPr>
              <w:rPr>
                <w:lang w:eastAsia="en-US"/>
              </w:rPr>
            </w:pPr>
            <w:r>
              <w:t>Ibrahim Abdalah Mohamed BALA, Sudan</w:t>
            </w:r>
          </w:p>
        </w:tc>
      </w:tr>
      <w:tr w:rsidR="00BB7AB2" w14:paraId="4E5E9A29"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71B4AA4F"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67A08"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1CB45CF3" w14:textId="77777777" w:rsidR="00BB7AB2" w:rsidRDefault="00BB7AB2">
            <w:pPr>
              <w:rPr>
                <w:lang w:eastAsia="en-US"/>
              </w:rPr>
            </w:pPr>
            <w:r>
              <w:t>Juan Matias CATTANEO, Argentina</w:t>
            </w:r>
          </w:p>
        </w:tc>
      </w:tr>
      <w:tr w:rsidR="00BB7AB2" w14:paraId="0127AA14"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1E4D0677"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DC878"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220050C7" w14:textId="77777777" w:rsidR="00BB7AB2" w:rsidRDefault="00BB7AB2">
            <w:pPr>
              <w:rPr>
                <w:lang w:eastAsia="en-US"/>
              </w:rPr>
            </w:pPr>
            <w:r>
              <w:t>Arezu OROJLU, Iran</w:t>
            </w:r>
          </w:p>
        </w:tc>
      </w:tr>
      <w:tr w:rsidR="00BB7AB2" w14:paraId="1803A0BE"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9B47530" w14:textId="77777777" w:rsidR="00BB7AB2" w:rsidRDefault="00BB7AB2">
            <w:pPr>
              <w:jc w:val="center"/>
              <w:rPr>
                <w:lang w:eastAsia="en-US"/>
              </w:rPr>
            </w:pPr>
            <w:r>
              <w:rPr>
                <w:lang w:eastAsia="en-US"/>
              </w:rPr>
              <w:t>SG12</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4B00ADEC" w14:textId="77777777" w:rsidR="00BB7AB2" w:rsidRDefault="00BB7AB2">
            <w:pPr>
              <w:rPr>
                <w:lang w:eastAsia="zh-CN"/>
              </w:rPr>
            </w:pPr>
            <w:r>
              <w:t>Mexico City, Mexico, 19-28 September 2023</w:t>
            </w:r>
          </w:p>
        </w:tc>
        <w:tc>
          <w:tcPr>
            <w:tcW w:w="2723" w:type="pct"/>
            <w:tcBorders>
              <w:top w:val="single" w:sz="4" w:space="0" w:color="auto"/>
              <w:left w:val="single" w:sz="4" w:space="0" w:color="auto"/>
              <w:bottom w:val="single" w:sz="4" w:space="0" w:color="auto"/>
              <w:right w:val="single" w:sz="4" w:space="0" w:color="auto"/>
            </w:tcBorders>
            <w:hideMark/>
          </w:tcPr>
          <w:p w14:paraId="741D02DC" w14:textId="77777777" w:rsidR="00BB7AB2" w:rsidRDefault="00BB7AB2">
            <w:pPr>
              <w:rPr>
                <w:lang w:eastAsia="en-US"/>
              </w:rPr>
            </w:pPr>
            <w:r>
              <w:t>Ammar ABDALLAH, Sudan</w:t>
            </w:r>
          </w:p>
        </w:tc>
      </w:tr>
      <w:tr w:rsidR="00BB7AB2" w14:paraId="0D8CBD6C" w14:textId="77777777" w:rsidTr="00BB7AB2">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A6560"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FF13D"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2E67112" w14:textId="77777777" w:rsidR="00BB7AB2" w:rsidRDefault="00BB7AB2">
            <w:pPr>
              <w:rPr>
                <w:lang w:eastAsia="en-US"/>
              </w:rPr>
            </w:pPr>
            <w:r>
              <w:t>Collins MBULO, Zambia</w:t>
            </w:r>
          </w:p>
        </w:tc>
      </w:tr>
      <w:tr w:rsidR="00BB7AB2" w14:paraId="2690759B"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B4B9D3E" w14:textId="77777777" w:rsidR="00BB7AB2" w:rsidRDefault="00BB7AB2">
            <w:pPr>
              <w:jc w:val="center"/>
              <w:rPr>
                <w:lang w:eastAsia="en-US"/>
              </w:rPr>
            </w:pPr>
            <w:r>
              <w:rPr>
                <w:lang w:eastAsia="en-US"/>
              </w:rPr>
              <w:t>SG13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4EDC3887" w14:textId="77777777" w:rsidR="00BB7AB2" w:rsidRDefault="00BB7AB2">
            <w:pPr>
              <w:rPr>
                <w:lang w:eastAsia="zh-CN"/>
              </w:rPr>
            </w:pPr>
            <w:r>
              <w:t>Geneva, 23 October – 3 November 2023</w:t>
            </w:r>
          </w:p>
        </w:tc>
        <w:tc>
          <w:tcPr>
            <w:tcW w:w="2723" w:type="pct"/>
            <w:tcBorders>
              <w:top w:val="single" w:sz="4" w:space="0" w:color="auto"/>
              <w:left w:val="single" w:sz="4" w:space="0" w:color="auto"/>
              <w:bottom w:val="single" w:sz="4" w:space="0" w:color="auto"/>
              <w:right w:val="single" w:sz="4" w:space="0" w:color="auto"/>
            </w:tcBorders>
            <w:hideMark/>
          </w:tcPr>
          <w:p w14:paraId="7171672F" w14:textId="77777777" w:rsidR="00BB7AB2" w:rsidRDefault="00BB7AB2">
            <w:pPr>
              <w:rPr>
                <w:lang w:eastAsia="en-US"/>
              </w:rPr>
            </w:pPr>
            <w:r>
              <w:t>Bülent ARSAL, Turkey</w:t>
            </w:r>
          </w:p>
        </w:tc>
      </w:tr>
      <w:tr w:rsidR="00BB7AB2" w14:paraId="1B2C7DC0" w14:textId="77777777" w:rsidTr="00BB7AB2">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C74C8"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8DC59"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02CA04F3" w14:textId="77777777" w:rsidR="00BB7AB2" w:rsidRDefault="00BB7AB2">
            <w:pPr>
              <w:rPr>
                <w:lang w:eastAsia="en-US"/>
              </w:rPr>
            </w:pPr>
            <w:r>
              <w:t>Anabel DEL CARMEN CISNEROS, Argentina</w:t>
            </w:r>
          </w:p>
        </w:tc>
      </w:tr>
      <w:tr w:rsidR="00BB7AB2" w14:paraId="43AC512D" w14:textId="77777777" w:rsidTr="00BB7AB2">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0ED52"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D209C"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0D8AE86" w14:textId="77777777" w:rsidR="00BB7AB2" w:rsidRDefault="00BB7AB2">
            <w:pPr>
              <w:rPr>
                <w:lang w:eastAsia="en-US"/>
              </w:rPr>
            </w:pPr>
            <w:r>
              <w:t>Yuan ZHANG, China</w:t>
            </w:r>
          </w:p>
        </w:tc>
      </w:tr>
      <w:tr w:rsidR="00BB7AB2" w14:paraId="5F715A67" w14:textId="77777777" w:rsidTr="00BB7AB2">
        <w:trPr>
          <w:trHeight w:val="212"/>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44B306FC" w14:textId="77777777" w:rsidR="00BB7AB2" w:rsidRDefault="00BB7AB2">
            <w:pPr>
              <w:jc w:val="center"/>
              <w:rPr>
                <w:lang w:eastAsia="en-US"/>
              </w:rPr>
            </w:pPr>
            <w:r>
              <w:rPr>
                <w:lang w:eastAsia="en-US"/>
              </w:rPr>
              <w:t>SG16</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231FD102" w14:textId="77777777" w:rsidR="00BB7AB2" w:rsidRDefault="00BB7AB2">
            <w:pPr>
              <w:rPr>
                <w:lang w:eastAsia="zh-CN"/>
              </w:rPr>
            </w:pPr>
            <w:r>
              <w:t>Geneva, 10-21 July 2023</w:t>
            </w:r>
          </w:p>
        </w:tc>
        <w:tc>
          <w:tcPr>
            <w:tcW w:w="2723" w:type="pct"/>
            <w:tcBorders>
              <w:top w:val="single" w:sz="4" w:space="0" w:color="auto"/>
              <w:left w:val="single" w:sz="4" w:space="0" w:color="auto"/>
              <w:bottom w:val="single" w:sz="4" w:space="0" w:color="auto"/>
              <w:right w:val="single" w:sz="4" w:space="0" w:color="auto"/>
            </w:tcBorders>
            <w:hideMark/>
          </w:tcPr>
          <w:p w14:paraId="16A1FCF1" w14:textId="77777777" w:rsidR="00BB7AB2" w:rsidRDefault="00BB7AB2">
            <w:pPr>
              <w:rPr>
                <w:lang w:eastAsia="en-US"/>
              </w:rPr>
            </w:pPr>
            <w:r>
              <w:t>Charles Zoé BANGA, Central African Rep.</w:t>
            </w:r>
          </w:p>
        </w:tc>
      </w:tr>
      <w:tr w:rsidR="00BB7AB2" w14:paraId="0CB1A094" w14:textId="77777777" w:rsidTr="00BB7AB2">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60BBE"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D4832"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51678DA4" w14:textId="77777777" w:rsidR="00BB7AB2" w:rsidRDefault="00BB7AB2">
            <w:pPr>
              <w:tabs>
                <w:tab w:val="clear" w:pos="794"/>
                <w:tab w:val="clear" w:pos="1588"/>
                <w:tab w:val="clear" w:pos="1985"/>
              </w:tabs>
              <w:rPr>
                <w:lang w:eastAsia="en-US"/>
              </w:rPr>
            </w:pPr>
            <w:r>
              <w:t>Akmal SAVURBAEV, Uzbekistan</w:t>
            </w:r>
          </w:p>
        </w:tc>
      </w:tr>
      <w:tr w:rsidR="00BB7AB2" w14:paraId="7D309A45"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1569F2A2" w14:textId="77777777" w:rsidR="00BB7AB2" w:rsidRDefault="00BB7AB2">
            <w:pPr>
              <w:jc w:val="center"/>
              <w:rPr>
                <w:lang w:eastAsia="en-US"/>
              </w:rPr>
            </w:pPr>
            <w:r>
              <w:rPr>
                <w:lang w:eastAsia="en-US"/>
              </w:rPr>
              <w:t>SG17</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1C8DF26B" w14:textId="77777777" w:rsidR="00BB7AB2" w:rsidRDefault="00BB7AB2">
            <w:pPr>
              <w:rPr>
                <w:lang w:eastAsia="zh-CN"/>
              </w:rPr>
            </w:pPr>
            <w:proofErr w:type="spellStart"/>
            <w:r>
              <w:t>Goyang</w:t>
            </w:r>
            <w:proofErr w:type="spellEnd"/>
            <w:r>
              <w:t>, Korea (Rep. of), 29 August - 8 September 2023</w:t>
            </w:r>
          </w:p>
        </w:tc>
        <w:tc>
          <w:tcPr>
            <w:tcW w:w="2723" w:type="pct"/>
            <w:tcBorders>
              <w:top w:val="single" w:sz="4" w:space="0" w:color="auto"/>
              <w:left w:val="single" w:sz="4" w:space="0" w:color="auto"/>
              <w:bottom w:val="single" w:sz="4" w:space="0" w:color="auto"/>
              <w:right w:val="single" w:sz="4" w:space="0" w:color="auto"/>
            </w:tcBorders>
            <w:hideMark/>
          </w:tcPr>
          <w:p w14:paraId="0C99A3E1" w14:textId="77777777" w:rsidR="00BB7AB2" w:rsidRDefault="00BB7AB2">
            <w:pPr>
              <w:rPr>
                <w:lang w:eastAsia="en-US"/>
              </w:rPr>
            </w:pPr>
            <w:proofErr w:type="spellStart"/>
            <w:r>
              <w:t>Laial</w:t>
            </w:r>
            <w:proofErr w:type="spellEnd"/>
            <w:r>
              <w:t xml:space="preserve"> </w:t>
            </w:r>
            <w:proofErr w:type="spellStart"/>
            <w:r>
              <w:t>ALMANSOURY</w:t>
            </w:r>
            <w:proofErr w:type="spellEnd"/>
            <w:r>
              <w:t>, Kuwait</w:t>
            </w:r>
          </w:p>
        </w:tc>
      </w:tr>
      <w:tr w:rsidR="00BB7AB2" w14:paraId="3213B1A3" w14:textId="77777777" w:rsidTr="00BB7AB2">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B375C"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7ACA5"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3097292F" w14:textId="77777777" w:rsidR="00BB7AB2" w:rsidRDefault="00BB7AB2">
            <w:pPr>
              <w:rPr>
                <w:lang w:eastAsia="en-US"/>
              </w:rPr>
            </w:pPr>
            <w:r>
              <w:t>Francisco Javier DÍAZ, Argentina</w:t>
            </w:r>
          </w:p>
        </w:tc>
      </w:tr>
      <w:tr w:rsidR="00BB7AB2" w14:paraId="3768B92F" w14:textId="77777777" w:rsidTr="00BB7AB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29195"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7D306"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D977B78" w14:textId="77777777" w:rsidR="00BB7AB2" w:rsidRDefault="00BB7AB2">
            <w:pPr>
              <w:tabs>
                <w:tab w:val="clear" w:pos="794"/>
                <w:tab w:val="clear" w:pos="1588"/>
                <w:tab w:val="clear" w:pos="1985"/>
              </w:tabs>
              <w:rPr>
                <w:lang w:eastAsia="en-US"/>
              </w:rPr>
            </w:pPr>
            <w:r>
              <w:t>Gökhan EVREN, Turkey</w:t>
            </w:r>
          </w:p>
        </w:tc>
      </w:tr>
    </w:tbl>
    <w:p w14:paraId="51BFBDF5" w14:textId="152BD707" w:rsidR="00F45943" w:rsidRDefault="00F45943" w:rsidP="00A62912">
      <w:pPr>
        <w:pStyle w:val="Heading1"/>
        <w:spacing w:before="240"/>
        <w:ind w:left="0" w:firstLine="0"/>
      </w:pPr>
      <w:bookmarkStart w:id="32" w:name="_2_ITU-T_Focus"/>
      <w:bookmarkStart w:id="33" w:name="_Toc156392408"/>
      <w:bookmarkStart w:id="34" w:name="_Hlk60057887"/>
      <w:bookmarkEnd w:id="32"/>
      <w:r w:rsidRPr="00C32576">
        <w:rPr>
          <w:rFonts w:eastAsiaTheme="minorEastAsia"/>
        </w:rPr>
        <w:t>2</w:t>
      </w:r>
      <w:r w:rsidRPr="00C32576">
        <w:rPr>
          <w:rFonts w:eastAsiaTheme="minorEastAsia"/>
        </w:rPr>
        <w:tab/>
      </w:r>
      <w:r w:rsidRPr="00C32576">
        <w:t xml:space="preserve">ITU-T </w:t>
      </w:r>
      <w:r w:rsidR="00B44AD8">
        <w:t>f</w:t>
      </w:r>
      <w:r w:rsidRPr="00C32576">
        <w:t xml:space="preserve">ocus </w:t>
      </w:r>
      <w:r w:rsidR="00B44AD8">
        <w:t>g</w:t>
      </w:r>
      <w:r w:rsidRPr="00C5776F">
        <w:t>roups</w:t>
      </w:r>
      <w:bookmarkEnd w:id="33"/>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71"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5" w:name="_2.1_Active_groups"/>
      <w:bookmarkStart w:id="36" w:name="_Toc156392409"/>
      <w:bookmarkEnd w:id="35"/>
      <w:r w:rsidRPr="00C32576">
        <w:t>2.1</w:t>
      </w:r>
      <w:r w:rsidRPr="00C32576">
        <w:tab/>
        <w:t>Active groups</w:t>
      </w:r>
      <w:bookmarkEnd w:id="36"/>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7"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170AB2" w14:paraId="25598C13" w14:textId="77777777" w:rsidTr="00826D0E">
        <w:tc>
          <w:tcPr>
            <w:tcW w:w="8959" w:type="dxa"/>
          </w:tcPr>
          <w:p w14:paraId="15155495" w14:textId="006FFEBA" w:rsidR="00170AB2" w:rsidRDefault="009A3DC3" w:rsidP="007E1768">
            <w:pPr>
              <w:shd w:val="clear" w:color="auto" w:fill="FFFFFF"/>
            </w:pPr>
            <w:hyperlink r:id="rId72" w:history="1">
              <w:r w:rsidR="00A528F4">
                <w:rPr>
                  <w:rStyle w:val="Hyperlink"/>
                  <w:lang w:eastAsia="en-US"/>
                </w:rPr>
                <w:t>C</w:t>
              </w:r>
              <w:r w:rsidR="00A528F4" w:rsidRPr="00C52A30">
                <w:rPr>
                  <w:rStyle w:val="Hyperlink"/>
                  <w:lang w:eastAsia="en-US"/>
                </w:rPr>
                <w:t>ost models for affordable data service</w:t>
              </w:r>
              <w:r w:rsidR="00A528F4">
                <w:rPr>
                  <w:rStyle w:val="Hyperlink"/>
                  <w:lang w:eastAsia="en-US"/>
                </w:rPr>
                <w:t xml:space="preserve">s </w:t>
              </w:r>
              <w:r w:rsidR="00A528F4">
                <w:rPr>
                  <w:rStyle w:val="Hyperlink"/>
                </w:rPr>
                <w:t>(FG-CD)</w:t>
              </w:r>
            </w:hyperlink>
            <w:r w:rsidR="00A528F4">
              <w:t xml:space="preserve"> </w:t>
            </w:r>
          </w:p>
        </w:tc>
        <w:tc>
          <w:tcPr>
            <w:tcW w:w="1242" w:type="dxa"/>
          </w:tcPr>
          <w:p w14:paraId="6E5A9D83" w14:textId="3547215B" w:rsidR="00170AB2" w:rsidRDefault="00A528F4" w:rsidP="007F6669">
            <w:pPr>
              <w:rPr>
                <w:lang w:eastAsia="en-US"/>
              </w:rPr>
            </w:pPr>
            <w:r>
              <w:rPr>
                <w:lang w:eastAsia="en-US"/>
              </w:rPr>
              <w:t>2023-03</w:t>
            </w:r>
          </w:p>
        </w:tc>
      </w:tr>
      <w:tr w:rsidR="00170AB2" w14:paraId="5E8003C9" w14:textId="77777777" w:rsidTr="00826D0E">
        <w:tc>
          <w:tcPr>
            <w:tcW w:w="8959" w:type="dxa"/>
          </w:tcPr>
          <w:p w14:paraId="5A1A0952" w14:textId="4E9EAB10" w:rsidR="00170AB2" w:rsidRDefault="009A3DC3" w:rsidP="007E1768">
            <w:pPr>
              <w:shd w:val="clear" w:color="auto" w:fill="FFFFFF"/>
            </w:pPr>
            <w:hyperlink r:id="rId73" w:history="1">
              <w:r w:rsidR="00170AB2" w:rsidRPr="00A528F4">
                <w:rPr>
                  <w:rStyle w:val="Hyperlink"/>
                </w:rPr>
                <w:t>Metaverse</w:t>
              </w:r>
              <w:r w:rsidR="00A528F4" w:rsidRPr="00A528F4">
                <w:rPr>
                  <w:rStyle w:val="Hyperlink"/>
                </w:rPr>
                <w:t xml:space="preserve"> (FG-MV)</w:t>
              </w:r>
            </w:hyperlink>
          </w:p>
        </w:tc>
        <w:tc>
          <w:tcPr>
            <w:tcW w:w="1242" w:type="dxa"/>
          </w:tcPr>
          <w:p w14:paraId="33E47597" w14:textId="4E64AB81" w:rsidR="00170AB2" w:rsidRDefault="00A528F4" w:rsidP="007F6669">
            <w:pPr>
              <w:rPr>
                <w:lang w:eastAsia="en-US"/>
              </w:rPr>
            </w:pPr>
            <w:r>
              <w:rPr>
                <w:lang w:eastAsia="en-US"/>
              </w:rPr>
              <w:t>2022-12</w:t>
            </w:r>
          </w:p>
        </w:tc>
      </w:tr>
      <w:tr w:rsidR="007446AA" w14:paraId="099DCE53" w14:textId="6FCBA80E" w:rsidTr="00826D0E">
        <w:tc>
          <w:tcPr>
            <w:tcW w:w="8959" w:type="dxa"/>
          </w:tcPr>
          <w:p w14:paraId="53252075" w14:textId="1A867892" w:rsidR="007446AA" w:rsidRDefault="009A3DC3" w:rsidP="007E1768">
            <w:pPr>
              <w:shd w:val="clear" w:color="auto" w:fill="FFFFFF"/>
            </w:pPr>
            <w:hyperlink r:id="rId74"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(FG-TBFxG)</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9A3DC3" w:rsidP="007F6669">
            <w:pPr>
              <w:rPr>
                <w:lang w:eastAsia="en-US"/>
              </w:rPr>
            </w:pPr>
            <w:hyperlink r:id="rId75"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9A3DC3" w:rsidP="007F6669">
            <w:pPr>
              <w:rPr>
                <w:lang w:eastAsia="en-US"/>
              </w:rPr>
            </w:pPr>
            <w:hyperlink r:id="rId76"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9A3DC3" w:rsidP="007F6669">
            <w:pPr>
              <w:rPr>
                <w:lang w:eastAsia="en-US"/>
              </w:rPr>
            </w:pPr>
            <w:hyperlink r:id="rId77"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bl>
    <w:p w14:paraId="4728199B" w14:textId="4AF70EBA" w:rsidR="00662A03" w:rsidRDefault="00662A03" w:rsidP="000B3E92">
      <w:pPr>
        <w:pStyle w:val="Heading2"/>
        <w:ind w:left="0" w:firstLine="0"/>
      </w:pPr>
      <w:bookmarkStart w:id="38" w:name="_2.2_Concluded_groups"/>
      <w:bookmarkStart w:id="39" w:name="_Toc156392410"/>
      <w:bookmarkEnd w:id="37"/>
      <w:bookmarkEnd w:id="38"/>
      <w:r w:rsidRPr="00C32576">
        <w:t>2.</w:t>
      </w:r>
      <w:r w:rsidR="00D335E4">
        <w:t>2</w:t>
      </w:r>
      <w:r w:rsidRPr="00C32576">
        <w:tab/>
      </w:r>
      <w:r>
        <w:t xml:space="preserve">Concluded </w:t>
      </w:r>
      <w:r w:rsidRPr="00C32576">
        <w:t>groups</w:t>
      </w:r>
      <w:bookmarkEnd w:id="39"/>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170AB2" w14:paraId="70D1EACB" w14:textId="77777777" w:rsidTr="00034F7C">
        <w:tc>
          <w:tcPr>
            <w:tcW w:w="7650" w:type="dxa"/>
            <w:shd w:val="clear" w:color="auto" w:fill="auto"/>
          </w:tcPr>
          <w:p w14:paraId="1B12C70E" w14:textId="06471946" w:rsidR="00170AB2" w:rsidRDefault="009A3DC3" w:rsidP="00552B61">
            <w:pPr>
              <w:shd w:val="clear" w:color="auto" w:fill="FFFFFF"/>
            </w:pPr>
            <w:hyperlink r:id="rId78" w:tgtFrame="_blank" w:tooltip="https://www.itu.int/en/itu-t/focusgroups/ai4h/pages/default.aspx" w:history="1">
              <w:r w:rsidR="002D70B4" w:rsidRPr="007E1768">
                <w:rPr>
                  <w:rStyle w:val="Hyperlink"/>
                  <w:lang w:eastAsia="en-US"/>
                </w:rPr>
                <w:t>A</w:t>
              </w:r>
              <w:r w:rsidR="002D70B4">
                <w:rPr>
                  <w:rStyle w:val="Hyperlink"/>
                  <w:lang w:eastAsia="en-US"/>
                </w:rPr>
                <w:t>I</w:t>
              </w:r>
              <w:r w:rsidR="002D70B4" w:rsidRPr="007E1768">
                <w:rPr>
                  <w:rStyle w:val="Hyperlink"/>
                  <w:lang w:eastAsia="en-US"/>
                </w:rPr>
                <w:t xml:space="preserve"> for </w:t>
              </w:r>
              <w:r w:rsidR="002D70B4">
                <w:rPr>
                  <w:rStyle w:val="Hyperlink"/>
                  <w:lang w:eastAsia="en-US"/>
                </w:rPr>
                <w:t>H</w:t>
              </w:r>
              <w:r w:rsidR="002D70B4" w:rsidRPr="007E1768">
                <w:rPr>
                  <w:rStyle w:val="Hyperlink"/>
                  <w:lang w:eastAsia="en-US"/>
                </w:rPr>
                <w:t>ealth (FG-AI4H)</w:t>
              </w:r>
            </w:hyperlink>
          </w:p>
        </w:tc>
        <w:tc>
          <w:tcPr>
            <w:tcW w:w="1276" w:type="dxa"/>
          </w:tcPr>
          <w:p w14:paraId="3A6B372F" w14:textId="310E3E6F" w:rsidR="00170AB2" w:rsidRDefault="002D70B4" w:rsidP="00552B61">
            <w:pPr>
              <w:rPr>
                <w:lang w:eastAsia="en-US"/>
              </w:rPr>
            </w:pPr>
            <w:r>
              <w:rPr>
                <w:lang w:eastAsia="en-US"/>
              </w:rPr>
              <w:t>2018-07</w:t>
            </w:r>
          </w:p>
        </w:tc>
        <w:tc>
          <w:tcPr>
            <w:tcW w:w="1275" w:type="dxa"/>
          </w:tcPr>
          <w:p w14:paraId="3E30CA69" w14:textId="00B3FCFF" w:rsidR="00170AB2" w:rsidRDefault="00170AB2" w:rsidP="00552B61">
            <w:pPr>
              <w:rPr>
                <w:lang w:eastAsia="en-US"/>
              </w:rPr>
            </w:pPr>
            <w:r>
              <w:rPr>
                <w:lang w:eastAsia="en-US"/>
              </w:rPr>
              <w:t>202</w:t>
            </w:r>
            <w:r w:rsidR="002D70B4">
              <w:rPr>
                <w:lang w:eastAsia="en-US"/>
              </w:rPr>
              <w:t>3</w:t>
            </w:r>
            <w:r>
              <w:rPr>
                <w:lang w:eastAsia="en-US"/>
              </w:rPr>
              <w:t>-</w:t>
            </w:r>
            <w:r w:rsidR="002D70B4">
              <w:rPr>
                <w:lang w:eastAsia="en-US"/>
              </w:rPr>
              <w:t>09</w:t>
            </w:r>
          </w:p>
        </w:tc>
      </w:tr>
      <w:tr w:rsidR="00662A03" w14:paraId="39EAE5AD" w14:textId="6D40321E" w:rsidTr="00034F7C">
        <w:tc>
          <w:tcPr>
            <w:tcW w:w="7650" w:type="dxa"/>
            <w:shd w:val="clear" w:color="auto" w:fill="auto"/>
          </w:tcPr>
          <w:p w14:paraId="2F5B9756" w14:textId="65CFC363" w:rsidR="00662A03" w:rsidRDefault="009A3DC3" w:rsidP="00552B61">
            <w:pPr>
              <w:shd w:val="clear" w:color="auto" w:fill="FFFFFF"/>
            </w:pPr>
            <w:hyperlink r:id="rId79" w:tgtFrame="_blank" w:tooltip="https://www.itu.int/en/itu-t/focusgroups/ai4ee/pages/default.aspx" w:history="1">
              <w:r w:rsidR="002D70B4" w:rsidRPr="007E1768">
                <w:rPr>
                  <w:rStyle w:val="Hyperlink"/>
                  <w:lang w:eastAsia="en-US"/>
                </w:rPr>
                <w:t xml:space="preserve">Environmental </w:t>
              </w:r>
              <w:r w:rsidR="002D70B4">
                <w:rPr>
                  <w:rStyle w:val="Hyperlink"/>
                  <w:lang w:eastAsia="en-US"/>
                </w:rPr>
                <w:t>E</w:t>
              </w:r>
              <w:r w:rsidR="002D70B4" w:rsidRPr="007E1768">
                <w:rPr>
                  <w:rStyle w:val="Hyperlink"/>
                  <w:lang w:eastAsia="en-US"/>
                </w:rPr>
                <w:t xml:space="preserve">fficiency for </w:t>
              </w:r>
              <w:r w:rsidR="002D70B4">
                <w:rPr>
                  <w:rStyle w:val="Hyperlink"/>
                  <w:lang w:eastAsia="en-US"/>
                </w:rPr>
                <w:t xml:space="preserve">AI </w:t>
              </w:r>
              <w:r w:rsidR="002D70B4" w:rsidRPr="007E1768">
                <w:rPr>
                  <w:rStyle w:val="Hyperlink"/>
                  <w:lang w:eastAsia="en-US"/>
                </w:rPr>
                <w:t xml:space="preserve">and </w:t>
              </w:r>
              <w:r w:rsidR="002D70B4">
                <w:rPr>
                  <w:rStyle w:val="Hyperlink"/>
                  <w:lang w:eastAsia="en-US"/>
                </w:rPr>
                <w:t>o</w:t>
              </w:r>
              <w:r w:rsidR="002D70B4" w:rsidRPr="007E1768">
                <w:rPr>
                  <w:rStyle w:val="Hyperlink"/>
                  <w:lang w:eastAsia="en-US"/>
                </w:rPr>
                <w:t xml:space="preserve">ther </w:t>
              </w:r>
              <w:r w:rsidR="002D70B4">
                <w:rPr>
                  <w:rStyle w:val="Hyperlink"/>
                  <w:lang w:eastAsia="en-US"/>
                </w:rPr>
                <w:t>E</w:t>
              </w:r>
              <w:r w:rsidR="002D70B4" w:rsidRPr="007E1768">
                <w:rPr>
                  <w:rStyle w:val="Hyperlink"/>
                  <w:lang w:eastAsia="en-US"/>
                </w:rPr>
                <w:t xml:space="preserve">merging </w:t>
              </w:r>
              <w:r w:rsidR="002D70B4">
                <w:rPr>
                  <w:rStyle w:val="Hyperlink"/>
                  <w:lang w:eastAsia="en-US"/>
                </w:rPr>
                <w:t>T</w:t>
              </w:r>
              <w:r w:rsidR="002D70B4" w:rsidRPr="007E1768">
                <w:rPr>
                  <w:rStyle w:val="Hyperlink"/>
                  <w:lang w:eastAsia="en-US"/>
                </w:rPr>
                <w:t>echnologies (FG-AI4EE)</w:t>
              </w:r>
            </w:hyperlink>
          </w:p>
        </w:tc>
        <w:tc>
          <w:tcPr>
            <w:tcW w:w="1276" w:type="dxa"/>
          </w:tcPr>
          <w:p w14:paraId="67C98B1E" w14:textId="4E082F6E" w:rsidR="00662A03" w:rsidRDefault="002D70B4" w:rsidP="00552B61">
            <w:pPr>
              <w:rPr>
                <w:lang w:eastAsia="en-US"/>
              </w:rPr>
            </w:pPr>
            <w:r>
              <w:rPr>
                <w:lang w:eastAsia="en-US"/>
              </w:rPr>
              <w:t>2019-05</w:t>
            </w:r>
          </w:p>
        </w:tc>
        <w:tc>
          <w:tcPr>
            <w:tcW w:w="1275" w:type="dxa"/>
          </w:tcPr>
          <w:p w14:paraId="52CF917F" w14:textId="75BDCF32" w:rsidR="00662A03" w:rsidRDefault="002D70B4" w:rsidP="00552B61">
            <w:pPr>
              <w:rPr>
                <w:lang w:eastAsia="en-US"/>
              </w:rPr>
            </w:pPr>
            <w:r>
              <w:rPr>
                <w:lang w:eastAsia="en-US"/>
              </w:rPr>
              <w:t>2022-12</w:t>
            </w:r>
          </w:p>
        </w:tc>
      </w:tr>
      <w:tr w:rsidR="00662A03" w14:paraId="02886003" w14:textId="000DA4DC" w:rsidTr="00034F7C">
        <w:tc>
          <w:tcPr>
            <w:tcW w:w="7650" w:type="dxa"/>
          </w:tcPr>
          <w:p w14:paraId="0379E748" w14:textId="66EE5F21" w:rsidR="00662A03" w:rsidRDefault="009A3DC3" w:rsidP="00552B61">
            <w:pPr>
              <w:rPr>
                <w:lang w:eastAsia="en-US"/>
              </w:rPr>
            </w:pPr>
            <w:hyperlink r:id="rId80" w:tgtFrame="_blank" w:tooltip="https://www.itu.int/en/itu-t/focusgroups/ai4ad/pages/default.aspx" w:history="1">
              <w:r w:rsidR="002D70B4">
                <w:rPr>
                  <w:rStyle w:val="Hyperlink"/>
                  <w:lang w:eastAsia="en-US"/>
                </w:rPr>
                <w:t xml:space="preserve">AI </w:t>
              </w:r>
              <w:r w:rsidR="002D70B4" w:rsidRPr="007E1768">
                <w:rPr>
                  <w:rStyle w:val="Hyperlink"/>
                  <w:lang w:eastAsia="en-US"/>
                </w:rPr>
                <w:t xml:space="preserve">for </w:t>
              </w:r>
              <w:r w:rsidR="002D70B4">
                <w:rPr>
                  <w:rStyle w:val="Hyperlink"/>
                  <w:lang w:eastAsia="en-US"/>
                </w:rPr>
                <w:t>A</w:t>
              </w:r>
              <w:r w:rsidR="002D70B4" w:rsidRPr="007E1768">
                <w:rPr>
                  <w:rStyle w:val="Hyperlink"/>
                  <w:lang w:eastAsia="en-US"/>
                </w:rPr>
                <w:t xml:space="preserve">utonomous and </w:t>
              </w:r>
              <w:r w:rsidR="002D70B4">
                <w:rPr>
                  <w:rStyle w:val="Hyperlink"/>
                  <w:lang w:eastAsia="en-US"/>
                </w:rPr>
                <w:t>A</w:t>
              </w:r>
              <w:r w:rsidR="002D70B4" w:rsidRPr="007E1768">
                <w:rPr>
                  <w:rStyle w:val="Hyperlink"/>
                  <w:lang w:eastAsia="en-US"/>
                </w:rPr>
                <w:t xml:space="preserve">ssisted </w:t>
              </w:r>
              <w:r w:rsidR="002D70B4">
                <w:rPr>
                  <w:rStyle w:val="Hyperlink"/>
                  <w:lang w:eastAsia="en-US"/>
                </w:rPr>
                <w:t>D</w:t>
              </w:r>
              <w:r w:rsidR="002D70B4" w:rsidRPr="007E1768">
                <w:rPr>
                  <w:rStyle w:val="Hyperlink"/>
                  <w:lang w:eastAsia="en-US"/>
                </w:rPr>
                <w:t>riving (FG-AI4AD)</w:t>
              </w:r>
            </w:hyperlink>
          </w:p>
        </w:tc>
        <w:tc>
          <w:tcPr>
            <w:tcW w:w="1276" w:type="dxa"/>
          </w:tcPr>
          <w:p w14:paraId="76AA68EE" w14:textId="059E2C53" w:rsidR="00662A03" w:rsidRDefault="002D70B4" w:rsidP="00552B61">
            <w:pPr>
              <w:rPr>
                <w:lang w:eastAsia="en-US"/>
              </w:rPr>
            </w:pPr>
            <w:r>
              <w:rPr>
                <w:lang w:eastAsia="en-US"/>
              </w:rPr>
              <w:t>2</w:t>
            </w:r>
            <w:r>
              <w:t>019-10</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2D70B4" w14:paraId="5A9F3509" w14:textId="77777777" w:rsidTr="00034F7C">
        <w:tc>
          <w:tcPr>
            <w:tcW w:w="7650" w:type="dxa"/>
          </w:tcPr>
          <w:p w14:paraId="6BBE74D8" w14:textId="3811D992" w:rsidR="002D70B4" w:rsidRDefault="009A3DC3" w:rsidP="00552B61">
            <w:hyperlink r:id="rId81" w:tgtFrame="_blank" w:tooltip="https://www.itu.int/en/itu-t/focusgroups/vm/pages/default.aspx" w:history="1">
              <w:r w:rsidR="002D70B4" w:rsidRPr="007E1768">
                <w:rPr>
                  <w:rStyle w:val="Hyperlink"/>
                  <w:lang w:eastAsia="en-US"/>
                </w:rPr>
                <w:t xml:space="preserve">Vehicular </w:t>
              </w:r>
              <w:r w:rsidR="002D70B4">
                <w:rPr>
                  <w:rStyle w:val="Hyperlink"/>
                  <w:lang w:eastAsia="en-US"/>
                </w:rPr>
                <w:t>M</w:t>
              </w:r>
              <w:r w:rsidR="002D70B4" w:rsidRPr="007E1768">
                <w:rPr>
                  <w:rStyle w:val="Hyperlink"/>
                  <w:lang w:eastAsia="en-US"/>
                </w:rPr>
                <w:t>ultimedia (FG-VM)</w:t>
              </w:r>
            </w:hyperlink>
          </w:p>
        </w:tc>
        <w:tc>
          <w:tcPr>
            <w:tcW w:w="1276" w:type="dxa"/>
          </w:tcPr>
          <w:p w14:paraId="0495757D" w14:textId="01F6BFD1" w:rsidR="002D70B4" w:rsidRDefault="002D70B4" w:rsidP="00552B61">
            <w:pPr>
              <w:rPr>
                <w:lang w:eastAsia="en-US"/>
              </w:rPr>
            </w:pPr>
            <w:r>
              <w:rPr>
                <w:lang w:eastAsia="en-US"/>
              </w:rPr>
              <w:t>2018-07</w:t>
            </w:r>
          </w:p>
        </w:tc>
        <w:tc>
          <w:tcPr>
            <w:tcW w:w="1275" w:type="dxa"/>
          </w:tcPr>
          <w:p w14:paraId="74C8E8FD" w14:textId="452FEA1A" w:rsidR="002D70B4" w:rsidRDefault="002D70B4" w:rsidP="00552B61">
            <w:pPr>
              <w:rPr>
                <w:lang w:eastAsia="en-US"/>
              </w:rPr>
            </w:pPr>
            <w:r>
              <w:rPr>
                <w:lang w:eastAsia="en-US"/>
              </w:rPr>
              <w:t>2022-09</w:t>
            </w:r>
          </w:p>
        </w:tc>
      </w:tr>
    </w:tbl>
    <w:p w14:paraId="60647DF0" w14:textId="1AB2433E" w:rsidR="005E1EFB" w:rsidRPr="00C32576" w:rsidRDefault="005E1EFB" w:rsidP="005E1EFB">
      <w:pPr>
        <w:pStyle w:val="Heading1"/>
        <w:spacing w:before="240"/>
        <w:rPr>
          <w:rFonts w:eastAsiaTheme="minorEastAsia"/>
        </w:rPr>
      </w:pPr>
      <w:bookmarkStart w:id="40" w:name="_2.8_IPTV_and"/>
      <w:bookmarkStart w:id="41" w:name="a353677d2-7347-4cd3-8301-15d8ee365aeb"/>
      <w:bookmarkStart w:id="42" w:name="_3.4_e-Health"/>
      <w:bookmarkStart w:id="43" w:name="_3.6_Aviation_applications"/>
      <w:bookmarkStart w:id="44" w:name="_6.5_Focus_Group"/>
      <w:bookmarkStart w:id="45" w:name="_7.5_Focus_Group"/>
      <w:bookmarkStart w:id="46" w:name="_7.2_TSB_Director’s"/>
      <w:bookmarkStart w:id="47" w:name="_13_Chief_Technology"/>
      <w:bookmarkStart w:id="48" w:name="_8.1_ITU-UNECE_event"/>
      <w:bookmarkStart w:id="49" w:name="_8.3_3rd_ITU"/>
      <w:bookmarkStart w:id="50" w:name="_8.5_Standards_collaboration,"/>
      <w:bookmarkStart w:id="51" w:name="_8.6_Montevideo_forum"/>
      <w:bookmarkStart w:id="52" w:name="_8.8_Accessible_Inclusion"/>
      <w:bookmarkStart w:id="53" w:name="_10_Chief_Technology"/>
      <w:bookmarkStart w:id="54" w:name="_3_Collaboration_initiatives"/>
      <w:bookmarkStart w:id="55" w:name="_3_Workshops_and"/>
      <w:bookmarkStart w:id="56" w:name="_Toc156392411"/>
      <w:bookmarkEnd w:id="16"/>
      <w:bookmarkEnd w:id="17"/>
      <w:bookmarkEnd w:id="18"/>
      <w:bookmarkEnd w:id="19"/>
      <w:bookmarkEnd w:id="20"/>
      <w:bookmarkEnd w:id="21"/>
      <w:bookmarkEnd w:id="22"/>
      <w:bookmarkEnd w:id="23"/>
      <w:bookmarkEnd w:id="24"/>
      <w:bookmarkEnd w:id="28"/>
      <w:bookmarkEnd w:id="3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eastAsiaTheme="minorEastAsia"/>
        </w:rPr>
        <w:t>3</w:t>
      </w:r>
      <w:r w:rsidRPr="003E7B9E">
        <w:rPr>
          <w:rFonts w:eastAsiaTheme="minorEastAsia"/>
        </w:rPr>
        <w:tab/>
      </w:r>
      <w:r>
        <w:rPr>
          <w:rFonts w:eastAsiaTheme="minorEastAsia"/>
        </w:rPr>
        <w:t>Workshops</w:t>
      </w:r>
      <w:r w:rsidR="002D70B4">
        <w:rPr>
          <w:rFonts w:eastAsiaTheme="minorEastAsia"/>
        </w:rPr>
        <w:t xml:space="preserve">, </w:t>
      </w:r>
      <w:proofErr w:type="gramStart"/>
      <w:r w:rsidR="002D70B4">
        <w:rPr>
          <w:rFonts w:eastAsiaTheme="minorEastAsia"/>
        </w:rPr>
        <w:t>symposia</w:t>
      </w:r>
      <w:proofErr w:type="gramEnd"/>
      <w:r w:rsidR="002D70B4">
        <w:rPr>
          <w:rFonts w:eastAsiaTheme="minorEastAsia"/>
        </w:rPr>
        <w:t xml:space="preserve"> and </w:t>
      </w:r>
      <w:r w:rsidR="002D70B4" w:rsidRPr="00C5776F">
        <w:rPr>
          <w:rFonts w:eastAsiaTheme="minorEastAsia"/>
        </w:rPr>
        <w:t>webinars</w:t>
      </w:r>
      <w:bookmarkEnd w:id="56"/>
    </w:p>
    <w:p w14:paraId="0A40439F" w14:textId="6EB96DD6" w:rsidR="005E1EFB" w:rsidRDefault="002D70B4" w:rsidP="005E1EFB">
      <w:r>
        <w:t>73</w:t>
      </w:r>
      <w:r w:rsidR="005E1EFB">
        <w:t xml:space="preserve"> ITU-T workshops</w:t>
      </w:r>
      <w:r>
        <w:t xml:space="preserve">, </w:t>
      </w:r>
      <w:r w:rsidR="005E1EFB">
        <w:t xml:space="preserve">symposia </w:t>
      </w:r>
      <w:r>
        <w:t xml:space="preserve">and webinars </w:t>
      </w:r>
      <w:r w:rsidR="005E1EFB">
        <w:t xml:space="preserve">were organized in the reporting period, </w:t>
      </w:r>
      <w:r w:rsidR="005E1EFB" w:rsidRPr="00C32576">
        <w:t xml:space="preserve">in addition to the weekly programming of the year-round </w:t>
      </w:r>
      <w:hyperlink r:id="rId82">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83" w:history="1">
        <w:r w:rsidR="005E1EFB" w:rsidRPr="00E9149F">
          <w:rPr>
            <w:rStyle w:val="Hyperlink"/>
          </w:rPr>
          <w:t>ITU-T events homepage</w:t>
        </w:r>
      </w:hyperlink>
      <w:r w:rsidR="005E1EFB">
        <w:t xml:space="preserve">. </w:t>
      </w:r>
    </w:p>
    <w:p w14:paraId="218FDF14" w14:textId="7115AF83" w:rsidR="005E1EFB" w:rsidRDefault="005E1EFB" w:rsidP="005E1EFB">
      <w:r w:rsidRPr="00D363D7">
        <w:t>ITU</w:t>
      </w:r>
      <w:r w:rsidR="00DE7459">
        <w:t>-T</w:t>
      </w:r>
      <w:r w:rsidRPr="00D363D7">
        <w:t xml:space="preserve"> workshops</w:t>
      </w:r>
      <w:r w:rsidR="000A66DC">
        <w:t xml:space="preserve">, </w:t>
      </w:r>
      <w:r w:rsidRPr="00D363D7">
        <w:t xml:space="preserve">symposia </w:t>
      </w:r>
      <w:r w:rsidR="000A66DC">
        <w:t xml:space="preserve">and webinars </w:t>
      </w:r>
      <w:r w:rsidRPr="00D363D7">
        <w:t xml:space="preserve">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7" w:name="_4_Virtual_meetings"/>
      <w:bookmarkStart w:id="58" w:name="_Toc156392412"/>
      <w:bookmarkStart w:id="59" w:name="_Hlk135236206"/>
      <w:bookmarkEnd w:id="57"/>
      <w:r>
        <w:rPr>
          <w:rFonts w:eastAsiaTheme="minorEastAsia"/>
        </w:rPr>
        <w:t>4</w:t>
      </w:r>
      <w:r w:rsidRPr="003E7B9E">
        <w:rPr>
          <w:rFonts w:eastAsiaTheme="minorEastAsia"/>
        </w:rPr>
        <w:tab/>
        <w:t xml:space="preserve">Virtual </w:t>
      </w:r>
      <w:r w:rsidRPr="00C5776F">
        <w:rPr>
          <w:rFonts w:eastAsiaTheme="minorEastAsia"/>
        </w:rPr>
        <w:t>meetings</w:t>
      </w:r>
      <w:bookmarkEnd w:id="58"/>
    </w:p>
    <w:p w14:paraId="6AB80213" w14:textId="102BDC63" w:rsidR="005E1EFB" w:rsidRDefault="005E1EFB" w:rsidP="005E1EFB">
      <w:r>
        <w:t>MyMeetings</w:t>
      </w:r>
      <w:r w:rsidR="00CC4624">
        <w:t xml:space="preserve"> </w:t>
      </w:r>
      <w:r>
        <w:t xml:space="preserve">is the main platform for ITU-T statutory meetings. </w:t>
      </w:r>
      <w:r w:rsidR="00CC4624">
        <w:t xml:space="preserve">This </w:t>
      </w:r>
      <w:r w:rsidR="00CC4624" w:rsidRPr="002A1222">
        <w:rPr>
          <w:color w:val="000000"/>
        </w:rPr>
        <w:t xml:space="preserve">ITU-T open-source solution for electronic meetings </w:t>
      </w:r>
      <w:proofErr w:type="spellStart"/>
      <w:r w:rsidR="00CC4624">
        <w:rPr>
          <w:color w:val="000000"/>
        </w:rPr>
        <w:t>wasa</w:t>
      </w:r>
      <w:proofErr w:type="spellEnd"/>
      <w:r w:rsidR="00CC4624">
        <w:rPr>
          <w:color w:val="000000"/>
        </w:rPr>
        <w:t xml:space="preserve"> </w:t>
      </w:r>
      <w:r w:rsidR="00CC4624" w:rsidRPr="002A1222">
        <w:rPr>
          <w:color w:val="000000"/>
        </w:rPr>
        <w:t xml:space="preserve">introduced </w:t>
      </w:r>
      <w:r w:rsidR="00CC4624">
        <w:rPr>
          <w:color w:val="000000"/>
        </w:rPr>
        <w:t xml:space="preserve">by TSB </w:t>
      </w:r>
      <w:r w:rsidR="00CC4624" w:rsidRPr="002A1222">
        <w:rPr>
          <w:color w:val="000000"/>
        </w:rPr>
        <w:t>in January 2019</w:t>
      </w:r>
      <w:r w:rsidR="00CC4624">
        <w:rPr>
          <w:color w:val="000000"/>
        </w:rPr>
        <w:t xml:space="preserve">. </w:t>
      </w:r>
      <w:r>
        <w:t>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xml:space="preserve">, </w:t>
      </w:r>
      <w:r w:rsidR="00CC4624">
        <w:t xml:space="preserve">multilingual support, </w:t>
      </w:r>
      <w:r>
        <w:t>moderated floor request</w:t>
      </w:r>
      <w:r w:rsidR="00DE7459">
        <w:t>s</w:t>
      </w:r>
      <w:r w:rsidR="00CC4624">
        <w:t xml:space="preserve"> </w:t>
      </w:r>
      <w:r>
        <w:t>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proofErr w:type="spellStart"/>
      <w:r w:rsidR="00DE7459">
        <w:t>e-</w:t>
      </w:r>
      <w:r>
        <w:t>meetings</w:t>
      </w:r>
      <w:proofErr w:type="spellEnd"/>
      <w:r>
        <w:t xml:space="preserve"> and any on-demand ad-hoc meetings.</w:t>
      </w:r>
    </w:p>
    <w:p w14:paraId="6964425A" w14:textId="4F00E232" w:rsidR="005E1EFB" w:rsidRDefault="005E1EFB" w:rsidP="005E1EFB">
      <w:r>
        <w:t xml:space="preserve">Statistics on </w:t>
      </w:r>
      <w:proofErr w:type="spellStart"/>
      <w:r>
        <w:t>e-meetings</w:t>
      </w:r>
      <w:proofErr w:type="spellEnd"/>
      <w:r>
        <w:t xml:space="preserve"> </w:t>
      </w:r>
      <w:r w:rsidR="00375546">
        <w:t xml:space="preserve">since 2018 </w:t>
      </w:r>
      <w:r>
        <w:t xml:space="preserve">are shown below. </w:t>
      </w:r>
    </w:p>
    <w:p w14:paraId="6385D449" w14:textId="0C480903"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2018: 1,558 </w:t>
      </w:r>
      <w:proofErr w:type="spellStart"/>
      <w:r>
        <w:rPr>
          <w:rFonts w:ascii="Times New Roman" w:hAnsi="Times New Roman"/>
          <w:sz w:val="24"/>
        </w:rPr>
        <w:t>e-meetings</w:t>
      </w:r>
      <w:proofErr w:type="spellEnd"/>
      <w:r>
        <w:rPr>
          <w:rFonts w:ascii="Times New Roman" w:hAnsi="Times New Roman"/>
          <w:sz w:val="24"/>
        </w:rPr>
        <w:t xml:space="preserve">; 8,353 </w:t>
      </w:r>
      <w:r w:rsidR="006D651E">
        <w:rPr>
          <w:rFonts w:ascii="Times New Roman" w:hAnsi="Times New Roman"/>
          <w:sz w:val="24"/>
        </w:rPr>
        <w:t>connections</w:t>
      </w:r>
    </w:p>
    <w:p w14:paraId="202DEE81" w14:textId="62D4868D"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2019: 2,110 </w:t>
      </w:r>
      <w:proofErr w:type="spellStart"/>
      <w:r>
        <w:rPr>
          <w:rFonts w:ascii="Times New Roman" w:hAnsi="Times New Roman"/>
          <w:sz w:val="24"/>
        </w:rPr>
        <w:t>e-meetings</w:t>
      </w:r>
      <w:proofErr w:type="spellEnd"/>
      <w:r>
        <w:rPr>
          <w:rFonts w:ascii="Times New Roman" w:hAnsi="Times New Roman"/>
          <w:sz w:val="24"/>
        </w:rPr>
        <w:t xml:space="preserve">; 17,657 </w:t>
      </w:r>
      <w:r w:rsidR="006D651E">
        <w:rPr>
          <w:rFonts w:ascii="Times New Roman" w:hAnsi="Times New Roman"/>
          <w:sz w:val="24"/>
        </w:rPr>
        <w:t>connections</w:t>
      </w:r>
    </w:p>
    <w:p w14:paraId="1D23999E" w14:textId="1F53A41F"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2020: 4,220 </w:t>
      </w:r>
      <w:proofErr w:type="spellStart"/>
      <w:r>
        <w:rPr>
          <w:rFonts w:ascii="Times New Roman" w:hAnsi="Times New Roman"/>
          <w:sz w:val="24"/>
        </w:rPr>
        <w:t>e-meetings</w:t>
      </w:r>
      <w:proofErr w:type="spellEnd"/>
      <w:r>
        <w:rPr>
          <w:rFonts w:ascii="Times New Roman" w:hAnsi="Times New Roman"/>
          <w:sz w:val="24"/>
        </w:rPr>
        <w:t xml:space="preserve">; 77,693 </w:t>
      </w:r>
      <w:r w:rsidR="006D651E">
        <w:rPr>
          <w:rFonts w:ascii="Times New Roman" w:hAnsi="Times New Roman"/>
          <w:sz w:val="24"/>
        </w:rPr>
        <w:t>connections</w:t>
      </w:r>
    </w:p>
    <w:p w14:paraId="79C8F233" w14:textId="00A619FA"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2021: 4,671 </w:t>
      </w:r>
      <w:proofErr w:type="spellStart"/>
      <w:r>
        <w:rPr>
          <w:rFonts w:ascii="Times New Roman" w:hAnsi="Times New Roman"/>
          <w:sz w:val="24"/>
        </w:rPr>
        <w:t>e-meetings</w:t>
      </w:r>
      <w:proofErr w:type="spellEnd"/>
      <w:r>
        <w:rPr>
          <w:rFonts w:ascii="Times New Roman" w:hAnsi="Times New Roman"/>
          <w:sz w:val="24"/>
        </w:rPr>
        <w:t xml:space="preserve">; 87,302 </w:t>
      </w:r>
      <w:r w:rsidR="006D651E">
        <w:rPr>
          <w:rFonts w:ascii="Times New Roman" w:hAnsi="Times New Roman"/>
          <w:sz w:val="24"/>
        </w:rPr>
        <w:t>connections</w:t>
      </w:r>
    </w:p>
    <w:p w14:paraId="103FE357" w14:textId="3BC8B2F7" w:rsidR="00375546"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xml:space="preserve">: 5,430 </w:t>
      </w:r>
      <w:proofErr w:type="spellStart"/>
      <w:r w:rsidR="00375546">
        <w:rPr>
          <w:rFonts w:ascii="Times New Roman" w:hAnsi="Times New Roman"/>
          <w:sz w:val="24"/>
        </w:rPr>
        <w:t>e-meetings</w:t>
      </w:r>
      <w:proofErr w:type="spellEnd"/>
      <w:r w:rsidR="00375546">
        <w:rPr>
          <w:rFonts w:ascii="Times New Roman" w:hAnsi="Times New Roman"/>
          <w:sz w:val="24"/>
        </w:rPr>
        <w:t xml:space="preserve">; 78,270 </w:t>
      </w:r>
      <w:r w:rsidR="006D651E">
        <w:rPr>
          <w:rFonts w:ascii="Times New Roman" w:hAnsi="Times New Roman"/>
          <w:sz w:val="24"/>
        </w:rPr>
        <w:t>connections</w:t>
      </w:r>
    </w:p>
    <w:p w14:paraId="2D008A63" w14:textId="0484DADD" w:rsidR="005E1EFB" w:rsidRPr="00BB7AB2" w:rsidRDefault="00375546" w:rsidP="00770357">
      <w:pPr>
        <w:pStyle w:val="ListParagraph"/>
        <w:numPr>
          <w:ilvl w:val="0"/>
          <w:numId w:val="20"/>
        </w:numPr>
        <w:spacing w:before="120" w:after="120"/>
        <w:rPr>
          <w:rFonts w:ascii="Times New Roman" w:hAnsi="Times New Roman"/>
          <w:sz w:val="24"/>
        </w:rPr>
      </w:pPr>
      <w:bookmarkStart w:id="60" w:name="_Hlk155880752"/>
      <w:r>
        <w:rPr>
          <w:rFonts w:ascii="Times New Roman" w:hAnsi="Times New Roman"/>
          <w:sz w:val="24"/>
        </w:rPr>
        <w:t>2023</w:t>
      </w:r>
      <w:r w:rsidR="005E1EFB">
        <w:rPr>
          <w:rFonts w:ascii="Times New Roman" w:hAnsi="Times New Roman"/>
          <w:sz w:val="24"/>
        </w:rPr>
        <w:t xml:space="preserve">: </w:t>
      </w:r>
      <w:r w:rsidR="0061337E" w:rsidRPr="00BB7AB2">
        <w:rPr>
          <w:rFonts w:ascii="Times New Roman" w:hAnsi="Times New Roman"/>
          <w:sz w:val="24"/>
        </w:rPr>
        <w:t>4</w:t>
      </w:r>
      <w:r w:rsidRPr="00BB7AB2">
        <w:rPr>
          <w:rFonts w:ascii="Times New Roman" w:hAnsi="Times New Roman"/>
          <w:sz w:val="24"/>
        </w:rPr>
        <w:t>,</w:t>
      </w:r>
      <w:r w:rsidR="0061337E" w:rsidRPr="00BB7AB2">
        <w:rPr>
          <w:rFonts w:ascii="Times New Roman" w:hAnsi="Times New Roman"/>
          <w:sz w:val="24"/>
        </w:rPr>
        <w:t>1</w:t>
      </w:r>
      <w:r w:rsidRPr="00BB7AB2">
        <w:rPr>
          <w:rFonts w:ascii="Times New Roman" w:hAnsi="Times New Roman"/>
          <w:sz w:val="24"/>
        </w:rPr>
        <w:t xml:space="preserve">43 </w:t>
      </w:r>
      <w:proofErr w:type="spellStart"/>
      <w:r w:rsidRPr="00BB7AB2">
        <w:rPr>
          <w:rFonts w:ascii="Times New Roman" w:hAnsi="Times New Roman"/>
          <w:sz w:val="24"/>
        </w:rPr>
        <w:t>e-meetings</w:t>
      </w:r>
      <w:proofErr w:type="spellEnd"/>
      <w:r w:rsidRPr="00BB7AB2">
        <w:rPr>
          <w:rFonts w:ascii="Times New Roman" w:hAnsi="Times New Roman"/>
          <w:sz w:val="24"/>
        </w:rPr>
        <w:t xml:space="preserve">; </w:t>
      </w:r>
      <w:r w:rsidR="006D651E" w:rsidRPr="00BB7AB2">
        <w:rPr>
          <w:rFonts w:ascii="Times New Roman" w:hAnsi="Times New Roman"/>
          <w:sz w:val="24"/>
        </w:rPr>
        <w:t>68</w:t>
      </w:r>
      <w:r w:rsidRPr="00BB7AB2">
        <w:rPr>
          <w:rFonts w:ascii="Times New Roman" w:hAnsi="Times New Roman"/>
          <w:sz w:val="24"/>
        </w:rPr>
        <w:t xml:space="preserve">,734 </w:t>
      </w:r>
      <w:r w:rsidR="006D651E" w:rsidRPr="00BB7AB2">
        <w:rPr>
          <w:rFonts w:ascii="Times New Roman" w:hAnsi="Times New Roman"/>
          <w:sz w:val="24"/>
        </w:rPr>
        <w:t>connections</w:t>
      </w:r>
    </w:p>
    <w:bookmarkEnd w:id="60"/>
    <w:p w14:paraId="3D388EE9" w14:textId="6E29E1F2" w:rsidR="005E1EFB" w:rsidRPr="00535DB5" w:rsidRDefault="00BB7AB2" w:rsidP="00535DB5">
      <w:pPr>
        <w:jc w:val="center"/>
        <w:rPr>
          <w:highlight w:val="yellow"/>
        </w:rPr>
      </w:pPr>
      <w:r>
        <w:rPr>
          <w:noProof/>
        </w:rPr>
        <w:lastRenderedPageBreak/>
        <w:drawing>
          <wp:inline distT="0" distB="0" distL="0" distR="0" wp14:anchorId="57CDFCFF" wp14:editId="14D2BA3A">
            <wp:extent cx="4791075" cy="3038475"/>
            <wp:effectExtent l="0" t="0" r="9525" b="9525"/>
            <wp:docPr id="1948611938" name="Chart 1">
              <a:extLst xmlns:a="http://schemas.openxmlformats.org/drawingml/2006/main">
                <a:ext uri="{FF2B5EF4-FFF2-40B4-BE49-F238E27FC236}">
                  <a16:creationId xmlns:a16="http://schemas.microsoft.com/office/drawing/2014/main" id="{A3427D64-2151-F84B-AF29-E0D14A803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r w:rsidR="005E1EFB">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w:t>
      </w:r>
      <w:proofErr w:type="spellStart"/>
      <w:r w:rsidRPr="00C32576">
        <w:t>e-meetings</w:t>
      </w:r>
      <w:proofErr w:type="spellEnd"/>
    </w:p>
    <w:p w14:paraId="682B4B7A" w14:textId="4BBBA2D6" w:rsidR="005404EF" w:rsidRPr="00C32576" w:rsidRDefault="005E1EFB" w:rsidP="000B3E92">
      <w:pPr>
        <w:pStyle w:val="Heading1"/>
        <w:spacing w:before="240"/>
        <w:ind w:left="0" w:firstLine="0"/>
      </w:pPr>
      <w:bookmarkStart w:id="61" w:name="_Toc156392413"/>
      <w:bookmarkEnd w:id="59"/>
      <w:r>
        <w:rPr>
          <w:rFonts w:eastAsiaTheme="minorEastAsia"/>
        </w:rPr>
        <w:t>5</w:t>
      </w:r>
      <w:r w:rsidR="005404EF" w:rsidRPr="00C32576">
        <w:rPr>
          <w:rFonts w:eastAsiaTheme="minorEastAsia"/>
        </w:rPr>
        <w:tab/>
      </w:r>
      <w:r w:rsidR="005404EF" w:rsidRPr="00980239">
        <w:t>Collaboration initiatives</w:t>
      </w:r>
      <w:bookmarkStart w:id="62" w:name="_Hlk92281632"/>
      <w:bookmarkEnd w:id="61"/>
    </w:p>
    <w:p w14:paraId="1C38D1D1" w14:textId="7862B7B7" w:rsidR="005404EF" w:rsidRPr="00C32576" w:rsidRDefault="005E1EFB" w:rsidP="000B3E92">
      <w:pPr>
        <w:pStyle w:val="Heading2"/>
      </w:pPr>
      <w:bookmarkStart w:id="63" w:name="_5.1_Artificial_intelligence"/>
      <w:bookmarkStart w:id="64" w:name="_Toc156392414"/>
      <w:bookmarkStart w:id="65" w:name="_Hlk119497450"/>
      <w:bookmarkEnd w:id="63"/>
      <w:r>
        <w:t>5</w:t>
      </w:r>
      <w:r w:rsidR="005404EF" w:rsidRPr="00C32576">
        <w:t>.1</w:t>
      </w:r>
      <w:r w:rsidR="005404EF" w:rsidRPr="00C32576">
        <w:tab/>
        <w:t xml:space="preserve">Artificial intelligence and </w:t>
      </w:r>
      <w:r w:rsidR="005404EF" w:rsidRPr="00C5776F">
        <w:t>machine learning</w:t>
      </w:r>
      <w:bookmarkEnd w:id="64"/>
    </w:p>
    <w:p w14:paraId="4045643D" w14:textId="3DBC8516" w:rsidR="0009233E" w:rsidRDefault="009A3DC3" w:rsidP="0009233E">
      <w:pPr>
        <w:pStyle w:val="NormalWeb"/>
        <w:shd w:val="clear" w:color="auto" w:fill="FFFFFF" w:themeFill="background1"/>
        <w:spacing w:before="120" w:beforeAutospacing="0" w:after="0" w:afterAutospacing="0"/>
        <w:textAlignment w:val="baseline"/>
      </w:pPr>
      <w:hyperlink r:id="rId85">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821700" w:rsidRPr="00A62912">
        <w:t xml:space="preserve">industry </w:t>
      </w:r>
      <w:proofErr w:type="gramStart"/>
      <w:r w:rsidR="00821700" w:rsidRPr="00A62912">
        <w:t>sponsors</w:t>
      </w:r>
      <w:r w:rsidR="00980239">
        <w:t>, and</w:t>
      </w:r>
      <w:proofErr w:type="gramEnd"/>
      <w:r w:rsidR="00980239">
        <w:t xml:space="preserve"> co-convened by the government of Switzerland</w:t>
      </w:r>
      <w:r w:rsidR="00821700" w:rsidRPr="00A62912">
        <w:t>.</w:t>
      </w:r>
    </w:p>
    <w:p w14:paraId="463226A6" w14:textId="700E2305" w:rsidR="00EB377F" w:rsidRPr="00EB377F" w:rsidRDefault="00EB377F" w:rsidP="0009233E">
      <w:pPr>
        <w:pStyle w:val="NormalWeb"/>
        <w:shd w:val="clear" w:color="auto" w:fill="FFFFFF" w:themeFill="background1"/>
        <w:spacing w:before="120" w:beforeAutospacing="0" w:after="0" w:afterAutospacing="0"/>
        <w:textAlignment w:val="baseline"/>
      </w:pPr>
      <w:r w:rsidRPr="00EB377F">
        <w:rPr>
          <w:b/>
          <w:bCs/>
        </w:rPr>
        <w:t xml:space="preserve">AI for Good Global Summit 2024: </w:t>
      </w:r>
      <w:r w:rsidRPr="00EB377F">
        <w:rPr>
          <w:lang w:val="en-US"/>
        </w:rPr>
        <w:t xml:space="preserve">AI innovators </w:t>
      </w:r>
      <w:r w:rsidRPr="00EB377F">
        <w:t xml:space="preserve">will reconnect with investors and humanitarians </w:t>
      </w:r>
      <w:r>
        <w:t>at the ne</w:t>
      </w:r>
      <w:r w:rsidR="00DC1B0E">
        <w:t xml:space="preserve">xt </w:t>
      </w:r>
      <w:hyperlink r:id="rId86" w:history="1">
        <w:r w:rsidRPr="005A4A98">
          <w:rPr>
            <w:rStyle w:val="Hyperlink"/>
          </w:rPr>
          <w:t>AI for Good Global Summit</w:t>
        </w:r>
      </w:hyperlink>
      <w:r>
        <w:t xml:space="preserve"> in Geneva, 30-31 May 2024, preceded by discussions on global AI governance on 29 May. The 2024 edition comes in conjunction with the </w:t>
      </w:r>
      <w:hyperlink r:id="rId87" w:history="1">
        <w:r w:rsidRPr="005A4A98">
          <w:rPr>
            <w:rStyle w:val="Hyperlink"/>
          </w:rPr>
          <w:t>World Summit on the Information Society (WSIS) +20 meeting</w:t>
        </w:r>
      </w:hyperlink>
      <w:r w:rsidR="00DC1B0E">
        <w:t xml:space="preserve"> in Geneva, 27-31 May, </w:t>
      </w:r>
      <w:r>
        <w:t>ensuring complementary perspectives on digital development.</w:t>
      </w:r>
    </w:p>
    <w:p w14:paraId="5ECE0B30" w14:textId="1732F93B" w:rsidR="00EB377F"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w:t>
      </w:r>
      <w:r w:rsidR="00EB377F">
        <w:rPr>
          <w:b/>
          <w:bCs/>
        </w:rPr>
        <w:t>3</w:t>
      </w:r>
      <w:r w:rsidRPr="00A62912">
        <w:rPr>
          <w:b/>
          <w:bCs/>
        </w:rPr>
        <w:t>:</w:t>
      </w:r>
      <w:r w:rsidR="00833FC0" w:rsidRPr="00A62912">
        <w:rPr>
          <w:b/>
          <w:bCs/>
        </w:rPr>
        <w:t xml:space="preserve"> </w:t>
      </w:r>
      <w:bookmarkStart w:id="66" w:name="_Hlk120615371"/>
      <w:r w:rsidR="00821700" w:rsidRPr="00A62912">
        <w:t xml:space="preserve">The </w:t>
      </w:r>
      <w:hyperlink r:id="rId88" w:history="1">
        <w:r w:rsidR="00821700" w:rsidRPr="00DC1B0E">
          <w:rPr>
            <w:rStyle w:val="Hyperlink"/>
          </w:rPr>
          <w:t>AI for Good Global Summit</w:t>
        </w:r>
      </w:hyperlink>
      <w:r w:rsidR="00DC1B0E">
        <w:t xml:space="preserve"> </w:t>
      </w:r>
      <w:r w:rsidR="00821700">
        <w:t>in Geneva,</w:t>
      </w:r>
      <w:r w:rsidR="005C3E5C">
        <w:t xml:space="preserve"> 6-7</w:t>
      </w:r>
      <w:r w:rsidR="00821700">
        <w:t xml:space="preserve"> July 2023,</w:t>
      </w:r>
      <w:r w:rsidR="0085720C">
        <w:t xml:space="preserve"> welcomed over 2,500 participants in Geneva and over 10,000 online. It </w:t>
      </w:r>
      <w:r w:rsidR="00821700">
        <w:t>feature</w:t>
      </w:r>
      <w:r w:rsidR="00BB7AB2">
        <w:t xml:space="preserve">d </w:t>
      </w:r>
      <w:r w:rsidR="00821700">
        <w:t xml:space="preserve">world-renowned </w:t>
      </w:r>
      <w:r w:rsidR="00833FC0">
        <w:t xml:space="preserve">experts </w:t>
      </w:r>
      <w:r w:rsidR="00821700">
        <w:t xml:space="preserve">in </w:t>
      </w:r>
      <w:r>
        <w:t>AI and humanitarian action</w:t>
      </w:r>
      <w:r w:rsidR="00561234">
        <w:t xml:space="preserve"> and the world's largest-ever gathering of humanoid and specialized robots</w:t>
      </w:r>
      <w:r>
        <w:t xml:space="preserve">. </w:t>
      </w:r>
      <w:bookmarkEnd w:id="66"/>
      <w:r>
        <w:t>This fourth summit follow</w:t>
      </w:r>
      <w:r w:rsidR="00BB7AB2">
        <w:t>ed</w:t>
      </w:r>
      <w:r>
        <w:t xml:space="preserve"> summits</w:t>
      </w:r>
      <w:r>
        <w:rPr>
          <w:bCs/>
        </w:rPr>
        <w:t xml:space="preserve"> held in Geneva in 2017, 2018 and 2019.</w:t>
      </w:r>
      <w:r w:rsidR="005C3E5C">
        <w:rPr>
          <w:bCs/>
        </w:rPr>
        <w:t xml:space="preserve"> The summit </w:t>
      </w:r>
      <w:bookmarkStart w:id="67" w:name="_Hlk120615385"/>
      <w:r w:rsidR="00BB7AB2">
        <w:rPr>
          <w:bCs/>
        </w:rPr>
        <w:t xml:space="preserve">was </w:t>
      </w:r>
      <w:r w:rsidR="005C3E5C">
        <w:rPr>
          <w:bCs/>
        </w:rPr>
        <w:t>preceded by expert-oriented ML workshops</w:t>
      </w:r>
      <w:r w:rsidR="0018643A">
        <w:rPr>
          <w:bCs/>
        </w:rPr>
        <w:t>, 4-</w:t>
      </w:r>
      <w:r w:rsidR="005C3E5C">
        <w:rPr>
          <w:bCs/>
        </w:rPr>
        <w:t>5 July, drawing on expertise from the AI for Good Discovery programme.</w:t>
      </w:r>
      <w:bookmarkEnd w:id="67"/>
      <w:r w:rsidR="0085720C">
        <w:rPr>
          <w:bCs/>
        </w:rPr>
        <w:t xml:space="preserve"> </w:t>
      </w:r>
    </w:p>
    <w:p w14:paraId="3C27838D" w14:textId="2F981388"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w:t>
      </w:r>
      <w:r w:rsidR="009862B8">
        <w:rPr>
          <w:sz w:val="23"/>
          <w:szCs w:val="23"/>
        </w:rPr>
        <w:t xml:space="preserve"> </w:t>
      </w:r>
      <w:r w:rsidR="0009233E" w:rsidRPr="00C32576">
        <w:rPr>
          <w:sz w:val="23"/>
          <w:szCs w:val="23"/>
        </w:rPr>
        <w:t>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68" w:name="_Hlk120615411"/>
      <w:r w:rsidR="00E6527F">
        <w:rPr>
          <w:bCs/>
        </w:rPr>
        <w:t>.</w:t>
      </w:r>
      <w:bookmarkEnd w:id="68"/>
      <w:r w:rsidR="00561234">
        <w:rPr>
          <w:bCs/>
        </w:rPr>
        <w:t xml:space="preserve"> </w:t>
      </w:r>
      <w:r w:rsidR="00561234">
        <w:t>T</w:t>
      </w:r>
      <w:r>
        <w:t xml:space="preserve">he </w:t>
      </w:r>
      <w:hyperlink r:id="rId89"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9" w:name="_Hlk120617537"/>
      <w:r w:rsidR="00E6527F" w:rsidRPr="00561234">
        <w:t xml:space="preserve">Over </w:t>
      </w:r>
      <w:r w:rsidR="009862B8">
        <w:t>25</w:t>
      </w:r>
      <w:r w:rsidR="00E6527F" w:rsidRPr="00561234">
        <w:t xml:space="preserve">,000 people have created profiles on the Neural Network since its launch in February </w:t>
      </w:r>
      <w:r w:rsidR="00561234" w:rsidRPr="00561234">
        <w:t>2022</w:t>
      </w:r>
      <w:r w:rsidR="00E6527F" w:rsidRPr="00561234">
        <w:t>.</w:t>
      </w:r>
      <w:bookmarkEnd w:id="69"/>
    </w:p>
    <w:p w14:paraId="4A8CACA7" w14:textId="754D6F70" w:rsidR="00ED2620" w:rsidRPr="00833FC0" w:rsidRDefault="00833FC0" w:rsidP="0009233E">
      <w:pPr>
        <w:rPr>
          <w:bCs/>
        </w:rPr>
      </w:pPr>
      <w:bookmarkStart w:id="70"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70"/>
    <w:p w14:paraId="516312E5" w14:textId="211B2C0F"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t>
      </w:r>
      <w:r w:rsidR="00945884">
        <w:t>near-daily</w:t>
      </w:r>
      <w:r w:rsidR="0009233E" w:rsidRPr="00C32576">
        <w:t xml:space="preserve"> </w:t>
      </w:r>
      <w:hyperlink r:id="rId90">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lastRenderedPageBreak/>
        <w:t>Learn:</w:t>
      </w:r>
    </w:p>
    <w:p w14:paraId="787159DD" w14:textId="77777777" w:rsidR="0009233E" w:rsidRPr="00C32576" w:rsidRDefault="0009233E" w:rsidP="00770357">
      <w:pPr>
        <w:pStyle w:val="ListParagraph"/>
        <w:numPr>
          <w:ilvl w:val="0"/>
          <w:numId w:val="16"/>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rsidP="00770357">
      <w:pPr>
        <w:pStyle w:val="ListParagraph"/>
        <w:numPr>
          <w:ilvl w:val="0"/>
          <w:numId w:val="16"/>
        </w:numPr>
        <w:spacing w:before="120"/>
        <w:ind w:left="714" w:hanging="357"/>
        <w:contextualSpacing w:val="0"/>
        <w:jc w:val="both"/>
        <w:rPr>
          <w:rFonts w:ascii="Times New Roman" w:hAnsi="Times New Roman"/>
          <w:sz w:val="24"/>
        </w:rPr>
      </w:pPr>
      <w:r w:rsidRPr="00C32576">
        <w:rPr>
          <w:rFonts w:ascii="Times New Roman" w:hAnsi="Times New Roman"/>
          <w:sz w:val="24"/>
        </w:rPr>
        <w:t>AI for Good Webinars</w:t>
      </w:r>
    </w:p>
    <w:p w14:paraId="7830E95D" w14:textId="36B90B68" w:rsidR="0009233E" w:rsidRPr="00C32576" w:rsidRDefault="0009233E" w:rsidP="00770357">
      <w:pPr>
        <w:pStyle w:val="ListParagraph"/>
        <w:numPr>
          <w:ilvl w:val="0"/>
          <w:numId w:val="16"/>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rsidP="00770357">
      <w:pPr>
        <w:pStyle w:val="ListParagraph"/>
        <w:numPr>
          <w:ilvl w:val="0"/>
          <w:numId w:val="16"/>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rsidP="00770357">
      <w:pPr>
        <w:pStyle w:val="ListParagraph"/>
        <w:numPr>
          <w:ilvl w:val="0"/>
          <w:numId w:val="16"/>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rsidP="00770357">
      <w:pPr>
        <w:pStyle w:val="ListParagraph"/>
        <w:numPr>
          <w:ilvl w:val="0"/>
          <w:numId w:val="15"/>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rsidP="00770357">
      <w:pPr>
        <w:pStyle w:val="ListParagraph"/>
        <w:numPr>
          <w:ilvl w:val="0"/>
          <w:numId w:val="15"/>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rsidP="00770357">
      <w:pPr>
        <w:pStyle w:val="ListParagraph"/>
        <w:numPr>
          <w:ilvl w:val="0"/>
          <w:numId w:val="15"/>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rsidP="00770357">
      <w:pPr>
        <w:pStyle w:val="ListParagraph"/>
        <w:numPr>
          <w:ilvl w:val="0"/>
          <w:numId w:val="15"/>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rsidP="00770357">
      <w:pPr>
        <w:pStyle w:val="ListParagraph"/>
        <w:numPr>
          <w:ilvl w:val="0"/>
          <w:numId w:val="17"/>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rsidP="00770357">
      <w:pPr>
        <w:pStyle w:val="ListParagraph"/>
        <w:numPr>
          <w:ilvl w:val="0"/>
          <w:numId w:val="17"/>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rsidP="00770357">
      <w:pPr>
        <w:pStyle w:val="ListParagraph"/>
        <w:numPr>
          <w:ilvl w:val="0"/>
          <w:numId w:val="17"/>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rsidP="00770357">
      <w:pPr>
        <w:pStyle w:val="ListParagraph"/>
        <w:numPr>
          <w:ilvl w:val="0"/>
          <w:numId w:val="17"/>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rsidP="00770357">
      <w:pPr>
        <w:pStyle w:val="ListParagraph"/>
        <w:numPr>
          <w:ilvl w:val="0"/>
          <w:numId w:val="17"/>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5"/>
    </w:p>
    <w:p w14:paraId="0BBA2492" w14:textId="2F768784" w:rsidR="00ED4751" w:rsidRPr="00ED4751" w:rsidRDefault="0009233E" w:rsidP="00ED4751">
      <w:bookmarkStart w:id="71" w:name="_Hlk119497181"/>
      <w:r>
        <w:rPr>
          <w:b/>
        </w:rPr>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r w:rsidR="00ED4751" w:rsidRPr="00ED4751">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00ED4751" w:rsidRPr="00ED4751">
        <w:softHyphen/>
        <w:t>– to achieve goals set out by problem statements contributed by industry and academia.</w:t>
      </w:r>
    </w:p>
    <w:p w14:paraId="7F19B5C6" w14:textId="59EC7865" w:rsidR="00ED4751" w:rsidRPr="00ED4751" w:rsidRDefault="00ED4751" w:rsidP="00ED4751">
      <w:r w:rsidRPr="00ED4751">
        <w:t xml:space="preserve">These competitions have welcomed over </w:t>
      </w:r>
      <w:r w:rsidR="009862B8">
        <w:t>7</w:t>
      </w:r>
      <w:r w:rsidRPr="00ED4751">
        <w:t>,</w:t>
      </w:r>
      <w:r w:rsidR="009862B8">
        <w:t>5</w:t>
      </w:r>
      <w:r w:rsidRPr="00ED4751">
        <w:t>00 participants since their launch in 2020.</w:t>
      </w:r>
    </w:p>
    <w:p w14:paraId="185F6ABD" w14:textId="77777777" w:rsidR="00ED4751" w:rsidRPr="00ED4751" w:rsidRDefault="00ED4751" w:rsidP="00ED4751">
      <w:r w:rsidRPr="00ED4751">
        <w:t xml:space="preserve">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w:t>
      </w:r>
      <w:proofErr w:type="gramStart"/>
      <w:r w:rsidRPr="00ED4751">
        <w:t>and also</w:t>
      </w:r>
      <w:proofErr w:type="gramEnd"/>
      <w:r w:rsidRPr="00ED4751">
        <w:t xml:space="preserve"> supports a more inclusive ITU standardization process by paving the way for participants to make valuable contributions to ITU's specifications.  </w:t>
      </w:r>
    </w:p>
    <w:bookmarkStart w:id="72" w:name="_Hlk135751286"/>
    <w:p w14:paraId="1F8E873D" w14:textId="1EBA7C08" w:rsidR="00ED4751" w:rsidRPr="00ED4751" w:rsidRDefault="00ED4751" w:rsidP="00ED4751">
      <w:r w:rsidRPr="00ED4751">
        <w:fldChar w:fldCharType="begin"/>
      </w:r>
      <w:r w:rsidRPr="00ED4751">
        <w:instrText>HYPERLINK "https://aiforgood.itu.int/about-ai-for-good/aiml-in-5g-challenge/"</w:instrText>
      </w:r>
      <w:r w:rsidRPr="00ED4751">
        <w:fldChar w:fldCharType="separate"/>
      </w:r>
      <w:r w:rsidRPr="00ED4751">
        <w:rPr>
          <w:rStyle w:val="Hyperlink"/>
        </w:rPr>
        <w:t>The fourth edition of the ITU AI/ML in 5G Challenge</w:t>
      </w:r>
      <w:r w:rsidRPr="00ED4751">
        <w:fldChar w:fldCharType="end"/>
      </w:r>
      <w:r w:rsidRPr="00ED4751">
        <w:t xml:space="preserve"> –</w:t>
      </w:r>
      <w:r w:rsidR="009862B8">
        <w:t xml:space="preserve"> </w:t>
      </w:r>
      <w:r w:rsidRPr="00ED4751">
        <w:t xml:space="preserve">in focus throughout </w:t>
      </w:r>
      <w:r w:rsidR="009862B8">
        <w:t xml:space="preserve">2023 </w:t>
      </w:r>
      <w:r w:rsidRPr="00ED4751">
        <w:t>(including as part of a </w:t>
      </w:r>
      <w:hyperlink r:id="rId91" w:history="1">
        <w:r w:rsidRPr="00ED4751">
          <w:rPr>
            <w:rStyle w:val="Hyperlink"/>
          </w:rPr>
          <w:t>series of AI for Good webinars</w:t>
        </w:r>
      </w:hyperlink>
      <w:r w:rsidRPr="00ED4751">
        <w:rPr>
          <w:u w:val="single"/>
        </w:rPr>
        <w:t>)</w:t>
      </w:r>
      <w:r w:rsidRPr="00ED4751">
        <w:t xml:space="preserve"> – culminate</w:t>
      </w:r>
      <w:r w:rsidR="009862B8">
        <w:t>d</w:t>
      </w:r>
      <w:r w:rsidRPr="00ED4751">
        <w:t xml:space="preserve"> with Challenge Finale</w:t>
      </w:r>
      <w:r w:rsidR="009862B8">
        <w:t>s</w:t>
      </w:r>
      <w:r w:rsidRPr="00ED4751">
        <w:t xml:space="preserve"> </w:t>
      </w:r>
      <w:r w:rsidR="009862B8">
        <w:t xml:space="preserve">in October and </w:t>
      </w:r>
      <w:r w:rsidRPr="00ED4751">
        <w:t xml:space="preserve">December 2023. </w:t>
      </w:r>
      <w:r w:rsidR="009862B8" w:rsidRPr="009862B8">
        <w:t>In the 2023</w:t>
      </w:r>
      <w:r w:rsidR="009862B8">
        <w:t xml:space="preserve"> edition of the</w:t>
      </w:r>
      <w:r w:rsidR="009862B8" w:rsidRPr="009862B8">
        <w:t xml:space="preserve"> ITU AI/ML </w:t>
      </w:r>
      <w:r w:rsidR="00C23FAB">
        <w:t xml:space="preserve">in 5G </w:t>
      </w:r>
      <w:r w:rsidR="009862B8" w:rsidRPr="009862B8">
        <w:t>Challenge, participants made a combined total of more than 21</w:t>
      </w:r>
      <w:r w:rsidR="009862B8">
        <w:t>,</w:t>
      </w:r>
      <w:r w:rsidR="009862B8" w:rsidRPr="009862B8">
        <w:t>000 submissions.</w:t>
      </w:r>
    </w:p>
    <w:p w14:paraId="39E6F9F0" w14:textId="4D1D80C3" w:rsidR="00ED4751" w:rsidRPr="00ED4751" w:rsidRDefault="00ED4751" w:rsidP="00ED4751">
      <w:r w:rsidRPr="00ED4751">
        <w:t xml:space="preserve">More than </w:t>
      </w:r>
      <w:r w:rsidR="009862B8">
        <w:t xml:space="preserve">70 per cent of the participants </w:t>
      </w:r>
      <w:r w:rsidRPr="00ED4751">
        <w:t>in 202</w:t>
      </w:r>
      <w:r w:rsidR="009862B8">
        <w:t>3</w:t>
      </w:r>
      <w:r w:rsidRPr="00ED4751">
        <w:t xml:space="preserve"> were students, with a large majority</w:t>
      </w:r>
      <w:bookmarkEnd w:id="72"/>
      <w:r w:rsidR="009862B8">
        <w:t xml:space="preserve"> from Africa.</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92" w:history="1">
        <w:r w:rsidRPr="00ED4751">
          <w:rPr>
            <w:rStyle w:val="Hyperlink"/>
          </w:rPr>
          <w:t>https://github.com/ITU-AI-ML-in-5G-Challenge</w:t>
        </w:r>
      </w:hyperlink>
      <w:r w:rsidRPr="00ED4751">
        <w:t xml:space="preserve">. </w:t>
      </w:r>
    </w:p>
    <w:p w14:paraId="4CDAC5D2" w14:textId="2E0791FD" w:rsidR="00004F30" w:rsidRDefault="00ED4751" w:rsidP="009862B8">
      <w:r w:rsidRPr="00ED4751">
        <w:t xml:space="preserve">In addition, the </w:t>
      </w:r>
      <w:hyperlink r:id="rId93" w:history="1">
        <w:r w:rsidRPr="00ED4751">
          <w:rPr>
            <w:rStyle w:val="Hyperlink"/>
          </w:rPr>
          <w:t>ITU Journal on Future and Evolving Technologies</w:t>
        </w:r>
      </w:hyperlink>
      <w:r w:rsidRPr="00ED4751">
        <w:t xml:space="preserve"> has published </w:t>
      </w:r>
      <w:r w:rsidR="009862B8">
        <w:t>three</w:t>
      </w:r>
      <w:r w:rsidRPr="00ED4751">
        <w:t xml:space="preserve"> special issues on "AI/ML solutions in 5G and future networks" sharing solutions and learnings from participants and Challenge hosts (the originators of the problem statements) in 2020</w:t>
      </w:r>
      <w:r w:rsidR="009862B8">
        <w:t xml:space="preserve">, </w:t>
      </w:r>
      <w:r w:rsidRPr="00ED4751">
        <w:t>2021</w:t>
      </w:r>
      <w:r w:rsidR="009862B8">
        <w:t xml:space="preserve"> and 2022</w:t>
      </w:r>
      <w:r w:rsidRPr="00ED4751">
        <w:t xml:space="preserve">. </w:t>
      </w:r>
      <w:r w:rsidRPr="009862B8">
        <w:t xml:space="preserve">A </w:t>
      </w:r>
      <w:r w:rsidR="009862B8" w:rsidRPr="009862B8">
        <w:t>fourth</w:t>
      </w:r>
      <w:r w:rsidRPr="009862B8">
        <w:t xml:space="preserve"> special issue is currently </w:t>
      </w:r>
      <w:r w:rsidR="009862B8">
        <w:t>accepting submissions (</w:t>
      </w:r>
      <w:hyperlink r:id="rId94" w:history="1">
        <w:r w:rsidR="009862B8" w:rsidRPr="009862B8">
          <w:rPr>
            <w:rStyle w:val="Hyperlink"/>
          </w:rPr>
          <w:t>Call for Papers</w:t>
        </w:r>
      </w:hyperlink>
      <w:r w:rsidR="009862B8">
        <w:t>)</w:t>
      </w:r>
      <w:r w:rsidR="009862B8" w:rsidRPr="009862B8">
        <w:rPr>
          <w:bCs/>
        </w:rPr>
        <w:t xml:space="preserve">. </w:t>
      </w:r>
      <w:r w:rsidRPr="009862B8">
        <w:t xml:space="preserve"> </w:t>
      </w:r>
    </w:p>
    <w:p w14:paraId="6BED9C09" w14:textId="271AA9D8" w:rsidR="00AF18F5" w:rsidRPr="00C32576" w:rsidRDefault="00AF18F5" w:rsidP="00AF18F5">
      <w:pPr>
        <w:pStyle w:val="Heading2"/>
      </w:pPr>
      <w:bookmarkStart w:id="73" w:name="_5.2_Artificial_intelligence"/>
      <w:bookmarkStart w:id="74" w:name="_Toc156392415"/>
      <w:bookmarkEnd w:id="73"/>
      <w:r>
        <w:lastRenderedPageBreak/>
        <w:t>5</w:t>
      </w:r>
      <w:r w:rsidRPr="00C32576">
        <w:t>.</w:t>
      </w:r>
      <w:r>
        <w:t>2</w:t>
      </w:r>
      <w:r w:rsidRPr="00C32576">
        <w:tab/>
      </w:r>
      <w:r>
        <w:t>A</w:t>
      </w:r>
      <w:r w:rsidR="002F0686">
        <w:t>rtificial intelligence</w:t>
      </w:r>
      <w:r>
        <w:t xml:space="preserve"> for health</w:t>
      </w:r>
      <w:bookmarkEnd w:id="74"/>
    </w:p>
    <w:p w14:paraId="5409CF5B" w14:textId="6FB180B8" w:rsidR="00AF18F5" w:rsidRPr="00AF18F5" w:rsidRDefault="00AF18F5" w:rsidP="00AF18F5">
      <w:r>
        <w:t>The new</w:t>
      </w:r>
      <w:r w:rsidRPr="00AF18F5">
        <w:rPr>
          <w:lang w:val="en-PH"/>
        </w:rPr>
        <w:t xml:space="preserve"> </w:t>
      </w:r>
      <w:hyperlink r:id="rId95" w:history="1">
        <w:r w:rsidRPr="00AF18F5">
          <w:rPr>
            <w:rStyle w:val="Hyperlink"/>
          </w:rPr>
          <w:t>Global Initiative on AI for Health</w:t>
        </w:r>
      </w:hyperlink>
      <w:r>
        <w:t xml:space="preserve"> </w:t>
      </w:r>
      <w:r w:rsidRPr="00AF18F5">
        <w:t>driven by ITU, WHO and WIPO aims to ensure that AI fulfils its potential to support diagnosis and treatment, along with more efficient and inclusive healthcare services.</w:t>
      </w:r>
      <w:r>
        <w:t xml:space="preserve"> The initiative's launch was announced at the AI for Good Global Summit 2023</w:t>
      </w:r>
      <w:r w:rsidR="006D3365">
        <w:t>. Its</w:t>
      </w:r>
      <w:r w:rsidR="00E83330">
        <w:t xml:space="preserve"> </w:t>
      </w:r>
      <w:hyperlink r:id="rId96" w:history="1">
        <w:r w:rsidR="00E83330" w:rsidRPr="006D3365">
          <w:rPr>
            <w:rStyle w:val="Hyperlink"/>
          </w:rPr>
          <w:t>first meeting</w:t>
        </w:r>
      </w:hyperlink>
      <w:r w:rsidR="00E83330">
        <w:t xml:space="preserve"> was held in Riyadh, Saudi Arabia, 30 October </w:t>
      </w:r>
      <w:r w:rsidR="007D788D">
        <w:t>-</w:t>
      </w:r>
      <w:r w:rsidR="00E83330">
        <w:t xml:space="preserve"> 2 November 2023.</w:t>
      </w:r>
    </w:p>
    <w:p w14:paraId="5B140F68" w14:textId="7D3A0816" w:rsidR="00E83330" w:rsidRPr="00AF18F5" w:rsidRDefault="00AF18F5" w:rsidP="00AF18F5">
      <w:r w:rsidRPr="00AF18F5">
        <w:t>The global initiative aims to develop technical standards and policy guidance, facilitate knowledge and data sharing, and support evidence-based decisions on the introduction of AI solutions for health.</w:t>
      </w:r>
      <w:r w:rsidR="00E83330">
        <w:t xml:space="preserve"> It </w:t>
      </w:r>
      <w:r w:rsidR="00E83330" w:rsidRPr="00AF18F5">
        <w:t>will also promote collaborative mechanisms for AI solutions to reach underserved communities, and its scaling program</w:t>
      </w:r>
      <w:r w:rsidR="008F04A3">
        <w:t>me</w:t>
      </w:r>
      <w:r w:rsidR="00E83330" w:rsidRPr="00AF18F5">
        <w:t xml:space="preserve"> will assist low- and middle-income countries in adopting AI solutions for health.</w:t>
      </w:r>
    </w:p>
    <w:p w14:paraId="0D3769B3" w14:textId="504CA2C4" w:rsidR="00AF18F5" w:rsidRPr="009862B8" w:rsidRDefault="00E83330" w:rsidP="009862B8">
      <w:r>
        <w:t xml:space="preserve">The initiative </w:t>
      </w:r>
      <w:r w:rsidR="00AF18F5" w:rsidRPr="00AF18F5">
        <w:t xml:space="preserve">builds on the momentum of the </w:t>
      </w:r>
      <w:hyperlink r:id="rId97" w:history="1">
        <w:r w:rsidR="00AF18F5" w:rsidRPr="00AF18F5">
          <w:rPr>
            <w:rStyle w:val="Hyperlink"/>
          </w:rPr>
          <w:t>ITU-WHO Focus Group on AI for Health</w:t>
        </w:r>
      </w:hyperlink>
      <w:r w:rsidR="00AF18F5" w:rsidRPr="00AF18F5">
        <w:t>.</w:t>
      </w:r>
    </w:p>
    <w:p w14:paraId="69248795" w14:textId="711D1253" w:rsidR="005404EF" w:rsidRPr="00C32576" w:rsidRDefault="006279A8" w:rsidP="0048381E">
      <w:pPr>
        <w:pStyle w:val="Heading2"/>
      </w:pPr>
      <w:bookmarkStart w:id="75" w:name="_5.2_Digital_financial"/>
      <w:bookmarkStart w:id="76" w:name="_5.3_Digital_financial"/>
      <w:bookmarkStart w:id="77" w:name="_Toc156392416"/>
      <w:bookmarkStart w:id="78" w:name="_Hlk120017847"/>
      <w:bookmarkEnd w:id="71"/>
      <w:bookmarkEnd w:id="75"/>
      <w:bookmarkEnd w:id="76"/>
      <w:r>
        <w:t>5</w:t>
      </w:r>
      <w:r w:rsidR="005404EF" w:rsidRPr="00C32576">
        <w:t>.</w:t>
      </w:r>
      <w:r w:rsidR="00AF18F5">
        <w:t>3</w:t>
      </w:r>
      <w:r w:rsidR="005404EF" w:rsidRPr="00C32576">
        <w:tab/>
        <w:t>Digital financial inclusion</w:t>
      </w:r>
      <w:r w:rsidR="00E55E57">
        <w:t xml:space="preserve"> and fintech</w:t>
      </w:r>
      <w:bookmarkEnd w:id="77"/>
    </w:p>
    <w:p w14:paraId="18CB36EE"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For an overview of all TSB/ITU-T activities on digital financial inclusion and fintech, see dedicated </w:t>
      </w:r>
      <w:hyperlink r:id="rId98" w:history="1">
        <w:r w:rsidRPr="00D07B90">
          <w:rPr>
            <w:rStyle w:val="Hyperlink"/>
            <w:lang w:val="en-US"/>
          </w:rPr>
          <w:t>web page</w:t>
        </w:r>
      </w:hyperlink>
      <w:r w:rsidRPr="00D07B90">
        <w:rPr>
          <w:color w:val="0D0D0D" w:themeColor="text1" w:themeTint="F2"/>
          <w:lang w:val="en-US"/>
        </w:rPr>
        <w:t xml:space="preserve">.  </w:t>
      </w:r>
    </w:p>
    <w:p w14:paraId="4706F485" w14:textId="36239A50" w:rsidR="00D07B90" w:rsidRDefault="00D07B90" w:rsidP="00D07B90">
      <w:pPr>
        <w:rPr>
          <w:color w:val="0D0D0D" w:themeColor="text1" w:themeTint="F2"/>
          <w:lang w:val="en-US"/>
        </w:rPr>
      </w:pPr>
      <w:r w:rsidRPr="00D07B90">
        <w:rPr>
          <w:b/>
          <w:bCs/>
          <w:color w:val="0D0D0D" w:themeColor="text1" w:themeTint="F2"/>
          <w:lang w:val="en-US"/>
        </w:rPr>
        <w:t xml:space="preserve">Status of digital financial services (DFS) security recommendations' adoption: </w:t>
      </w:r>
      <w:r w:rsidRPr="00D07B90">
        <w:rPr>
          <w:color w:val="0D0D0D" w:themeColor="text1" w:themeTint="F2"/>
          <w:lang w:val="en-US"/>
        </w:rPr>
        <w:t xml:space="preserve">Through the activities of the </w:t>
      </w:r>
      <w:hyperlink r:id="rId99" w:history="1">
        <w:r w:rsidRPr="00D07B90">
          <w:rPr>
            <w:rStyle w:val="Hyperlink"/>
          </w:rPr>
          <w:t>ITU DFS Security Lab</w:t>
        </w:r>
      </w:hyperlink>
      <w:r w:rsidRPr="00D07B90">
        <w:rPr>
          <w:color w:val="0D0D0D" w:themeColor="text1" w:themeTint="F2"/>
          <w:lang w:val="en-US"/>
        </w:rPr>
        <w:t>,</w:t>
      </w:r>
      <w:r w:rsidRPr="00D07B90">
        <w:rPr>
          <w:b/>
          <w:bCs/>
          <w:color w:val="0D0D0D" w:themeColor="text1" w:themeTint="F2"/>
          <w:lang w:val="en-US"/>
        </w:rPr>
        <w:t xml:space="preserve"> </w:t>
      </w:r>
      <w:r w:rsidRPr="00D07B90">
        <w:rPr>
          <w:color w:val="0D0D0D" w:themeColor="text1" w:themeTint="F2"/>
          <w:lang w:val="en-US"/>
        </w:rPr>
        <w:t xml:space="preserve">TSB </w:t>
      </w:r>
      <w:r w:rsidR="00134097">
        <w:rPr>
          <w:color w:val="0D0D0D" w:themeColor="text1" w:themeTint="F2"/>
          <w:lang w:val="en-US"/>
        </w:rPr>
        <w:t xml:space="preserve">engages </w:t>
      </w:r>
      <w:r w:rsidRPr="00D07B90">
        <w:rPr>
          <w:color w:val="0D0D0D" w:themeColor="text1" w:themeTint="F2"/>
          <w:lang w:val="en-US"/>
        </w:rPr>
        <w:t xml:space="preserve">with telecom regulators of emerging economies and regional telecommunication regulatory to present the security recommendations for DFS developed under </w:t>
      </w:r>
      <w:r w:rsidRPr="00D07B90">
        <w:rPr>
          <w:color w:val="0D0D0D" w:themeColor="text1" w:themeTint="F2"/>
        </w:rPr>
        <w:t>the</w:t>
      </w:r>
      <w:r w:rsidRPr="00D07B90">
        <w:rPr>
          <w:color w:val="0D0D0D" w:themeColor="text1" w:themeTint="F2"/>
          <w:lang w:val="en-US"/>
        </w:rPr>
        <w:t xml:space="preserve"> </w:t>
      </w:r>
      <w:hyperlink r:id="rId100" w:history="1">
        <w:r w:rsidRPr="00D07B90">
          <w:rPr>
            <w:rStyle w:val="Hyperlink"/>
            <w:lang w:val="en-US"/>
          </w:rPr>
          <w:t>Financial Inclusion Global Initiative (FIGI)</w:t>
        </w:r>
      </w:hyperlink>
      <w:r w:rsidRPr="00D07B90">
        <w:rPr>
          <w:color w:val="0D0D0D" w:themeColor="text1" w:themeTint="F2"/>
          <w:lang w:val="en-US"/>
        </w:rPr>
        <w:t xml:space="preserve">, inviting them to adopt the recommendations. </w:t>
      </w:r>
    </w:p>
    <w:p w14:paraId="0074A6E9" w14:textId="5CCCF088" w:rsidR="00FD24C8" w:rsidRPr="00FD24C8" w:rsidRDefault="00FD24C8" w:rsidP="00D07B90">
      <w:pPr>
        <w:rPr>
          <w:color w:val="0D0D0D" w:themeColor="text1" w:themeTint="F2"/>
        </w:rPr>
      </w:pPr>
      <w:r>
        <w:rPr>
          <w:color w:val="0D0D0D" w:themeColor="text1" w:themeTint="F2"/>
        </w:rPr>
        <w:t>To date, the c</w:t>
      </w:r>
      <w:r w:rsidRPr="00FD24C8">
        <w:rPr>
          <w:color w:val="0D0D0D" w:themeColor="text1" w:themeTint="F2"/>
        </w:rPr>
        <w:t xml:space="preserve">ountries in Africa </w:t>
      </w:r>
      <w:r>
        <w:rPr>
          <w:color w:val="0D0D0D" w:themeColor="text1" w:themeTint="F2"/>
        </w:rPr>
        <w:t xml:space="preserve">that </w:t>
      </w:r>
      <w:r w:rsidRPr="00FD24C8">
        <w:rPr>
          <w:color w:val="0D0D0D" w:themeColor="text1" w:themeTint="F2"/>
        </w:rPr>
        <w:t xml:space="preserve">have implemented the </w:t>
      </w:r>
      <w:r>
        <w:rPr>
          <w:color w:val="0D0D0D" w:themeColor="text1" w:themeTint="F2"/>
        </w:rPr>
        <w:t xml:space="preserve">recommended </w:t>
      </w:r>
      <w:r w:rsidRPr="00FD24C8">
        <w:rPr>
          <w:color w:val="0D0D0D" w:themeColor="text1" w:themeTint="F2"/>
        </w:rPr>
        <w:t xml:space="preserve">MoU between the telecom regulator and </w:t>
      </w:r>
      <w:r>
        <w:rPr>
          <w:color w:val="0D0D0D" w:themeColor="text1" w:themeTint="F2"/>
        </w:rPr>
        <w:t>c</w:t>
      </w:r>
      <w:r w:rsidRPr="00FD24C8">
        <w:rPr>
          <w:color w:val="0D0D0D" w:themeColor="text1" w:themeTint="F2"/>
        </w:rPr>
        <w:t xml:space="preserve">entral </w:t>
      </w:r>
      <w:r>
        <w:rPr>
          <w:color w:val="0D0D0D" w:themeColor="text1" w:themeTint="F2"/>
        </w:rPr>
        <w:t>b</w:t>
      </w:r>
      <w:r w:rsidRPr="00FD24C8">
        <w:rPr>
          <w:color w:val="0D0D0D" w:themeColor="text1" w:themeTint="F2"/>
        </w:rPr>
        <w:t xml:space="preserve">ank for DFS </w:t>
      </w:r>
      <w:r>
        <w:rPr>
          <w:color w:val="0D0D0D" w:themeColor="text1" w:themeTint="F2"/>
        </w:rPr>
        <w:t xml:space="preserve">security are </w:t>
      </w:r>
      <w:r w:rsidRPr="00FD24C8">
        <w:rPr>
          <w:color w:val="0D0D0D" w:themeColor="text1" w:themeTint="F2"/>
        </w:rPr>
        <w:t xml:space="preserve">Nigeria, Lesotho, Sierra Leone, Tanzania, </w:t>
      </w:r>
      <w:proofErr w:type="gramStart"/>
      <w:r w:rsidRPr="00FD24C8">
        <w:rPr>
          <w:color w:val="0D0D0D" w:themeColor="text1" w:themeTint="F2"/>
        </w:rPr>
        <w:t>Kenya</w:t>
      </w:r>
      <w:proofErr w:type="gramEnd"/>
      <w:r w:rsidRPr="00FD24C8">
        <w:rPr>
          <w:color w:val="0D0D0D" w:themeColor="text1" w:themeTint="F2"/>
        </w:rPr>
        <w:t xml:space="preserve"> and Zimbabwe. </w:t>
      </w:r>
    </w:p>
    <w:p w14:paraId="647FECB2" w14:textId="00780540" w:rsidR="00134097" w:rsidRDefault="00134097" w:rsidP="00D07B90">
      <w:pPr>
        <w:rPr>
          <w:color w:val="0D0D0D" w:themeColor="text1" w:themeTint="F2"/>
        </w:rPr>
      </w:pPr>
      <w:r>
        <w:rPr>
          <w:color w:val="0D0D0D" w:themeColor="text1" w:themeTint="F2"/>
          <w:lang w:val="en-US"/>
        </w:rPr>
        <w:t>T</w:t>
      </w:r>
      <w:r w:rsidRPr="00D07B90">
        <w:rPr>
          <w:color w:val="0D0D0D" w:themeColor="text1" w:themeTint="F2"/>
          <w:lang w:val="en-US"/>
        </w:rPr>
        <w:t xml:space="preserve">he East African Communications </w:t>
      </w:r>
      <w:proofErr w:type="spellStart"/>
      <w:r w:rsidRPr="00D07B90">
        <w:rPr>
          <w:color w:val="0D0D0D" w:themeColor="text1" w:themeTint="F2"/>
          <w:lang w:val="en-US"/>
        </w:rPr>
        <w:t>Organisation</w:t>
      </w:r>
      <w:proofErr w:type="spellEnd"/>
      <w:r w:rsidRPr="00D07B90">
        <w:rPr>
          <w:color w:val="0D0D0D" w:themeColor="text1" w:themeTint="F2"/>
          <w:lang w:val="en-US"/>
        </w:rPr>
        <w:t xml:space="preserve"> (EACO)</w:t>
      </w:r>
      <w:r>
        <w:rPr>
          <w:color w:val="0D0D0D" w:themeColor="text1" w:themeTint="F2"/>
          <w:lang w:val="en-US"/>
        </w:rPr>
        <w:t xml:space="preserve"> </w:t>
      </w:r>
      <w:r w:rsidRPr="00134097">
        <w:rPr>
          <w:color w:val="0D0D0D" w:themeColor="text1" w:themeTint="F2"/>
        </w:rPr>
        <w:t>formally adopted the recommendations during its 25</w:t>
      </w:r>
      <w:r w:rsidRPr="00C77C5E">
        <w:rPr>
          <w:color w:val="0D0D0D" w:themeColor="text1" w:themeTint="F2"/>
          <w:vertAlign w:val="superscript"/>
        </w:rPr>
        <w:t>th</w:t>
      </w:r>
      <w:r w:rsidR="00C77C5E">
        <w:rPr>
          <w:color w:val="0D0D0D" w:themeColor="text1" w:themeTint="F2"/>
        </w:rPr>
        <w:t xml:space="preserve"> </w:t>
      </w:r>
      <w:r w:rsidRPr="00134097">
        <w:rPr>
          <w:color w:val="0D0D0D" w:themeColor="text1" w:themeTint="F2"/>
        </w:rPr>
        <w:t>Congress and 28</w:t>
      </w:r>
      <w:r w:rsidRPr="00C77C5E">
        <w:rPr>
          <w:color w:val="0D0D0D" w:themeColor="text1" w:themeTint="F2"/>
          <w:vertAlign w:val="superscript"/>
        </w:rPr>
        <w:t>th</w:t>
      </w:r>
      <w:r w:rsidRPr="00134097">
        <w:rPr>
          <w:color w:val="0D0D0D" w:themeColor="text1" w:themeTint="F2"/>
        </w:rPr>
        <w:t xml:space="preserve"> Annual Assemblies held in June 2023 in Bujumbura, Burundi.</w:t>
      </w:r>
    </w:p>
    <w:p w14:paraId="7E9F5BDE" w14:textId="3D5E7EC0" w:rsidR="00134097" w:rsidRDefault="00134097" w:rsidP="00D07B90">
      <w:pPr>
        <w:rPr>
          <w:color w:val="0D0D0D" w:themeColor="text1" w:themeTint="F2"/>
        </w:rPr>
      </w:pPr>
      <w:r>
        <w:rPr>
          <w:color w:val="0D0D0D" w:themeColor="text1" w:themeTint="F2"/>
          <w:lang w:val="en-US"/>
        </w:rPr>
        <w:t xml:space="preserve">The </w:t>
      </w:r>
      <w:r w:rsidR="00D07B90" w:rsidRPr="00D07B90">
        <w:rPr>
          <w:color w:val="0D0D0D" w:themeColor="text1" w:themeTint="F2"/>
          <w:lang w:val="en-US"/>
        </w:rPr>
        <w:t>Communication Regulators Association of Southern Africa (CRASA)</w:t>
      </w:r>
      <w:r>
        <w:rPr>
          <w:color w:val="0D0D0D" w:themeColor="text1" w:themeTint="F2"/>
          <w:lang w:val="en-US"/>
        </w:rPr>
        <w:t xml:space="preserve"> </w:t>
      </w:r>
      <w:r w:rsidRPr="00134097">
        <w:rPr>
          <w:color w:val="0D0D0D" w:themeColor="text1" w:themeTint="F2"/>
        </w:rPr>
        <w:t xml:space="preserve">formally adopted the </w:t>
      </w:r>
      <w:r>
        <w:rPr>
          <w:color w:val="0D0D0D" w:themeColor="text1" w:themeTint="F2"/>
        </w:rPr>
        <w:t xml:space="preserve">recommendations </w:t>
      </w:r>
      <w:r w:rsidRPr="00134097">
        <w:rPr>
          <w:color w:val="0D0D0D" w:themeColor="text1" w:themeTint="F2"/>
        </w:rPr>
        <w:t>at its 12</w:t>
      </w:r>
      <w:r w:rsidRPr="00C77C5E">
        <w:rPr>
          <w:color w:val="0D0D0D" w:themeColor="text1" w:themeTint="F2"/>
          <w:vertAlign w:val="superscript"/>
        </w:rPr>
        <w:t>th</w:t>
      </w:r>
      <w:r w:rsidR="00C77C5E">
        <w:rPr>
          <w:color w:val="0D0D0D" w:themeColor="text1" w:themeTint="F2"/>
        </w:rPr>
        <w:t xml:space="preserve"> </w:t>
      </w:r>
      <w:r w:rsidRPr="00134097">
        <w:rPr>
          <w:color w:val="0D0D0D" w:themeColor="text1" w:themeTint="F2"/>
        </w:rPr>
        <w:t>Annual General Meeting (AGM) in March 2023 in Kinshasa,</w:t>
      </w:r>
      <w:r w:rsidR="00C77C5E">
        <w:rPr>
          <w:color w:val="0D0D0D" w:themeColor="text1" w:themeTint="F2"/>
        </w:rPr>
        <w:t xml:space="preserve"> </w:t>
      </w:r>
      <w:r w:rsidRPr="00134097">
        <w:rPr>
          <w:color w:val="0D0D0D" w:themeColor="text1" w:themeTint="F2"/>
        </w:rPr>
        <w:t>DRC</w:t>
      </w:r>
      <w:r w:rsidR="00C77C5E">
        <w:rPr>
          <w:color w:val="0D0D0D" w:themeColor="text1" w:themeTint="F2"/>
        </w:rPr>
        <w:t>.</w:t>
      </w:r>
    </w:p>
    <w:p w14:paraId="526005F2" w14:textId="21417043" w:rsidR="00134097" w:rsidRPr="00D07B90" w:rsidRDefault="00FD24C8" w:rsidP="00D07B90">
      <w:pPr>
        <w:rPr>
          <w:color w:val="0D0D0D" w:themeColor="text1" w:themeTint="F2"/>
          <w:lang w:val="en-US"/>
        </w:rPr>
      </w:pPr>
      <w:r>
        <w:rPr>
          <w:color w:val="0D0D0D" w:themeColor="text1" w:themeTint="F2"/>
        </w:rPr>
        <w:t>Discussions are ongoing with the</w:t>
      </w:r>
      <w:r w:rsidR="00D07B90" w:rsidRPr="00D07B90">
        <w:rPr>
          <w:color w:val="0D0D0D" w:themeColor="text1" w:themeTint="F2"/>
          <w:lang w:val="en-US"/>
        </w:rPr>
        <w:t xml:space="preserve"> West Africa Telecommunications Regulators Assembly (WATRA) </w:t>
      </w:r>
      <w:r>
        <w:rPr>
          <w:color w:val="0D0D0D" w:themeColor="text1" w:themeTint="F2"/>
          <w:lang w:val="en-US"/>
        </w:rPr>
        <w:t xml:space="preserve">on its potential </w:t>
      </w:r>
      <w:r w:rsidR="00D07B90" w:rsidRPr="00D07B90">
        <w:rPr>
          <w:color w:val="0D0D0D" w:themeColor="text1" w:themeTint="F2"/>
          <w:lang w:val="en-US"/>
        </w:rPr>
        <w:t>adopt</w:t>
      </w:r>
      <w:r>
        <w:rPr>
          <w:color w:val="0D0D0D" w:themeColor="text1" w:themeTint="F2"/>
          <w:lang w:val="en-US"/>
        </w:rPr>
        <w:t>ion of</w:t>
      </w:r>
      <w:r w:rsidR="00D07B90" w:rsidRPr="00D07B90">
        <w:rPr>
          <w:color w:val="0D0D0D" w:themeColor="text1" w:themeTint="F2"/>
          <w:lang w:val="en-US"/>
        </w:rPr>
        <w:t xml:space="preserve"> the security recommendations</w:t>
      </w:r>
      <w:r w:rsidR="00134097">
        <w:rPr>
          <w:color w:val="0D0D0D" w:themeColor="text1" w:themeTint="F2"/>
          <w:lang w:val="en-US"/>
        </w:rPr>
        <w:t xml:space="preserve">. </w:t>
      </w:r>
    </w:p>
    <w:p w14:paraId="45259923" w14:textId="77777777" w:rsidR="00D07B90" w:rsidRPr="00D07B90" w:rsidRDefault="00D07B90" w:rsidP="00D07B90">
      <w:pPr>
        <w:rPr>
          <w:color w:val="0D0D0D" w:themeColor="text1" w:themeTint="F2"/>
        </w:rPr>
      </w:pPr>
      <w:r w:rsidRPr="00D07B90">
        <w:rPr>
          <w:b/>
          <w:bCs/>
          <w:color w:val="0D0D0D" w:themeColor="text1" w:themeTint="F2"/>
        </w:rPr>
        <w:t xml:space="preserve">DFS Security Lab: </w:t>
      </w:r>
      <w:r w:rsidRPr="00D07B90">
        <w:rPr>
          <w:color w:val="0D0D0D" w:themeColor="text1" w:themeTint="F2"/>
        </w:rPr>
        <w:t xml:space="preserve">The </w:t>
      </w:r>
      <w:hyperlink r:id="rId101" w:history="1">
        <w:r w:rsidRPr="00D07B90">
          <w:rPr>
            <w:rStyle w:val="Hyperlink"/>
          </w:rPr>
          <w:t>ITU DFS Security Lab</w:t>
        </w:r>
      </w:hyperlink>
      <w:r w:rsidRPr="00D07B90">
        <w:rPr>
          <w:color w:val="0D0D0D" w:themeColor="text1" w:themeTint="F2"/>
          <w:lang w:val="en-US"/>
        </w:rPr>
        <w:t xml:space="preserve"> </w:t>
      </w:r>
      <w:r w:rsidRPr="00D07B90">
        <w:rPr>
          <w:color w:val="0D0D0D" w:themeColor="text1" w:themeTint="F2"/>
        </w:rPr>
        <w:t xml:space="preserve">set up as part of FIGI activities developed a methodology for conducting security tests for mobile payment apps based on USSD, STK, and Android. </w:t>
      </w:r>
    </w:p>
    <w:p w14:paraId="4E70A35D" w14:textId="6ED78317" w:rsidR="00D07B90" w:rsidRPr="00D07B90" w:rsidRDefault="00D07B90" w:rsidP="00D07B90">
      <w:pPr>
        <w:rPr>
          <w:color w:val="0D0D0D" w:themeColor="text1" w:themeTint="F2"/>
        </w:rPr>
      </w:pPr>
      <w:r w:rsidRPr="00D07B90">
        <w:rPr>
          <w:color w:val="0D0D0D" w:themeColor="text1" w:themeTint="F2"/>
        </w:rPr>
        <w:t xml:space="preserve">The 2023 activities of the DFS security lab </w:t>
      </w:r>
      <w:r w:rsidR="004B166D">
        <w:rPr>
          <w:color w:val="0D0D0D" w:themeColor="text1" w:themeTint="F2"/>
        </w:rPr>
        <w:t>were</w:t>
      </w:r>
      <w:r w:rsidRPr="00D07B90">
        <w:rPr>
          <w:color w:val="0D0D0D" w:themeColor="text1" w:themeTint="F2"/>
        </w:rPr>
        <w:t xml:space="preserve"> supported by funding from Deutsche Gesellschaft für Internationale </w:t>
      </w:r>
      <w:proofErr w:type="spellStart"/>
      <w:r w:rsidRPr="00D07B90">
        <w:rPr>
          <w:color w:val="0D0D0D" w:themeColor="text1" w:themeTint="F2"/>
        </w:rPr>
        <w:t>Zusammenarbei</w:t>
      </w:r>
      <w:proofErr w:type="spellEnd"/>
      <w:r w:rsidRPr="00D07B90">
        <w:rPr>
          <w:color w:val="0D0D0D" w:themeColor="text1" w:themeTint="F2"/>
        </w:rPr>
        <w:t xml:space="preserve"> (GIZ) and </w:t>
      </w:r>
      <w:r w:rsidR="00A23A70">
        <w:rPr>
          <w:color w:val="0D0D0D" w:themeColor="text1" w:themeTint="F2"/>
        </w:rPr>
        <w:t xml:space="preserve">the Republic of </w:t>
      </w:r>
      <w:r w:rsidRPr="00D07B90">
        <w:rPr>
          <w:color w:val="0D0D0D" w:themeColor="text1" w:themeTint="F2"/>
        </w:rPr>
        <w:t>Korea's Ministry of Science and ICT.</w:t>
      </w:r>
    </w:p>
    <w:p w14:paraId="523803D8" w14:textId="77777777" w:rsidR="00D07B90" w:rsidRPr="00D07B90" w:rsidRDefault="00D07B90" w:rsidP="00D07B90">
      <w:pPr>
        <w:rPr>
          <w:color w:val="0D0D0D" w:themeColor="text1" w:themeTint="F2"/>
        </w:rPr>
      </w:pPr>
      <w:r w:rsidRPr="00D07B90">
        <w:rPr>
          <w:color w:val="0D0D0D" w:themeColor="text1" w:themeTint="F2"/>
        </w:rPr>
        <w:t xml:space="preserve">As part of the activities of the ITU DFS Security Lab, </w:t>
      </w:r>
      <w:hyperlink r:id="rId102" w:history="1">
        <w:r w:rsidRPr="00D07B90">
          <w:rPr>
            <w:rStyle w:val="Hyperlink"/>
          </w:rPr>
          <w:t>ITU DFS ​Security Clinics</w:t>
        </w:r>
      </w:hyperlink>
      <w:r w:rsidRPr="00D07B90">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003B6BEF" w14:textId="1DB07A81" w:rsidR="0044286D" w:rsidRPr="00D07B90" w:rsidRDefault="004B166D" w:rsidP="004B166D">
      <w:pPr>
        <w:rPr>
          <w:color w:val="0D0D0D" w:themeColor="text1" w:themeTint="F2"/>
        </w:rPr>
      </w:pPr>
      <w:r>
        <w:rPr>
          <w:color w:val="0D0D0D" w:themeColor="text1" w:themeTint="F2"/>
        </w:rPr>
        <w:t>Security clinics conducted by the</w:t>
      </w:r>
      <w:r w:rsidR="00D07B90" w:rsidRPr="00D07B90">
        <w:rPr>
          <w:color w:val="0D0D0D" w:themeColor="text1" w:themeTint="F2"/>
        </w:rPr>
        <w:t xml:space="preserve"> DFS Security Lab</w:t>
      </w:r>
      <w:r>
        <w:rPr>
          <w:color w:val="0D0D0D" w:themeColor="text1" w:themeTint="F2"/>
        </w:rPr>
        <w:t xml:space="preserve"> in the reporting period are listed on this </w:t>
      </w:r>
      <w:hyperlink r:id="rId103" w:history="1">
        <w:r w:rsidRPr="004B166D">
          <w:rPr>
            <w:rStyle w:val="Hyperlink"/>
          </w:rPr>
          <w:t>web page</w:t>
        </w:r>
      </w:hyperlink>
      <w:r>
        <w:rPr>
          <w:color w:val="0D0D0D" w:themeColor="text1" w:themeTint="F2"/>
        </w:rPr>
        <w:t xml:space="preserve">. </w:t>
      </w:r>
      <w:r w:rsidR="00D07B90" w:rsidRPr="00D07B90">
        <w:rPr>
          <w:color w:val="0D0D0D" w:themeColor="text1" w:themeTint="F2"/>
        </w:rPr>
        <w:t xml:space="preserve"> </w:t>
      </w:r>
    </w:p>
    <w:p w14:paraId="5197461B" w14:textId="5CFB3816" w:rsidR="00D07B90" w:rsidRDefault="00FD24C8" w:rsidP="00D07B90">
      <w:pPr>
        <w:rPr>
          <w:color w:val="0D0D0D" w:themeColor="text1" w:themeTint="F2"/>
          <w:lang w:val="en-US"/>
        </w:rPr>
      </w:pPr>
      <w:r w:rsidRPr="00FD24C8">
        <w:rPr>
          <w:b/>
          <w:bCs/>
          <w:color w:val="0D0D0D" w:themeColor="text1" w:themeTint="F2"/>
          <w:lang w:val="en-US"/>
        </w:rPr>
        <w:t>Knowledge transfer programme:</w:t>
      </w:r>
      <w:r>
        <w:rPr>
          <w:color w:val="0D0D0D" w:themeColor="text1" w:themeTint="F2"/>
          <w:lang w:val="en-US"/>
        </w:rPr>
        <w:t xml:space="preserve"> </w:t>
      </w:r>
      <w:r w:rsidR="00D07B90" w:rsidRPr="00D07B90">
        <w:rPr>
          <w:color w:val="0D0D0D" w:themeColor="text1" w:themeTint="F2"/>
          <w:lang w:val="en-US"/>
        </w:rPr>
        <w:t xml:space="preserve">As part of the activities of the DFS Security Lab, ITU also conducts </w:t>
      </w:r>
      <w:r>
        <w:rPr>
          <w:color w:val="0D0D0D" w:themeColor="text1" w:themeTint="F2"/>
          <w:lang w:val="en-US"/>
        </w:rPr>
        <w:t xml:space="preserve">a </w:t>
      </w:r>
      <w:r w:rsidR="00D07B90" w:rsidRPr="00D07B90">
        <w:rPr>
          <w:color w:val="0D0D0D" w:themeColor="text1" w:themeTint="F2"/>
          <w:lang w:val="en-US"/>
        </w:rPr>
        <w:t>knowledge transfer programme to support telecom regulators in emerging economies in establishing their own security labs and to implement the security methodology to conduct security audits of mobile payment applications based on USSD, iOS, and Android.</w:t>
      </w:r>
      <w:r>
        <w:rPr>
          <w:color w:val="0D0D0D" w:themeColor="text1" w:themeTint="F2"/>
          <w:lang w:val="en-US"/>
        </w:rPr>
        <w:t xml:space="preserve"> </w:t>
      </w:r>
    </w:p>
    <w:p w14:paraId="33F435B8" w14:textId="335A86CF" w:rsidR="00FD24C8" w:rsidRPr="00FD24C8" w:rsidRDefault="00FD24C8" w:rsidP="00FD24C8">
      <w:pPr>
        <w:rPr>
          <w:color w:val="0D0D0D" w:themeColor="text1" w:themeTint="F2"/>
        </w:rPr>
      </w:pPr>
      <w:r w:rsidRPr="00FD24C8">
        <w:rPr>
          <w:color w:val="0D0D0D" w:themeColor="text1" w:themeTint="F2"/>
        </w:rPr>
        <w:t>The programme has benefited Uganda Communications Commission (UCC), Tanzania Communication Regulatory Authority (TCRA) and SBS Peru (financial services regulator for Peru).</w:t>
      </w:r>
      <w:r>
        <w:rPr>
          <w:color w:val="0D0D0D" w:themeColor="text1" w:themeTint="F2"/>
        </w:rPr>
        <w:t xml:space="preserve"> </w:t>
      </w:r>
      <w:r w:rsidRPr="00FD24C8">
        <w:rPr>
          <w:color w:val="0D0D0D" w:themeColor="text1" w:themeTint="F2"/>
        </w:rPr>
        <w:lastRenderedPageBreak/>
        <w:t xml:space="preserve">ITU has </w:t>
      </w:r>
      <w:r>
        <w:rPr>
          <w:color w:val="0D0D0D" w:themeColor="text1" w:themeTint="F2"/>
        </w:rPr>
        <w:t xml:space="preserve">also </w:t>
      </w:r>
      <w:r w:rsidRPr="00FD24C8">
        <w:rPr>
          <w:color w:val="0D0D0D" w:themeColor="text1" w:themeTint="F2"/>
        </w:rPr>
        <w:t>received requests from Rwanda, The Gambia and Zimbabwe to perform knowledge transfer sessions.</w:t>
      </w:r>
    </w:p>
    <w:p w14:paraId="5416E902" w14:textId="1C61E6B2" w:rsidR="00FD24C8" w:rsidRPr="00FD24C8" w:rsidRDefault="00FD24C8" w:rsidP="00FD24C8">
      <w:pPr>
        <w:rPr>
          <w:color w:val="0D0D0D" w:themeColor="text1" w:themeTint="F2"/>
        </w:rPr>
      </w:pPr>
      <w:r w:rsidRPr="00FD24C8">
        <w:rPr>
          <w:b/>
          <w:bCs/>
          <w:color w:val="0D0D0D" w:themeColor="text1" w:themeTint="F2"/>
          <w:lang w:val="en-US"/>
        </w:rPr>
        <w:t>Cyber</w:t>
      </w:r>
      <w:r>
        <w:rPr>
          <w:b/>
          <w:bCs/>
          <w:color w:val="0D0D0D" w:themeColor="text1" w:themeTint="F2"/>
          <w:lang w:val="en-US"/>
        </w:rPr>
        <w:t>security</w:t>
      </w:r>
      <w:r w:rsidRPr="00FD24C8">
        <w:rPr>
          <w:b/>
          <w:bCs/>
          <w:color w:val="0D0D0D" w:themeColor="text1" w:themeTint="F2"/>
          <w:lang w:val="en-US"/>
        </w:rPr>
        <w:t xml:space="preserve"> resilience assessment toolkit</w:t>
      </w:r>
      <w:r>
        <w:rPr>
          <w:b/>
          <w:bCs/>
          <w:color w:val="0D0D0D" w:themeColor="text1" w:themeTint="F2"/>
          <w:lang w:val="en-US"/>
        </w:rPr>
        <w:t xml:space="preserve"> for DFS critical infrastructure</w:t>
      </w:r>
      <w:r w:rsidRPr="00FD24C8">
        <w:rPr>
          <w:b/>
          <w:bCs/>
          <w:color w:val="0D0D0D" w:themeColor="text1" w:themeTint="F2"/>
          <w:lang w:val="en-US"/>
        </w:rPr>
        <w:t>:</w:t>
      </w:r>
      <w:r>
        <w:rPr>
          <w:color w:val="0D0D0D" w:themeColor="text1" w:themeTint="F2"/>
          <w:lang w:val="en-US"/>
        </w:rPr>
        <w:t xml:space="preserve"> </w:t>
      </w:r>
      <w:r w:rsidRPr="00FD24C8">
        <w:rPr>
          <w:color w:val="0D0D0D" w:themeColor="text1" w:themeTint="F2"/>
        </w:rPr>
        <w:t xml:space="preserve">ITU hired the services of Deloitte after a tender exercise to develop </w:t>
      </w:r>
      <w:r>
        <w:rPr>
          <w:color w:val="0D0D0D" w:themeColor="text1" w:themeTint="F2"/>
        </w:rPr>
        <w:t xml:space="preserve">a </w:t>
      </w:r>
      <w:hyperlink r:id="rId104" w:history="1">
        <w:r w:rsidR="0074441F" w:rsidRPr="009C7A95">
          <w:rPr>
            <w:rStyle w:val="Hyperlink"/>
          </w:rPr>
          <w:t>c</w:t>
        </w:r>
        <w:r w:rsidRPr="009C7A95">
          <w:rPr>
            <w:rStyle w:val="Hyperlink"/>
          </w:rPr>
          <w:t xml:space="preserve">ybersecurity </w:t>
        </w:r>
        <w:r w:rsidR="0074441F" w:rsidRPr="009C7A95">
          <w:rPr>
            <w:rStyle w:val="Hyperlink"/>
          </w:rPr>
          <w:t>re</w:t>
        </w:r>
        <w:r w:rsidRPr="009C7A95">
          <w:rPr>
            <w:rStyle w:val="Hyperlink"/>
          </w:rPr>
          <w:t xml:space="preserve">silience </w:t>
        </w:r>
        <w:r w:rsidR="0074441F" w:rsidRPr="009C7A95">
          <w:rPr>
            <w:rStyle w:val="Hyperlink"/>
          </w:rPr>
          <w:t>a</w:t>
        </w:r>
        <w:r w:rsidRPr="009C7A95">
          <w:rPr>
            <w:rStyle w:val="Hyperlink"/>
          </w:rPr>
          <w:t xml:space="preserve">ssessment </w:t>
        </w:r>
        <w:r w:rsidR="0074441F" w:rsidRPr="009C7A95">
          <w:rPr>
            <w:rStyle w:val="Hyperlink"/>
          </w:rPr>
          <w:t>t</w:t>
        </w:r>
        <w:r w:rsidRPr="009C7A95">
          <w:rPr>
            <w:rStyle w:val="Hyperlink"/>
          </w:rPr>
          <w:t>oolkit for DFS critical infrastructure</w:t>
        </w:r>
      </w:hyperlink>
      <w:r w:rsidR="009C7A95">
        <w:rPr>
          <w:color w:val="0D0D0D" w:themeColor="text1" w:themeTint="F2"/>
        </w:rPr>
        <w:t xml:space="preserve">. The toolkit was published in October 2023. </w:t>
      </w:r>
    </w:p>
    <w:p w14:paraId="0DF5CA5F" w14:textId="77777777" w:rsidR="00FD24C8" w:rsidRDefault="00FD24C8" w:rsidP="00FD24C8">
      <w:pPr>
        <w:rPr>
          <w:color w:val="0D0D0D" w:themeColor="text1" w:themeTint="F2"/>
        </w:rPr>
      </w:pPr>
      <w:r w:rsidRPr="00FD24C8">
        <w:rPr>
          <w:color w:val="0D0D0D" w:themeColor="text1" w:themeTint="F2"/>
        </w:rPr>
        <w:t xml:space="preserve">This comprehensive toolkit equips DFS regulators with the necessary guidance to evaluate cybersecurity vulnerabilities in digital finance infrastructure and conduct cyber preparedness assessments among stakeholders in the DFS ecosystem. </w:t>
      </w:r>
    </w:p>
    <w:p w14:paraId="42671F32" w14:textId="77777777" w:rsidR="00FD24C8" w:rsidRPr="00FD24C8" w:rsidRDefault="00FD24C8" w:rsidP="00FD24C8">
      <w:pPr>
        <w:rPr>
          <w:color w:val="0D0D0D" w:themeColor="text1" w:themeTint="F2"/>
        </w:rPr>
      </w:pPr>
      <w:r w:rsidRPr="00FD24C8">
        <w:rPr>
          <w:color w:val="0D0D0D" w:themeColor="text1" w:themeTint="F2"/>
        </w:rPr>
        <w:t xml:space="preserve">The toolkit was presented at the ITU Regional Development Forum in Bangkok in September 2023. SBS Peru and TCRA have both expressed interest in the toolkit. </w:t>
      </w:r>
    </w:p>
    <w:p w14:paraId="2EEBF012" w14:textId="54A696F8" w:rsidR="00FD24C8" w:rsidRPr="00FD24C8" w:rsidRDefault="00FD24C8" w:rsidP="00FD24C8">
      <w:pPr>
        <w:rPr>
          <w:color w:val="0D0D0D" w:themeColor="text1" w:themeTint="F2"/>
        </w:rPr>
      </w:pPr>
      <w:r w:rsidRPr="00FD24C8">
        <w:rPr>
          <w:b/>
          <w:bCs/>
          <w:color w:val="0D0D0D" w:themeColor="text1" w:themeTint="F2"/>
        </w:rPr>
        <w:t>Knowledge sharing platform for DFS security:</w:t>
      </w:r>
      <w:r>
        <w:rPr>
          <w:color w:val="0D0D0D" w:themeColor="text1" w:themeTint="F2"/>
        </w:rPr>
        <w:t xml:space="preserve"> </w:t>
      </w:r>
      <w:r w:rsidR="007D0AE5">
        <w:rPr>
          <w:color w:val="0D0D0D" w:themeColor="text1" w:themeTint="F2"/>
        </w:rPr>
        <w:t xml:space="preserve">A knowledge sharing platform </w:t>
      </w:r>
      <w:r w:rsidRPr="00FD24C8">
        <w:rPr>
          <w:color w:val="0D0D0D" w:themeColor="text1" w:themeTint="F2"/>
        </w:rPr>
        <w:t xml:space="preserve">for DFS security, </w:t>
      </w:r>
      <w:r w:rsidRPr="00C23FAB">
        <w:rPr>
          <w:color w:val="0D0D0D" w:themeColor="text1" w:themeTint="F2"/>
        </w:rPr>
        <w:t>launched in November 2023</w:t>
      </w:r>
      <w:r w:rsidRPr="00FD24C8">
        <w:rPr>
          <w:color w:val="0D0D0D" w:themeColor="text1" w:themeTint="F2"/>
        </w:rPr>
        <w:t xml:space="preserve">, </w:t>
      </w:r>
      <w:r w:rsidR="007D0AE5">
        <w:rPr>
          <w:color w:val="0D0D0D" w:themeColor="text1" w:themeTint="F2"/>
        </w:rPr>
        <w:t>supports collaboration among</w:t>
      </w:r>
      <w:r w:rsidRPr="00FD24C8">
        <w:rPr>
          <w:color w:val="0D0D0D" w:themeColor="text1" w:themeTint="F2"/>
        </w:rPr>
        <w:t xml:space="preserve"> regulators</w:t>
      </w:r>
      <w:r>
        <w:rPr>
          <w:color w:val="0D0D0D" w:themeColor="text1" w:themeTint="F2"/>
        </w:rPr>
        <w:t xml:space="preserve"> and other DFS stakeholders</w:t>
      </w:r>
      <w:r w:rsidR="007D0AE5" w:rsidRPr="00D07B90">
        <w:rPr>
          <w:color w:val="0D0D0D" w:themeColor="text1" w:themeTint="F2"/>
          <w:lang w:val="en-US"/>
        </w:rPr>
        <w:t xml:space="preserve">, aiding them in the implementation of security guidelines and maintaining up-to-date best practices </w:t>
      </w:r>
      <w:r w:rsidR="007D0AE5">
        <w:rPr>
          <w:color w:val="0D0D0D" w:themeColor="text1" w:themeTint="F2"/>
          <w:lang w:val="en-US"/>
        </w:rPr>
        <w:t xml:space="preserve">for DFS security. </w:t>
      </w:r>
      <w:r w:rsidR="007D0AE5">
        <w:rPr>
          <w:color w:val="0D0D0D" w:themeColor="text1" w:themeTint="F2"/>
        </w:rPr>
        <w:t xml:space="preserve">The platform's </w:t>
      </w:r>
      <w:r w:rsidR="0074441F">
        <w:rPr>
          <w:color w:val="0D0D0D" w:themeColor="text1" w:themeTint="F2"/>
        </w:rPr>
        <w:t>enables participants to</w:t>
      </w:r>
      <w:r w:rsidR="007D0AE5">
        <w:rPr>
          <w:color w:val="0D0D0D" w:themeColor="text1" w:themeTint="F2"/>
        </w:rPr>
        <w:t xml:space="preserve">: </w:t>
      </w:r>
    </w:p>
    <w:p w14:paraId="00E41EEB" w14:textId="69FAAB74" w:rsidR="00A74AA3" w:rsidRPr="00D07B90" w:rsidRDefault="00A74AA3" w:rsidP="00770357">
      <w:pPr>
        <w:numPr>
          <w:ilvl w:val="0"/>
          <w:numId w:val="22"/>
        </w:numPr>
        <w:tabs>
          <w:tab w:val="num" w:pos="720"/>
        </w:tabs>
        <w:rPr>
          <w:color w:val="0D0D0D" w:themeColor="text1" w:themeTint="F2"/>
          <w:lang w:val="en-US"/>
        </w:rPr>
      </w:pPr>
      <w:bookmarkStart w:id="79" w:name="_Hlk156299686"/>
      <w:r w:rsidRPr="00D07B90">
        <w:rPr>
          <w:color w:val="0D0D0D" w:themeColor="text1" w:themeTint="F2"/>
          <w:lang w:val="en-US"/>
        </w:rPr>
        <w:t>Collaborate with ITU to keep up to date the DFS security assurance framework security controls and DFS security recommendations.</w:t>
      </w:r>
    </w:p>
    <w:p w14:paraId="39992B4F" w14:textId="77777777" w:rsidR="00A74AA3" w:rsidRPr="00D07B90" w:rsidRDefault="00A74AA3" w:rsidP="00770357">
      <w:pPr>
        <w:numPr>
          <w:ilvl w:val="0"/>
          <w:numId w:val="22"/>
        </w:numPr>
        <w:rPr>
          <w:color w:val="0D0D0D" w:themeColor="text1" w:themeTint="F2"/>
          <w:lang w:val="en-US"/>
        </w:rPr>
      </w:pPr>
      <w:r w:rsidRPr="00D07B90">
        <w:rPr>
          <w:color w:val="0D0D0D" w:themeColor="text1" w:themeTint="F2"/>
          <w:lang w:val="en-US"/>
        </w:rPr>
        <w:t>Share experiences, challenges, and lessons learned from the implementation of security measures across various jurisdictions.​</w:t>
      </w:r>
    </w:p>
    <w:p w14:paraId="52AB166D" w14:textId="4D837F61" w:rsidR="00A74AA3" w:rsidRPr="00D07B90" w:rsidRDefault="00A74AA3" w:rsidP="00770357">
      <w:pPr>
        <w:numPr>
          <w:ilvl w:val="0"/>
          <w:numId w:val="22"/>
        </w:numPr>
        <w:rPr>
          <w:color w:val="0D0D0D" w:themeColor="text1" w:themeTint="F2"/>
          <w:lang w:val="en-US"/>
        </w:rPr>
      </w:pPr>
      <w:r w:rsidRPr="00D07B90">
        <w:rPr>
          <w:color w:val="0D0D0D" w:themeColor="text1" w:themeTint="F2"/>
          <w:lang w:val="en-US"/>
        </w:rPr>
        <w:t>Communicate directly with their peers on issues relating to security of digital financial services.</w:t>
      </w:r>
    </w:p>
    <w:bookmarkEnd w:id="79"/>
    <w:p w14:paraId="23C33FF0" w14:textId="23D74010" w:rsidR="007D0AE5" w:rsidRPr="007D0AE5" w:rsidRDefault="007D0AE5" w:rsidP="007D0AE5">
      <w:pPr>
        <w:rPr>
          <w:color w:val="0D0D0D" w:themeColor="text1" w:themeTint="F2"/>
        </w:rPr>
      </w:pPr>
      <w:r w:rsidRPr="007D0AE5">
        <w:rPr>
          <w:b/>
          <w:bCs/>
          <w:color w:val="0D0D0D" w:themeColor="text1" w:themeTint="F2"/>
        </w:rPr>
        <w:t>Partnership with FNSV</w:t>
      </w:r>
      <w:r>
        <w:rPr>
          <w:b/>
          <w:bCs/>
          <w:color w:val="0D0D0D" w:themeColor="text1" w:themeTint="F2"/>
        </w:rPr>
        <w:t xml:space="preserve"> </w:t>
      </w:r>
      <w:r w:rsidRPr="007D0AE5">
        <w:rPr>
          <w:b/>
          <w:bCs/>
          <w:color w:val="0D0D0D" w:themeColor="text1" w:themeTint="F2"/>
        </w:rPr>
        <w:t>on</w:t>
      </w:r>
      <w:r>
        <w:rPr>
          <w:b/>
          <w:bCs/>
          <w:color w:val="0D0D0D" w:themeColor="text1" w:themeTint="F2"/>
        </w:rPr>
        <w:t xml:space="preserve"> b</w:t>
      </w:r>
      <w:r w:rsidRPr="007D0AE5">
        <w:rPr>
          <w:b/>
          <w:bCs/>
          <w:color w:val="0D0D0D" w:themeColor="text1" w:themeTint="F2"/>
        </w:rPr>
        <w:t xml:space="preserve">lockchain </w:t>
      </w:r>
      <w:r>
        <w:rPr>
          <w:b/>
          <w:bCs/>
          <w:color w:val="0D0D0D" w:themeColor="text1" w:themeTint="F2"/>
        </w:rPr>
        <w:t>s</w:t>
      </w:r>
      <w:r w:rsidRPr="007D0AE5">
        <w:rPr>
          <w:b/>
          <w:bCs/>
          <w:color w:val="0D0D0D" w:themeColor="text1" w:themeTint="F2"/>
        </w:rPr>
        <w:t xml:space="preserve">ecure </w:t>
      </w:r>
      <w:r>
        <w:rPr>
          <w:b/>
          <w:bCs/>
          <w:color w:val="0D0D0D" w:themeColor="text1" w:themeTint="F2"/>
        </w:rPr>
        <w:t>a</w:t>
      </w:r>
      <w:r w:rsidRPr="007D0AE5">
        <w:rPr>
          <w:b/>
          <w:bCs/>
          <w:color w:val="0D0D0D" w:themeColor="text1" w:themeTint="F2"/>
        </w:rPr>
        <w:t>uthentication</w:t>
      </w:r>
      <w:r>
        <w:rPr>
          <w:b/>
          <w:bCs/>
          <w:color w:val="0D0D0D" w:themeColor="text1" w:themeTint="F2"/>
        </w:rPr>
        <w:t xml:space="preserve">: </w:t>
      </w:r>
      <w:r w:rsidRPr="007D0AE5">
        <w:rPr>
          <w:color w:val="0D0D0D" w:themeColor="text1" w:themeTint="F2"/>
        </w:rPr>
        <w:t xml:space="preserve">ITU entered a one-year collaboration partnership with FNSV Korea in August 2023 to promote </w:t>
      </w:r>
      <w:proofErr w:type="spellStart"/>
      <w:r w:rsidRPr="007D0AE5">
        <w:rPr>
          <w:color w:val="0D0D0D" w:themeColor="text1" w:themeTint="F2"/>
        </w:rPr>
        <w:t>passwordless</w:t>
      </w:r>
      <w:proofErr w:type="spellEnd"/>
      <w:r w:rsidRPr="007D0AE5">
        <w:rPr>
          <w:color w:val="0D0D0D" w:themeColor="text1" w:themeTint="F2"/>
        </w:rPr>
        <w:t xml:space="preserve"> technology in mobile payments using blockchain secure authentication for developing countries. </w:t>
      </w:r>
    </w:p>
    <w:p w14:paraId="1478AF29" w14:textId="6419D7C8" w:rsidR="007D0AE5" w:rsidRDefault="007D0AE5" w:rsidP="007D0AE5">
      <w:pPr>
        <w:rPr>
          <w:color w:val="0D0D0D" w:themeColor="text1" w:themeTint="F2"/>
        </w:rPr>
      </w:pPr>
      <w:r w:rsidRPr="007D0AE5">
        <w:rPr>
          <w:color w:val="0D0D0D" w:themeColor="text1" w:themeTint="F2"/>
        </w:rPr>
        <w:t xml:space="preserve">FNSV is currently participating in ITU-T SG17 </w:t>
      </w:r>
      <w:r>
        <w:rPr>
          <w:color w:val="0D0D0D" w:themeColor="text1" w:themeTint="F2"/>
        </w:rPr>
        <w:t>with the aim of</w:t>
      </w:r>
      <w:r w:rsidRPr="007D0AE5">
        <w:rPr>
          <w:color w:val="0D0D0D" w:themeColor="text1" w:themeTint="F2"/>
        </w:rPr>
        <w:t xml:space="preserve"> standardiz</w:t>
      </w:r>
      <w:r>
        <w:rPr>
          <w:color w:val="0D0D0D" w:themeColor="text1" w:themeTint="F2"/>
        </w:rPr>
        <w:t>ing</w:t>
      </w:r>
      <w:r w:rsidRPr="007D0AE5">
        <w:rPr>
          <w:color w:val="0D0D0D" w:themeColor="text1" w:themeTint="F2"/>
        </w:rPr>
        <w:t xml:space="preserve"> their solution on </w:t>
      </w:r>
      <w:proofErr w:type="spellStart"/>
      <w:r w:rsidRPr="007D0AE5">
        <w:rPr>
          <w:color w:val="0D0D0D" w:themeColor="text1" w:themeTint="F2"/>
        </w:rPr>
        <w:t>passwordless</w:t>
      </w:r>
      <w:proofErr w:type="spellEnd"/>
      <w:r w:rsidRPr="007D0AE5">
        <w:rPr>
          <w:color w:val="0D0D0D" w:themeColor="text1" w:themeTint="F2"/>
        </w:rPr>
        <w:t xml:space="preserve"> authentication using blockchain.</w:t>
      </w:r>
      <w:r>
        <w:rPr>
          <w:color w:val="0D0D0D" w:themeColor="text1" w:themeTint="F2"/>
        </w:rPr>
        <w:t xml:space="preserve"> </w:t>
      </w:r>
      <w:r w:rsidRPr="007D0AE5">
        <w:rPr>
          <w:color w:val="0D0D0D" w:themeColor="text1" w:themeTint="F2"/>
        </w:rPr>
        <w:t xml:space="preserve">Under the collaboration agreement with ITU, FNSV </w:t>
      </w:r>
      <w:r>
        <w:rPr>
          <w:color w:val="0D0D0D" w:themeColor="text1" w:themeTint="F2"/>
        </w:rPr>
        <w:t>is working</w:t>
      </w:r>
      <w:r w:rsidRPr="007D0AE5">
        <w:rPr>
          <w:color w:val="0D0D0D" w:themeColor="text1" w:themeTint="F2"/>
        </w:rPr>
        <w:t xml:space="preserve"> with the DFS Security Lab</w:t>
      </w:r>
      <w:r>
        <w:rPr>
          <w:color w:val="0D0D0D" w:themeColor="text1" w:themeTint="F2"/>
        </w:rPr>
        <w:t xml:space="preserve"> to:</w:t>
      </w:r>
    </w:p>
    <w:p w14:paraId="2A13ACE0" w14:textId="5A5BF041" w:rsidR="007D0AE5" w:rsidRPr="007D0AE5" w:rsidRDefault="007D0AE5" w:rsidP="00770357">
      <w:pPr>
        <w:numPr>
          <w:ilvl w:val="0"/>
          <w:numId w:val="22"/>
        </w:numPr>
        <w:rPr>
          <w:color w:val="0D0D0D" w:themeColor="text1" w:themeTint="F2"/>
        </w:rPr>
      </w:pPr>
      <w:r w:rsidRPr="007D0AE5">
        <w:rPr>
          <w:color w:val="0D0D0D" w:themeColor="text1" w:themeTint="F2"/>
        </w:rPr>
        <w:t>Develop</w:t>
      </w:r>
      <w:r>
        <w:rPr>
          <w:color w:val="0D0D0D" w:themeColor="text1" w:themeTint="F2"/>
        </w:rPr>
        <w:t xml:space="preserve"> </w:t>
      </w:r>
      <w:r w:rsidRPr="007D0AE5">
        <w:rPr>
          <w:color w:val="0D0D0D" w:themeColor="text1" w:themeTint="F2"/>
        </w:rPr>
        <w:t xml:space="preserve">a sandbox/testbed environment for testing </w:t>
      </w:r>
      <w:proofErr w:type="spellStart"/>
      <w:r w:rsidRPr="007D0AE5">
        <w:rPr>
          <w:color w:val="0D0D0D" w:themeColor="text1" w:themeTint="F2"/>
        </w:rPr>
        <w:t>passwordless</w:t>
      </w:r>
      <w:proofErr w:type="spellEnd"/>
      <w:r w:rsidRPr="007D0AE5">
        <w:rPr>
          <w:color w:val="0D0D0D" w:themeColor="text1" w:themeTint="F2"/>
        </w:rPr>
        <w:t xml:space="preserve"> authentication solutions based on blockchain for </w:t>
      </w:r>
      <w:r w:rsidR="00C77C5E">
        <w:rPr>
          <w:color w:val="0D0D0D" w:themeColor="text1" w:themeTint="F2"/>
        </w:rPr>
        <w:t xml:space="preserve">mobile </w:t>
      </w:r>
      <w:r w:rsidRPr="007D0AE5">
        <w:rPr>
          <w:color w:val="0D0D0D" w:themeColor="text1" w:themeTint="F2"/>
        </w:rPr>
        <w:t>payment applications.</w:t>
      </w:r>
    </w:p>
    <w:p w14:paraId="22FEBF33" w14:textId="0ABEE826" w:rsidR="007D0AE5" w:rsidRPr="007D0AE5" w:rsidRDefault="007D0AE5" w:rsidP="00770357">
      <w:pPr>
        <w:numPr>
          <w:ilvl w:val="0"/>
          <w:numId w:val="22"/>
        </w:numPr>
        <w:rPr>
          <w:color w:val="0D0D0D" w:themeColor="text1" w:themeTint="F2"/>
        </w:rPr>
      </w:pPr>
      <w:r>
        <w:rPr>
          <w:color w:val="0D0D0D" w:themeColor="text1" w:themeTint="F2"/>
        </w:rPr>
        <w:t>Provide</w:t>
      </w:r>
      <w:r w:rsidRPr="007D0AE5">
        <w:rPr>
          <w:color w:val="0D0D0D" w:themeColor="text1" w:themeTint="F2"/>
        </w:rPr>
        <w:t xml:space="preserve"> technical guidelines/APIs for </w:t>
      </w:r>
      <w:r>
        <w:rPr>
          <w:color w:val="0D0D0D" w:themeColor="text1" w:themeTint="F2"/>
        </w:rPr>
        <w:t xml:space="preserve">the </w:t>
      </w:r>
      <w:r w:rsidRPr="007D0AE5">
        <w:rPr>
          <w:color w:val="0D0D0D" w:themeColor="text1" w:themeTint="F2"/>
        </w:rPr>
        <w:t>deployment of solution</w:t>
      </w:r>
      <w:r>
        <w:rPr>
          <w:color w:val="0D0D0D" w:themeColor="text1" w:themeTint="F2"/>
        </w:rPr>
        <w:t>s</w:t>
      </w:r>
      <w:r w:rsidRPr="007D0AE5">
        <w:rPr>
          <w:color w:val="0D0D0D" w:themeColor="text1" w:themeTint="F2"/>
        </w:rPr>
        <w:t xml:space="preserve">, </w:t>
      </w:r>
      <w:r>
        <w:rPr>
          <w:color w:val="0D0D0D" w:themeColor="text1" w:themeTint="F2"/>
        </w:rPr>
        <w:t xml:space="preserve">supporting </w:t>
      </w:r>
      <w:r w:rsidRPr="007D0AE5">
        <w:rPr>
          <w:color w:val="0D0D0D" w:themeColor="text1" w:themeTint="F2"/>
        </w:rPr>
        <w:t xml:space="preserve">developers for the activities of the sandbox and </w:t>
      </w:r>
      <w:r>
        <w:rPr>
          <w:color w:val="0D0D0D" w:themeColor="text1" w:themeTint="F2"/>
        </w:rPr>
        <w:t xml:space="preserve">the </w:t>
      </w:r>
      <w:r w:rsidRPr="007D0AE5">
        <w:rPr>
          <w:color w:val="0D0D0D" w:themeColor="text1" w:themeTint="F2"/>
        </w:rPr>
        <w:t xml:space="preserve">testing </w:t>
      </w:r>
      <w:r>
        <w:rPr>
          <w:color w:val="0D0D0D" w:themeColor="text1" w:themeTint="F2"/>
        </w:rPr>
        <w:t xml:space="preserve">of </w:t>
      </w:r>
      <w:r w:rsidRPr="007D0AE5">
        <w:rPr>
          <w:color w:val="0D0D0D" w:themeColor="text1" w:themeTint="F2"/>
        </w:rPr>
        <w:t>authentication solutions.</w:t>
      </w:r>
    </w:p>
    <w:p w14:paraId="06177510" w14:textId="70527894" w:rsidR="007D0AE5" w:rsidRPr="007D0AE5" w:rsidRDefault="007D0AE5" w:rsidP="00770357">
      <w:pPr>
        <w:numPr>
          <w:ilvl w:val="0"/>
          <w:numId w:val="22"/>
        </w:numPr>
        <w:rPr>
          <w:color w:val="0D0D0D" w:themeColor="text1" w:themeTint="F2"/>
        </w:rPr>
      </w:pPr>
      <w:r w:rsidRPr="007D0AE5">
        <w:rPr>
          <w:color w:val="0D0D0D" w:themeColor="text1" w:themeTint="F2"/>
        </w:rPr>
        <w:t>Organiz</w:t>
      </w:r>
      <w:r>
        <w:rPr>
          <w:color w:val="0D0D0D" w:themeColor="text1" w:themeTint="F2"/>
        </w:rPr>
        <w:t>e</w:t>
      </w:r>
      <w:r w:rsidRPr="007D0AE5">
        <w:rPr>
          <w:color w:val="0D0D0D" w:themeColor="text1" w:themeTint="F2"/>
        </w:rPr>
        <w:t xml:space="preserve"> </w:t>
      </w:r>
      <w:r>
        <w:rPr>
          <w:color w:val="0D0D0D" w:themeColor="text1" w:themeTint="F2"/>
        </w:rPr>
        <w:t xml:space="preserve">and </w:t>
      </w:r>
      <w:r w:rsidRPr="007D0AE5">
        <w:rPr>
          <w:color w:val="0D0D0D" w:themeColor="text1" w:themeTint="F2"/>
        </w:rPr>
        <w:t xml:space="preserve">application challenges </w:t>
      </w:r>
      <w:r w:rsidR="00C77C5E">
        <w:rPr>
          <w:color w:val="0D0D0D" w:themeColor="text1" w:themeTint="F2"/>
        </w:rPr>
        <w:t xml:space="preserve">on strong authentication </w:t>
      </w:r>
      <w:r w:rsidRPr="007D0AE5">
        <w:rPr>
          <w:color w:val="0D0D0D" w:themeColor="text1" w:themeTint="F2"/>
        </w:rPr>
        <w:t>using the sandbox environment</w:t>
      </w:r>
      <w:r>
        <w:rPr>
          <w:color w:val="0D0D0D" w:themeColor="text1" w:themeTint="F2"/>
        </w:rPr>
        <w:t xml:space="preserve">. </w:t>
      </w:r>
    </w:p>
    <w:p w14:paraId="3B466CD5" w14:textId="04C99EEF" w:rsidR="007D0AE5" w:rsidRPr="007D0AE5" w:rsidRDefault="007D0AE5" w:rsidP="00770357">
      <w:pPr>
        <w:numPr>
          <w:ilvl w:val="0"/>
          <w:numId w:val="22"/>
        </w:numPr>
        <w:rPr>
          <w:color w:val="0D0D0D" w:themeColor="text1" w:themeTint="F2"/>
        </w:rPr>
      </w:pPr>
      <w:r>
        <w:rPr>
          <w:color w:val="0D0D0D" w:themeColor="text1" w:themeTint="F2"/>
        </w:rPr>
        <w:t>G</w:t>
      </w:r>
      <w:r w:rsidRPr="007D0AE5">
        <w:rPr>
          <w:color w:val="0D0D0D" w:themeColor="text1" w:themeTint="F2"/>
        </w:rPr>
        <w:t>uid</w:t>
      </w:r>
      <w:r>
        <w:rPr>
          <w:color w:val="0D0D0D" w:themeColor="text1" w:themeTint="F2"/>
        </w:rPr>
        <w:t xml:space="preserve">e </w:t>
      </w:r>
      <w:r w:rsidRPr="007D0AE5">
        <w:rPr>
          <w:color w:val="0D0D0D" w:themeColor="text1" w:themeTint="F2"/>
        </w:rPr>
        <w:t xml:space="preserve">developing countries on how to implement blockchain </w:t>
      </w:r>
      <w:proofErr w:type="spellStart"/>
      <w:r w:rsidRPr="007D0AE5">
        <w:rPr>
          <w:color w:val="0D0D0D" w:themeColor="text1" w:themeTint="F2"/>
        </w:rPr>
        <w:t>passwordless</w:t>
      </w:r>
      <w:proofErr w:type="spellEnd"/>
      <w:r w:rsidRPr="007D0AE5">
        <w:rPr>
          <w:color w:val="0D0D0D" w:themeColor="text1" w:themeTint="F2"/>
        </w:rPr>
        <w:t xml:space="preserve"> authentication solution</w:t>
      </w:r>
      <w:r>
        <w:rPr>
          <w:color w:val="0D0D0D" w:themeColor="text1" w:themeTint="F2"/>
        </w:rPr>
        <w:t>s</w:t>
      </w:r>
      <w:r w:rsidRPr="007D0AE5">
        <w:rPr>
          <w:color w:val="0D0D0D" w:themeColor="text1" w:themeTint="F2"/>
        </w:rPr>
        <w:t xml:space="preserve"> and how regulators can assess the security of such solutions and verify </w:t>
      </w:r>
      <w:r>
        <w:rPr>
          <w:color w:val="0D0D0D" w:themeColor="text1" w:themeTint="F2"/>
        </w:rPr>
        <w:t xml:space="preserve">their </w:t>
      </w:r>
      <w:r w:rsidRPr="007D0AE5">
        <w:rPr>
          <w:color w:val="0D0D0D" w:themeColor="text1" w:themeTint="F2"/>
        </w:rPr>
        <w:t xml:space="preserve">compliance </w:t>
      </w:r>
      <w:r>
        <w:rPr>
          <w:color w:val="0D0D0D" w:themeColor="text1" w:themeTint="F2"/>
        </w:rPr>
        <w:t xml:space="preserve">with </w:t>
      </w:r>
      <w:r w:rsidRPr="007D0AE5">
        <w:rPr>
          <w:color w:val="0D0D0D" w:themeColor="text1" w:themeTint="F2"/>
        </w:rPr>
        <w:t xml:space="preserve">regulations in areas such as data protection and privacy. </w:t>
      </w:r>
    </w:p>
    <w:p w14:paraId="7DF477E7" w14:textId="6D316DFB" w:rsidR="005065DB" w:rsidRDefault="007D0AE5" w:rsidP="00D07B90">
      <w:pPr>
        <w:rPr>
          <w:color w:val="0D0D0D" w:themeColor="text1" w:themeTint="F2"/>
        </w:rPr>
      </w:pPr>
      <w:r>
        <w:rPr>
          <w:b/>
          <w:bCs/>
          <w:color w:val="0D0D0D" w:themeColor="text1" w:themeTint="F2"/>
        </w:rPr>
        <w:t>ITU-T SG17</w:t>
      </w:r>
      <w:r w:rsidR="005065DB">
        <w:rPr>
          <w:b/>
          <w:bCs/>
          <w:color w:val="0D0D0D" w:themeColor="text1" w:themeTint="F2"/>
        </w:rPr>
        <w:t xml:space="preserve"> work with DFS Security Lab reports</w:t>
      </w:r>
      <w:r>
        <w:rPr>
          <w:b/>
          <w:bCs/>
          <w:color w:val="0D0D0D" w:themeColor="text1" w:themeTint="F2"/>
        </w:rPr>
        <w:t>:</w:t>
      </w:r>
      <w:r w:rsidR="005065DB">
        <w:rPr>
          <w:b/>
          <w:bCs/>
          <w:color w:val="0D0D0D" w:themeColor="text1" w:themeTint="F2"/>
        </w:rPr>
        <w:t xml:space="preserve"> </w:t>
      </w:r>
      <w:r w:rsidR="005065DB" w:rsidRPr="005065DB">
        <w:rPr>
          <w:color w:val="0D0D0D" w:themeColor="text1" w:themeTint="F2"/>
        </w:rPr>
        <w:t xml:space="preserve">ITU-T X.1150 " Security assurance framework for digital financial services" was determined in September 2023, developed by ITU-T SG17. A new standard, "Security guidelines for DFS applications based on USSD and STK", and a new supplement, "e-KYC use cases in digital financial services" are under development in ITU-T SG17. These three activities are based </w:t>
      </w:r>
      <w:r w:rsidR="005065DB">
        <w:rPr>
          <w:color w:val="0D0D0D" w:themeColor="text1" w:themeTint="F2"/>
        </w:rPr>
        <w:t xml:space="preserve">on </w:t>
      </w:r>
      <w:r w:rsidR="005065DB" w:rsidRPr="005065DB">
        <w:rPr>
          <w:color w:val="0D0D0D" w:themeColor="text1" w:themeTint="F2"/>
        </w:rPr>
        <w:t xml:space="preserve">outcomes of FIGI. </w:t>
      </w:r>
    </w:p>
    <w:p w14:paraId="14499620" w14:textId="76A87EDB" w:rsidR="00C77C5E" w:rsidRDefault="00C77C5E" w:rsidP="00D07B90">
      <w:pPr>
        <w:rPr>
          <w:b/>
          <w:bCs/>
          <w:color w:val="0D0D0D" w:themeColor="text1" w:themeTint="F2"/>
        </w:rPr>
      </w:pPr>
      <w:r w:rsidRPr="00C77C5E">
        <w:rPr>
          <w:b/>
          <w:bCs/>
          <w:color w:val="0D0D0D" w:themeColor="text1" w:themeTint="F2"/>
        </w:rPr>
        <w:t xml:space="preserve">Collaboration with UPU: </w:t>
      </w:r>
      <w:r w:rsidRPr="00C77C5E">
        <w:rPr>
          <w:color w:val="0D0D0D" w:themeColor="text1" w:themeTint="F2"/>
        </w:rPr>
        <w:t xml:space="preserve">Under WTSA Resolution 11, a joint DFS working group between ITU and UPU secretariat meets quarterly to share information about events and activities being implemented by each organization related to DFS and possible collaboration on participation in the events. TSB conducted a DFS Security Clinic for UPU in June 2023 to provide guidance on the DFS </w:t>
      </w:r>
      <w:r>
        <w:rPr>
          <w:color w:val="0D0D0D" w:themeColor="text1" w:themeTint="F2"/>
        </w:rPr>
        <w:t>s</w:t>
      </w:r>
      <w:r w:rsidRPr="00C77C5E">
        <w:rPr>
          <w:color w:val="0D0D0D" w:themeColor="text1" w:themeTint="F2"/>
        </w:rPr>
        <w:t xml:space="preserve">ecurity </w:t>
      </w:r>
      <w:r>
        <w:rPr>
          <w:color w:val="0D0D0D" w:themeColor="text1" w:themeTint="F2"/>
        </w:rPr>
        <w:t>r</w:t>
      </w:r>
      <w:r w:rsidRPr="00C77C5E">
        <w:rPr>
          <w:color w:val="0D0D0D" w:themeColor="text1" w:themeTint="F2"/>
        </w:rPr>
        <w:t xml:space="preserve">ecommendations. For 2024, the DFS Security Lab is planning to conduct security </w:t>
      </w:r>
      <w:r w:rsidRPr="00C77C5E">
        <w:rPr>
          <w:color w:val="0D0D0D" w:themeColor="text1" w:themeTint="F2"/>
        </w:rPr>
        <w:lastRenderedPageBreak/>
        <w:t>test</w:t>
      </w:r>
      <w:r>
        <w:rPr>
          <w:color w:val="0D0D0D" w:themeColor="text1" w:themeTint="F2"/>
        </w:rPr>
        <w:t>s</w:t>
      </w:r>
      <w:r w:rsidRPr="00C77C5E">
        <w:rPr>
          <w:color w:val="0D0D0D" w:themeColor="text1" w:themeTint="F2"/>
        </w:rPr>
        <w:t xml:space="preserve"> on mobile payment applications used by </w:t>
      </w:r>
      <w:r>
        <w:rPr>
          <w:color w:val="0D0D0D" w:themeColor="text1" w:themeTint="F2"/>
        </w:rPr>
        <w:t>p</w:t>
      </w:r>
      <w:r w:rsidRPr="00C77C5E">
        <w:rPr>
          <w:color w:val="0D0D0D" w:themeColor="text1" w:themeTint="F2"/>
        </w:rPr>
        <w:t xml:space="preserve">osts and provide guidance on </w:t>
      </w:r>
      <w:r>
        <w:rPr>
          <w:color w:val="0D0D0D" w:themeColor="text1" w:themeTint="F2"/>
        </w:rPr>
        <w:t xml:space="preserve">the </w:t>
      </w:r>
      <w:r w:rsidRPr="00C77C5E">
        <w:rPr>
          <w:color w:val="0D0D0D" w:themeColor="text1" w:themeTint="F2"/>
        </w:rPr>
        <w:t>adoption of the security best practices for mobile payment apps.</w:t>
      </w:r>
    </w:p>
    <w:p w14:paraId="1A0AEB14" w14:textId="6EB63F90" w:rsidR="005404EF" w:rsidRPr="00C32576" w:rsidRDefault="006279A8" w:rsidP="0048381E">
      <w:pPr>
        <w:pStyle w:val="Heading2"/>
      </w:pPr>
      <w:bookmarkStart w:id="80" w:name="_5.3_Smart_cities"/>
      <w:bookmarkStart w:id="81" w:name="_5.4_Digital_transformation"/>
      <w:bookmarkStart w:id="82" w:name="_Toc156392417"/>
      <w:bookmarkEnd w:id="78"/>
      <w:bookmarkEnd w:id="80"/>
      <w:bookmarkEnd w:id="81"/>
      <w:r>
        <w:t>5</w:t>
      </w:r>
      <w:r w:rsidR="005404EF" w:rsidRPr="00C32576">
        <w:t>.</w:t>
      </w:r>
      <w:r w:rsidR="00AF18F5">
        <w:t>4</w:t>
      </w:r>
      <w:r w:rsidR="005404EF" w:rsidRPr="00C32576">
        <w:tab/>
      </w:r>
      <w:r w:rsidR="003246C6">
        <w:t>Digital transformation for s</w:t>
      </w:r>
      <w:r w:rsidR="005404EF" w:rsidRPr="00C32576">
        <w:t xml:space="preserve">mart cities and </w:t>
      </w:r>
      <w:r w:rsidR="005404EF" w:rsidRPr="00C5776F">
        <w:t>communities</w:t>
      </w:r>
      <w:bookmarkEnd w:id="82"/>
    </w:p>
    <w:p w14:paraId="3B784D1D" w14:textId="72DA5621" w:rsidR="00C309A5" w:rsidRDefault="00C309A5" w:rsidP="00D54EFE">
      <w:bookmarkStart w:id="83" w:name="_Hlk120615721"/>
      <w:r>
        <w:t xml:space="preserve">For an overview of </w:t>
      </w:r>
      <w:r w:rsidRPr="00C309A5">
        <w:t>initiatives, events</w:t>
      </w:r>
      <w:r>
        <w:t xml:space="preserve"> </w:t>
      </w:r>
      <w:r w:rsidRPr="00C309A5">
        <w:t xml:space="preserve">and projects on digital transformation, smart cities and metaverse undertaken by </w:t>
      </w:r>
      <w:r>
        <w:t xml:space="preserve">TSB in 2023, see </w:t>
      </w:r>
      <w:hyperlink r:id="rId105" w:history="1">
        <w:r w:rsidRPr="00C309A5">
          <w:rPr>
            <w:rStyle w:val="Hyperlink"/>
          </w:rPr>
          <w:t>web page</w:t>
        </w:r>
      </w:hyperlink>
      <w:r>
        <w:t xml:space="preserve"> and </w:t>
      </w:r>
      <w:hyperlink r:id="rId106" w:history="1">
        <w:r w:rsidRPr="00C309A5">
          <w:rPr>
            <w:rStyle w:val="Hyperlink"/>
          </w:rPr>
          <w:t>report</w:t>
        </w:r>
      </w:hyperlink>
      <w:r>
        <w:t xml:space="preserve"> covering 2023 activities. </w:t>
      </w:r>
    </w:p>
    <w:p w14:paraId="61419D66" w14:textId="15BAB582" w:rsidR="007D2B4F" w:rsidRDefault="007D2B4F" w:rsidP="00D54EFE">
      <w:r w:rsidRPr="00345800">
        <w:t>The</w:t>
      </w:r>
      <w:r>
        <w:t xml:space="preserve"> </w:t>
      </w:r>
      <w:hyperlink r:id="rId107" w:history="1">
        <w:r w:rsidRPr="00DF623F">
          <w:rPr>
            <w:rStyle w:val="Hyperlink"/>
          </w:rPr>
          <w:t>ITU webinar series on digital transformation</w:t>
        </w:r>
      </w:hyperlink>
      <w:r>
        <w:t xml:space="preserve"> featured 19 webinars in 2023 on topics ranging from the digital transformation of urban environments and fashion in the metaverse to the ethical use of technology for animals and the interplay between human rights and technology. Each webinar summary is added to an </w:t>
      </w:r>
      <w:hyperlink r:id="rId108" w:history="1">
        <w:r w:rsidRPr="007D2B4F">
          <w:rPr>
            <w:rStyle w:val="Hyperlink"/>
          </w:rPr>
          <w:t>outcome document</w:t>
        </w:r>
      </w:hyperlink>
      <w:r>
        <w:t xml:space="preserve"> offering an overview of key themes and discussions. </w:t>
      </w:r>
    </w:p>
    <w:p w14:paraId="376DE531" w14:textId="110E00CE" w:rsidR="00DE4DA1" w:rsidRDefault="00656EC4" w:rsidP="00D54EFE">
      <w:r>
        <w:t xml:space="preserve">The </w:t>
      </w:r>
      <w:hyperlink r:id="rId109">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144E30">
        <w:t>9</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83"/>
    <w:p w14:paraId="4A47C9C2" w14:textId="5B698B7C" w:rsidR="00CC593C" w:rsidRPr="0032347F" w:rsidRDefault="00C34764" w:rsidP="00D54EFE">
      <w:pPr>
        <w:rPr>
          <w:lang w:val="en-US"/>
        </w:rPr>
      </w:pPr>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110"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111" w:history="1">
        <w:r w:rsidR="00DE4DA1" w:rsidRPr="00D20714">
          <w:rPr>
            <w:rStyle w:val="Hyperlink"/>
          </w:rPr>
          <w:t>city snapshots, factsheets</w:t>
        </w:r>
        <w:r w:rsidR="000A63EC" w:rsidRPr="00D20714">
          <w:rPr>
            <w:rStyle w:val="Hyperlink"/>
          </w:rPr>
          <w:t>,</w:t>
        </w:r>
        <w:r w:rsidR="00DE4DA1" w:rsidRPr="00D20714">
          <w:rPr>
            <w:rStyle w:val="Hyperlink"/>
          </w:rPr>
          <w:t xml:space="preserve"> verification report</w:t>
        </w:r>
        <w:bookmarkStart w:id="84" w:name="_Hlk120615772"/>
        <w:r w:rsidR="00D20714" w:rsidRPr="00D20714">
          <w:rPr>
            <w:rStyle w:val="Hyperlink"/>
          </w:rPr>
          <w:t>s and case studies</w:t>
        </w:r>
      </w:hyperlink>
      <w:r w:rsidR="00E465C5">
        <w:t>.</w:t>
      </w:r>
      <w:bookmarkEnd w:id="84"/>
      <w:r w:rsidR="0032347F">
        <w:t xml:space="preserve"> </w:t>
      </w:r>
    </w:p>
    <w:p w14:paraId="2EE492A2" w14:textId="3D76110E" w:rsidR="002511AC" w:rsidRPr="00C32576" w:rsidRDefault="002511AC" w:rsidP="00D54EFE">
      <w:r>
        <w:t xml:space="preserve">The </w:t>
      </w:r>
      <w:hyperlink r:id="rId112" w:history="1">
        <w:r w:rsidRPr="002C1199">
          <w:rPr>
            <w:rStyle w:val="Hyperlink"/>
          </w:rPr>
          <w:t>seventh U4SSC meeting</w:t>
        </w:r>
      </w:hyperlink>
      <w:r>
        <w:t xml:space="preserve"> was held online on 20 June 2023, co-organized by ITU, UNECE and UN-Habitat, organizations which together provide the secretariat for U4SSC. </w:t>
      </w:r>
      <w:r w:rsidR="00375784">
        <w:t xml:space="preserve">Highlights of the meeting included the appointment of the new </w:t>
      </w:r>
      <w:hyperlink r:id="rId113" w:history="1">
        <w:r w:rsidR="00375784" w:rsidRPr="00375784">
          <w:rPr>
            <w:rStyle w:val="Hyperlink"/>
          </w:rPr>
          <w:t>U4SSC management team</w:t>
        </w:r>
      </w:hyperlink>
      <w:r w:rsidR="00375784">
        <w:t xml:space="preserve"> and the announcement of a new U4SSC Country Hub in </w:t>
      </w:r>
      <w:proofErr w:type="spellStart"/>
      <w:r w:rsidR="00375784">
        <w:t>Kyebi</w:t>
      </w:r>
      <w:proofErr w:type="spellEnd"/>
      <w:r w:rsidR="00375784">
        <w:t xml:space="preserve">, Ghana. The new country hub is the first in Africa. </w:t>
      </w:r>
    </w:p>
    <w:p w14:paraId="6C9E7D6B" w14:textId="3381A284" w:rsidR="00D54EFE" w:rsidRPr="00C32576" w:rsidRDefault="00375784" w:rsidP="00D54EFE">
      <w:r>
        <w:t xml:space="preserve">In 2023, </w:t>
      </w:r>
      <w:r w:rsidR="00D54EFE" w:rsidRPr="00C32576">
        <w:t>U4SSC</w:t>
      </w:r>
      <w:r w:rsidR="005D6E14" w:rsidRPr="00C32576">
        <w:t xml:space="preserve"> </w:t>
      </w:r>
      <w:r>
        <w:t>worked across six thematic groups</w:t>
      </w:r>
      <w:r w:rsidR="00D54EFE" w:rsidRPr="00C32576">
        <w:t>:</w:t>
      </w:r>
    </w:p>
    <w:p w14:paraId="55C557C5" w14:textId="26CEF8FC" w:rsidR="00D54EFE" w:rsidRPr="00C32576" w:rsidRDefault="0032347F" w:rsidP="00770357">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City platforms </w:t>
      </w:r>
    </w:p>
    <w:p w14:paraId="0EC4F8D6" w14:textId="5C423FE6" w:rsidR="00D54EFE" w:rsidRPr="00C32576" w:rsidRDefault="0032347F" w:rsidP="00770357">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Building urban economic resilience at the city level</w:t>
      </w:r>
    </w:p>
    <w:p w14:paraId="358ADC2B" w14:textId="78CC46C0" w:rsidR="00D54EFE" w:rsidRPr="00C32576" w:rsidRDefault="0032347F"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AI in cities </w:t>
      </w:r>
    </w:p>
    <w:p w14:paraId="2B2D40D4" w14:textId="46C1F151" w:rsidR="00D54EFE" w:rsidRPr="00C32576" w:rsidRDefault="0032347F" w:rsidP="00770357">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Enabling people-centred cities through digital transformation </w:t>
      </w:r>
    </w:p>
    <w:p w14:paraId="021CCB61" w14:textId="1DFA15BD" w:rsidR="00D54EFE" w:rsidRDefault="0032347F" w:rsidP="00770357">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Procurement for smart sustainable cities</w:t>
      </w:r>
    </w:p>
    <w:p w14:paraId="01DCEAA0" w14:textId="75D6579F" w:rsidR="00E465C5" w:rsidRPr="0032347F" w:rsidRDefault="0032347F"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wellbeing</w:t>
      </w:r>
    </w:p>
    <w:bookmarkStart w:id="85" w:name="_Hlk120615835"/>
    <w:p w14:paraId="7C5E139D" w14:textId="6CEBE7E3" w:rsidR="00E465C5" w:rsidRDefault="00196157" w:rsidP="00E465C5">
      <w:r>
        <w:fldChar w:fldCharType="begin"/>
      </w:r>
      <w:r>
        <w:instrText>HYPERLINK "https://u4ssc.itu.int/publications/"</w:instrText>
      </w:r>
      <w:r>
        <w:fldChar w:fldCharType="separate"/>
      </w:r>
      <w:r w:rsidR="007D2B4F">
        <w:rPr>
          <w:rStyle w:val="Hyperlink"/>
        </w:rPr>
        <w:t>N</w:t>
      </w:r>
      <w:r w:rsidR="00E465C5" w:rsidRPr="00577F44">
        <w:rPr>
          <w:rStyle w:val="Hyperlink"/>
        </w:rPr>
        <w:t xml:space="preserve">ew </w:t>
      </w:r>
      <w:proofErr w:type="spellStart"/>
      <w:r w:rsidR="002679D0">
        <w:rPr>
          <w:rStyle w:val="Hyperlink"/>
        </w:rPr>
        <w:t>U4SSC</w:t>
      </w:r>
      <w:proofErr w:type="spellEnd"/>
      <w:r w:rsidR="002679D0">
        <w:rPr>
          <w:rStyle w:val="Hyperlink"/>
        </w:rPr>
        <w:t xml:space="preserve"> </w:t>
      </w:r>
      <w:r w:rsidR="00E465C5" w:rsidRPr="00577F44">
        <w:rPr>
          <w:rStyle w:val="Hyperlink"/>
        </w:rPr>
        <w:t>reports</w:t>
      </w:r>
      <w:r>
        <w:rPr>
          <w:rStyle w:val="Hyperlink"/>
        </w:rPr>
        <w:fldChar w:fldCharType="end"/>
      </w:r>
      <w:r w:rsidR="00E465C5">
        <w:t xml:space="preserve"> </w:t>
      </w:r>
      <w:r w:rsidR="002679D0">
        <w:t>published in</w:t>
      </w:r>
      <w:r w:rsidR="0032347F">
        <w:t xml:space="preserve"> </w:t>
      </w:r>
      <w:r w:rsidR="007D2B4F">
        <w:t>2023:</w:t>
      </w:r>
    </w:p>
    <w:p w14:paraId="7348D15A" w14:textId="38BE3D71" w:rsidR="0032347F" w:rsidRDefault="0032347F" w:rsidP="00770357">
      <w:pPr>
        <w:pStyle w:val="ListParagraph"/>
        <w:numPr>
          <w:ilvl w:val="0"/>
          <w:numId w:val="14"/>
        </w:numPr>
        <w:spacing w:before="120"/>
        <w:ind w:left="714" w:hanging="357"/>
        <w:contextualSpacing w:val="0"/>
        <w:rPr>
          <w:rFonts w:ascii="Times New Roman" w:hAnsi="Times New Roman"/>
          <w:sz w:val="24"/>
        </w:rPr>
      </w:pPr>
      <w:bookmarkStart w:id="86" w:name="_Hlk120615973"/>
      <w:bookmarkStart w:id="87" w:name="_Hlk120615853"/>
      <w:bookmarkEnd w:id="85"/>
      <w:r w:rsidRPr="0032347F">
        <w:rPr>
          <w:rFonts w:ascii="Times New Roman" w:hAnsi="Times New Roman"/>
          <w:sz w:val="24"/>
        </w:rPr>
        <w:t>Reference framework for integrated management of a smart sustainable city</w:t>
      </w:r>
      <w:r w:rsidR="00C23FAB">
        <w:rPr>
          <w:rFonts w:ascii="Times New Roman" w:hAnsi="Times New Roman"/>
          <w:sz w:val="24"/>
        </w:rPr>
        <w:t xml:space="preserve">: </w:t>
      </w:r>
      <w:r>
        <w:rPr>
          <w:rFonts w:ascii="Times New Roman" w:hAnsi="Times New Roman"/>
          <w:sz w:val="24"/>
        </w:rPr>
        <w:t xml:space="preserve">The framework </w:t>
      </w:r>
      <w:r w:rsidRPr="0032347F">
        <w:rPr>
          <w:rFonts w:ascii="Times New Roman" w:hAnsi="Times New Roman"/>
          <w:sz w:val="24"/>
        </w:rPr>
        <w:t>supports cities in identifying strategic, operational and connectivity need</w:t>
      </w:r>
      <w:r>
        <w:rPr>
          <w:rFonts w:ascii="Times New Roman" w:hAnsi="Times New Roman"/>
          <w:sz w:val="24"/>
        </w:rPr>
        <w:t>s</w:t>
      </w:r>
      <w:r w:rsidR="00C309A5">
        <w:rPr>
          <w:rFonts w:ascii="Times New Roman" w:hAnsi="Times New Roman"/>
          <w:sz w:val="24"/>
        </w:rPr>
        <w:t xml:space="preserve"> and includes a </w:t>
      </w:r>
      <w:r w:rsidRPr="0032347F">
        <w:rPr>
          <w:rFonts w:ascii="Times New Roman" w:hAnsi="Times New Roman"/>
          <w:sz w:val="24"/>
        </w:rPr>
        <w:t xml:space="preserve">high-level methodology </w:t>
      </w:r>
      <w:r w:rsidR="00C309A5">
        <w:rPr>
          <w:rFonts w:ascii="Times New Roman" w:hAnsi="Times New Roman"/>
          <w:sz w:val="24"/>
        </w:rPr>
        <w:t xml:space="preserve">to </w:t>
      </w:r>
      <w:r>
        <w:rPr>
          <w:rFonts w:ascii="Times New Roman" w:hAnsi="Times New Roman"/>
          <w:sz w:val="24"/>
        </w:rPr>
        <w:t>implement</w:t>
      </w:r>
      <w:r w:rsidR="00C309A5">
        <w:rPr>
          <w:rFonts w:ascii="Times New Roman" w:hAnsi="Times New Roman"/>
          <w:sz w:val="24"/>
        </w:rPr>
        <w:t xml:space="preserve"> </w:t>
      </w:r>
      <w:r w:rsidRPr="0032347F">
        <w:rPr>
          <w:rFonts w:ascii="Times New Roman" w:hAnsi="Times New Roman"/>
          <w:sz w:val="24"/>
        </w:rPr>
        <w:t>urban digital infrastructure</w:t>
      </w:r>
      <w:r w:rsidR="00C309A5">
        <w:rPr>
          <w:rFonts w:ascii="Times New Roman" w:hAnsi="Times New Roman"/>
          <w:sz w:val="24"/>
        </w:rPr>
        <w:t xml:space="preserve">. </w:t>
      </w:r>
    </w:p>
    <w:p w14:paraId="259EC6B7" w14:textId="5139F3B8" w:rsidR="00A42B2B" w:rsidRPr="00E465C5" w:rsidRDefault="001E1597"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Procurement guidelines for smart sustainable cities</w:t>
      </w:r>
      <w:r w:rsidR="00C23FAB">
        <w:rPr>
          <w:rFonts w:ascii="Times New Roman" w:hAnsi="Times New Roman"/>
          <w:sz w:val="24"/>
        </w:rPr>
        <w:t xml:space="preserve">: </w:t>
      </w:r>
      <w:r>
        <w:rPr>
          <w:rFonts w:ascii="Times New Roman" w:hAnsi="Times New Roman"/>
          <w:sz w:val="24"/>
        </w:rPr>
        <w:t xml:space="preserve">The guidelines support city officials and their partners in embracing </w:t>
      </w:r>
      <w:r w:rsidRPr="001E1597">
        <w:rPr>
          <w:rFonts w:ascii="Times New Roman" w:hAnsi="Times New Roman"/>
          <w:sz w:val="24"/>
        </w:rPr>
        <w:t>digital commercial approaches that support achieving the SDGs</w:t>
      </w:r>
      <w:bookmarkEnd w:id="86"/>
      <w:r w:rsidR="00A42B2B">
        <w:rPr>
          <w:rFonts w:ascii="Times New Roman" w:hAnsi="Times New Roman"/>
          <w:sz w:val="24"/>
        </w:rPr>
        <w:t>.</w:t>
      </w:r>
    </w:p>
    <w:p w14:paraId="1A1BDACE" w14:textId="44D5F6D0" w:rsidR="001E1597" w:rsidRDefault="001E1597" w:rsidP="00770357">
      <w:pPr>
        <w:pStyle w:val="ListParagraph"/>
        <w:numPr>
          <w:ilvl w:val="0"/>
          <w:numId w:val="14"/>
        </w:numPr>
        <w:spacing w:before="120"/>
        <w:ind w:left="714" w:hanging="357"/>
        <w:contextualSpacing w:val="0"/>
        <w:rPr>
          <w:rFonts w:ascii="Times New Roman" w:hAnsi="Times New Roman"/>
          <w:sz w:val="24"/>
        </w:rPr>
      </w:pPr>
      <w:r w:rsidRPr="001E1597">
        <w:rPr>
          <w:rFonts w:ascii="Times New Roman" w:hAnsi="Times New Roman"/>
          <w:sz w:val="24"/>
        </w:rPr>
        <w:t>Compendium of practices on innovative financing for smart sustainable cities project</w:t>
      </w:r>
      <w:r>
        <w:rPr>
          <w:rFonts w:ascii="Times New Roman" w:hAnsi="Times New Roman"/>
          <w:sz w:val="24"/>
        </w:rPr>
        <w:t>s</w:t>
      </w:r>
      <w:r w:rsidR="00C23FAB">
        <w:rPr>
          <w:rFonts w:ascii="Times New Roman" w:hAnsi="Times New Roman"/>
          <w:sz w:val="24"/>
        </w:rPr>
        <w:t xml:space="preserve">: </w:t>
      </w:r>
      <w:r w:rsidRPr="001E1597">
        <w:rPr>
          <w:rFonts w:ascii="Times New Roman" w:hAnsi="Times New Roman"/>
          <w:sz w:val="24"/>
        </w:rPr>
        <w:t>The compendium provides a practical insight on the types of projects that can improve sustainability and smartness of a city, combined with ideas on how they can be financed</w:t>
      </w:r>
      <w:r>
        <w:rPr>
          <w:rFonts w:ascii="Times New Roman" w:hAnsi="Times New Roman"/>
          <w:sz w:val="24"/>
        </w:rPr>
        <w:t xml:space="preserve">. </w:t>
      </w:r>
    </w:p>
    <w:p w14:paraId="6F264A10" w14:textId="7D4F8C27" w:rsidR="003246C6" w:rsidRDefault="009A3DC3" w:rsidP="003246C6">
      <w:hyperlink r:id="rId114" w:history="1">
        <w:r w:rsidR="007D2B4F">
          <w:rPr>
            <w:rStyle w:val="Hyperlink"/>
          </w:rPr>
          <w:t>N</w:t>
        </w:r>
        <w:r w:rsidR="002679D0" w:rsidRPr="002679D0">
          <w:rPr>
            <w:rStyle w:val="Hyperlink"/>
          </w:rPr>
          <w:t>ew</w:t>
        </w:r>
        <w:r w:rsidR="002679D0">
          <w:rPr>
            <w:rStyle w:val="Hyperlink"/>
          </w:rPr>
          <w:t xml:space="preserve"> ITU</w:t>
        </w:r>
        <w:r w:rsidR="002679D0" w:rsidRPr="002679D0">
          <w:rPr>
            <w:rStyle w:val="Hyperlink"/>
          </w:rPr>
          <w:t xml:space="preserve"> reports</w:t>
        </w:r>
      </w:hyperlink>
      <w:r w:rsidR="002679D0">
        <w:t xml:space="preserve"> published in </w:t>
      </w:r>
      <w:r w:rsidR="0032347F">
        <w:t>2023</w:t>
      </w:r>
      <w:r w:rsidR="003246C6">
        <w:t>:</w:t>
      </w:r>
    </w:p>
    <w:p w14:paraId="1EB766D0" w14:textId="21BA8800" w:rsidR="00E05E52" w:rsidRDefault="00E05E52" w:rsidP="00770357">
      <w:pPr>
        <w:pStyle w:val="ListParagraph"/>
        <w:numPr>
          <w:ilvl w:val="0"/>
          <w:numId w:val="14"/>
        </w:numPr>
        <w:spacing w:before="120"/>
        <w:ind w:left="714" w:hanging="357"/>
        <w:contextualSpacing w:val="0"/>
        <w:rPr>
          <w:rFonts w:ascii="Times New Roman" w:hAnsi="Times New Roman"/>
          <w:sz w:val="24"/>
        </w:rPr>
      </w:pPr>
      <w:r w:rsidRPr="00E05E52">
        <w:rPr>
          <w:rFonts w:ascii="Times New Roman" w:hAnsi="Times New Roman"/>
          <w:sz w:val="24"/>
        </w:rPr>
        <w:t>Guide for smart and sustainable city leader</w:t>
      </w:r>
      <w:r>
        <w:rPr>
          <w:rFonts w:ascii="Times New Roman" w:hAnsi="Times New Roman"/>
          <w:sz w:val="24"/>
        </w:rPr>
        <w:t xml:space="preserve">s: The guide </w:t>
      </w:r>
      <w:r w:rsidRPr="00E05E52">
        <w:rPr>
          <w:rFonts w:ascii="Times New Roman" w:hAnsi="Times New Roman"/>
          <w:sz w:val="24"/>
        </w:rPr>
        <w:t xml:space="preserve">offers a step by-step approach to help city leaders assess their current situation, set goals, develop </w:t>
      </w:r>
      <w:proofErr w:type="gramStart"/>
      <w:r w:rsidRPr="00E05E52">
        <w:rPr>
          <w:rFonts w:ascii="Times New Roman" w:hAnsi="Times New Roman"/>
          <w:sz w:val="24"/>
        </w:rPr>
        <w:t>strategies</w:t>
      </w:r>
      <w:proofErr w:type="gramEnd"/>
      <w:r w:rsidRPr="00E05E52">
        <w:rPr>
          <w:rFonts w:ascii="Times New Roman" w:hAnsi="Times New Roman"/>
          <w:sz w:val="24"/>
        </w:rPr>
        <w:t xml:space="preserve"> and monitor progress towards becoming a smart and sustainable city. </w:t>
      </w:r>
    </w:p>
    <w:p w14:paraId="6AE37E64" w14:textId="4D8EA9A2" w:rsidR="00E05E52" w:rsidRDefault="00E05E52" w:rsidP="00770357">
      <w:pPr>
        <w:pStyle w:val="ListParagraph"/>
        <w:numPr>
          <w:ilvl w:val="0"/>
          <w:numId w:val="14"/>
        </w:numPr>
        <w:spacing w:before="120"/>
        <w:ind w:left="714" w:hanging="357"/>
        <w:contextualSpacing w:val="0"/>
        <w:rPr>
          <w:rFonts w:ascii="Times New Roman" w:hAnsi="Times New Roman"/>
          <w:sz w:val="24"/>
        </w:rPr>
      </w:pPr>
      <w:r w:rsidRPr="00E05E52">
        <w:rPr>
          <w:rFonts w:ascii="Times New Roman" w:hAnsi="Times New Roman"/>
          <w:sz w:val="24"/>
        </w:rPr>
        <w:lastRenderedPageBreak/>
        <w:t>Enabling digital transformation in smart sustainable cities – Master plan</w:t>
      </w:r>
      <w:r>
        <w:rPr>
          <w:rFonts w:ascii="Times New Roman" w:hAnsi="Times New Roman"/>
          <w:sz w:val="24"/>
        </w:rPr>
        <w:t>: The report p</w:t>
      </w:r>
      <w:r w:rsidRPr="00E05E52">
        <w:rPr>
          <w:rFonts w:ascii="Times New Roman" w:hAnsi="Times New Roman"/>
          <w:sz w:val="24"/>
        </w:rPr>
        <w:t>rovides a framework for cities to assess their current digital readiness, set goals</w:t>
      </w:r>
      <w:r>
        <w:rPr>
          <w:rFonts w:ascii="Times New Roman" w:hAnsi="Times New Roman"/>
          <w:sz w:val="24"/>
        </w:rPr>
        <w:t xml:space="preserve"> </w:t>
      </w:r>
      <w:r w:rsidRPr="00E05E52">
        <w:rPr>
          <w:rFonts w:ascii="Times New Roman" w:hAnsi="Times New Roman"/>
          <w:sz w:val="24"/>
        </w:rPr>
        <w:t>and develop strategies to enable digital transformation.</w:t>
      </w:r>
    </w:p>
    <w:p w14:paraId="2AF43117" w14:textId="614E9502" w:rsidR="003246C6" w:rsidRDefault="003246C6"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Executive briefing on the metaverse: The briefing </w:t>
      </w:r>
      <w:r w:rsidRPr="00345800">
        <w:rPr>
          <w:rFonts w:ascii="Times New Roman" w:hAnsi="Times New Roman"/>
          <w:sz w:val="24"/>
        </w:rPr>
        <w:t>provides a concise overview of the technologies that underpin metaverse, as well as the key challenges and opportunities</w:t>
      </w:r>
      <w:r>
        <w:rPr>
          <w:rFonts w:ascii="Times New Roman" w:hAnsi="Times New Roman"/>
          <w:sz w:val="24"/>
        </w:rPr>
        <w:t>.</w:t>
      </w:r>
    </w:p>
    <w:p w14:paraId="750BFAC5" w14:textId="0C7879BD" w:rsidR="003246C6" w:rsidRDefault="003246C6" w:rsidP="00770357">
      <w:pPr>
        <w:pStyle w:val="ListParagraph"/>
        <w:numPr>
          <w:ilvl w:val="0"/>
          <w:numId w:val="14"/>
        </w:numPr>
        <w:spacing w:before="120"/>
        <w:ind w:left="714" w:hanging="357"/>
        <w:contextualSpacing w:val="0"/>
        <w:rPr>
          <w:rFonts w:ascii="Times New Roman" w:hAnsi="Times New Roman"/>
          <w:sz w:val="24"/>
        </w:rPr>
      </w:pPr>
      <w:r w:rsidRPr="00345800">
        <w:rPr>
          <w:rFonts w:ascii="Times New Roman" w:hAnsi="Times New Roman"/>
          <w:sz w:val="24"/>
        </w:rPr>
        <w:t>Building a people-</w:t>
      </w:r>
      <w:proofErr w:type="spellStart"/>
      <w:r w:rsidRPr="00345800">
        <w:rPr>
          <w:rFonts w:ascii="Times New Roman" w:hAnsi="Times New Roman"/>
          <w:sz w:val="24"/>
        </w:rPr>
        <w:t>centered</w:t>
      </w:r>
      <w:proofErr w:type="spellEnd"/>
      <w:r w:rsidRPr="00345800">
        <w:rPr>
          <w:rFonts w:ascii="Times New Roman" w:hAnsi="Times New Roman"/>
          <w:sz w:val="24"/>
        </w:rPr>
        <w:t xml:space="preserve"> digital future for cities and communities:</w:t>
      </w:r>
      <w:r>
        <w:rPr>
          <w:rFonts w:ascii="Times New Roman" w:hAnsi="Times New Roman"/>
          <w:b/>
          <w:bCs/>
          <w:sz w:val="24"/>
        </w:rPr>
        <w:t xml:space="preserve"> </w:t>
      </w:r>
      <w:r w:rsidRPr="00345800">
        <w:rPr>
          <w:rFonts w:ascii="Times New Roman" w:hAnsi="Times New Roman"/>
          <w:sz w:val="24"/>
        </w:rPr>
        <w:t xml:space="preserve">The brochure showcases ITU’s commitment to creating an inclusive, </w:t>
      </w:r>
      <w:proofErr w:type="gramStart"/>
      <w:r w:rsidRPr="00345800">
        <w:rPr>
          <w:rFonts w:ascii="Times New Roman" w:hAnsi="Times New Roman"/>
          <w:sz w:val="24"/>
        </w:rPr>
        <w:t>accessible</w:t>
      </w:r>
      <w:proofErr w:type="gramEnd"/>
      <w:r w:rsidRPr="00345800">
        <w:rPr>
          <w:rFonts w:ascii="Times New Roman" w:hAnsi="Times New Roman"/>
          <w:sz w:val="24"/>
        </w:rPr>
        <w:t xml:space="preserve"> and sustainable digital </w:t>
      </w:r>
      <w:r w:rsidR="002679D0">
        <w:rPr>
          <w:rFonts w:ascii="Times New Roman" w:hAnsi="Times New Roman"/>
          <w:sz w:val="24"/>
        </w:rPr>
        <w:t xml:space="preserve">future, offering </w:t>
      </w:r>
      <w:r w:rsidRPr="00345800">
        <w:rPr>
          <w:rFonts w:ascii="Times New Roman" w:hAnsi="Times New Roman"/>
          <w:sz w:val="24"/>
        </w:rPr>
        <w:t>an overview of</w:t>
      </w:r>
      <w:r w:rsidR="002679D0">
        <w:rPr>
          <w:rFonts w:ascii="Times New Roman" w:hAnsi="Times New Roman"/>
          <w:sz w:val="24"/>
        </w:rPr>
        <w:t xml:space="preserve"> ITU initiatives and standards supporting </w:t>
      </w:r>
      <w:r w:rsidRPr="00345800">
        <w:rPr>
          <w:rFonts w:ascii="Times New Roman" w:hAnsi="Times New Roman"/>
          <w:sz w:val="24"/>
        </w:rPr>
        <w:t>digital</w:t>
      </w:r>
      <w:r w:rsidR="002679D0">
        <w:rPr>
          <w:rFonts w:ascii="Times New Roman" w:hAnsi="Times New Roman"/>
          <w:sz w:val="24"/>
        </w:rPr>
        <w:t xml:space="preserve"> </w:t>
      </w:r>
      <w:r w:rsidRPr="00345800">
        <w:rPr>
          <w:rFonts w:ascii="Times New Roman" w:hAnsi="Times New Roman"/>
          <w:sz w:val="24"/>
        </w:rPr>
        <w:t>transformation</w:t>
      </w:r>
      <w:r w:rsidRPr="00577F44">
        <w:rPr>
          <w:rFonts w:ascii="Times New Roman" w:hAnsi="Times New Roman"/>
          <w:sz w:val="24"/>
        </w:rPr>
        <w:t>.</w:t>
      </w:r>
    </w:p>
    <w:p w14:paraId="06F0A79B" w14:textId="19D5D891" w:rsidR="003246C6" w:rsidRDefault="003246C6"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T</w:t>
      </w:r>
      <w:r w:rsidRPr="00345800">
        <w:rPr>
          <w:rFonts w:ascii="Times New Roman" w:hAnsi="Times New Roman"/>
          <w:sz w:val="24"/>
        </w:rPr>
        <w:t>he role of digital technologies in aging and health</w:t>
      </w:r>
      <w:r>
        <w:rPr>
          <w:rFonts w:ascii="Times New Roman" w:hAnsi="Times New Roman"/>
          <w:sz w:val="24"/>
        </w:rPr>
        <w:t xml:space="preserve">: Developed by ITU and the </w:t>
      </w:r>
      <w:r w:rsidRPr="00345800">
        <w:rPr>
          <w:rFonts w:ascii="Times New Roman" w:hAnsi="Times New Roman"/>
          <w:sz w:val="24"/>
        </w:rPr>
        <w:t>Pan American Health Organization and International Telecommunication Union</w:t>
      </w:r>
      <w:r>
        <w:rPr>
          <w:rFonts w:ascii="Times New Roman" w:hAnsi="Times New Roman"/>
          <w:sz w:val="24"/>
        </w:rPr>
        <w:t xml:space="preserve">, </w:t>
      </w:r>
      <w:r w:rsidR="002679D0">
        <w:rPr>
          <w:rFonts w:ascii="Times New Roman" w:hAnsi="Times New Roman"/>
          <w:sz w:val="24"/>
        </w:rPr>
        <w:t xml:space="preserve">the report </w:t>
      </w:r>
      <w:r>
        <w:rPr>
          <w:rFonts w:ascii="Times New Roman" w:hAnsi="Times New Roman"/>
          <w:sz w:val="24"/>
        </w:rPr>
        <w:t xml:space="preserve">describes </w:t>
      </w:r>
      <w:r w:rsidRPr="00345800">
        <w:rPr>
          <w:rFonts w:ascii="Times New Roman" w:hAnsi="Times New Roman"/>
          <w:sz w:val="24"/>
        </w:rPr>
        <w:t xml:space="preserve">opportunities </w:t>
      </w:r>
      <w:r>
        <w:rPr>
          <w:rFonts w:ascii="Times New Roman" w:hAnsi="Times New Roman"/>
          <w:sz w:val="24"/>
        </w:rPr>
        <w:t xml:space="preserve">to </w:t>
      </w:r>
      <w:r w:rsidRPr="00345800">
        <w:rPr>
          <w:rFonts w:ascii="Times New Roman" w:hAnsi="Times New Roman"/>
          <w:sz w:val="24"/>
        </w:rPr>
        <w:t>improve the lives of older persons</w:t>
      </w:r>
      <w:r>
        <w:rPr>
          <w:rFonts w:ascii="Times New Roman" w:hAnsi="Times New Roman"/>
          <w:sz w:val="24"/>
        </w:rPr>
        <w:t xml:space="preserve"> with the help of inclusive</w:t>
      </w:r>
      <w:r w:rsidRPr="00345800">
        <w:rPr>
          <w:rFonts w:ascii="Times New Roman" w:hAnsi="Times New Roman"/>
          <w:sz w:val="24"/>
        </w:rPr>
        <w:t xml:space="preserve"> technolog</w:t>
      </w:r>
      <w:r>
        <w:rPr>
          <w:rFonts w:ascii="Times New Roman" w:hAnsi="Times New Roman"/>
          <w:sz w:val="24"/>
        </w:rPr>
        <w:t>y</w:t>
      </w:r>
      <w:r w:rsidRPr="00345800">
        <w:rPr>
          <w:rFonts w:ascii="Times New Roman" w:hAnsi="Times New Roman"/>
          <w:sz w:val="24"/>
        </w:rPr>
        <w:t xml:space="preserve"> solutions.</w:t>
      </w:r>
    </w:p>
    <w:p w14:paraId="5B720AE9" w14:textId="1FB5598B" w:rsidR="00E05E52" w:rsidRDefault="00E05E52" w:rsidP="00E05E52">
      <w:pPr>
        <w:rPr>
          <w:lang w:val="en-US"/>
        </w:rPr>
      </w:pPr>
      <w:r>
        <w:t xml:space="preserve">The </w:t>
      </w:r>
      <w:hyperlink r:id="rId115" w:history="1">
        <w:r w:rsidRPr="00E05E52">
          <w:rPr>
            <w:rStyle w:val="Hyperlink"/>
          </w:rPr>
          <w:t xml:space="preserve">ITU toolkit on </w:t>
        </w:r>
        <w:r w:rsidRPr="00E05E52">
          <w:rPr>
            <w:rStyle w:val="Hyperlink"/>
            <w:rFonts w:eastAsia="SimSun" w:cstheme="minorHAnsi"/>
            <w:lang w:val="en-US"/>
          </w:rPr>
          <w:t>digital transformation for people-oriented cities and communities</w:t>
        </w:r>
      </w:hyperlink>
      <w:r>
        <w:t xml:space="preserve"> is a comprehensive </w:t>
      </w:r>
      <w:r w:rsidRPr="00E05E52">
        <w:rPr>
          <w:lang w:val="en-US"/>
        </w:rPr>
        <w:t>online guide designed to help cities and communities leverage digital technologies 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proofErr w:type="gramStart"/>
      <w:r>
        <w:rPr>
          <w:rFonts w:eastAsia="SimSun" w:cstheme="minorHAnsi"/>
          <w:lang w:val="en-US"/>
        </w:rPr>
        <w:t>inclusivity</w:t>
      </w:r>
      <w:proofErr w:type="gramEnd"/>
      <w:r w:rsidR="00A23A70">
        <w:rPr>
          <w:rFonts w:eastAsia="SimSun" w:cstheme="minorHAnsi"/>
          <w:lang w:val="en-US"/>
        </w:rPr>
        <w:t xml:space="preserve"> </w:t>
      </w:r>
      <w:r w:rsidRPr="00E05E52">
        <w:rPr>
          <w:rFonts w:eastAsia="SimSun" w:cstheme="minorHAnsi"/>
          <w:lang w:val="en-US"/>
        </w:rPr>
        <w:t>and enhancing service delivery</w:t>
      </w:r>
      <w:r>
        <w:rPr>
          <w:rFonts w:eastAsia="SimSun" w:cstheme="minorHAnsi"/>
          <w:lang w:val="en-US"/>
        </w:rPr>
        <w:t xml:space="preserve">. 2023 hosted the release of the latest module of the </w:t>
      </w:r>
      <w:r>
        <w:rPr>
          <w:lang w:val="en-US"/>
        </w:rPr>
        <w:t xml:space="preserve">toolkit, addressing digital agriculture, developed by ITU together with FAO. </w:t>
      </w:r>
    </w:p>
    <w:p w14:paraId="365B6A34" w14:textId="5DFD49AF" w:rsidR="00E05E52" w:rsidRDefault="00E05E52" w:rsidP="00E05E52">
      <w:pPr>
        <w:rPr>
          <w:lang w:val="en-US"/>
        </w:rPr>
      </w:pPr>
      <w:r>
        <w:rPr>
          <w:rFonts w:eastAsia="SimSun" w:cstheme="minorHAnsi"/>
          <w:lang w:val="en-US"/>
        </w:rPr>
        <w:t xml:space="preserve">The </w:t>
      </w:r>
      <w:hyperlink r:id="rId116" w:history="1">
        <w:r w:rsidRPr="00E05E52">
          <w:rPr>
            <w:rStyle w:val="Hyperlink"/>
            <w:rFonts w:eastAsia="SimSun" w:cstheme="minorHAnsi"/>
            <w:lang w:val="en-US"/>
          </w:rPr>
          <w:t>ITU digital transformation resource hub</w:t>
        </w:r>
      </w:hyperlink>
      <w:r>
        <w:rPr>
          <w:rFonts w:eastAsia="SimSun" w:cstheme="minorHAnsi"/>
          <w:lang w:val="en-US"/>
        </w:rPr>
        <w:t xml:space="preserve"> launched in 2023 </w:t>
      </w:r>
      <w:r w:rsidRPr="00E05E52">
        <w:rPr>
          <w:rFonts w:eastAsia="SimSun" w:cstheme="minorHAnsi"/>
          <w:lang w:val="en-US"/>
        </w:rPr>
        <w:t xml:space="preserve">collects the latest reports, </w:t>
      </w:r>
      <w:proofErr w:type="gramStart"/>
      <w:r w:rsidRPr="00E05E52">
        <w:rPr>
          <w:rFonts w:eastAsia="SimSun" w:cstheme="minorHAnsi"/>
          <w:lang w:val="en-US"/>
        </w:rPr>
        <w:t>studies</w:t>
      </w:r>
      <w:proofErr w:type="gramEnd"/>
      <w:r w:rsidRPr="00E05E52">
        <w:rPr>
          <w:rFonts w:eastAsia="SimSun" w:cstheme="minorHAnsi"/>
          <w:lang w:val="en-US"/>
        </w:rPr>
        <w:t xml:space="preserve"> and guidelines from ITU and across the web</w:t>
      </w:r>
      <w:r>
        <w:rPr>
          <w:rFonts w:eastAsia="SimSun" w:cstheme="minorHAnsi"/>
          <w:lang w:val="en-US"/>
        </w:rPr>
        <w:t xml:space="preserve">. Its resources are organized in eight </w:t>
      </w:r>
      <w:r w:rsidR="00B84019">
        <w:rPr>
          <w:rFonts w:eastAsia="SimSun" w:cstheme="minorHAnsi"/>
          <w:lang w:val="en-US"/>
        </w:rPr>
        <w:t xml:space="preserve">categories: </w:t>
      </w:r>
    </w:p>
    <w:p w14:paraId="4B668C8D" w14:textId="6BBB52F0"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Smart sustainable cities</w:t>
      </w:r>
    </w:p>
    <w:p w14:paraId="0FB66966"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health &amp; wellbeing</w:t>
      </w:r>
    </w:p>
    <w:p w14:paraId="10824A44"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AI</w:t>
      </w:r>
    </w:p>
    <w:p w14:paraId="14C1A0F0"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IoT</w:t>
      </w:r>
    </w:p>
    <w:p w14:paraId="69421D74"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Blockchain</w:t>
      </w:r>
    </w:p>
    <w:p w14:paraId="30D7105C"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twin</w:t>
      </w:r>
    </w:p>
    <w:p w14:paraId="538C5915"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Metaverse</w:t>
      </w:r>
    </w:p>
    <w:p w14:paraId="21EACC41" w14:textId="53244F9B" w:rsidR="00B84019" w:rsidRP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transformation trends</w:t>
      </w:r>
    </w:p>
    <w:p w14:paraId="075F4101" w14:textId="0E6643B4" w:rsidR="007D6E1F" w:rsidRDefault="006279A8" w:rsidP="00FD62EB">
      <w:pPr>
        <w:pStyle w:val="Heading2"/>
      </w:pPr>
      <w:bookmarkStart w:id="88" w:name="_3.4_Intelligent_transport"/>
      <w:bookmarkStart w:id="89" w:name="_5.4_Environment,_climate"/>
      <w:bookmarkStart w:id="90" w:name="_5.5_Intelligent_transport"/>
      <w:bookmarkStart w:id="91" w:name="_Toc156392418"/>
      <w:bookmarkEnd w:id="62"/>
      <w:bookmarkEnd w:id="87"/>
      <w:bookmarkEnd w:id="88"/>
      <w:bookmarkEnd w:id="89"/>
      <w:bookmarkEnd w:id="90"/>
      <w:r>
        <w:t>5</w:t>
      </w:r>
      <w:r w:rsidR="007C660F" w:rsidRPr="00C32576">
        <w:t>.</w:t>
      </w:r>
      <w:r w:rsidR="00AF18F5">
        <w:t>5</w:t>
      </w:r>
      <w:r w:rsidR="007C660F" w:rsidRPr="00C32576">
        <w:tab/>
      </w:r>
      <w:r w:rsidR="007C660F">
        <w:t>Intelligent transpor</w:t>
      </w:r>
      <w:r w:rsidR="007C660F" w:rsidRPr="00C5776F">
        <w:t>t systems</w:t>
      </w:r>
      <w:bookmarkEnd w:id="91"/>
      <w:r w:rsidR="007C660F">
        <w:t xml:space="preserve"> </w:t>
      </w:r>
      <w:bookmarkStart w:id="92" w:name="_Hlk92287189"/>
    </w:p>
    <w:p w14:paraId="4EA24429" w14:textId="24A29693" w:rsidR="00B84019" w:rsidRDefault="008B405E" w:rsidP="001E31C5">
      <w:bookmarkStart w:id="93" w:name="_Hlk120616326"/>
      <w:r>
        <w:t>The</w:t>
      </w:r>
      <w:r w:rsidR="00B84019">
        <w:t xml:space="preserve"> </w:t>
      </w:r>
      <w:hyperlink r:id="rId117" w:history="1">
        <w:r w:rsidRPr="008B405E">
          <w:rPr>
            <w:rStyle w:val="Hyperlink"/>
          </w:rPr>
          <w:t>ITU-UNECE Future Networked Car Symposium</w:t>
        </w:r>
      </w:hyperlink>
      <w:r w:rsidR="0078408C">
        <w:t xml:space="preserve"> </w:t>
      </w:r>
      <w:r w:rsidR="00B84019" w:rsidRPr="008B405E">
        <w:t>examine</w:t>
      </w:r>
      <w:r w:rsidR="00B84019">
        <w:t>s</w:t>
      </w:r>
      <w:r w:rsidR="00B84019" w:rsidRPr="008B405E">
        <w:t xml:space="preserve"> the latest advances in vehicle connectivity, automated </w:t>
      </w:r>
      <w:proofErr w:type="gramStart"/>
      <w:r w:rsidR="00B84019" w:rsidRPr="008B405E">
        <w:t>mobility</w:t>
      </w:r>
      <w:proofErr w:type="gramEnd"/>
      <w:r w:rsidR="00B84019" w:rsidRPr="008B405E">
        <w:t xml:space="preserve"> and the role of Artificial Intelligence in ​the transport sector, sharing unique insight into associated implications for technology, business and regulation.</w:t>
      </w:r>
      <w:r w:rsidR="00B84019">
        <w:t xml:space="preserve"> Its next edition will be held online from 11 to 14 March 2024. </w:t>
      </w:r>
    </w:p>
    <w:p w14:paraId="4708D0B2" w14:textId="18DA0A27" w:rsidR="00B84019" w:rsidRDefault="00B84019" w:rsidP="001E31C5">
      <w:r>
        <w:t xml:space="preserve">The first regional edition of the symposium </w:t>
      </w:r>
      <w:r w:rsidR="0078408C">
        <w:t xml:space="preserve">was held </w:t>
      </w:r>
      <w:r>
        <w:t xml:space="preserve">on 6 October 2023 in Doha, Qatar, moving to Doha together with the </w:t>
      </w:r>
      <w:r w:rsidRPr="00B84019">
        <w:t>Geneva International Motor Show</w:t>
      </w:r>
      <w:r>
        <w:t xml:space="preserve">. The </w:t>
      </w:r>
      <w:r w:rsidR="002C1199">
        <w:t xml:space="preserve">symposium </w:t>
      </w:r>
      <w:r>
        <w:t xml:space="preserve">was organized by ITU and UNECE </w:t>
      </w:r>
      <w:r w:rsidRPr="00B84019">
        <w:t>with support from the Communications Regulatory Authority of Qatar.</w:t>
      </w:r>
      <w:r>
        <w:t xml:space="preserve"> Discussions </w:t>
      </w:r>
      <w:r w:rsidRPr="00B84019">
        <w:t>focus</w:t>
      </w:r>
      <w:r>
        <w:t>ed</w:t>
      </w:r>
      <w:r w:rsidRPr="00B84019">
        <w:t xml:space="preserve"> on opportunities and challenges for Gulf Cooperation Council (GCC) countries.</w:t>
      </w:r>
      <w:bookmarkEnd w:id="93"/>
    </w:p>
    <w:p w14:paraId="5B606D9C" w14:textId="0BDFB26F" w:rsidR="001E31C5" w:rsidRDefault="001E31C5" w:rsidP="001E31C5">
      <w:r w:rsidRPr="00C32576">
        <w:t>The</w:t>
      </w:r>
      <w:r w:rsidR="0044286D">
        <w:t xml:space="preserve"> ITU-led</w:t>
      </w:r>
      <w:r w:rsidRPr="00C32576">
        <w:t xml:space="preserve"> </w:t>
      </w:r>
      <w:hyperlink r:id="rId118"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0D5731C" w14:textId="1F39D80A" w:rsidR="00397BAB" w:rsidRPr="00C32576" w:rsidRDefault="00397BAB" w:rsidP="001E31C5">
      <w:r>
        <w:lastRenderedPageBreak/>
        <w:t xml:space="preserve">CITS has launched a new </w:t>
      </w:r>
      <w:hyperlink r:id="rId119" w:history="1">
        <w:r w:rsidRPr="00397BAB">
          <w:rPr>
            <w:rStyle w:val="Hyperlink"/>
          </w:rPr>
          <w:t>expert group on communications technology for automated driving</w:t>
        </w:r>
      </w:hyperlink>
      <w:r>
        <w:t xml:space="preserve">. </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20"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4E709DCF" w14:textId="77D63AF9" w:rsidR="00B84019" w:rsidRDefault="00397BAB" w:rsidP="001E31C5">
      <w:r>
        <w:t xml:space="preserve">See </w:t>
      </w:r>
      <w:r w:rsidR="00A23A70">
        <w:t xml:space="preserve">also </w:t>
      </w:r>
      <w:r>
        <w:t xml:space="preserve">ITU's </w:t>
      </w:r>
      <w:r w:rsidR="00B84019">
        <w:t xml:space="preserve">new </w:t>
      </w:r>
      <w:hyperlink r:id="rId121" w:history="1">
        <w:r w:rsidR="00B84019" w:rsidRPr="00397BAB">
          <w:rPr>
            <w:rStyle w:val="Hyperlink"/>
          </w:rPr>
          <w:t>web portal</w:t>
        </w:r>
      </w:hyperlink>
      <w:r w:rsidR="00B84019">
        <w:t xml:space="preserve"> on </w:t>
      </w:r>
      <w:r>
        <w:t xml:space="preserve">ITS. </w:t>
      </w:r>
    </w:p>
    <w:p w14:paraId="5A5C43A6" w14:textId="17F8A937" w:rsidR="003E2E2A" w:rsidRPr="00C32576" w:rsidRDefault="006279A8" w:rsidP="003E2E2A">
      <w:pPr>
        <w:pStyle w:val="Heading2"/>
      </w:pPr>
      <w:bookmarkStart w:id="94" w:name="_5.6_CTO_and"/>
      <w:bookmarkStart w:id="95" w:name="_Toc156392419"/>
      <w:bookmarkEnd w:id="94"/>
      <w:r>
        <w:t>5</w:t>
      </w:r>
      <w:r w:rsidR="003E2E2A" w:rsidRPr="00C32576">
        <w:t>.</w:t>
      </w:r>
      <w:r>
        <w:t>6</w:t>
      </w:r>
      <w:r w:rsidR="003E2E2A" w:rsidRPr="00C32576">
        <w:tab/>
      </w:r>
      <w:r w:rsidR="003E2E2A">
        <w:t xml:space="preserve">CTO and </w:t>
      </w:r>
      <w:proofErr w:type="spellStart"/>
      <w:r w:rsidR="003E2E2A">
        <w:t>CxO</w:t>
      </w:r>
      <w:proofErr w:type="spellEnd"/>
      <w:r w:rsidR="003E2E2A">
        <w:t xml:space="preserve"> </w:t>
      </w:r>
      <w:r w:rsidR="003E2E2A" w:rsidRPr="00C5776F">
        <w:t>meetings</w:t>
      </w:r>
      <w:bookmarkEnd w:id="95"/>
    </w:p>
    <w:p w14:paraId="1F793E73" w14:textId="3206F00C" w:rsidR="003E2E2A" w:rsidRDefault="009A3DC3" w:rsidP="003E2E2A">
      <w:hyperlink r:id="rId122" w:history="1">
        <w:r w:rsidR="003E2E2A" w:rsidRPr="00DB5569">
          <w:rPr>
            <w:rStyle w:val="Hyperlink"/>
            <w:rFonts w:eastAsiaTheme="majorEastAsia"/>
            <w:bCs/>
          </w:rPr>
          <w:t xml:space="preserve">CTO and </w:t>
        </w:r>
        <w:proofErr w:type="spellStart"/>
        <w:r w:rsidR="003E2E2A" w:rsidRPr="00DB5569">
          <w:rPr>
            <w:rStyle w:val="Hyperlink"/>
            <w:rFonts w:eastAsiaTheme="majorEastAsia"/>
            <w:bCs/>
          </w:rPr>
          <w:t>CxO</w:t>
        </w:r>
        <w:proofErr w:type="spellEnd"/>
        <w:r w:rsidR="003E2E2A" w:rsidRPr="00DB5569">
          <w:rPr>
            <w:rStyle w:val="Hyperlink"/>
            <w:rFonts w:eastAsiaTheme="majorEastAsia"/>
            <w:bCs/>
          </w:rPr>
          <w:t xml:space="preserve"> meetings</w:t>
        </w:r>
      </w:hyperlink>
      <w:r w:rsidR="003E2E2A">
        <w:t xml:space="preserve"> bring </w:t>
      </w:r>
      <w:r w:rsidR="00251558">
        <w:t xml:space="preserve">together </w:t>
      </w:r>
      <w:r w:rsidR="003E2E2A">
        <w:t>high-level industry executives to</w:t>
      </w:r>
      <w:r w:rsidR="00251558">
        <w:t xml:space="preserve">gether with the senior </w:t>
      </w:r>
      <w:bookmarkStart w:id="96"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5C0B5FC4" w:rsidR="00251558" w:rsidRDefault="00FF55D2" w:rsidP="00251558">
      <w:r>
        <w:t xml:space="preserve">The </w:t>
      </w:r>
      <w:r w:rsidR="00C74C19">
        <w:t xml:space="preserve">most recent </w:t>
      </w:r>
      <w:hyperlink r:id="rId123" w:history="1">
        <w:proofErr w:type="spellStart"/>
        <w:r w:rsidR="00251558" w:rsidRPr="004C3AFB">
          <w:rPr>
            <w:rStyle w:val="Hyperlink"/>
          </w:rPr>
          <w:t>CxO</w:t>
        </w:r>
        <w:proofErr w:type="spellEnd"/>
        <w:r w:rsidR="00251558" w:rsidRPr="004C3AFB">
          <w:rPr>
            <w:rStyle w:val="Hyperlink"/>
          </w:rPr>
          <w:t xml:space="preserve"> </w:t>
        </w:r>
        <w:r w:rsidR="00397BAB">
          <w:rPr>
            <w:rStyle w:val="Hyperlink"/>
          </w:rPr>
          <w:t>Roundtable</w:t>
        </w:r>
      </w:hyperlink>
      <w:r>
        <w:t xml:space="preserve"> </w:t>
      </w:r>
      <w:r w:rsidR="00C74C19">
        <w:t xml:space="preserve">was </w:t>
      </w:r>
      <w:r>
        <w:t xml:space="preserve">held on </w:t>
      </w:r>
      <w:r w:rsidR="00397BAB">
        <w:t xml:space="preserve">5 December 2023 </w:t>
      </w:r>
      <w:r>
        <w:t xml:space="preserve">at the </w:t>
      </w:r>
      <w:r w:rsidR="00251558" w:rsidRPr="00251558">
        <w:t>Telecom Review Leader's Summit</w:t>
      </w:r>
      <w:r>
        <w:t xml:space="preserve"> in </w:t>
      </w:r>
      <w:r w:rsidR="00251558" w:rsidRPr="00251558">
        <w:t xml:space="preserve">Dubai, </w:t>
      </w:r>
      <w:r w:rsidR="00210841">
        <w:t>UAE</w:t>
      </w:r>
      <w:r w:rsidR="00577F44">
        <w:t xml:space="preserve">, </w:t>
      </w:r>
      <w:r w:rsidR="003D374A">
        <w:t xml:space="preserve">with additional participation online, </w:t>
      </w:r>
      <w:r w:rsidR="00577F44">
        <w:t xml:space="preserve">hosted by Telecom Review with the support </w:t>
      </w:r>
      <w:r w:rsidR="00210841">
        <w:t xml:space="preserve">of </w:t>
      </w:r>
      <w:r w:rsidR="00210841" w:rsidRPr="00210841">
        <w:t xml:space="preserve">the support of the UAE Telecommunications and Digital Government Regulatory Authority, du, Huawei and TELUS. </w:t>
      </w:r>
    </w:p>
    <w:p w14:paraId="0D6DB9B6" w14:textId="31C5F6C9" w:rsidR="00C74C19" w:rsidRDefault="00210841" w:rsidP="00251558">
      <w:proofErr w:type="spellStart"/>
      <w:r w:rsidRPr="00210841">
        <w:t>CxOs</w:t>
      </w:r>
      <w:proofErr w:type="spellEnd"/>
      <w:r w:rsidRPr="00210841">
        <w:t xml:space="preserve"> discussed the support for IMT-2030 (6G) required from optical networks, artificial intelligence (AI), and semantic communications. They also shared their outlook on addressing the digital divide, non-terrestrial networks, smart mobility (e.g., vehicle-to-everything communications and their regulatory requirements), powerline communications, disaster response, machine vision technology, blockchain, fraud mitigation</w:t>
      </w:r>
      <w:r w:rsidR="006C6CD3">
        <w:t>,</w:t>
      </w:r>
      <w:r w:rsidRPr="00210841">
        <w:t xml:space="preserve"> and quantum information technologies</w:t>
      </w:r>
      <w:r w:rsidR="007C74BC">
        <w:t>.</w:t>
      </w:r>
      <w:r w:rsidR="007C74BC" w:rsidRPr="00D9258A">
        <w:t xml:space="preserve"> </w:t>
      </w:r>
      <w:r w:rsidR="007C74BC">
        <w:t xml:space="preserve">See </w:t>
      </w:r>
      <w:r w:rsidR="00C642DE">
        <w:t>m</w:t>
      </w:r>
      <w:r w:rsidR="007C74BC">
        <w:t>eeting</w:t>
      </w:r>
      <w:r w:rsidR="00C74C19" w:rsidRPr="00D9258A">
        <w:t xml:space="preserve"> </w:t>
      </w:r>
      <w:hyperlink r:id="rId124" w:history="1">
        <w:r w:rsidR="00C74C19" w:rsidRPr="007C74BC">
          <w:rPr>
            <w:rStyle w:val="Hyperlink"/>
          </w:rPr>
          <w:t>communiqu</w:t>
        </w:r>
        <w:r w:rsidR="00D9258A" w:rsidRPr="007C74BC">
          <w:rPr>
            <w:rStyle w:val="Hyperlink"/>
          </w:rPr>
          <w:t>é</w:t>
        </w:r>
      </w:hyperlink>
      <w:r w:rsidR="007C74BC">
        <w:t xml:space="preserve">. </w:t>
      </w:r>
    </w:p>
    <w:p w14:paraId="3D45D041" w14:textId="6A559EE3" w:rsidR="002A09A2" w:rsidRPr="00C32576" w:rsidRDefault="002A09A2" w:rsidP="002A09A2">
      <w:pPr>
        <w:pStyle w:val="Heading2"/>
      </w:pPr>
      <w:bookmarkStart w:id="97" w:name="_5.7_Green_Digital"/>
      <w:bookmarkStart w:id="98" w:name="_Toc156392420"/>
      <w:bookmarkEnd w:id="97"/>
      <w:r>
        <w:t>5</w:t>
      </w:r>
      <w:r w:rsidRPr="00C32576">
        <w:t>.</w:t>
      </w:r>
      <w:r>
        <w:t>7</w:t>
      </w:r>
      <w:r w:rsidRPr="00C32576">
        <w:tab/>
      </w:r>
      <w:r>
        <w:t xml:space="preserve">Green </w:t>
      </w:r>
      <w:r w:rsidR="00B44AD8">
        <w:t>d</w:t>
      </w:r>
      <w:r>
        <w:t xml:space="preserve">igital </w:t>
      </w:r>
      <w:r w:rsidR="00B44AD8">
        <w:t>a</w:t>
      </w:r>
      <w:r>
        <w:t xml:space="preserve">ction at </w:t>
      </w:r>
      <w:r w:rsidRPr="00C5776F">
        <w:t>COP28</w:t>
      </w:r>
      <w:bookmarkEnd w:id="98"/>
    </w:p>
    <w:p w14:paraId="4F9E16A4" w14:textId="76CEDDFB" w:rsidR="002A09A2" w:rsidRDefault="002A09A2" w:rsidP="002A09A2">
      <w:pPr>
        <w:rPr>
          <w:rFonts w:eastAsiaTheme="minorHAnsi"/>
          <w:lang w:eastAsia="en-US"/>
        </w:rPr>
      </w:pPr>
      <w:r w:rsidRPr="00801F3D">
        <w:rPr>
          <w:rFonts w:eastAsiaTheme="minorHAnsi"/>
          <w:lang w:eastAsia="en-US"/>
        </w:rPr>
        <w:t xml:space="preserve">ITU convened the </w:t>
      </w:r>
      <w:hyperlink r:id="rId125" w:history="1">
        <w:r w:rsidRPr="00777E55">
          <w:rPr>
            <w:rStyle w:val="Hyperlink"/>
            <w:rFonts w:eastAsiaTheme="minorHAnsi"/>
            <w:lang w:eastAsia="en-US"/>
          </w:rPr>
          <w:t>Green Digital Action track at COP28</w:t>
        </w:r>
      </w:hyperlink>
      <w:r w:rsidRPr="00801F3D">
        <w:rPr>
          <w:rFonts w:eastAsiaTheme="minorHAnsi"/>
          <w:lang w:eastAsia="en-US"/>
        </w:rPr>
        <w:t xml:space="preserve"> in Dubai, UAE, </w:t>
      </w:r>
      <w:r w:rsidR="00801F3D" w:rsidRPr="00801F3D">
        <w:rPr>
          <w:rFonts w:eastAsiaTheme="minorHAnsi"/>
          <w:lang w:eastAsia="en-US"/>
        </w:rPr>
        <w:t xml:space="preserve">30 November - 13 December 2023, </w:t>
      </w:r>
      <w:r w:rsidRPr="00801F3D">
        <w:rPr>
          <w:rFonts w:eastAsiaTheme="minorHAnsi"/>
          <w:lang w:eastAsia="en-US"/>
        </w:rPr>
        <w:t xml:space="preserve">together </w:t>
      </w:r>
      <w:r w:rsidR="00801F3D" w:rsidRPr="00801F3D">
        <w:rPr>
          <w:rFonts w:eastAsiaTheme="minorHAnsi"/>
          <w:lang w:eastAsia="en-US"/>
        </w:rPr>
        <w:t xml:space="preserve">with </w:t>
      </w:r>
      <w:r w:rsidRPr="00801F3D">
        <w:rPr>
          <w:rFonts w:eastAsiaTheme="minorHAnsi"/>
          <w:lang w:eastAsia="en-US"/>
        </w:rPr>
        <w:t xml:space="preserve">partners spanning governments, companies, </w:t>
      </w:r>
      <w:r w:rsidR="00801F3D" w:rsidRPr="00801F3D">
        <w:rPr>
          <w:rFonts w:eastAsiaTheme="minorHAnsi"/>
          <w:lang w:eastAsia="en-US"/>
        </w:rPr>
        <w:t xml:space="preserve">industry associations, </w:t>
      </w:r>
      <w:r w:rsidRPr="00801F3D">
        <w:rPr>
          <w:rFonts w:eastAsiaTheme="minorHAnsi"/>
          <w:lang w:eastAsia="en-US"/>
        </w:rPr>
        <w:t>civil society and fellow UN agencies</w:t>
      </w:r>
      <w:r w:rsidR="00801F3D" w:rsidRPr="00801F3D">
        <w:rPr>
          <w:rFonts w:eastAsiaTheme="minorHAnsi"/>
          <w:lang w:eastAsia="en-US"/>
        </w:rPr>
        <w:t xml:space="preserve">. </w:t>
      </w:r>
    </w:p>
    <w:p w14:paraId="6600A67F" w14:textId="786F55BB" w:rsidR="00801F3D" w:rsidRPr="00801F3D" w:rsidRDefault="00801F3D" w:rsidP="002A09A2">
      <w:pPr>
        <w:rPr>
          <w:rFonts w:eastAsiaTheme="minorHAnsi"/>
          <w:lang w:eastAsia="en-US"/>
        </w:rPr>
      </w:pPr>
      <w:r w:rsidRPr="00801F3D">
        <w:rPr>
          <w:rFonts w:eastAsiaTheme="minorHAnsi"/>
          <w:lang w:eastAsia="en-US"/>
        </w:rPr>
        <w:t xml:space="preserve">TSB/ITU-T played a leading role in the facilitation of Green Digital Action activities focused on standardization. </w:t>
      </w:r>
    </w:p>
    <w:p w14:paraId="04086910" w14:textId="77777777" w:rsidR="002A09A2" w:rsidRPr="002A09A2" w:rsidRDefault="002A09A2" w:rsidP="002A09A2">
      <w:pPr>
        <w:rPr>
          <w:rFonts w:eastAsiaTheme="minorHAnsi"/>
          <w:lang w:eastAsia="en-US"/>
        </w:rPr>
      </w:pPr>
      <w:r w:rsidRPr="002A09A2">
        <w:rPr>
          <w:rFonts w:eastAsiaTheme="minorHAnsi"/>
          <w:lang w:eastAsia="en-US"/>
        </w:rPr>
        <w:t>​</w:t>
      </w:r>
      <w:hyperlink r:id="rId126" w:history="1">
        <w:r w:rsidRPr="002A09A2">
          <w:rPr>
            <w:rStyle w:val="Hyperlink"/>
            <w:rFonts w:eastAsiaTheme="minorHAnsi"/>
            <w:lang w:eastAsia="en-US"/>
          </w:rPr>
          <w:t>Among the outcomes</w:t>
        </w:r>
      </w:hyperlink>
      <w:r w:rsidRPr="002A09A2">
        <w:rPr>
          <w:rFonts w:eastAsiaTheme="minorHAnsi"/>
          <w:lang w:eastAsia="en-US"/>
        </w:rPr>
        <w:t> of Green Digital Action at COP28 are:</w:t>
      </w:r>
    </w:p>
    <w:p w14:paraId="51B33CA4" w14:textId="77777777" w:rsidR="002A09A2" w:rsidRPr="002A09A2" w:rsidRDefault="002A09A2" w:rsidP="00770357">
      <w:pPr>
        <w:numPr>
          <w:ilvl w:val="0"/>
          <w:numId w:val="32"/>
        </w:numPr>
        <w:rPr>
          <w:rFonts w:eastAsiaTheme="minorHAnsi"/>
          <w:lang w:eastAsia="en-US"/>
        </w:rPr>
      </w:pPr>
      <w:r w:rsidRPr="002A09A2">
        <w:rPr>
          <w:rFonts w:eastAsiaTheme="minorHAnsi"/>
          <w:lang w:eastAsia="en-US"/>
        </w:rPr>
        <w:t>Corporate agreements on reducing greenhouse gas emissions following science-based targets aligned with the goal of limiting climate warming to 1.</w:t>
      </w:r>
      <w:proofErr w:type="gramStart"/>
      <w:r w:rsidRPr="002A09A2">
        <w:rPr>
          <w:rFonts w:eastAsiaTheme="minorHAnsi"/>
          <w:lang w:eastAsia="en-US"/>
        </w:rPr>
        <w:t>5</w:t>
      </w:r>
      <w:r w:rsidRPr="002A09A2">
        <w:rPr>
          <w:rFonts w:eastAsiaTheme="minorHAnsi"/>
          <w:vertAlign w:val="superscript"/>
          <w:lang w:eastAsia="en-US"/>
        </w:rPr>
        <w:t>o</w:t>
      </w:r>
      <w:r w:rsidRPr="002A09A2">
        <w:rPr>
          <w:rFonts w:eastAsiaTheme="minorHAnsi"/>
          <w:lang w:eastAsia="en-US"/>
        </w:rPr>
        <w:t>C, and</w:t>
      </w:r>
      <w:proofErr w:type="gramEnd"/>
      <w:r w:rsidRPr="002A09A2">
        <w:rPr>
          <w:rFonts w:eastAsiaTheme="minorHAnsi"/>
          <w:lang w:eastAsia="en-US"/>
        </w:rPr>
        <w:t xml:space="preserve"> creating transition plans as well as increasing transparency on emissions data across the tech industry.</w:t>
      </w:r>
    </w:p>
    <w:p w14:paraId="642A3166" w14:textId="77777777" w:rsidR="002A09A2" w:rsidRPr="002A09A2" w:rsidRDefault="002A09A2" w:rsidP="00770357">
      <w:pPr>
        <w:numPr>
          <w:ilvl w:val="0"/>
          <w:numId w:val="32"/>
        </w:numPr>
        <w:rPr>
          <w:rFonts w:eastAsiaTheme="minorHAnsi"/>
          <w:lang w:eastAsia="en-US"/>
        </w:rPr>
      </w:pPr>
      <w:r w:rsidRPr="002A09A2">
        <w:rPr>
          <w:rFonts w:eastAsiaTheme="minorHAnsi"/>
          <w:lang w:eastAsia="en-US"/>
        </w:rPr>
        <w:t>Cross-country collaboration to develop e-waste regulation as a key vehicle to foster a circular tech industry.</w:t>
      </w:r>
    </w:p>
    <w:p w14:paraId="41B5FD62" w14:textId="54E7808E" w:rsidR="002A09A2" w:rsidRPr="002A09A2" w:rsidRDefault="009A3DC3" w:rsidP="00770357">
      <w:pPr>
        <w:numPr>
          <w:ilvl w:val="0"/>
          <w:numId w:val="32"/>
        </w:numPr>
        <w:rPr>
          <w:rFonts w:eastAsiaTheme="minorHAnsi"/>
          <w:lang w:eastAsia="en-US"/>
        </w:rPr>
      </w:pPr>
      <w:hyperlink r:id="rId127" w:history="1">
        <w:r w:rsidR="002A09A2" w:rsidRPr="002A09A2">
          <w:rPr>
            <w:rStyle w:val="Hyperlink"/>
            <w:rFonts w:eastAsiaTheme="minorHAnsi"/>
            <w:lang w:eastAsia="en-US"/>
          </w:rPr>
          <w:t>Joint statement</w:t>
        </w:r>
      </w:hyperlink>
      <w:r w:rsidR="002A09A2" w:rsidRPr="002A09A2">
        <w:rPr>
          <w:rFonts w:eastAsiaTheme="minorHAnsi"/>
          <w:lang w:eastAsia="en-US"/>
        </w:rPr>
        <w:t xml:space="preserve"> by ITU, ISO and IEC on the importance of sustainability being built into technical standards development by design, and standards helping the world reach net-zero emissions and achieve a resource-efficient circular and low-carbon economy.</w:t>
      </w:r>
    </w:p>
    <w:p w14:paraId="7DC65E95" w14:textId="13AB03A2" w:rsidR="002A09A2" w:rsidRPr="002A09A2" w:rsidRDefault="002A09A2" w:rsidP="00770357">
      <w:pPr>
        <w:numPr>
          <w:ilvl w:val="0"/>
          <w:numId w:val="32"/>
        </w:numPr>
        <w:rPr>
          <w:rFonts w:eastAsiaTheme="minorHAnsi"/>
          <w:lang w:eastAsia="en-US"/>
        </w:rPr>
      </w:pPr>
      <w:r w:rsidRPr="002A09A2">
        <w:rPr>
          <w:rFonts w:eastAsiaTheme="minorHAnsi"/>
          <w:lang w:eastAsia="en-US"/>
        </w:rPr>
        <w:t xml:space="preserve">Strengthening of industry and country collaboration on the implementation of environmental sustainability standards through an </w:t>
      </w:r>
      <w:hyperlink r:id="rId128" w:history="1">
        <w:r w:rsidRPr="002A09A2">
          <w:rPr>
            <w:rStyle w:val="Hyperlink"/>
            <w:rFonts w:eastAsiaTheme="minorHAnsi"/>
            <w:lang w:eastAsia="en-US"/>
          </w:rPr>
          <w:t>action plan</w:t>
        </w:r>
      </w:hyperlink>
      <w:r w:rsidRPr="002A09A2">
        <w:rPr>
          <w:rFonts w:eastAsiaTheme="minorHAnsi"/>
          <w:lang w:eastAsia="en-US"/>
        </w:rPr>
        <w:t>.</w:t>
      </w:r>
    </w:p>
    <w:p w14:paraId="3E276CFF" w14:textId="77777777" w:rsidR="002A09A2" w:rsidRDefault="002A09A2" w:rsidP="00770357">
      <w:pPr>
        <w:numPr>
          <w:ilvl w:val="0"/>
          <w:numId w:val="32"/>
        </w:numPr>
        <w:rPr>
          <w:rFonts w:eastAsiaTheme="minorHAnsi"/>
          <w:lang w:eastAsia="en-US"/>
        </w:rPr>
      </w:pPr>
      <w:r w:rsidRPr="002A09A2">
        <w:rPr>
          <w:rFonts w:eastAsiaTheme="minorHAnsi"/>
          <w:lang w:eastAsia="en-US"/>
        </w:rPr>
        <w:t xml:space="preserve">Pledge from the mobile telecommunication and satellite industry to support the Early Warnings for All initiative through cell-broadcast and direct-to-device services to protect </w:t>
      </w:r>
      <w:r w:rsidRPr="002A09A2">
        <w:rPr>
          <w:rFonts w:eastAsiaTheme="minorHAnsi"/>
          <w:lang w:eastAsia="en-US"/>
        </w:rPr>
        <w:lastRenderedPageBreak/>
        <w:t>everyone through life-saving disaster alerts by 2027. A public sector pledge to implement cell-broadcast using a regulatory approach was also made.​</w:t>
      </w:r>
    </w:p>
    <w:p w14:paraId="12A702CA" w14:textId="5FA644C8" w:rsidR="00C02DCB" w:rsidRDefault="00C02DCB" w:rsidP="00C02DCB">
      <w:pPr>
        <w:rPr>
          <w:rFonts w:eastAsiaTheme="minorHAnsi"/>
          <w:lang w:eastAsia="en-US"/>
        </w:rPr>
      </w:pPr>
      <w:r>
        <w:rPr>
          <w:rFonts w:eastAsiaTheme="minorHAnsi"/>
          <w:lang w:eastAsia="en-US"/>
        </w:rPr>
        <w:t>The</w:t>
      </w:r>
      <w:r w:rsidRPr="00C02DCB">
        <w:rPr>
          <w:rFonts w:eastAsiaTheme="minorHAnsi"/>
          <w:lang w:eastAsia="en-US"/>
        </w:rPr>
        <w:t xml:space="preserve"> </w:t>
      </w:r>
      <w:hyperlink r:id="rId129" w:tgtFrame="_blank" w:history="1">
        <w:r w:rsidRPr="00C02DCB">
          <w:rPr>
            <w:rStyle w:val="Hyperlink"/>
            <w:rFonts w:eastAsiaTheme="minorHAnsi"/>
            <w:lang w:eastAsia="en-US"/>
          </w:rPr>
          <w:t>AI/ML Solutions for Climate Change challenge</w:t>
        </w:r>
      </w:hyperlink>
      <w:r w:rsidRPr="00C02DCB">
        <w:rPr>
          <w:rFonts w:eastAsiaTheme="minorHAnsi"/>
          <w:lang w:eastAsia="en-US"/>
        </w:rPr>
        <w:t> </w:t>
      </w:r>
      <w:r>
        <w:rPr>
          <w:rFonts w:eastAsiaTheme="minorHAnsi"/>
          <w:lang w:eastAsia="en-US"/>
        </w:rPr>
        <w:t xml:space="preserve">also </w:t>
      </w:r>
      <w:r w:rsidRPr="00C02DCB">
        <w:rPr>
          <w:rFonts w:eastAsiaTheme="minorHAnsi"/>
          <w:lang w:eastAsia="en-US"/>
        </w:rPr>
        <w:t>culminated at COP28</w:t>
      </w:r>
      <w:r>
        <w:rPr>
          <w:rFonts w:eastAsiaTheme="minorHAnsi"/>
          <w:lang w:eastAsia="en-US"/>
        </w:rPr>
        <w:t xml:space="preserve">. </w:t>
      </w:r>
      <w:r w:rsidRPr="00C02DCB">
        <w:rPr>
          <w:rFonts w:eastAsiaTheme="minorHAnsi"/>
          <w:lang w:eastAsia="en-US"/>
        </w:rPr>
        <w:t>The challenge was supported by supported by ITU, the International Atomic Energy Agency (IAEA), the UN Food and Agriculture Organization (FAO), the UN Educational, Scientific and Cultural Organization (UNESCO), and the World Bank. The competitions were facilitated by a stream of the </w:t>
      </w:r>
      <w:hyperlink r:id="rId130" w:tgtFrame="_blank" w:history="1">
        <w:r w:rsidRPr="00C02DCB">
          <w:rPr>
            <w:rStyle w:val="Hyperlink"/>
            <w:rFonts w:eastAsiaTheme="minorHAnsi"/>
            <w:lang w:eastAsia="en-US"/>
          </w:rPr>
          <w:t>AI for Good Innovation Factory</w:t>
        </w:r>
      </w:hyperlink>
      <w:r w:rsidRPr="00C02DCB">
        <w:rPr>
          <w:rFonts w:eastAsiaTheme="minorHAnsi"/>
          <w:lang w:eastAsia="en-US"/>
        </w:rPr>
        <w:t> led by ITU and IAEA.</w:t>
      </w:r>
    </w:p>
    <w:p w14:paraId="27F5DABD" w14:textId="0A4B2626" w:rsidR="0002435B" w:rsidRDefault="006279A8" w:rsidP="0048381E">
      <w:pPr>
        <w:pStyle w:val="Heading1"/>
        <w:spacing w:before="240"/>
      </w:pPr>
      <w:bookmarkStart w:id="99" w:name="_4_Academia"/>
      <w:bookmarkStart w:id="100" w:name="_6_Academia"/>
      <w:bookmarkStart w:id="101" w:name="_Toc156392421"/>
      <w:bookmarkStart w:id="102" w:name="_Hlk92298430"/>
      <w:bookmarkEnd w:id="92"/>
      <w:bookmarkEnd w:id="96"/>
      <w:bookmarkEnd w:id="99"/>
      <w:bookmarkEnd w:id="100"/>
      <w:r>
        <w:t>6</w:t>
      </w:r>
      <w:r w:rsidR="0002435B" w:rsidRPr="00C32576">
        <w:tab/>
        <w:t>Acade</w:t>
      </w:r>
      <w:r w:rsidR="0002435B" w:rsidRPr="00C5776F">
        <w:t>mia</w:t>
      </w:r>
      <w:bookmarkEnd w:id="101"/>
    </w:p>
    <w:p w14:paraId="0B568CA4" w14:textId="5B635696" w:rsidR="00794706" w:rsidRPr="00794706" w:rsidRDefault="009A3DC3" w:rsidP="00794706">
      <w:hyperlink r:id="rId131" w:history="1">
        <w:r w:rsidR="00973621" w:rsidRPr="00617C11">
          <w:rPr>
            <w:rStyle w:val="Hyperlink"/>
          </w:rPr>
          <w:t>ITU Academia membership</w:t>
        </w:r>
      </w:hyperlink>
      <w:r w:rsidR="00794706">
        <w:t>, the</w:t>
      </w:r>
      <w:r w:rsidR="00794706" w:rsidRPr="00C32576">
        <w:t xml:space="preserve"> </w:t>
      </w:r>
      <w:hyperlink r:id="rId132" w:history="1">
        <w:r w:rsidR="00794706" w:rsidRPr="00C32576">
          <w:rPr>
            <w:rStyle w:val="Hyperlink"/>
          </w:rPr>
          <w:t>ITU Journal on Future and Evolving Technologies</w:t>
        </w:r>
      </w:hyperlink>
      <w:r w:rsidR="003D374A">
        <w:t xml:space="preserve">, </w:t>
      </w:r>
      <w:r w:rsidR="00F15D4B">
        <w:t xml:space="preserve">and </w:t>
      </w:r>
      <w:hyperlink r:id="rId133"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3" w:name="_Toc156392422"/>
      <w:r>
        <w:t>6</w:t>
      </w:r>
      <w:r w:rsidR="0002435B" w:rsidRPr="00C32576">
        <w:t>.1</w:t>
      </w:r>
      <w:r w:rsidR="0002435B" w:rsidRPr="00C32576">
        <w:tab/>
        <w:t>ITU Jou</w:t>
      </w:r>
      <w:r w:rsidR="0002435B" w:rsidRPr="00C5776F">
        <w:t>rnal</w:t>
      </w:r>
      <w:bookmarkEnd w:id="103"/>
    </w:p>
    <w:p w14:paraId="60F38547" w14:textId="3298CACD" w:rsidR="00F15D4B" w:rsidRDefault="00E00BE5" w:rsidP="00E00BE5">
      <w:r w:rsidRPr="00C32576">
        <w:t xml:space="preserve">The </w:t>
      </w:r>
      <w:hyperlink r:id="rId134"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p>
    <w:p w14:paraId="48B50E56" w14:textId="67B970B6" w:rsidR="00210841" w:rsidRDefault="008523F2" w:rsidP="00E00BE5">
      <w:r>
        <w:t xml:space="preserve">The journal </w:t>
      </w:r>
      <w:r w:rsidRPr="008523F2">
        <w:t>includes </w:t>
      </w:r>
      <w:hyperlink r:id="rId135" w:tgtFrame="_blank" w:history="1">
        <w:r w:rsidRPr="008523F2">
          <w:rPr>
            <w:rStyle w:val="Hyperlink"/>
          </w:rPr>
          <w:t>recorded webinar discussions</w:t>
        </w:r>
      </w:hyperlink>
      <w:r w:rsidRPr="008523F2">
        <w:t> with researchers</w:t>
      </w:r>
      <w:r w:rsidR="00210841">
        <w:t xml:space="preserve"> and industry leaders</w:t>
      </w:r>
      <w:r w:rsidRPr="008523F2">
        <w:t>.</w:t>
      </w:r>
      <w:r>
        <w:t xml:space="preserve"> </w:t>
      </w:r>
      <w:r w:rsidR="00210841">
        <w:t xml:space="preserve">The </w:t>
      </w:r>
      <w:r>
        <w:t xml:space="preserve">special series of journal webinars </w:t>
      </w:r>
      <w:r w:rsidR="00210841">
        <w:t xml:space="preserve">with industry leaders, launched in June 2023, has hosted talks from </w:t>
      </w:r>
      <w:r w:rsidR="00210841" w:rsidRPr="00210841">
        <w:t>NTT DOCOMO, O-RAN Alliance, GSMA</w:t>
      </w:r>
      <w:r w:rsidR="00210841">
        <w:t xml:space="preserve">, </w:t>
      </w:r>
      <w:r w:rsidR="00210841" w:rsidRPr="00210841">
        <w:t>Nokia</w:t>
      </w:r>
      <w:r w:rsidR="00210841">
        <w:t xml:space="preserve"> and China Mobile. </w:t>
      </w:r>
    </w:p>
    <w:p w14:paraId="0C024E22" w14:textId="48228CB8" w:rsidR="00F65E41" w:rsidRDefault="00F65E41" w:rsidP="00E00BE5">
      <w:r>
        <w:t>The latest issue of the ITU Journal (Volume 4 (2023), Issue 4) focuses on innovations to power the metaverse and AI for accessibility. It also features research on</w:t>
      </w:r>
      <w:r w:rsidRPr="00F65E41">
        <w:t> vehicle-to-everything communications, edge computing, and low-earth orbit satellite networking.</w:t>
      </w:r>
    </w:p>
    <w:p w14:paraId="66648BF1" w14:textId="2F7B461B" w:rsidR="00210841" w:rsidRDefault="00F65E41" w:rsidP="00E00BE5">
      <w:r>
        <w:t>Volume 4</w:t>
      </w:r>
      <w:r w:rsidR="00B035B9">
        <w:t>, Issue 3</w:t>
      </w:r>
      <w:r>
        <w:t xml:space="preserve"> </w:t>
      </w:r>
      <w:r w:rsidRPr="00F65E41">
        <w:t>features research on network automation</w:t>
      </w:r>
      <w:r w:rsidR="00B010C3">
        <w:t xml:space="preserve"> and the resulting network dynamism key to 5G and beyond.</w:t>
      </w:r>
      <w:r>
        <w:t xml:space="preserve"> </w:t>
      </w:r>
      <w:r w:rsidRPr="00F65E41">
        <w:t>It also shares insights on solutions developed as part of ITU’s AI/ML in 5G Challenge (third edition)</w:t>
      </w:r>
      <w:r>
        <w:t xml:space="preserve">. </w:t>
      </w:r>
    </w:p>
    <w:p w14:paraId="355F2203" w14:textId="1B91FA75" w:rsidR="00F65E41" w:rsidRDefault="00B035B9" w:rsidP="00E00BE5">
      <w:r>
        <w:t xml:space="preserve">Volume 4, Issue 2 </w:t>
      </w:r>
      <w:r w:rsidR="00F65E41" w:rsidRPr="00F65E41">
        <w:t>features research on network orchestration and security for 5G and beyond, sharing insights on advances in network intelligence and automation helping to meet rapidly evolving service demands.</w:t>
      </w:r>
    </w:p>
    <w:p w14:paraId="09591F34" w14:textId="77777777" w:rsidR="00B035B9" w:rsidRDefault="00B035B9" w:rsidP="00210841">
      <w:r>
        <w:t xml:space="preserve">Volume 4, Issue 1 </w:t>
      </w:r>
      <w:r w:rsidR="007C74BC" w:rsidRPr="007C74BC">
        <w:t>features research on innovative network solutions for future services, intelligent surfaces, and gigahertz-to-terahertz (GHz-to-THz) broadband communications for 6G non-terrestrial networks</w:t>
      </w:r>
      <w:r>
        <w:t>.</w:t>
      </w:r>
    </w:p>
    <w:p w14:paraId="09996049" w14:textId="4FB1F401" w:rsidR="00150F5F" w:rsidRDefault="00B035B9" w:rsidP="00B035B9">
      <w:r>
        <w:t xml:space="preserve">In addition to papers on other topics published in 2023, </w:t>
      </w:r>
      <w:r w:rsidR="00210841" w:rsidRPr="00210841">
        <w:t xml:space="preserve">Volume 4 </w:t>
      </w:r>
      <w:r>
        <w:t xml:space="preserve">includes papers from the </w:t>
      </w:r>
      <w:r w:rsidR="00210841" w:rsidRPr="00210841">
        <w:t>following special issues​:</w:t>
      </w:r>
      <w:bookmarkStart w:id="104" w:name="_Hlk120564161"/>
      <w:r w:rsidR="00F15D4B" w:rsidRPr="00F15D4B">
        <w:t xml:space="preserve"> </w:t>
      </w:r>
    </w:p>
    <w:p w14:paraId="5912E2F2" w14:textId="7F7C0DF3" w:rsidR="00B035B9" w:rsidRDefault="00B035B9" w:rsidP="00770357">
      <w:pPr>
        <w:numPr>
          <w:ilvl w:val="0"/>
          <w:numId w:val="19"/>
        </w:numPr>
      </w:pPr>
      <w:r>
        <w:t>Innovative network solutions for future services</w:t>
      </w:r>
    </w:p>
    <w:p w14:paraId="449932A8" w14:textId="3089518E" w:rsidR="00B035B9" w:rsidRDefault="00B035B9" w:rsidP="00770357">
      <w:pPr>
        <w:numPr>
          <w:ilvl w:val="0"/>
          <w:numId w:val="19"/>
        </w:numPr>
      </w:pPr>
      <w:r>
        <w:t>Intelligent surfaces and their applications towards wide-scale deployment</w:t>
      </w:r>
    </w:p>
    <w:p w14:paraId="44394194" w14:textId="724625EE" w:rsidR="00B035B9" w:rsidRDefault="00B035B9" w:rsidP="00770357">
      <w:pPr>
        <w:numPr>
          <w:ilvl w:val="0"/>
          <w:numId w:val="19"/>
        </w:numPr>
      </w:pPr>
      <w:r>
        <w:t>AI-driven security in 5G and beyond</w:t>
      </w:r>
    </w:p>
    <w:p w14:paraId="0087CC96" w14:textId="53852E4B" w:rsidR="00B035B9" w:rsidRDefault="00B035B9" w:rsidP="00770357">
      <w:pPr>
        <w:numPr>
          <w:ilvl w:val="0"/>
          <w:numId w:val="19"/>
        </w:numPr>
      </w:pPr>
      <w:r>
        <w:t xml:space="preserve">Network virtualization, slicing, orchestration, </w:t>
      </w:r>
      <w:proofErr w:type="gramStart"/>
      <w:r>
        <w:t>fog</w:t>
      </w:r>
      <w:proofErr w:type="gramEnd"/>
      <w:r>
        <w:t xml:space="preserve"> and edge platforms for 5G and 6G wireless systems</w:t>
      </w:r>
    </w:p>
    <w:p w14:paraId="0F2A890C" w14:textId="3F992CF7" w:rsidR="00B035B9" w:rsidRDefault="00B035B9" w:rsidP="00770357">
      <w:pPr>
        <w:numPr>
          <w:ilvl w:val="0"/>
          <w:numId w:val="19"/>
        </w:numPr>
      </w:pPr>
      <w:r>
        <w:t>AI and machine learning solutions in 5G and future networks</w:t>
      </w:r>
    </w:p>
    <w:p w14:paraId="6DD84B20" w14:textId="3B68EC3D" w:rsidR="00B035B9" w:rsidRDefault="00B035B9" w:rsidP="00770357">
      <w:pPr>
        <w:numPr>
          <w:ilvl w:val="0"/>
          <w:numId w:val="19"/>
        </w:numPr>
      </w:pPr>
      <w:r>
        <w:t>AI for accessibility</w:t>
      </w:r>
    </w:p>
    <w:p w14:paraId="0E7AC6A3" w14:textId="12BF1166" w:rsidR="00B035B9" w:rsidRDefault="00B035B9" w:rsidP="00770357">
      <w:pPr>
        <w:numPr>
          <w:ilvl w:val="0"/>
          <w:numId w:val="19"/>
        </w:numPr>
      </w:pPr>
      <w:r>
        <w:t xml:space="preserve">Metaverse: Communications, </w:t>
      </w:r>
      <w:proofErr w:type="gramStart"/>
      <w:r>
        <w:t>networking</w:t>
      </w:r>
      <w:proofErr w:type="gramEnd"/>
      <w:r>
        <w:t xml:space="preserve"> and computing</w:t>
      </w:r>
    </w:p>
    <w:p w14:paraId="0043174E" w14:textId="676BEF7C" w:rsidR="00B035B9" w:rsidRPr="00B035B9" w:rsidRDefault="00B035B9" w:rsidP="00B035B9">
      <w:r w:rsidRPr="00B035B9">
        <w:t>Upcoming issues of the</w:t>
      </w:r>
      <w:r w:rsidR="004B7F86">
        <w:t xml:space="preserve"> journal in 2024 </w:t>
      </w:r>
      <w:r w:rsidRPr="00B035B9">
        <w:t>are set to address:</w:t>
      </w:r>
    </w:p>
    <w:p w14:paraId="28E1C615" w14:textId="77777777" w:rsidR="00B035B9" w:rsidRPr="00B035B9" w:rsidRDefault="00B035B9" w:rsidP="00770357">
      <w:pPr>
        <w:numPr>
          <w:ilvl w:val="0"/>
          <w:numId w:val="30"/>
        </w:numPr>
      </w:pPr>
      <w:r w:rsidRPr="00B035B9">
        <w:t>Intelligent technologies for future networking and distributed systems</w:t>
      </w:r>
    </w:p>
    <w:p w14:paraId="7878D6B0" w14:textId="77777777" w:rsidR="00B035B9" w:rsidRPr="00B035B9" w:rsidRDefault="00B035B9" w:rsidP="00770357">
      <w:pPr>
        <w:numPr>
          <w:ilvl w:val="0"/>
          <w:numId w:val="30"/>
        </w:numPr>
      </w:pPr>
      <w:r w:rsidRPr="00B035B9">
        <w:t>Satellite constellations and connectivity from space​</w:t>
      </w:r>
    </w:p>
    <w:p w14:paraId="4ED11BF7" w14:textId="77777777" w:rsidR="00B035B9" w:rsidRPr="00B035B9" w:rsidRDefault="00B035B9" w:rsidP="00770357">
      <w:pPr>
        <w:numPr>
          <w:ilvl w:val="0"/>
          <w:numId w:val="30"/>
        </w:numPr>
      </w:pPr>
      <w:r w:rsidRPr="00B035B9">
        <w:lastRenderedPageBreak/>
        <w:t>Next-generation computer communications and networks</w:t>
      </w:r>
    </w:p>
    <w:p w14:paraId="472AC0A6" w14:textId="65D0F7D6" w:rsidR="00B035B9" w:rsidRPr="00B035B9" w:rsidRDefault="00B035B9" w:rsidP="00B035B9">
      <w:r w:rsidRPr="00B035B9">
        <w:t xml:space="preserve">The </w:t>
      </w:r>
      <w:r w:rsidR="004B7F86">
        <w:t xml:space="preserve">journal is </w:t>
      </w:r>
      <w:r w:rsidRPr="00B035B9">
        <w:t>currently inviting submissions for two more special issues:</w:t>
      </w:r>
    </w:p>
    <w:p w14:paraId="4E2D8C0D" w14:textId="77777777" w:rsidR="00B035B9" w:rsidRPr="00B035B9" w:rsidRDefault="00B035B9" w:rsidP="00770357">
      <w:pPr>
        <w:numPr>
          <w:ilvl w:val="0"/>
          <w:numId w:val="31"/>
        </w:numPr>
      </w:pPr>
      <w:r w:rsidRPr="00B035B9">
        <w:t>AI and machine learning solutions in 5G and future networks</w:t>
      </w:r>
    </w:p>
    <w:p w14:paraId="310FC515" w14:textId="281E4C68" w:rsidR="00B035B9" w:rsidRDefault="00B035B9" w:rsidP="00770357">
      <w:pPr>
        <w:numPr>
          <w:ilvl w:val="0"/>
          <w:numId w:val="31"/>
        </w:numPr>
      </w:pPr>
      <w:r w:rsidRPr="00B035B9">
        <w:t>Geospatial AI to advance the United Nations Sustainable Development Goals</w:t>
      </w:r>
    </w:p>
    <w:p w14:paraId="7E2B3477" w14:textId="460BBF40" w:rsidR="0002435B" w:rsidRPr="00C32576" w:rsidRDefault="006279A8" w:rsidP="0002435B">
      <w:pPr>
        <w:pStyle w:val="Heading2"/>
      </w:pPr>
      <w:bookmarkStart w:id="105" w:name="_Toc156392423"/>
      <w:bookmarkEnd w:id="104"/>
      <w:r>
        <w:t>6</w:t>
      </w:r>
      <w:r w:rsidR="0002435B" w:rsidRPr="00C32576">
        <w:t>.2</w:t>
      </w:r>
      <w:r w:rsidR="0002435B" w:rsidRPr="00C32576">
        <w:tab/>
        <w:t xml:space="preserve">ITU Kaleidoscope academic </w:t>
      </w:r>
      <w:r w:rsidR="0002435B" w:rsidRPr="00C5776F">
        <w:t>conferences</w:t>
      </w:r>
      <w:bookmarkEnd w:id="105"/>
    </w:p>
    <w:p w14:paraId="38A3EBE5" w14:textId="57C732A1" w:rsidR="00A3606E" w:rsidRDefault="0002435B" w:rsidP="0002435B">
      <w:r w:rsidRPr="00C32576">
        <w:t xml:space="preserve">The </w:t>
      </w:r>
      <w:hyperlink r:id="rId136"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1F3E0226" w:rsidR="00F15D4B" w:rsidRPr="00C32576" w:rsidRDefault="00F15D4B" w:rsidP="0002435B">
      <w:r>
        <w:t xml:space="preserve">The </w:t>
      </w:r>
      <w:r w:rsidR="004B7F86">
        <w:t xml:space="preserve">next edition of Kaleidoscope will be held in conjunction with WTSA-24 in New Delhi, India, 15-24 October 2024. </w:t>
      </w:r>
    </w:p>
    <w:p w14:paraId="3BD5C7DA" w14:textId="72C92D11" w:rsidR="00A13428" w:rsidRPr="00C32576" w:rsidRDefault="006279A8" w:rsidP="0048381E">
      <w:pPr>
        <w:pStyle w:val="Heading1"/>
        <w:spacing w:before="240"/>
      </w:pPr>
      <w:bookmarkStart w:id="106" w:name="_5_Cooperation_and"/>
      <w:bookmarkStart w:id="107" w:name="_Toc156392424"/>
      <w:bookmarkStart w:id="108" w:name="_Hlk90559120"/>
      <w:bookmarkEnd w:id="102"/>
      <w:bookmarkEnd w:id="106"/>
      <w:r>
        <w:t>7</w:t>
      </w:r>
      <w:r w:rsidR="00A13428" w:rsidRPr="00C32576">
        <w:tab/>
      </w:r>
      <w:r w:rsidR="00054496">
        <w:t>C</w:t>
      </w:r>
      <w:r w:rsidR="00A13428" w:rsidRPr="00C32576">
        <w:t>ooperation and c</w:t>
      </w:r>
      <w:r w:rsidR="00A13428" w:rsidRPr="00C5776F">
        <w:t>oordination</w:t>
      </w:r>
      <w:bookmarkEnd w:id="107"/>
      <w:r w:rsidR="00A13428">
        <w:t xml:space="preserve"> </w:t>
      </w:r>
    </w:p>
    <w:p w14:paraId="0405B2DB" w14:textId="5700D2B8" w:rsidR="00A13428" w:rsidRDefault="00777E55" w:rsidP="00A13428">
      <w:pPr>
        <w:rPr>
          <w:color w:val="000000"/>
        </w:rPr>
      </w:pPr>
      <w:r>
        <w:rPr>
          <w:color w:val="000000"/>
        </w:rPr>
        <w:t xml:space="preserve">Regional Preparatory Meetings for WTSA-24 are listed on this </w:t>
      </w:r>
      <w:hyperlink r:id="rId137" w:history="1">
        <w:r w:rsidRPr="00777E55">
          <w:rPr>
            <w:rStyle w:val="Hyperlink"/>
          </w:rPr>
          <w:t>web page</w:t>
        </w:r>
      </w:hyperlink>
      <w:r>
        <w:rPr>
          <w:color w:val="000000"/>
        </w:rPr>
        <w:t xml:space="preserve">. </w:t>
      </w:r>
      <w:r w:rsidR="00A13428" w:rsidRPr="00C32576">
        <w:rPr>
          <w:color w:val="000000"/>
        </w:rPr>
        <w:t xml:space="preserve">Memoranda of Understanding and Cooperation Agreements are listed and available on the relevant </w:t>
      </w:r>
      <w:hyperlink r:id="rId138" w:history="1">
        <w:r w:rsidR="00A13428" w:rsidRPr="00C32576">
          <w:rPr>
            <w:rStyle w:val="Hyperlink"/>
          </w:rPr>
          <w:t>web page</w:t>
        </w:r>
      </w:hyperlink>
      <w:r w:rsidR="00A13428" w:rsidRPr="00C32576">
        <w:rPr>
          <w:color w:val="000000"/>
        </w:rPr>
        <w:t>.</w:t>
      </w:r>
      <w:r>
        <w:rPr>
          <w:color w:val="000000"/>
        </w:rPr>
        <w:t xml:space="preserve"> </w:t>
      </w:r>
    </w:p>
    <w:p w14:paraId="5A86B04D" w14:textId="728E08FA" w:rsidR="000737FD" w:rsidRPr="00C32576" w:rsidRDefault="00821BE1" w:rsidP="000737FD">
      <w:pPr>
        <w:pStyle w:val="Heading2"/>
      </w:pPr>
      <w:bookmarkStart w:id="109" w:name="_Toc156392425"/>
      <w:r>
        <w:t>7</w:t>
      </w:r>
      <w:r w:rsidR="008404E2">
        <w:t>.1</w:t>
      </w:r>
      <w:r w:rsidR="000737FD" w:rsidRPr="00C32576">
        <w:tab/>
      </w:r>
      <w:r w:rsidR="008404E2">
        <w:t>Intern</w:t>
      </w:r>
      <w:r w:rsidR="000737FD" w:rsidRPr="00C32576">
        <w:t xml:space="preserve">ational standardization </w:t>
      </w:r>
      <w:r w:rsidR="0075760B">
        <w:t>bodies</w:t>
      </w:r>
      <w:bookmarkEnd w:id="109"/>
    </w:p>
    <w:p w14:paraId="5954FED7" w14:textId="6CF98199" w:rsidR="008404E2" w:rsidRPr="008404E2" w:rsidRDefault="009A3DC3" w:rsidP="008404E2">
      <w:hyperlink r:id="rId139" w:history="1">
        <w:r w:rsidR="008404E2" w:rsidRPr="008404E2">
          <w:rPr>
            <w:color w:val="0000FF"/>
            <w:u w:val="single"/>
          </w:rPr>
          <w:t>World Standards Cooperation (WSC)</w:t>
        </w:r>
      </w:hyperlink>
    </w:p>
    <w:p w14:paraId="2CC174B8" w14:textId="77777777" w:rsidR="008404E2" w:rsidRPr="008404E2" w:rsidRDefault="008404E2" w:rsidP="008404E2">
      <w:r w:rsidRPr="008404E2">
        <w:t xml:space="preserve">The World Standards Cooperation (WSC) was established in 2001 by the International Telecommunication Union (ITU), the International Organization for Standardization (ISO), and the International Electrotechnical Commission (IEC) </w:t>
      </w:r>
      <w:proofErr w:type="gramStart"/>
      <w:r w:rsidRPr="008404E2">
        <w:t>in order to</w:t>
      </w:r>
      <w:proofErr w:type="gramEnd"/>
      <w:r w:rsidRPr="008404E2">
        <w:t xml:space="preserve"> strengthen and advance the voluntary consensus-based international standards systems of ITU, ISO, and IEC.</w:t>
      </w:r>
    </w:p>
    <w:p w14:paraId="46C3C7E0" w14:textId="39FF7823" w:rsidR="003B0B5D" w:rsidRPr="003B0B5D" w:rsidRDefault="00660ACB" w:rsidP="00770357">
      <w:pPr>
        <w:numPr>
          <w:ilvl w:val="0"/>
          <w:numId w:val="19"/>
        </w:numPr>
        <w:ind w:left="714" w:hanging="357"/>
        <w:rPr>
          <w:lang w:val="en-US"/>
        </w:rPr>
      </w:pPr>
      <w:bookmarkStart w:id="110" w:name="_Hlk120564290"/>
      <w:r>
        <w:t>A</w:t>
      </w:r>
      <w:r w:rsidR="0025401A">
        <w:t xml:space="preserve"> </w:t>
      </w:r>
      <w:r w:rsidR="003B0B5D">
        <w:t xml:space="preserve">WSC meeting hosted by ITU </w:t>
      </w:r>
      <w:r w:rsidR="00C23FAB">
        <w:t xml:space="preserve">in </w:t>
      </w:r>
      <w:r w:rsidR="003B0B5D">
        <w:t xml:space="preserve">February 2023 discussed the relationship between international standardization and human rights, welcoming the UN High Commissioner for Human Rights, </w:t>
      </w:r>
      <w:r w:rsidR="003B0B5D" w:rsidRPr="003B0B5D">
        <w:rPr>
          <w:lang w:val="en-US"/>
        </w:rPr>
        <w:t>Volker Tür</w:t>
      </w:r>
      <w:r w:rsidR="003B0B5D">
        <w:rPr>
          <w:lang w:val="en-US"/>
        </w:rPr>
        <w:t xml:space="preserve">k. </w:t>
      </w:r>
    </w:p>
    <w:p w14:paraId="14A77EEE" w14:textId="4E7DAF88" w:rsidR="008404E2" w:rsidRDefault="009A3DC3" w:rsidP="00770357">
      <w:pPr>
        <w:numPr>
          <w:ilvl w:val="0"/>
          <w:numId w:val="19"/>
        </w:numPr>
        <w:ind w:left="714" w:hanging="357"/>
      </w:pPr>
      <w:hyperlink r:id="rId140" w:history="1">
        <w:r w:rsidR="008404E2" w:rsidRPr="008404E2">
          <w:rPr>
            <w:color w:val="0000FF"/>
            <w:u w:val="single"/>
          </w:rPr>
          <w:t>World Standards Day</w:t>
        </w:r>
      </w:hyperlink>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w:t>
      </w:r>
      <w:r w:rsidR="00C74C19">
        <w:t xml:space="preserve"> is </w:t>
      </w:r>
      <w:r w:rsidR="008404E2" w:rsidRPr="008404E2">
        <w:t xml:space="preserve">the theme of World Standards Day,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41" w:history="1">
        <w:r w:rsidR="008404E2" w:rsidRPr="008404E2">
          <w:rPr>
            <w:color w:val="0000FF"/>
            <w:u w:val="single"/>
          </w:rPr>
          <w:t>All past editions of World Standards Day</w:t>
        </w:r>
      </w:hyperlink>
      <w:r w:rsidR="008404E2" w:rsidRPr="008404E2">
        <w:t xml:space="preserve">. </w:t>
      </w:r>
    </w:p>
    <w:p w14:paraId="11249743" w14:textId="39ECD8F5" w:rsidR="00C664C3" w:rsidRDefault="009A3DC3" w:rsidP="00770357">
      <w:pPr>
        <w:numPr>
          <w:ilvl w:val="0"/>
          <w:numId w:val="19"/>
        </w:numPr>
        <w:ind w:left="714" w:hanging="357"/>
      </w:pPr>
      <w:hyperlink r:id="rId142" w:history="1">
        <w:r w:rsidR="003B0B5D">
          <w:rPr>
            <w:rStyle w:val="Hyperlink"/>
          </w:rPr>
          <w:t xml:space="preserve">G20 </w:t>
        </w:r>
        <w:r w:rsidR="00C664C3" w:rsidRPr="00C664C3">
          <w:rPr>
            <w:rStyle w:val="Hyperlink"/>
          </w:rPr>
          <w:t>International Standards Summit</w:t>
        </w:r>
        <w:r w:rsidR="003B0B5D">
          <w:rPr>
            <w:rStyle w:val="Hyperlink"/>
          </w:rPr>
          <w:t>s</w:t>
        </w:r>
      </w:hyperlink>
      <w:r w:rsidR="00C664C3">
        <w:t xml:space="preserve">: </w:t>
      </w:r>
      <w:r w:rsidR="00C664C3" w:rsidRPr="00C664C3">
        <w:t xml:space="preserve">ITU, ISO and IEC </w:t>
      </w:r>
      <w:r w:rsidR="003B0B5D">
        <w:t xml:space="preserve">together arrange events as part of G20 activities on the value of international standards to sustainable development. Three such events have been held under the </w:t>
      </w:r>
      <w:bookmarkEnd w:id="110"/>
      <w:r w:rsidR="002122BE">
        <w:t xml:space="preserve">G20 Presidencies of </w:t>
      </w:r>
      <w:r w:rsidR="003B0B5D">
        <w:t xml:space="preserve">Indonesia (2022), </w:t>
      </w:r>
      <w:r w:rsidR="002122BE">
        <w:t xml:space="preserve">Italy (2021) and Saudi Arabia (2020). </w:t>
      </w:r>
      <w:r w:rsidR="00CE5AC3">
        <w:t>The next such summit is under preparation together with</w:t>
      </w:r>
      <w:r w:rsidR="002C513F">
        <w:t xml:space="preserve"> Brazil. </w:t>
      </w:r>
      <w:r w:rsidR="00CE5AC3">
        <w:t xml:space="preserve"> </w:t>
      </w:r>
    </w:p>
    <w:p w14:paraId="23D45114" w14:textId="6C4014CC" w:rsidR="00801F3D" w:rsidRPr="002C513F" w:rsidRDefault="009A3DC3" w:rsidP="00770357">
      <w:pPr>
        <w:numPr>
          <w:ilvl w:val="0"/>
          <w:numId w:val="19"/>
        </w:numPr>
        <w:rPr>
          <w:rFonts w:eastAsiaTheme="minorHAnsi"/>
          <w:lang w:eastAsia="en-US"/>
        </w:rPr>
      </w:pPr>
      <w:hyperlink r:id="rId143" w:history="1">
        <w:r w:rsidR="00801F3D" w:rsidRPr="002C513F">
          <w:rPr>
            <w:rStyle w:val="Hyperlink"/>
            <w:rFonts w:eastAsiaTheme="minorHAnsi"/>
            <w:lang w:eastAsia="en-US"/>
          </w:rPr>
          <w:t>Joint statement at COP28</w:t>
        </w:r>
      </w:hyperlink>
      <w:r w:rsidR="00801F3D" w:rsidRPr="002C513F">
        <w:rPr>
          <w:rFonts w:eastAsiaTheme="minorHAnsi"/>
          <w:lang w:eastAsia="en-US"/>
        </w:rPr>
        <w:t xml:space="preserve">: ITU, ISO and IEC issued a </w:t>
      </w:r>
      <w:r w:rsidR="00801F3D" w:rsidRPr="00777E55">
        <w:rPr>
          <w:rFonts w:eastAsiaTheme="minorHAnsi"/>
          <w:lang w:eastAsia="en-US"/>
        </w:rPr>
        <w:t>j</w:t>
      </w:r>
      <w:r w:rsidR="00801F3D" w:rsidRPr="002A09A2">
        <w:rPr>
          <w:rFonts w:eastAsiaTheme="minorHAnsi"/>
          <w:lang w:eastAsia="en-US"/>
        </w:rPr>
        <w:t xml:space="preserve">oint statement </w:t>
      </w:r>
      <w:r w:rsidR="00801F3D" w:rsidRPr="002C513F">
        <w:rPr>
          <w:rFonts w:eastAsiaTheme="minorHAnsi"/>
          <w:lang w:eastAsia="en-US"/>
        </w:rPr>
        <w:t xml:space="preserve">at COP28 </w:t>
      </w:r>
      <w:r w:rsidR="00801F3D" w:rsidRPr="002A09A2">
        <w:rPr>
          <w:rFonts w:eastAsiaTheme="minorHAnsi"/>
          <w:lang w:eastAsia="en-US"/>
        </w:rPr>
        <w:t>on the importance of sustainability being built into technical standards development by design, and standards helping the world reach net-zero emissions and achieve a resource-efficient circular and low-carbon economy.</w:t>
      </w:r>
    </w:p>
    <w:p w14:paraId="0D1286F7" w14:textId="77777777" w:rsidR="008404E2" w:rsidRPr="008404E2" w:rsidRDefault="009A3DC3" w:rsidP="008404E2">
      <w:hyperlink r:id="rId144" w:history="1">
        <w:r w:rsidR="008404E2" w:rsidRPr="008404E2">
          <w:rPr>
            <w:color w:val="0000FF"/>
            <w:u w:val="single"/>
          </w:rPr>
          <w:t xml:space="preserve">Technical coordination mechanism among IEC, </w:t>
        </w:r>
        <w:proofErr w:type="gramStart"/>
        <w:r w:rsidR="008404E2" w:rsidRPr="008404E2">
          <w:rPr>
            <w:color w:val="0000FF"/>
            <w:u w:val="single"/>
          </w:rPr>
          <w:t>ISO</w:t>
        </w:r>
        <w:proofErr w:type="gramEnd"/>
        <w:r w:rsidR="008404E2" w:rsidRPr="008404E2">
          <w:rPr>
            <w:color w:val="0000FF"/>
            <w:u w:val="single"/>
          </w:rPr>
          <w:t xml:space="preserve">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45" w:history="1">
        <w:r w:rsidRPr="008404E2">
          <w:rPr>
            <w:color w:val="0000FF"/>
            <w:u w:val="single"/>
          </w:rPr>
          <w:t>TSAG TD138</w:t>
        </w:r>
      </w:hyperlink>
      <w:r w:rsidRPr="008404E2">
        <w:t>).</w:t>
      </w:r>
    </w:p>
    <w:p w14:paraId="121CA6F6" w14:textId="77777777" w:rsidR="00E20C3C" w:rsidRPr="00054496" w:rsidRDefault="009A3DC3" w:rsidP="00E20C3C">
      <w:hyperlink r:id="rId146" w:history="1">
        <w:r w:rsidR="00E20C3C" w:rsidRPr="00054496">
          <w:rPr>
            <w:rStyle w:val="Hyperlink"/>
          </w:rPr>
          <w:t>Global Standards Collaboration (GSC)</w:t>
        </w:r>
      </w:hyperlink>
    </w:p>
    <w:p w14:paraId="47708DBE" w14:textId="18B0BC8C" w:rsidR="00254686" w:rsidRPr="001D3213" w:rsidRDefault="00E20C3C" w:rsidP="001D3213">
      <w:r w:rsidRPr="00054496">
        <w:t>GSC is an unincorporated voluntary organization dedicated to enhancing global cooperation and collaboration regarding communications standards and the related standards development environment.</w:t>
      </w:r>
      <w:r w:rsidR="001D3213">
        <w:t xml:space="preserve"> </w:t>
      </w:r>
    </w:p>
    <w:p w14:paraId="0F02A882" w14:textId="77777777" w:rsidR="00E20C3C" w:rsidRPr="00054496" w:rsidRDefault="009A3DC3" w:rsidP="00E20C3C">
      <w:hyperlink r:id="rId147"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 xml:space="preserve">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w:t>
      </w:r>
      <w:proofErr w:type="gramStart"/>
      <w:r w:rsidRPr="00054496">
        <w:t>ISO</w:t>
      </w:r>
      <w:proofErr w:type="gramEnd"/>
      <w:r w:rsidRPr="00054496">
        <w:t xml:space="preserve"> and ITU-T. The approved SPCG terms of reference are </w:t>
      </w:r>
      <w:hyperlink r:id="rId148" w:history="1">
        <w:r w:rsidRPr="00054496">
          <w:rPr>
            <w:rStyle w:val="Hyperlink"/>
          </w:rPr>
          <w:t>here</w:t>
        </w:r>
      </w:hyperlink>
      <w:r w:rsidRPr="00054496">
        <w:t>.</w:t>
      </w:r>
    </w:p>
    <w:p w14:paraId="75334222" w14:textId="34CF7A10" w:rsidR="00D61217" w:rsidRDefault="009A3DC3" w:rsidP="00E20C3C">
      <w:hyperlink r:id="rId149"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t>J-SCTF</w:t>
      </w:r>
      <w:r>
        <w:t xml:space="preserve"> was established in </w:t>
      </w:r>
      <w:r w:rsidR="007D1BAE">
        <w:t xml:space="preserve">2020 and </w:t>
      </w:r>
      <w:r w:rsidRPr="006C4EF4">
        <w:t>support</w:t>
      </w:r>
      <w:r w:rsidR="007D1BAE">
        <w:t>s the coord</w:t>
      </w:r>
      <w:r w:rsidR="005A645F">
        <w:t>in</w:t>
      </w:r>
      <w:r w:rsidR="007D1BAE">
        <w:t xml:space="preserve">ation of IEC, </w:t>
      </w:r>
      <w:proofErr w:type="gramStart"/>
      <w:r w:rsidR="007D1BAE">
        <w:t>ISO</w:t>
      </w:r>
      <w:proofErr w:type="gramEnd"/>
      <w:r w:rsidR="007D1BAE">
        <w:t xml:space="preserve">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50" w:anchor="/pages/workspaces/735898/dashboard" w:history="1">
        <w:r w:rsidR="00936054" w:rsidRPr="00936054">
          <w:rPr>
            <w:rStyle w:val="Hyperlink"/>
          </w:rPr>
          <w:t>repository</w:t>
        </w:r>
      </w:hyperlink>
      <w:r w:rsidR="00936054">
        <w:t xml:space="preserve">. </w:t>
      </w:r>
    </w:p>
    <w:p w14:paraId="260F21E4" w14:textId="7926DF44" w:rsidR="00777E55" w:rsidRDefault="00821BE1" w:rsidP="00777E55">
      <w:pPr>
        <w:pStyle w:val="Heading2"/>
      </w:pPr>
      <w:bookmarkStart w:id="111" w:name="_Toc156392426"/>
      <w:bookmarkStart w:id="112" w:name="_Hlk119500548"/>
      <w:r>
        <w:t>7</w:t>
      </w:r>
      <w:r w:rsidR="00A13428">
        <w:t>.2</w:t>
      </w:r>
      <w:r w:rsidR="005005E0">
        <w:tab/>
      </w:r>
      <w:r w:rsidR="00A13428">
        <w:t xml:space="preserve">National and regional standardization </w:t>
      </w:r>
      <w:r w:rsidR="0007304D">
        <w:t>bodies</w:t>
      </w:r>
      <w:bookmarkEnd w:id="111"/>
    </w:p>
    <w:p w14:paraId="589A1053" w14:textId="716AB783"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rsidP="00770357">
      <w:pPr>
        <w:numPr>
          <w:ilvl w:val="0"/>
          <w:numId w:val="18"/>
        </w:numPr>
      </w:pPr>
      <w:r w:rsidRPr="0007304D">
        <w:rPr>
          <w:bCs/>
        </w:rPr>
        <w:t>African Regional Organization for Standardisation (ARSO)</w:t>
      </w:r>
    </w:p>
    <w:p w14:paraId="1AA3D60E" w14:textId="77777777" w:rsidR="0007304D" w:rsidRPr="0007304D" w:rsidRDefault="0007304D" w:rsidP="00770357">
      <w:pPr>
        <w:numPr>
          <w:ilvl w:val="0"/>
          <w:numId w:val="18"/>
        </w:numPr>
        <w:rPr>
          <w:bCs/>
        </w:rPr>
      </w:pPr>
      <w:r w:rsidRPr="0007304D">
        <w:rPr>
          <w:bCs/>
        </w:rPr>
        <w:t>Pan American Standards Commission (COPANT)</w:t>
      </w:r>
    </w:p>
    <w:p w14:paraId="1A5786E5" w14:textId="77777777" w:rsidR="0007304D" w:rsidRPr="0007304D" w:rsidRDefault="0007304D" w:rsidP="00770357">
      <w:pPr>
        <w:numPr>
          <w:ilvl w:val="0"/>
          <w:numId w:val="18"/>
        </w:numPr>
        <w:rPr>
          <w:bCs/>
        </w:rPr>
      </w:pPr>
      <w:r w:rsidRPr="0007304D">
        <w:rPr>
          <w:bCs/>
        </w:rPr>
        <w:t>Pacific Area Standards Congress (PASC)</w:t>
      </w:r>
    </w:p>
    <w:p w14:paraId="2ADEAE53" w14:textId="77777777" w:rsidR="0007304D" w:rsidRPr="0007304D" w:rsidRDefault="0007304D" w:rsidP="00770357">
      <w:pPr>
        <w:numPr>
          <w:ilvl w:val="0"/>
          <w:numId w:val="18"/>
        </w:numPr>
        <w:rPr>
          <w:bCs/>
        </w:rPr>
      </w:pPr>
      <w:r w:rsidRPr="0007304D">
        <w:rPr>
          <w:bCs/>
        </w:rPr>
        <w:t xml:space="preserve">Asia-Pacific </w:t>
      </w:r>
      <w:proofErr w:type="spellStart"/>
      <w:r w:rsidRPr="0007304D">
        <w:rPr>
          <w:bCs/>
        </w:rPr>
        <w:t>Telecommunity</w:t>
      </w:r>
      <w:proofErr w:type="spellEnd"/>
      <w:r w:rsidRPr="0007304D">
        <w:rPr>
          <w:bCs/>
        </w:rPr>
        <w:t xml:space="preserve"> Standardization Program (ASTAP)</w:t>
      </w:r>
    </w:p>
    <w:p w14:paraId="3BD2634B" w14:textId="77777777" w:rsidR="0007304D" w:rsidRPr="0007304D" w:rsidRDefault="0007304D" w:rsidP="00770357">
      <w:pPr>
        <w:numPr>
          <w:ilvl w:val="0"/>
          <w:numId w:val="18"/>
        </w:numPr>
        <w:rPr>
          <w:bCs/>
        </w:rPr>
      </w:pPr>
      <w:r w:rsidRPr="0007304D">
        <w:rPr>
          <w:bCs/>
        </w:rPr>
        <w:t>South Asian Regional Standards Organization (SARSO)</w:t>
      </w:r>
    </w:p>
    <w:p w14:paraId="1138167B" w14:textId="5C150627" w:rsidR="0007304D" w:rsidRDefault="0007304D" w:rsidP="00770357">
      <w:pPr>
        <w:numPr>
          <w:ilvl w:val="0"/>
          <w:numId w:val="18"/>
        </w:numPr>
      </w:pPr>
      <w:r w:rsidRPr="0007304D">
        <w:t>GCC Standardization Organization (GSO)</w:t>
      </w:r>
    </w:p>
    <w:p w14:paraId="036AD596" w14:textId="445D2D6E" w:rsidR="00FA47CF" w:rsidRDefault="00FA47CF" w:rsidP="00770357">
      <w:pPr>
        <w:numPr>
          <w:ilvl w:val="0"/>
          <w:numId w:val="18"/>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rsidP="00770357">
      <w:pPr>
        <w:numPr>
          <w:ilvl w:val="0"/>
          <w:numId w:val="18"/>
        </w:numPr>
      </w:pPr>
      <w:r>
        <w:t>European Telecommunications Standards Institute (ETSI)</w:t>
      </w:r>
    </w:p>
    <w:p w14:paraId="7B6AD1D8" w14:textId="70C7AC37" w:rsidR="00A13428" w:rsidRPr="00C32576" w:rsidRDefault="00821BE1" w:rsidP="00A13428">
      <w:pPr>
        <w:pStyle w:val="Heading2"/>
        <w:ind w:left="0" w:firstLine="0"/>
      </w:pPr>
      <w:bookmarkStart w:id="113" w:name="_Toc156392427"/>
      <w:bookmarkStart w:id="114"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B44AD8">
        <w:rPr>
          <w:bCs/>
          <w:szCs w:val="24"/>
          <w:lang w:eastAsia="ja-JP"/>
        </w:rPr>
        <w:t>r</w:t>
      </w:r>
      <w:r w:rsidR="0007304D" w:rsidRPr="00DF7A37">
        <w:rPr>
          <w:bCs/>
          <w:szCs w:val="24"/>
          <w:lang w:eastAsia="ja-JP"/>
        </w:rPr>
        <w:t xml:space="preserve">egional </w:t>
      </w:r>
      <w:r w:rsidR="0007304D">
        <w:rPr>
          <w:bCs/>
          <w:szCs w:val="24"/>
          <w:lang w:eastAsia="ja-JP"/>
        </w:rPr>
        <w:t xml:space="preserve">and </w:t>
      </w:r>
      <w:r w:rsidR="00B44AD8">
        <w:rPr>
          <w:bCs/>
          <w:szCs w:val="24"/>
          <w:lang w:eastAsia="ja-JP"/>
        </w:rPr>
        <w:t>a</w:t>
      </w:r>
      <w:r w:rsidR="0007304D">
        <w:rPr>
          <w:bCs/>
          <w:szCs w:val="24"/>
          <w:lang w:eastAsia="ja-JP"/>
        </w:rPr>
        <w:t xml:space="preserve">rea </w:t>
      </w:r>
      <w:r w:rsidR="00B44AD8">
        <w:rPr>
          <w:bCs/>
          <w:szCs w:val="24"/>
          <w:lang w:eastAsia="ja-JP"/>
        </w:rPr>
        <w:t>o</w:t>
      </w:r>
      <w:r w:rsidR="0007304D" w:rsidRPr="00DF7A37">
        <w:rPr>
          <w:bCs/>
          <w:szCs w:val="24"/>
          <w:lang w:eastAsia="ja-JP"/>
        </w:rPr>
        <w:t>ffices</w:t>
      </w:r>
      <w:bookmarkEnd w:id="113"/>
    </w:p>
    <w:bookmarkEnd w:id="114"/>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15" w:name="_Toc156392428"/>
      <w:bookmarkEnd w:id="112"/>
      <w:r>
        <w:rPr>
          <w:lang w:val="en-US"/>
        </w:rPr>
        <w:t>7</w:t>
      </w:r>
      <w:r w:rsidR="00A13428" w:rsidRPr="006175FF">
        <w:rPr>
          <w:lang w:val="en-US"/>
        </w:rPr>
        <w:t>.</w:t>
      </w:r>
      <w:r>
        <w:rPr>
          <w:lang w:val="en-US"/>
        </w:rPr>
        <w:t>4</w:t>
      </w:r>
      <w:r w:rsidR="00A13428" w:rsidRPr="006175FF">
        <w:rPr>
          <w:lang w:val="en-US"/>
        </w:rPr>
        <w:tab/>
        <w:t>ITU Sectors</w:t>
      </w:r>
      <w:bookmarkEnd w:id="115"/>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lastRenderedPageBreak/>
        <w:t>Three Inter-Sector Rapporteur groups (IRGs) work on items of interest to various ITU-T and ITU-R SGs.</w:t>
      </w:r>
    </w:p>
    <w:p w14:paraId="1F46E5D1" w14:textId="1EF2FEF4" w:rsidR="00A13428" w:rsidRPr="00C32576" w:rsidRDefault="009A3DC3" w:rsidP="00770357">
      <w:pPr>
        <w:numPr>
          <w:ilvl w:val="0"/>
          <w:numId w:val="13"/>
        </w:numPr>
      </w:pPr>
      <w:hyperlink r:id="rId151">
        <w:proofErr w:type="spellStart"/>
        <w:r w:rsidR="00A13428" w:rsidRPr="00C32576">
          <w:rPr>
            <w:rStyle w:val="Hyperlink"/>
          </w:rPr>
          <w:t>IRG</w:t>
        </w:r>
        <w:proofErr w:type="spellEnd"/>
        <w:r w:rsidR="00A13428" w:rsidRPr="00C32576">
          <w:rPr>
            <w:rStyle w:val="Hyperlink"/>
          </w:rPr>
          <w:t>-AVA</w:t>
        </w:r>
      </w:hyperlink>
      <w:r w:rsidR="00A13428" w:rsidRPr="00C32576">
        <w:t xml:space="preserve">: </w:t>
      </w:r>
      <w:proofErr w:type="spellStart"/>
      <w:r w:rsidR="00A13428" w:rsidRPr="00C32576">
        <w:t>Intersector</w:t>
      </w:r>
      <w:proofErr w:type="spellEnd"/>
      <w:r w:rsidR="00A13428" w:rsidRPr="00C32576">
        <w:t xml:space="preserve"> Rapporteur Group on Audiovisual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9A3DC3" w:rsidP="00770357">
      <w:pPr>
        <w:numPr>
          <w:ilvl w:val="0"/>
          <w:numId w:val="13"/>
        </w:numPr>
      </w:pPr>
      <w:hyperlink r:id="rId152" w:history="1">
        <w:proofErr w:type="spellStart"/>
        <w:r w:rsidR="00A13428" w:rsidRPr="00C32576">
          <w:rPr>
            <w:rStyle w:val="Hyperlink"/>
          </w:rPr>
          <w:t>IRG-AVQA</w:t>
        </w:r>
        <w:proofErr w:type="spellEnd"/>
      </w:hyperlink>
      <w:r w:rsidR="00A13428" w:rsidRPr="00C32576">
        <w:t xml:space="preserve">: </w:t>
      </w:r>
      <w:proofErr w:type="spellStart"/>
      <w:r w:rsidR="00A13428" w:rsidRPr="00C32576">
        <w:t>Intersector</w:t>
      </w:r>
      <w:proofErr w:type="spellEnd"/>
      <w:r w:rsidR="00A13428" w:rsidRPr="00C32576">
        <w:t xml:space="preserve"> Rapporteur Group on Audiovisual Quality Assessment, among ITU-T SG12 and ITU-R SG6. A meeting was held on 9 June 2021, in conjunction with the Video Quality Expert Group (VQEG).</w:t>
      </w:r>
    </w:p>
    <w:p w14:paraId="45AC66E8" w14:textId="77777777" w:rsidR="00A13428" w:rsidRPr="00C32576" w:rsidRDefault="009A3DC3" w:rsidP="00770357">
      <w:pPr>
        <w:numPr>
          <w:ilvl w:val="0"/>
          <w:numId w:val="13"/>
        </w:numPr>
      </w:pPr>
      <w:hyperlink r:id="rId153" w:history="1">
        <w:proofErr w:type="spellStart"/>
        <w:r w:rsidR="00A13428" w:rsidRPr="00C32576">
          <w:rPr>
            <w:rStyle w:val="Hyperlink"/>
          </w:rPr>
          <w:t>IRG</w:t>
        </w:r>
        <w:proofErr w:type="spellEnd"/>
        <w:r w:rsidR="00A13428" w:rsidRPr="00C32576">
          <w:rPr>
            <w:rStyle w:val="Hyperlink"/>
          </w:rPr>
          <w:t>-IBB</w:t>
        </w:r>
      </w:hyperlink>
      <w:r w:rsidR="00A13428" w:rsidRPr="00C32576">
        <w:t xml:space="preserve">: </w:t>
      </w:r>
      <w:proofErr w:type="spellStart"/>
      <w:r w:rsidR="00A13428" w:rsidRPr="00C32576">
        <w:t>Intersector</w:t>
      </w:r>
      <w:proofErr w:type="spellEnd"/>
      <w:r w:rsidR="00A13428" w:rsidRPr="00C32576">
        <w:t xml:space="preserve">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6" w:name="_5.6_External_cooperation"/>
      <w:bookmarkStart w:id="117" w:name="_Toc156392429"/>
      <w:bookmarkEnd w:id="116"/>
      <w:r>
        <w:t>7</w:t>
      </w:r>
      <w:r w:rsidR="00054496" w:rsidRPr="00AE00A2">
        <w:t>.</w:t>
      </w:r>
      <w:r>
        <w:t>5</w:t>
      </w:r>
      <w:r w:rsidR="00054496" w:rsidRPr="00AE00A2">
        <w:tab/>
        <w:t>External cooperation</w:t>
      </w:r>
      <w:bookmarkEnd w:id="117"/>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54" w:history="1">
        <w:r w:rsidRPr="00C32576">
          <w:rPr>
            <w:rStyle w:val="Hyperlink"/>
          </w:rPr>
          <w:t>web page</w:t>
        </w:r>
      </w:hyperlink>
      <w:r w:rsidRPr="00C32576">
        <w:rPr>
          <w:color w:val="000000"/>
        </w:rPr>
        <w:t>.</w:t>
      </w:r>
    </w:p>
    <w:p w14:paraId="41FC0305" w14:textId="4BB9CC14" w:rsidR="00054496" w:rsidRPr="00054496" w:rsidRDefault="009A3DC3" w:rsidP="00054496">
      <w:hyperlink r:id="rId155"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9A3DC3" w:rsidP="00054496">
      <w:hyperlink r:id="rId156"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57"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9A3DC3" w:rsidP="00054496">
      <w:hyperlink r:id="rId158"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9A3DC3" w:rsidP="00054496">
      <w:hyperlink r:id="rId159"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9A3DC3" w:rsidP="00054496">
      <w:hyperlink r:id="rId160" w:history="1">
        <w:r w:rsidR="00054496" w:rsidRPr="00054496">
          <w:rPr>
            <w:rStyle w:val="Hyperlink"/>
          </w:rPr>
          <w:t>Global Initiative on AI and Data Commons</w:t>
        </w:r>
      </w:hyperlink>
    </w:p>
    <w:p w14:paraId="41F7FA5C" w14:textId="164AF69F" w:rsidR="00054496" w:rsidRPr="00054496" w:rsidRDefault="00054496" w:rsidP="00054496">
      <w:r w:rsidRPr="00054496">
        <w:t xml:space="preserve">The Global Initiative on AI and Data Commons brings together AI specialists and data owners from industry, academia, member states, UN agencies and civil society to develop knowledge, </w:t>
      </w:r>
      <w:proofErr w:type="gramStart"/>
      <w:r w:rsidRPr="00054496">
        <w:t>specifications</w:t>
      </w:r>
      <w:proofErr w:type="gramEnd"/>
      <w:r w:rsidRPr="00054496">
        <w:t xml:space="preserve"> and guidelines to scale AI solutions with the help of shared datasets, testing and </w:t>
      </w:r>
      <w:r w:rsidRPr="00054496">
        <w:lastRenderedPageBreak/>
        <w:t>simulation environments, collaborative sandboxes, AI models and associated software, data discoverability and storage and computing resources.</w:t>
      </w:r>
    </w:p>
    <w:p w14:paraId="2E280BDC" w14:textId="77777777" w:rsidR="00054496" w:rsidRPr="00054496" w:rsidRDefault="009A3DC3" w:rsidP="00054496">
      <w:hyperlink r:id="rId161" w:history="1">
        <w:r w:rsidR="00054496" w:rsidRPr="00054496">
          <w:rPr>
            <w:rStyle w:val="Hyperlink"/>
          </w:rPr>
          <w:t>ITU-T and WSIS</w:t>
        </w:r>
      </w:hyperlink>
    </w:p>
    <w:p w14:paraId="5821C62C" w14:textId="1019A05F" w:rsidR="00A11E52" w:rsidRDefault="00054496" w:rsidP="00054496">
      <w:bookmarkStart w:id="118" w:name="_Hlk126328259"/>
      <w:r w:rsidRPr="00054496">
        <w:t>As the UN specialized agency for ICTs, ITU was proud to have played the leading role in the organization of the </w:t>
      </w:r>
      <w:hyperlink r:id="rId162" w:history="1">
        <w:r w:rsidRPr="00054496">
          <w:rPr>
            <w:rStyle w:val="Hyperlink"/>
          </w:rPr>
          <w:t>World Summit on the Information Society (WSIS)</w:t>
        </w:r>
      </w:hyperlink>
      <w:r w:rsidRPr="00054496">
        <w:t>.</w:t>
      </w:r>
      <w:r w:rsidR="002D2EF4">
        <w:t xml:space="preserve"> </w:t>
      </w:r>
      <w:r w:rsidR="002D2EF4" w:rsidRPr="002D2EF4">
        <w:t>The alignment of ITU-T work with the WSIS Action Lines will be reported to th</w:t>
      </w:r>
      <w:r w:rsidR="00C74C19">
        <w:t>is meeting of TSAG</w:t>
      </w:r>
      <w:r w:rsidR="002D2EF4" w:rsidRPr="002D2EF4">
        <w:t xml:space="preserve"> as part of the </w:t>
      </w:r>
      <w:r w:rsidR="002D2EF4">
        <w:t xml:space="preserve">ITU </w:t>
      </w:r>
      <w:r w:rsidR="002D2EF4" w:rsidRPr="002D2EF4">
        <w:t>Operational Plan.</w:t>
      </w:r>
    </w:p>
    <w:bookmarkEnd w:id="118"/>
    <w:p w14:paraId="45027A76" w14:textId="049AA3E7" w:rsidR="00B90855" w:rsidRDefault="00B90855" w:rsidP="00B90855">
      <w:r>
        <w:t xml:space="preserve">ITU-T </w:t>
      </w:r>
      <w:r w:rsidR="00492F35">
        <w:t>work</w:t>
      </w:r>
      <w:r>
        <w:t xml:space="preserve"> relate</w:t>
      </w:r>
      <w:r w:rsidR="00492F35">
        <w:t>s</w:t>
      </w:r>
      <w:r>
        <w:t xml:space="preserve">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515BC093" w14:textId="3A6D4C45" w:rsidR="00054496" w:rsidRDefault="00B90855" w:rsidP="006E7D5E">
      <w:bookmarkStart w:id="119" w:name="_Hlk126328881"/>
      <w:r w:rsidRPr="00C642DE">
        <w:t>ITU-T/TSB facilitated</w:t>
      </w:r>
      <w:r>
        <w:t xml:space="preserve"> discussions at WSIS Forum 202</w:t>
      </w:r>
      <w:r w:rsidR="00A6551F">
        <w:t xml:space="preserve">3 on topics including fibre-optic broadband networks, gender-responsive standards, </w:t>
      </w:r>
      <w:r w:rsidR="00C642DE">
        <w:t xml:space="preserve">smart sustainable cities and communities, circular </w:t>
      </w:r>
      <w:proofErr w:type="gramStart"/>
      <w:r w:rsidR="00C642DE">
        <w:t>economy</w:t>
      </w:r>
      <w:proofErr w:type="gramEnd"/>
      <w:r w:rsidR="00C642DE">
        <w:t xml:space="preserve"> </w:t>
      </w:r>
      <w:r w:rsidR="00A6551F">
        <w:t>and biodiversity</w:t>
      </w:r>
      <w:r w:rsidR="00C642DE">
        <w:t xml:space="preserve">. </w:t>
      </w:r>
    </w:p>
    <w:bookmarkEnd w:id="119"/>
    <w:p w14:paraId="3CB68421" w14:textId="679BB781" w:rsidR="00936054" w:rsidRDefault="00196157" w:rsidP="00054496">
      <w:r>
        <w:fldChar w:fldCharType="begin"/>
      </w:r>
      <w:r>
        <w:instrText>HYPERLINK "https://www.itu.int/en/ITU-T/climatechange/task-force-sc/Pages/default.aspx"</w:instrText>
      </w:r>
      <w:r>
        <w:fldChar w:fldCharType="separate"/>
      </w:r>
      <w:r w:rsidR="00936054" w:rsidRPr="00936054">
        <w:rPr>
          <w:rStyle w:val="Hyperlink"/>
        </w:rPr>
        <w:t>ITU/WMO/UNESCO-IOC Joint Task Force on SMART cable systems</w:t>
      </w:r>
      <w:r>
        <w:rPr>
          <w:rStyle w:val="Hyperlink"/>
        </w:rPr>
        <w:fldChar w:fldCharType="end"/>
      </w:r>
    </w:p>
    <w:p w14:paraId="378E1062" w14:textId="427C0A36" w:rsidR="00936054" w:rsidRPr="00054496" w:rsidRDefault="00366FB8" w:rsidP="00054496">
      <w:bookmarkStart w:id="120"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 xml:space="preserve">‘Science Monitoring </w:t>
      </w:r>
      <w:proofErr w:type="gramStart"/>
      <w:r w:rsidR="00936054" w:rsidRPr="00936054">
        <w:t>And</w:t>
      </w:r>
      <w:proofErr w:type="gramEnd"/>
      <w:r w:rsidR="00936054" w:rsidRPr="00936054">
        <w:t xml:space="preserve">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w:t>
      </w:r>
      <w:r w:rsidR="00A23A70">
        <w:t xml:space="preserve">underway </w:t>
      </w:r>
      <w:r>
        <w:t xml:space="preserve">on </w:t>
      </w:r>
      <w:r w:rsidR="00AE6E92">
        <w:t xml:space="preserve">SMART </w:t>
      </w:r>
      <w:r w:rsidR="00AE6E92" w:rsidRPr="00AE6E92">
        <w:t xml:space="preserve">submarine cable systems </w:t>
      </w:r>
      <w:r w:rsidRPr="00366FB8">
        <w:t>(</w:t>
      </w:r>
      <w:proofErr w:type="spellStart"/>
      <w:r>
        <w:fldChar w:fldCharType="begin"/>
      </w:r>
      <w:r>
        <w:instrText>HYPERLINK "https://www.itu.int/ITU-T/workprog/wp_item.aspx?isn=17089"</w:instrText>
      </w:r>
      <w:r>
        <w:fldChar w:fldCharType="separate"/>
      </w:r>
      <w:r w:rsidRPr="00366FB8">
        <w:rPr>
          <w:rStyle w:val="Hyperlink"/>
        </w:rPr>
        <w:t>G.smart</w:t>
      </w:r>
      <w:proofErr w:type="spellEnd"/>
      <w:r>
        <w:rPr>
          <w:rStyle w:val="Hyperlink"/>
        </w:rPr>
        <w:fldChar w:fldCharType="end"/>
      </w:r>
      <w:r w:rsidRPr="00366FB8">
        <w:t>)</w:t>
      </w:r>
      <w:r>
        <w:t xml:space="preserve"> </w:t>
      </w:r>
      <w:r w:rsidR="00AE6E92">
        <w:t>and d</w:t>
      </w:r>
      <w:r w:rsidR="00AE6E92" w:rsidRPr="00AE6E92">
        <w:t xml:space="preserve">edicated scientific sensing submarine cable system </w:t>
      </w:r>
      <w:r w:rsidRPr="00366FB8">
        <w:t>(</w:t>
      </w:r>
      <w:proofErr w:type="spellStart"/>
      <w:r>
        <w:fldChar w:fldCharType="begin"/>
      </w:r>
      <w:r>
        <w:instrText>HYPERLINK "https://www.itu.int/ITU-T/workprog/wp_item.aspx?isn=17090"</w:instrText>
      </w:r>
      <w:r>
        <w:fldChar w:fldCharType="separate"/>
      </w:r>
      <w:r w:rsidRPr="00366FB8">
        <w:rPr>
          <w:rStyle w:val="Hyperlink"/>
        </w:rPr>
        <w:t>G.dsssc</w:t>
      </w:r>
      <w:proofErr w:type="spellEnd"/>
      <w:r>
        <w:rPr>
          <w:rStyle w:val="Hyperlink"/>
        </w:rPr>
        <w:fldChar w:fldCharType="end"/>
      </w:r>
      <w:r w:rsidRPr="00366FB8">
        <w:t>).</w:t>
      </w:r>
      <w:r w:rsidR="00117EF8">
        <w:t xml:space="preserve"> In addition, the work on “i</w:t>
      </w:r>
      <w:r w:rsidR="00117EF8" w:rsidRPr="00117EF8">
        <w:t>mpact assessment framework for evaluating how ICT-based subsea infrastructure could support climate, environmental and biodiversity monitoring in the oceans</w:t>
      </w:r>
      <w:r w:rsidR="00117EF8">
        <w:t>” started in June 2023 (</w:t>
      </w:r>
      <w:hyperlink r:id="rId163" w:history="1">
        <w:r w:rsidR="00117EF8" w:rsidRPr="00117EF8">
          <w:rPr>
            <w:rStyle w:val="Hyperlink"/>
          </w:rPr>
          <w:t>L.SMART</w:t>
        </w:r>
      </w:hyperlink>
      <w:r w:rsidR="00117EF8">
        <w:t>).</w:t>
      </w:r>
    </w:p>
    <w:bookmarkEnd w:id="120"/>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proofErr w:type="spellStart"/>
      <w:r w:rsidR="00054496" w:rsidRPr="00054496">
        <w:rPr>
          <w:rStyle w:val="Hyperlink"/>
        </w:rPr>
        <w:t>SDOs</w:t>
      </w:r>
      <w:proofErr w:type="spellEnd"/>
      <w:r w:rsidR="00167185">
        <w:rPr>
          <w:rStyle w:val="Hyperlink"/>
        </w:rPr>
        <w:t>)</w:t>
      </w:r>
      <w:r w:rsidR="00054496" w:rsidRPr="00054496">
        <w:rPr>
          <w:rStyle w:val="Hyperlink"/>
        </w:rPr>
        <w:t xml:space="preserve"> under Recs. </w:t>
      </w:r>
      <w:proofErr w:type="spellStart"/>
      <w:r w:rsidR="00054496" w:rsidRPr="00054496">
        <w:rPr>
          <w:rStyle w:val="Hyperlink"/>
        </w:rPr>
        <w:t>A.4</w:t>
      </w:r>
      <w:proofErr w:type="spellEnd"/>
      <w:r w:rsidR="00054496" w:rsidRPr="00054496">
        <w:rPr>
          <w:rStyle w:val="Hyperlink"/>
        </w:rPr>
        <w:t xml:space="preserve">, </w:t>
      </w:r>
      <w:proofErr w:type="spellStart"/>
      <w:r w:rsidR="00054496" w:rsidRPr="00054496">
        <w:rPr>
          <w:rStyle w:val="Hyperlink"/>
        </w:rPr>
        <w:t>A.5</w:t>
      </w:r>
      <w:proofErr w:type="spellEnd"/>
      <w:r w:rsidR="00054496" w:rsidRPr="00054496">
        <w:rPr>
          <w:rStyle w:val="Hyperlink"/>
        </w:rPr>
        <w:t xml:space="preserve"> and </w:t>
      </w:r>
      <w:proofErr w:type="spellStart"/>
      <w:r w:rsidR="00054496" w:rsidRPr="00054496">
        <w:rPr>
          <w:rStyle w:val="Hyperlink"/>
        </w:rPr>
        <w:t>A.6</w:t>
      </w:r>
      <w:proofErr w:type="spellEnd"/>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64" w:history="1">
        <w:r w:rsidRPr="00054496">
          <w:rPr>
            <w:rStyle w:val="Hyperlink"/>
          </w:rPr>
          <w:t>ITU-T A.4:</w:t>
        </w:r>
      </w:hyperlink>
      <w:r w:rsidRPr="00054496">
        <w:t> procedures for communicating with forums and consortia, </w:t>
      </w:r>
      <w:hyperlink r:id="rId165" w:history="1">
        <w:r w:rsidRPr="00054496">
          <w:rPr>
            <w:rStyle w:val="Hyperlink"/>
          </w:rPr>
          <w:t>ITU-T A.5:</w:t>
        </w:r>
      </w:hyperlink>
      <w:r w:rsidRPr="00054496">
        <w:t> making reference to documents from other organizations, </w:t>
      </w:r>
      <w:hyperlink r:id="rId166"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21" w:name="_6_Conformity_and"/>
      <w:bookmarkStart w:id="122" w:name="_8_Conformity_and"/>
      <w:bookmarkStart w:id="123" w:name="_Toc416161352"/>
      <w:bookmarkStart w:id="124" w:name="_Toc438553972"/>
      <w:bookmarkStart w:id="125" w:name="_Toc453929091"/>
      <w:bookmarkStart w:id="126" w:name="_Toc453932962"/>
      <w:bookmarkStart w:id="127" w:name="_Toc454295868"/>
      <w:bookmarkStart w:id="128" w:name="_Toc462664223"/>
      <w:bookmarkStart w:id="129" w:name="_Toc480527817"/>
      <w:bookmarkStart w:id="130" w:name="_Toc18509736"/>
      <w:bookmarkStart w:id="131" w:name="_Toc156392430"/>
      <w:bookmarkStart w:id="132" w:name="_Hlk119584239"/>
      <w:bookmarkEnd w:id="121"/>
      <w:bookmarkEnd w:id="122"/>
      <w:r>
        <w:rPr>
          <w:rFonts w:eastAsiaTheme="minorEastAsia"/>
        </w:rPr>
        <w:t>8</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23"/>
      <w:r w:rsidR="00A13428" w:rsidRPr="00C5776F">
        <w:rPr>
          <w:rFonts w:eastAsiaTheme="minorEastAsia"/>
        </w:rPr>
        <w:t xml:space="preserve"> </w:t>
      </w:r>
      <w:bookmarkEnd w:id="124"/>
      <w:bookmarkEnd w:id="125"/>
      <w:bookmarkEnd w:id="126"/>
      <w:bookmarkEnd w:id="127"/>
      <w:bookmarkEnd w:id="128"/>
      <w:bookmarkEnd w:id="129"/>
      <w:bookmarkEnd w:id="130"/>
      <w:r w:rsidR="00A13428" w:rsidRPr="00C5776F">
        <w:rPr>
          <w:rFonts w:eastAsiaTheme="minorEastAsia"/>
        </w:rPr>
        <w:t>programme</w:t>
      </w:r>
      <w:bookmarkEnd w:id="131"/>
    </w:p>
    <w:p w14:paraId="34E3D0FE" w14:textId="77777777" w:rsidR="006262A1" w:rsidRDefault="006262A1" w:rsidP="006262A1">
      <w:pPr>
        <w:snapToGrid w:val="0"/>
      </w:pPr>
      <w:r w:rsidRPr="00241944">
        <w:t xml:space="preserve">The </w:t>
      </w:r>
      <w:hyperlink r:id="rId167"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53A66553" w:rsidR="006262A1" w:rsidRDefault="006262A1" w:rsidP="006262A1">
      <w:pPr>
        <w:snapToGrid w:val="0"/>
      </w:pPr>
      <w:bookmarkStart w:id="133" w:name="_Hlk120609855"/>
      <w:r w:rsidRPr="000C6BE2">
        <w:t>Testing labs can</w:t>
      </w:r>
      <w:r w:rsidR="00C642DE">
        <w:t xml:space="preserve"> now</w:t>
      </w:r>
      <w:r w:rsidRPr="000C6BE2">
        <w:t xml:space="preserve"> obtain official recognition from ITU for their competence to test the conformance of products with </w:t>
      </w:r>
      <w:r>
        <w:t>ITU-T Recommendations (</w:t>
      </w:r>
      <w:hyperlink r:id="rId168" w:history="1">
        <w:r w:rsidRPr="00826B5E">
          <w:rPr>
            <w:rStyle w:val="Hyperlink"/>
          </w:rPr>
          <w:t>TSB Circular 368</w:t>
        </w:r>
      </w:hyperlink>
      <w:r>
        <w:t>)</w:t>
      </w:r>
      <w:r w:rsidRPr="000C6BE2">
        <w:t>.</w:t>
      </w:r>
      <w:r>
        <w:t xml:space="preserve"> </w:t>
      </w:r>
      <w:r w:rsidR="00493B22">
        <w:t xml:space="preserve">As of December 2023, 12 </w:t>
      </w:r>
      <w:r w:rsidRPr="000C6BE2">
        <w:t>testing labs hav</w:t>
      </w:r>
      <w:r>
        <w:t xml:space="preserve">e </w:t>
      </w:r>
      <w:r w:rsidRPr="000C6BE2">
        <w:t>been listed in the</w:t>
      </w:r>
      <w:r>
        <w:t xml:space="preserve"> </w:t>
      </w:r>
      <w:hyperlink r:id="rId169"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70"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33"/>
    <w:p w14:paraId="72F119BF" w14:textId="77777777" w:rsidR="006262A1" w:rsidRPr="000C6BE2" w:rsidRDefault="006262A1" w:rsidP="006262A1">
      <w:pPr>
        <w:snapToGrid w:val="0"/>
      </w:pPr>
      <w:r w:rsidRPr="000C6BE2">
        <w:t>ITU-T determined the key criteria and</w:t>
      </w:r>
      <w:r>
        <w:t xml:space="preserve"> </w:t>
      </w:r>
      <w:hyperlink r:id="rId171"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72"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73" w:tgtFrame="_blank" w:history="1">
        <w:r w:rsidRPr="000C6BE2">
          <w:rPr>
            <w:rStyle w:val="Hyperlink"/>
          </w:rPr>
          <w:t>ILAC Mutual Recognition Arrangement</w:t>
        </w:r>
      </w:hyperlink>
      <w:r w:rsidRPr="000C6BE2">
        <w:t>.</w:t>
      </w:r>
    </w:p>
    <w:p w14:paraId="0C503A06" w14:textId="54CBDFD0" w:rsidR="006262A1" w:rsidRDefault="006262A1" w:rsidP="006262A1">
      <w:pPr>
        <w:snapToGrid w:val="0"/>
      </w:pPr>
      <w:r w:rsidRPr="000C6BE2">
        <w:lastRenderedPageBreak/>
        <w:t>Testing labs are invited to apply for ITU recognition using this</w:t>
      </w:r>
      <w:r>
        <w:t xml:space="preserve"> </w:t>
      </w:r>
      <w:hyperlink r:id="rId174" w:tgtFrame="_blank" w:history="1">
        <w:r w:rsidRPr="000C6BE2">
          <w:rPr>
            <w:rStyle w:val="Hyperlink"/>
          </w:rPr>
          <w:t>application form</w:t>
        </w:r>
      </w:hyperlink>
      <w:r w:rsidRPr="000C6BE2">
        <w:t>. Labs successful in their application are announced in the</w:t>
      </w:r>
      <w:r>
        <w:t xml:space="preserve"> </w:t>
      </w:r>
      <w:hyperlink r:id="rId175" w:tgtFrame="_blank" w:history="1">
        <w:r w:rsidRPr="000C6BE2">
          <w:rPr>
            <w:rStyle w:val="Hyperlink"/>
          </w:rPr>
          <w:t>ITU Operational Bulletin</w:t>
        </w:r>
      </w:hyperlink>
      <w:r w:rsidRPr="000C6BE2">
        <w:t>.</w:t>
      </w:r>
      <w:r w:rsidR="00493B22">
        <w:t xml:space="preserve"> </w:t>
      </w:r>
      <w:r w:rsidR="00493B22" w:rsidRPr="00493B22">
        <w:t xml:space="preserve">The recognition procedure is supported by the </w:t>
      </w:r>
      <w:hyperlink r:id="rId176" w:tgtFrame="_blank" w:history="1">
        <w:r w:rsidR="00493B22" w:rsidRPr="00493B22">
          <w:rPr>
            <w:rStyle w:val="Hyperlink"/>
          </w:rPr>
          <w:t>ITU-T Conformity Assessment Steering Committee</w:t>
        </w:r>
      </w:hyperlink>
      <w:r w:rsidR="00493B2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77" w:tgtFrame="_blank" w:history="1">
        <w:r w:rsidRPr="000C6BE2">
          <w:rPr>
            <w:rStyle w:val="Hyperlink"/>
          </w:rPr>
          <w:t>application form</w:t>
        </w:r>
      </w:hyperlink>
      <w:r w:rsidRPr="000C6BE2">
        <w:t>.</w:t>
      </w:r>
      <w:r>
        <w:t xml:space="preserve"> All criteria for populating the database are listed </w:t>
      </w:r>
      <w:hyperlink r:id="rId178" w:history="1">
        <w:r w:rsidRPr="00D92015">
          <w:rPr>
            <w:rStyle w:val="Hyperlink"/>
          </w:rPr>
          <w:t>here</w:t>
        </w:r>
      </w:hyperlink>
      <w:r>
        <w:t>.</w:t>
      </w:r>
    </w:p>
    <w:p w14:paraId="1EF84514" w14:textId="5EE32E2C" w:rsidR="006262A1" w:rsidRPr="000C6BE2" w:rsidRDefault="00493B22" w:rsidP="006262A1">
      <w:pPr>
        <w:snapToGrid w:val="0"/>
      </w:pPr>
      <w:r w:rsidRPr="00493B22">
        <w:t xml:space="preserve">ITU-T SG11 updated its </w:t>
      </w:r>
      <w:hyperlink r:id="rId179" w:history="1">
        <w:r w:rsidRPr="00493B22">
          <w:rPr>
            <w:rStyle w:val="Hyperlink"/>
          </w:rPr>
          <w:t>C&amp;I Action Plan</w:t>
        </w:r>
      </w:hyperlink>
      <w:r w:rsidRPr="00493B22">
        <w:t>, indicating that the Reference Table, which is a part of the action plan, provides guidance</w:t>
      </w:r>
      <w:r>
        <w:t xml:space="preserve"> for</w:t>
      </w:r>
      <w:r w:rsidRPr="00493B22">
        <w:t xml:space="preserve"> populating the ITU Conformity Product Database</w:t>
      </w:r>
      <w:r>
        <w:t>,</w:t>
      </w:r>
      <w:r w:rsidRPr="00493B22">
        <w:t xml:space="preserve"> especially for ICT products tested against ITU-T Recommendations using test specifications developed by</w:t>
      </w:r>
      <w:r>
        <w:t xml:space="preserve"> </w:t>
      </w:r>
      <w:r w:rsidRPr="00493B22">
        <w:t>SDOs</w:t>
      </w:r>
      <w:r>
        <w:t xml:space="preserve"> other than ITU-T</w:t>
      </w:r>
      <w:r w:rsidRPr="00493B22">
        <w:t xml:space="preserve">. TSB is maintaining the </w:t>
      </w:r>
      <w:r>
        <w:t>R</w:t>
      </w:r>
      <w:r w:rsidRPr="00493B22">
        <w:t xml:space="preserve">eference </w:t>
      </w:r>
      <w:r>
        <w:t>T</w:t>
      </w:r>
      <w:r w:rsidRPr="00493B22">
        <w:t xml:space="preserve">able and the list of pilot projects for conformity assessment against ITU-T Recommendations based on received inputs. </w:t>
      </w:r>
      <w:r w:rsidRPr="00493B22">
        <w:rPr>
          <w:lang w:val="en-US"/>
        </w:rPr>
        <w:t xml:space="preserve">ITU registered GPON ONT end-device (category: optical </w:t>
      </w:r>
      <w:proofErr w:type="spellStart"/>
      <w:r w:rsidRPr="00493B22">
        <w:rPr>
          <w:lang w:val="en-US"/>
        </w:rPr>
        <w:t>fib</w:t>
      </w:r>
      <w:r w:rsidR="0016603D">
        <w:rPr>
          <w:lang w:val="en-US"/>
        </w:rPr>
        <w:t>re</w:t>
      </w:r>
      <w:proofErr w:type="spellEnd"/>
      <w:r w:rsidRPr="00493B22">
        <w:rPr>
          <w:lang w:val="en-US"/>
        </w:rPr>
        <w:t xml:space="preserve"> equipment) in </w:t>
      </w:r>
      <w:r w:rsidR="0016603D">
        <w:rPr>
          <w:lang w:val="en-US"/>
        </w:rPr>
        <w:t xml:space="preserve">the </w:t>
      </w:r>
      <w:r w:rsidRPr="00493B22">
        <w:rPr>
          <w:lang w:val="en-US"/>
        </w:rPr>
        <w:t>Product Conformity Database (</w:t>
      </w:r>
      <w:hyperlink r:id="rId180" w:history="1">
        <w:r w:rsidRPr="00493B22">
          <w:rPr>
            <w:rStyle w:val="Hyperlink"/>
            <w:lang w:val="en-US"/>
          </w:rPr>
          <w:t>https://itu.int/go/tcdb</w:t>
        </w:r>
      </w:hyperlink>
      <w:r w:rsidRPr="00493B22">
        <w:rPr>
          <w:lang w:val="en-US"/>
        </w:rPr>
        <w:t>)</w:t>
      </w:r>
      <w:r w:rsidR="0016603D">
        <w:rPr>
          <w:lang w:val="en-US"/>
        </w:rPr>
        <w:t xml:space="preserve">, </w:t>
      </w:r>
      <w:r w:rsidRPr="00493B22">
        <w:rPr>
          <w:lang w:val="en-US"/>
        </w:rPr>
        <w:t xml:space="preserve">which was tested by </w:t>
      </w:r>
      <w:r w:rsidR="0016603D">
        <w:rPr>
          <w:lang w:val="en-US"/>
        </w:rPr>
        <w:t xml:space="preserve">a </w:t>
      </w:r>
      <w:r w:rsidRPr="00493B22">
        <w:rPr>
          <w:lang w:val="en-US"/>
        </w:rPr>
        <w:t>recognized testing laboratory.</w:t>
      </w:r>
    </w:p>
    <w:p w14:paraId="357EC817" w14:textId="77777777" w:rsidR="006262A1" w:rsidRDefault="006262A1" w:rsidP="006262A1">
      <w:pPr>
        <w:snapToGrid w:val="0"/>
      </w:pPr>
      <w:bookmarkStart w:id="134" w:name="_Hlk120609943"/>
      <w:r w:rsidRPr="000C6BE2">
        <w:t>The testing lab recognition scheme is the latest initiative under</w:t>
      </w:r>
      <w:r>
        <w:t xml:space="preserve"> </w:t>
      </w:r>
      <w:r w:rsidRPr="00911687">
        <w:t>ITU’s C&amp;I programme</w:t>
      </w:r>
      <w:r w:rsidRPr="000C6BE2">
        <w:t xml:space="preserve">. </w:t>
      </w:r>
      <w:bookmarkEnd w:id="134"/>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7EE8C638" w14:textId="77777777" w:rsidR="0025401A" w:rsidRDefault="0025401A" w:rsidP="0025401A">
      <w:pPr>
        <w:pStyle w:val="Heading1"/>
        <w:spacing w:before="240"/>
      </w:pPr>
      <w:bookmarkStart w:id="135" w:name="_Toc156392431"/>
      <w:r>
        <w:t>9</w:t>
      </w:r>
      <w:r w:rsidRPr="00C32576">
        <w:tab/>
      </w:r>
      <w:r>
        <w:t xml:space="preserve">Mainstreaming </w:t>
      </w:r>
      <w:r w:rsidRPr="00C5776F">
        <w:t>accessibility</w:t>
      </w:r>
      <w:bookmarkEnd w:id="135"/>
    </w:p>
    <w:p w14:paraId="43095159" w14:textId="77777777" w:rsidR="0025401A" w:rsidRDefault="0025401A" w:rsidP="0025401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Pr>
          <w:lang w:eastAsia="en-US"/>
        </w:rPr>
        <w:t>,</w:t>
      </w:r>
      <w:r w:rsidRPr="00F570EA">
        <w:rPr>
          <w:lang w:eastAsia="en-US"/>
        </w:rPr>
        <w:t xml:space="preserve"> mainstreaming accessibility in the development of international ICT standards</w:t>
      </w:r>
      <w:r>
        <w:rPr>
          <w:lang w:eastAsia="en-US"/>
        </w:rPr>
        <w:t>,</w:t>
      </w:r>
      <w:r w:rsidRPr="00F570EA">
        <w:rPr>
          <w:lang w:eastAsia="en-US"/>
        </w:rPr>
        <w:t xml:space="preserve"> and providing education and training on key accessibility issues.</w:t>
      </w:r>
    </w:p>
    <w:p w14:paraId="48A2DBA1" w14:textId="1C7B2709" w:rsidR="0025401A" w:rsidRPr="000C6BE2" w:rsidRDefault="0025401A" w:rsidP="0025401A">
      <w:pPr>
        <w:rPr>
          <w:lang w:eastAsia="en-US"/>
        </w:rPr>
      </w:pPr>
      <w:r>
        <w:rPr>
          <w:lang w:eastAsia="en-US"/>
        </w:rPr>
        <w:t xml:space="preserve">For an overview of all ITU activities relevant to accessibility, see </w:t>
      </w:r>
      <w:hyperlink r:id="rId181" w:history="1">
        <w:r w:rsidRPr="00F570EA">
          <w:rPr>
            <w:rStyle w:val="Hyperlink"/>
            <w:lang w:eastAsia="en-US"/>
          </w:rPr>
          <w:t>ITU and Accessibility</w:t>
        </w:r>
      </w:hyperlink>
      <w:r w:rsidRPr="00F570EA">
        <w:rPr>
          <w:lang w:eastAsia="en-US"/>
        </w:rPr>
        <w:t xml:space="preserve">. </w:t>
      </w:r>
      <w:r>
        <w:rPr>
          <w:lang w:eastAsia="en-US"/>
        </w:rPr>
        <w:t xml:space="preserve">For an overview of TSB/ITU-T activities relevant to accessibility, see </w:t>
      </w:r>
      <w:hyperlink r:id="rId182" w:history="1">
        <w:r w:rsidRPr="00F570EA">
          <w:rPr>
            <w:rStyle w:val="Hyperlink"/>
            <w:lang w:eastAsia="en-US"/>
          </w:rPr>
          <w:t>ITU-T and Accessibility</w:t>
        </w:r>
      </w:hyperlink>
      <w:r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36" w:name="_7_Mainstreaming_accessibility"/>
      <w:bookmarkStart w:id="137" w:name="_9_Mainstreaming_accessibility"/>
      <w:bookmarkStart w:id="138" w:name="_Toc480527828"/>
      <w:bookmarkStart w:id="139" w:name="_Toc505855760"/>
      <w:bookmarkStart w:id="140" w:name="_Toc156392432"/>
      <w:bookmarkStart w:id="141" w:name="_Hlk135238651"/>
      <w:bookmarkEnd w:id="132"/>
      <w:bookmarkEnd w:id="136"/>
      <w:bookmarkEnd w:id="137"/>
      <w:r>
        <w:rPr>
          <w:rFonts w:asciiTheme="majorBidi" w:eastAsiaTheme="minorEastAsia" w:hAnsiTheme="majorBidi" w:cstheme="majorBidi"/>
        </w:rPr>
        <w:t>10</w:t>
      </w:r>
      <w:r w:rsidR="006E47C5" w:rsidRPr="00E338FB">
        <w:rPr>
          <w:rFonts w:asciiTheme="majorBidi" w:eastAsiaTheme="minorEastAsia" w:hAnsiTheme="majorBidi" w:cstheme="majorBidi"/>
        </w:rPr>
        <w:tab/>
        <w:t xml:space="preserve">Intellectual property </w:t>
      </w:r>
      <w:r w:rsidR="006E47C5" w:rsidRPr="00C5776F">
        <w:rPr>
          <w:rFonts w:asciiTheme="majorBidi" w:eastAsiaTheme="minorEastAsia" w:hAnsiTheme="majorBidi" w:cstheme="majorBidi"/>
        </w:rPr>
        <w:t>rights</w:t>
      </w:r>
      <w:bookmarkEnd w:id="138"/>
      <w:bookmarkEnd w:id="139"/>
      <w:bookmarkEnd w:id="140"/>
      <w:r w:rsidR="004D1408" w:rsidRPr="004D1408">
        <w:rPr>
          <w:rFonts w:asciiTheme="majorBidi" w:hAnsiTheme="majorBidi" w:cstheme="majorBidi"/>
        </w:rPr>
        <w:t xml:space="preserve"> </w:t>
      </w:r>
    </w:p>
    <w:p w14:paraId="0FABB000" w14:textId="0C341A12" w:rsidR="00375546" w:rsidRDefault="006E47C5" w:rsidP="00D22378">
      <w:pPr>
        <w:rPr>
          <w:rFonts w:asciiTheme="majorBidi" w:hAnsiTheme="majorBidi" w:cstheme="majorBidi"/>
        </w:rPr>
      </w:pPr>
      <w:r w:rsidRPr="00E338FB">
        <w:rPr>
          <w:rFonts w:asciiTheme="majorBidi" w:hAnsiTheme="majorBidi" w:cstheme="majorBidi"/>
        </w:rPr>
        <w:t xml:space="preserve">The </w:t>
      </w:r>
      <w:hyperlink r:id="rId183"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protect</w:t>
      </w:r>
      <w:r w:rsidR="0016603D">
        <w:rPr>
          <w:rFonts w:asciiTheme="majorBidi" w:hAnsiTheme="majorBidi" w:cstheme="majorBidi"/>
        </w:rPr>
        <w:t>s</w:t>
      </w:r>
      <w:r w:rsidRPr="00E338FB">
        <w:rPr>
          <w:rFonts w:asciiTheme="majorBidi" w:hAnsiTheme="majorBidi" w:cstheme="majorBidi"/>
        </w:rPr>
        <w:t xml:space="preserve"> the integrity of the standards-development process by clarifying aspects of the </w:t>
      </w:r>
      <w:hyperlink r:id="rId184"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85" w:history="1">
        <w:r w:rsidRPr="00E338FB">
          <w:rPr>
            <w:rStyle w:val="Hyperlink"/>
            <w:rFonts w:asciiTheme="majorBidi" w:hAnsiTheme="majorBidi" w:cstheme="majorBidi"/>
          </w:rPr>
          <w:t>ITU-T and ITU-R Recommendations</w:t>
        </w:r>
      </w:hyperlink>
      <w:bookmarkStart w:id="142" w:name="_10.1_TSB_Director's"/>
      <w:bookmarkEnd w:id="142"/>
      <w:r w:rsidRPr="00E338FB">
        <w:rPr>
          <w:rFonts w:asciiTheme="majorBidi" w:hAnsiTheme="majorBidi" w:cstheme="majorBidi"/>
        </w:rPr>
        <w:t>.</w:t>
      </w:r>
      <w:r w:rsidR="009A6FCC">
        <w:rPr>
          <w:rFonts w:asciiTheme="majorBidi" w:hAnsiTheme="majorBidi" w:cstheme="majorBidi"/>
        </w:rPr>
        <w:t xml:space="preserve"> </w:t>
      </w:r>
    </w:p>
    <w:p w14:paraId="7EA6A0B9" w14:textId="1AAB9827" w:rsidR="001A3BF9" w:rsidRDefault="0016603D" w:rsidP="00D22378">
      <w:pPr>
        <w:rPr>
          <w:rFonts w:asciiTheme="majorBidi" w:hAnsiTheme="majorBidi" w:cstheme="majorBidi"/>
        </w:rPr>
      </w:pPr>
      <w:r w:rsidRPr="0016603D">
        <w:rPr>
          <w:rFonts w:asciiTheme="majorBidi" w:hAnsiTheme="majorBidi" w:cstheme="majorBidi"/>
        </w:rPr>
        <w:t>All IPR-related documentation and webpages are now available in the six official languages of the Union.</w:t>
      </w:r>
    </w:p>
    <w:p w14:paraId="4E1E8433" w14:textId="6ADDA168" w:rsidR="009A6FCC" w:rsidRPr="009A6FCC" w:rsidRDefault="00375546" w:rsidP="00D22378">
      <w:pPr>
        <w:rPr>
          <w:rFonts w:asciiTheme="majorBidi" w:hAnsiTheme="majorBidi" w:cstheme="majorBidi"/>
        </w:rPr>
      </w:pPr>
      <w:r>
        <w:rPr>
          <w:rFonts w:asciiTheme="majorBidi" w:hAnsiTheme="majorBidi" w:cstheme="majorBidi"/>
        </w:rPr>
        <w:t>No meetings were held in the reporting period. Previous m</w:t>
      </w:r>
      <w:r w:rsidR="009A6FCC" w:rsidRPr="009A6FCC">
        <w:rPr>
          <w:rFonts w:asciiTheme="majorBidi" w:hAnsiTheme="majorBidi" w:cstheme="majorBidi"/>
        </w:rPr>
        <w:t>eeting reports are available </w:t>
      </w:r>
      <w:hyperlink r:id="rId186"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87"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43" w:name="_9_Membership"/>
      <w:bookmarkStart w:id="144" w:name="_11_Membership"/>
      <w:bookmarkStart w:id="145" w:name="_Toc156392433"/>
      <w:bookmarkStart w:id="146" w:name="_Hlk119427841"/>
      <w:bookmarkStart w:id="147" w:name="_Hlk92290514"/>
      <w:bookmarkStart w:id="148" w:name="_Toc438553987"/>
      <w:bookmarkStart w:id="149" w:name="_Toc453929111"/>
      <w:bookmarkStart w:id="150" w:name="_Toc453932982"/>
      <w:bookmarkStart w:id="151" w:name="_Toc454295888"/>
      <w:bookmarkStart w:id="152" w:name="_Toc462664268"/>
      <w:bookmarkStart w:id="153" w:name="_Toc480527861"/>
      <w:bookmarkEnd w:id="108"/>
      <w:bookmarkEnd w:id="141"/>
      <w:bookmarkEnd w:id="143"/>
      <w:bookmarkEnd w:id="144"/>
      <w:r>
        <w:lastRenderedPageBreak/>
        <w:t>11</w:t>
      </w:r>
      <w:r w:rsidR="001C4B4F" w:rsidRPr="003B574C">
        <w:tab/>
      </w:r>
      <w:r w:rsidR="001C4B4F" w:rsidRPr="005175B7">
        <w:t>Member</w:t>
      </w:r>
      <w:r w:rsidR="001C4B4F" w:rsidRPr="00C5776F">
        <w:t>ship</w:t>
      </w:r>
      <w:bookmarkStart w:id="154" w:name="_Hlk82640787"/>
      <w:bookmarkEnd w:id="145"/>
    </w:p>
    <w:bookmarkEnd w:id="154"/>
    <w:p w14:paraId="19FF32C0" w14:textId="77777777" w:rsidR="00B0606B" w:rsidRDefault="0016603D" w:rsidP="001A3BF9">
      <w:pPr>
        <w:keepNext/>
        <w:keepLines/>
        <w:rPr>
          <w:rFonts w:eastAsia="Calibri"/>
        </w:rPr>
      </w:pPr>
      <w:r w:rsidRPr="0016603D">
        <w:rPr>
          <w:rFonts w:eastAsia="Calibri"/>
        </w:rPr>
        <w:t>ITU-T hosts 272 Sector Members and 227 Associates. ITU Academia members now total 169. 66 of ITU-T's Associates are participating under the reduced fee structure for small and medium-sized enterprises (SMEs) which came into effect on 31 January 2020</w:t>
      </w:r>
      <w:r w:rsidR="00B0606B">
        <w:rPr>
          <w:rFonts w:eastAsia="Calibri"/>
        </w:rPr>
        <w:t xml:space="preserve">. </w:t>
      </w:r>
    </w:p>
    <w:p w14:paraId="2D82C92D" w14:textId="5AAAE86F" w:rsidR="001A3BF9" w:rsidRPr="001A3BF9" w:rsidRDefault="00B0606B" w:rsidP="001A3BF9">
      <w:pPr>
        <w:keepNext/>
        <w:keepLines/>
        <w:rPr>
          <w:rFonts w:eastAsia="Calibri"/>
        </w:rPr>
      </w:pPr>
      <w:r>
        <w:rPr>
          <w:rFonts w:eastAsia="Calibri"/>
        </w:rPr>
        <w:t xml:space="preserve">The </w:t>
      </w:r>
      <w:r w:rsidR="001215CC">
        <w:rPr>
          <w:rFonts w:eastAsia="Calibri"/>
        </w:rPr>
        <w:t xml:space="preserve">data </w:t>
      </w:r>
      <w:r>
        <w:rPr>
          <w:rFonts w:eastAsia="Calibri"/>
        </w:rPr>
        <w:t>included in this report reflect data available on 20 December 2023.</w:t>
      </w:r>
    </w:p>
    <w:p w14:paraId="0D6C81EB" w14:textId="705019B8" w:rsidR="001A3BF9" w:rsidRPr="001A3BF9" w:rsidRDefault="001A3BF9" w:rsidP="001A3BF9">
      <w:pPr>
        <w:keepNext/>
        <w:keepLines/>
        <w:rPr>
          <w:rFonts w:eastAsia="Calibri"/>
          <w:b/>
        </w:rPr>
      </w:pPr>
      <w:r w:rsidRPr="001A3BF9">
        <w:rPr>
          <w:rFonts w:eastAsia="Calibri"/>
          <w:b/>
        </w:rPr>
        <w:t xml:space="preserve">New Sector Members welcomed </w:t>
      </w:r>
      <w:r w:rsidR="00B0606B">
        <w:rPr>
          <w:rFonts w:eastAsia="Calibri"/>
          <w:b/>
        </w:rPr>
        <w:t>from 1 January to 20 December</w:t>
      </w:r>
      <w:r w:rsidRPr="001A3BF9">
        <w:rPr>
          <w:rFonts w:eastAsia="Calibri"/>
          <w:b/>
        </w:rPr>
        <w:t xml:space="preserve"> </w:t>
      </w:r>
      <w:r w:rsidR="00B0606B">
        <w:rPr>
          <w:rFonts w:eastAsia="Calibri"/>
          <w:b/>
        </w:rPr>
        <w:t>2023</w:t>
      </w:r>
      <w:r w:rsidRPr="001A3BF9">
        <w:rPr>
          <w:rFonts w:eastAsia="Calibri"/>
          <w:b/>
        </w:rPr>
        <w:t>:</w:t>
      </w:r>
    </w:p>
    <w:p w14:paraId="7AD9D75B" w14:textId="1E079F64" w:rsidR="001A3BF9" w:rsidRPr="001A3BF9" w:rsidRDefault="00B0606B" w:rsidP="001A3BF9">
      <w:pPr>
        <w:keepNext/>
        <w:keepLines/>
        <w:rPr>
          <w:rFonts w:eastAsia="Calibri"/>
        </w:rPr>
      </w:pPr>
      <w:r>
        <w:rPr>
          <w:rFonts w:eastAsia="Calibri"/>
        </w:rPr>
        <w:t xml:space="preserve">World's Global Telecom S.A.; China Satellite Network Group Co., Ltd; </w:t>
      </w:r>
      <w:proofErr w:type="spellStart"/>
      <w:r>
        <w:rPr>
          <w:rFonts w:eastAsia="Calibri"/>
        </w:rPr>
        <w:t>Vecima</w:t>
      </w:r>
      <w:proofErr w:type="spellEnd"/>
      <w:r>
        <w:rPr>
          <w:rFonts w:eastAsia="Calibri"/>
        </w:rPr>
        <w:t xml:space="preserve"> Networks Inc.; Ant Group Co., Ltd.; Emirates Integrated Telecommunications Company </w:t>
      </w:r>
      <w:proofErr w:type="spellStart"/>
      <w:r>
        <w:rPr>
          <w:rFonts w:eastAsia="Calibri"/>
        </w:rPr>
        <w:t>PJSC</w:t>
      </w:r>
      <w:proofErr w:type="spellEnd"/>
      <w:r>
        <w:rPr>
          <w:rFonts w:eastAsia="Calibri"/>
        </w:rPr>
        <w:t xml:space="preserve">; </w:t>
      </w:r>
      <w:proofErr w:type="spellStart"/>
      <w:r>
        <w:rPr>
          <w:rFonts w:eastAsia="Calibri"/>
        </w:rPr>
        <w:t>CableLabs</w:t>
      </w:r>
      <w:proofErr w:type="spellEnd"/>
      <w:r>
        <w:rPr>
          <w:rFonts w:eastAsia="Calibri"/>
        </w:rPr>
        <w:t xml:space="preserve">; DITO </w:t>
      </w:r>
      <w:proofErr w:type="spellStart"/>
      <w:r>
        <w:rPr>
          <w:rFonts w:eastAsia="Calibri"/>
        </w:rPr>
        <w:t>Telecommunity</w:t>
      </w:r>
      <w:proofErr w:type="spellEnd"/>
      <w:r>
        <w:rPr>
          <w:rFonts w:eastAsia="Calibri"/>
        </w:rPr>
        <w:t xml:space="preserve"> Corporation; Frontier Communications; Guangdong OPPO Mobile Telecommunications Corp., Ltd.; China Tower Corporation Limited; Bahrain Network (BNET); World Federation of Engineering Organization; Open &amp; Agile Smart Cities (OASC); Environmental Coalition on Standards; Communications Regulators Association of Southern Africa; Arab League Educational, Cultural and Scientific Organization; Broadcom Europe Ltd.; Meta Platforms, Inc.</w:t>
      </w:r>
      <w:r w:rsidR="001A3BF9" w:rsidRPr="001A3BF9">
        <w:rPr>
          <w:rFonts w:eastAsia="Calibri"/>
        </w:rPr>
        <w:t>.</w:t>
      </w:r>
    </w:p>
    <w:p w14:paraId="1227C3BC" w14:textId="58ACD95B" w:rsidR="001A3BF9" w:rsidRPr="001A3BF9" w:rsidRDefault="001A3BF9" w:rsidP="001A3BF9">
      <w:pPr>
        <w:keepNext/>
        <w:keepLines/>
        <w:rPr>
          <w:rFonts w:eastAsia="Calibri"/>
          <w:b/>
        </w:rPr>
      </w:pPr>
      <w:r w:rsidRPr="001A3BF9">
        <w:rPr>
          <w:rFonts w:eastAsia="Calibri"/>
          <w:b/>
        </w:rPr>
        <w:t>New Associates welcomed</w:t>
      </w:r>
      <w:r w:rsidR="00B0606B" w:rsidRPr="00B0606B">
        <w:rPr>
          <w:rFonts w:eastAsia="Calibri"/>
          <w:b/>
        </w:rPr>
        <w:t xml:space="preserve"> </w:t>
      </w:r>
      <w:r w:rsidR="00B0606B">
        <w:rPr>
          <w:rFonts w:eastAsia="Calibri"/>
          <w:b/>
        </w:rPr>
        <w:t>from 1 January to 20 December</w:t>
      </w:r>
      <w:r w:rsidR="00B0606B" w:rsidRPr="001A3BF9">
        <w:rPr>
          <w:rFonts w:eastAsia="Calibri"/>
          <w:b/>
        </w:rPr>
        <w:t xml:space="preserve"> </w:t>
      </w:r>
      <w:r w:rsidR="00B0606B">
        <w:rPr>
          <w:rFonts w:eastAsia="Calibri"/>
          <w:b/>
        </w:rPr>
        <w:t>2023</w:t>
      </w:r>
      <w:r w:rsidRPr="001A3BF9">
        <w:rPr>
          <w:rFonts w:eastAsia="Calibri"/>
          <w:b/>
        </w:rPr>
        <w:t>:</w:t>
      </w:r>
    </w:p>
    <w:p w14:paraId="1A8CB893" w14:textId="0FA03EE2" w:rsidR="001A3BF9" w:rsidRPr="001A3BF9" w:rsidRDefault="00B0606B" w:rsidP="001A3BF9">
      <w:pPr>
        <w:keepNext/>
        <w:keepLines/>
        <w:rPr>
          <w:rFonts w:eastAsia="Calibri"/>
        </w:rPr>
      </w:pPr>
      <w:proofErr w:type="spellStart"/>
      <w:r w:rsidRPr="00B0606B">
        <w:rPr>
          <w:rFonts w:eastAsia="Calibri"/>
        </w:rPr>
        <w:t>BBIX</w:t>
      </w:r>
      <w:proofErr w:type="spellEnd"/>
      <w:r w:rsidRPr="00B0606B">
        <w:rPr>
          <w:rFonts w:eastAsia="Calibri"/>
        </w:rPr>
        <w:t xml:space="preserve"> Singapore </w:t>
      </w:r>
      <w:proofErr w:type="spellStart"/>
      <w:r w:rsidRPr="00B0606B">
        <w:rPr>
          <w:rFonts w:eastAsia="Calibri"/>
        </w:rPr>
        <w:t>Pte.</w:t>
      </w:r>
      <w:proofErr w:type="spellEnd"/>
      <w:r w:rsidRPr="00B0606B">
        <w:rPr>
          <w:rFonts w:eastAsia="Calibri"/>
        </w:rPr>
        <w:t xml:space="preserve"> Ltd. (SG2); </w:t>
      </w:r>
      <w:proofErr w:type="spellStart"/>
      <w:r w:rsidRPr="00B0606B">
        <w:rPr>
          <w:rFonts w:eastAsia="Calibri"/>
        </w:rPr>
        <w:t>Onomondo</w:t>
      </w:r>
      <w:proofErr w:type="spellEnd"/>
      <w:r w:rsidRPr="00B0606B">
        <w:rPr>
          <w:rFonts w:eastAsia="Calibri"/>
        </w:rPr>
        <w:t xml:space="preserve"> </w:t>
      </w:r>
      <w:proofErr w:type="spellStart"/>
      <w:r w:rsidRPr="00B0606B">
        <w:rPr>
          <w:rFonts w:eastAsia="Calibri"/>
        </w:rPr>
        <w:t>ApS</w:t>
      </w:r>
      <w:proofErr w:type="spellEnd"/>
      <w:r w:rsidRPr="00B0606B">
        <w:rPr>
          <w:rFonts w:eastAsia="Calibri"/>
        </w:rPr>
        <w:t xml:space="preserve"> (SG2); </w:t>
      </w:r>
      <w:proofErr w:type="spellStart"/>
      <w:r w:rsidRPr="00B0606B">
        <w:rPr>
          <w:rFonts w:eastAsia="Calibri"/>
        </w:rPr>
        <w:t>iONLINE</w:t>
      </w:r>
      <w:proofErr w:type="spellEnd"/>
      <w:r w:rsidRPr="00B0606B">
        <w:rPr>
          <w:rFonts w:eastAsia="Calibri"/>
        </w:rPr>
        <w:t xml:space="preserve"> Internet solutions provider Ltd. (SG2); Deer Management Systems DBA </w:t>
      </w:r>
      <w:proofErr w:type="spellStart"/>
      <w:r w:rsidRPr="00B0606B">
        <w:rPr>
          <w:rFonts w:eastAsia="Calibri"/>
        </w:rPr>
        <w:t>Tactacam</w:t>
      </w:r>
      <w:proofErr w:type="spellEnd"/>
      <w:r w:rsidRPr="00B0606B">
        <w:rPr>
          <w:rFonts w:eastAsia="Calibri"/>
        </w:rPr>
        <w:t xml:space="preserve"> (SG2); </w:t>
      </w:r>
      <w:proofErr w:type="spellStart"/>
      <w:r w:rsidRPr="00B0606B">
        <w:rPr>
          <w:rFonts w:eastAsia="Calibri"/>
        </w:rPr>
        <w:t>ESim</w:t>
      </w:r>
      <w:proofErr w:type="spellEnd"/>
      <w:r w:rsidRPr="00B0606B">
        <w:rPr>
          <w:rFonts w:eastAsia="Calibri"/>
        </w:rPr>
        <w:t xml:space="preserve"> Go Limited (SG2); </w:t>
      </w:r>
      <w:proofErr w:type="spellStart"/>
      <w:r w:rsidRPr="00B0606B">
        <w:rPr>
          <w:rFonts w:eastAsia="Calibri"/>
        </w:rPr>
        <w:t>Simwood</w:t>
      </w:r>
      <w:proofErr w:type="spellEnd"/>
      <w:r w:rsidRPr="00B0606B">
        <w:rPr>
          <w:rFonts w:eastAsia="Calibri"/>
        </w:rPr>
        <w:t xml:space="preserve"> Group Plc (SG2); NTT Ltd. Group Services Limited (SG2); </w:t>
      </w:r>
      <w:proofErr w:type="spellStart"/>
      <w:r w:rsidRPr="00B0606B">
        <w:rPr>
          <w:rFonts w:eastAsia="Calibri"/>
        </w:rPr>
        <w:t>Telnyx</w:t>
      </w:r>
      <w:proofErr w:type="spellEnd"/>
      <w:r w:rsidRPr="00B0606B">
        <w:rPr>
          <w:rFonts w:eastAsia="Calibri"/>
        </w:rPr>
        <w:t xml:space="preserve"> LLC (SG2); </w:t>
      </w:r>
      <w:proofErr w:type="spellStart"/>
      <w:r w:rsidRPr="00B0606B">
        <w:rPr>
          <w:rFonts w:eastAsia="Calibri"/>
        </w:rPr>
        <w:t>3G</w:t>
      </w:r>
      <w:proofErr w:type="spellEnd"/>
      <w:r w:rsidRPr="00B0606B">
        <w:rPr>
          <w:rFonts w:eastAsia="Calibri"/>
        </w:rPr>
        <w:t xml:space="preserve"> Telecommunications Limited (SG2); </w:t>
      </w:r>
      <w:proofErr w:type="spellStart"/>
      <w:r w:rsidRPr="00B0606B">
        <w:rPr>
          <w:rFonts w:eastAsia="Calibri"/>
        </w:rPr>
        <w:t>Datora</w:t>
      </w:r>
      <w:proofErr w:type="spellEnd"/>
      <w:r w:rsidRPr="00B0606B">
        <w:rPr>
          <w:rFonts w:eastAsia="Calibri"/>
        </w:rPr>
        <w:t xml:space="preserve"> Mobile </w:t>
      </w:r>
      <w:proofErr w:type="spellStart"/>
      <w:r w:rsidRPr="00B0606B">
        <w:rPr>
          <w:rFonts w:eastAsia="Calibri"/>
        </w:rPr>
        <w:t>Telecomunicações</w:t>
      </w:r>
      <w:proofErr w:type="spellEnd"/>
      <w:r w:rsidRPr="00B0606B">
        <w:rPr>
          <w:rFonts w:eastAsia="Calibri"/>
        </w:rPr>
        <w:t xml:space="preserve"> SA (SG2); WMS (SG2); Nauru </w:t>
      </w:r>
      <w:proofErr w:type="spellStart"/>
      <w:r w:rsidRPr="00B0606B">
        <w:rPr>
          <w:rFonts w:eastAsia="Calibri"/>
        </w:rPr>
        <w:t>Telikom</w:t>
      </w:r>
      <w:proofErr w:type="spellEnd"/>
      <w:r w:rsidRPr="00B0606B">
        <w:rPr>
          <w:rFonts w:eastAsia="Calibri"/>
        </w:rPr>
        <w:t xml:space="preserve"> Corporation (SG2); </w:t>
      </w:r>
      <w:proofErr w:type="spellStart"/>
      <w:r w:rsidRPr="00B0606B">
        <w:rPr>
          <w:rFonts w:eastAsia="Calibri"/>
        </w:rPr>
        <w:t>Beamlink</w:t>
      </w:r>
      <w:proofErr w:type="spellEnd"/>
      <w:r w:rsidRPr="00B0606B">
        <w:rPr>
          <w:rFonts w:eastAsia="Calibri"/>
        </w:rPr>
        <w:t xml:space="preserve">, Inc. (SG2); Mozilla Corporation (SG3); </w:t>
      </w:r>
      <w:proofErr w:type="spellStart"/>
      <w:r w:rsidRPr="00B0606B">
        <w:rPr>
          <w:rFonts w:eastAsia="Calibri"/>
        </w:rPr>
        <w:t>Resilio</w:t>
      </w:r>
      <w:proofErr w:type="spellEnd"/>
      <w:r w:rsidRPr="00B0606B">
        <w:rPr>
          <w:rFonts w:eastAsia="Calibri"/>
        </w:rPr>
        <w:t xml:space="preserve"> (SG5); China Energy Materials Company Limited (SG5); </w:t>
      </w:r>
      <w:proofErr w:type="spellStart"/>
      <w:r w:rsidRPr="00B0606B">
        <w:rPr>
          <w:rFonts w:eastAsia="Calibri"/>
        </w:rPr>
        <w:t>InMobiles</w:t>
      </w:r>
      <w:proofErr w:type="spellEnd"/>
      <w:r w:rsidRPr="00B0606B">
        <w:rPr>
          <w:rFonts w:eastAsia="Calibri"/>
        </w:rPr>
        <w:t xml:space="preserve"> (SG11); Bloxtel Inc. (SG13); DNS Research Federation (SG13); </w:t>
      </w:r>
      <w:proofErr w:type="spellStart"/>
      <w:r w:rsidRPr="00B0606B">
        <w:rPr>
          <w:rFonts w:eastAsia="Calibri"/>
        </w:rPr>
        <w:t>InnoLight</w:t>
      </w:r>
      <w:proofErr w:type="spellEnd"/>
      <w:r w:rsidRPr="00B0606B">
        <w:rPr>
          <w:rFonts w:eastAsia="Calibri"/>
        </w:rPr>
        <w:t xml:space="preserve"> Technology (Suzhou) Ltd. (SG15); Net Insight AB (SG15); </w:t>
      </w:r>
      <w:proofErr w:type="spellStart"/>
      <w:r w:rsidRPr="00B0606B">
        <w:rPr>
          <w:rFonts w:eastAsia="Calibri"/>
        </w:rPr>
        <w:t>Guodian</w:t>
      </w:r>
      <w:proofErr w:type="spellEnd"/>
      <w:r w:rsidRPr="00B0606B">
        <w:rPr>
          <w:rFonts w:eastAsia="Calibri"/>
        </w:rPr>
        <w:t xml:space="preserve"> Nanjing Automation Co., Ltd (SG16); </w:t>
      </w:r>
      <w:proofErr w:type="spellStart"/>
      <w:r w:rsidRPr="00B0606B">
        <w:rPr>
          <w:rFonts w:eastAsia="Calibri"/>
          <w:lang w:val="en-US"/>
        </w:rPr>
        <w:t>TuringSign</w:t>
      </w:r>
      <w:proofErr w:type="spellEnd"/>
      <w:r w:rsidRPr="00B0606B">
        <w:rPr>
          <w:rFonts w:eastAsia="Calibri"/>
          <w:lang w:val="en-US"/>
        </w:rPr>
        <w:t xml:space="preserve"> Global SA (SG17); Radical </w:t>
      </w:r>
      <w:proofErr w:type="spellStart"/>
      <w:r w:rsidRPr="00B0606B">
        <w:rPr>
          <w:rFonts w:eastAsia="Calibri"/>
          <w:lang w:val="en-US"/>
        </w:rPr>
        <w:t>Alternativas</w:t>
      </w:r>
      <w:proofErr w:type="spellEnd"/>
      <w:r w:rsidRPr="00B0606B">
        <w:rPr>
          <w:rFonts w:eastAsia="Calibri"/>
          <w:lang w:val="en-US"/>
        </w:rPr>
        <w:t xml:space="preserve"> de </w:t>
      </w:r>
      <w:proofErr w:type="spellStart"/>
      <w:r w:rsidRPr="00B0606B">
        <w:rPr>
          <w:rFonts w:eastAsia="Calibri"/>
          <w:lang w:val="en-US"/>
        </w:rPr>
        <w:t>Avanzada</w:t>
      </w:r>
      <w:proofErr w:type="spellEnd"/>
      <w:r w:rsidRPr="00B0606B">
        <w:rPr>
          <w:rFonts w:eastAsia="Calibri"/>
          <w:lang w:val="en-US"/>
        </w:rPr>
        <w:t xml:space="preserve"> </w:t>
      </w:r>
      <w:proofErr w:type="spellStart"/>
      <w:r w:rsidRPr="00B0606B">
        <w:rPr>
          <w:rFonts w:eastAsia="Calibri"/>
          <w:lang w:val="en-US"/>
        </w:rPr>
        <w:t>Altradicalavan</w:t>
      </w:r>
      <w:proofErr w:type="spellEnd"/>
      <w:r w:rsidRPr="00B0606B">
        <w:rPr>
          <w:rFonts w:eastAsia="Calibri"/>
          <w:lang w:val="en-US"/>
        </w:rPr>
        <w:t xml:space="preserve"> Cia </w:t>
      </w:r>
      <w:proofErr w:type="spellStart"/>
      <w:r w:rsidRPr="00B0606B">
        <w:rPr>
          <w:rFonts w:eastAsia="Calibri"/>
          <w:lang w:val="en-US"/>
        </w:rPr>
        <w:t>Ltda</w:t>
      </w:r>
      <w:proofErr w:type="spellEnd"/>
      <w:r w:rsidRPr="00B0606B">
        <w:rPr>
          <w:rFonts w:eastAsia="Calibri"/>
          <w:lang w:val="en-US"/>
        </w:rPr>
        <w:t xml:space="preserve"> (SG17)</w:t>
      </w:r>
      <w:r>
        <w:rPr>
          <w:rFonts w:eastAsia="Calibri"/>
          <w:lang w:val="en-US"/>
        </w:rPr>
        <w:t>.</w:t>
      </w:r>
    </w:p>
    <w:p w14:paraId="23919880" w14:textId="4B600CBC" w:rsidR="001A3BF9" w:rsidRPr="001A3BF9" w:rsidRDefault="001A3BF9" w:rsidP="001A3BF9">
      <w:pPr>
        <w:keepNext/>
        <w:keepLines/>
        <w:rPr>
          <w:rFonts w:eastAsia="Calibri"/>
          <w:b/>
        </w:rPr>
      </w:pPr>
      <w:r w:rsidRPr="001A3BF9">
        <w:rPr>
          <w:rFonts w:eastAsia="Calibri"/>
          <w:b/>
        </w:rPr>
        <w:t xml:space="preserve">Total ITU-T Sector Members, Associates and Academia (31 December 2009 – </w:t>
      </w:r>
      <w:r w:rsidR="00B0606B">
        <w:rPr>
          <w:rFonts w:eastAsia="Calibri"/>
          <w:b/>
          <w:bCs/>
        </w:rPr>
        <w:t xml:space="preserve">20 December </w:t>
      </w:r>
      <w:r w:rsidRPr="001A3BF9">
        <w:rPr>
          <w:rFonts w:eastAsia="Calibri"/>
          <w:b/>
        </w:rPr>
        <w:t>202</w:t>
      </w:r>
      <w:r w:rsidR="00B0606B">
        <w:rPr>
          <w:rFonts w:eastAsia="Calibri"/>
          <w:b/>
        </w:rPr>
        <w:t>3</w:t>
      </w:r>
      <w:r w:rsidRPr="001A3BF9">
        <w:rPr>
          <w:rFonts w:eastAsia="Calibri"/>
          <w:b/>
        </w:rPr>
        <w:t>):</w:t>
      </w:r>
    </w:p>
    <w:p w14:paraId="239429B6" w14:textId="28805E3B" w:rsidR="001A3BF9" w:rsidRPr="001A3BF9" w:rsidRDefault="001A3BF9" w:rsidP="001A3BF9">
      <w:pPr>
        <w:keepNext/>
        <w:keepLines/>
        <w:rPr>
          <w:rFonts w:eastAsia="Calibri"/>
        </w:rPr>
      </w:pPr>
      <w:r w:rsidRPr="001A3BF9">
        <w:rPr>
          <w:rFonts w:eastAsia="Calibri"/>
        </w:rPr>
        <w:t xml:space="preserve">The following table and figure illustrate the evolution of ITU-T membership from 31 December 2009 to </w:t>
      </w:r>
      <w:r w:rsidR="00B0606B">
        <w:rPr>
          <w:rFonts w:eastAsia="Calibri"/>
        </w:rPr>
        <w:t>20</w:t>
      </w:r>
      <w:r w:rsidRPr="001A3BF9">
        <w:rPr>
          <w:rFonts w:eastAsia="Calibri"/>
        </w:rPr>
        <w:t xml:space="preserve"> </w:t>
      </w:r>
      <w:r w:rsidR="00B0606B">
        <w:rPr>
          <w:rFonts w:eastAsia="Calibri"/>
        </w:rPr>
        <w:t xml:space="preserve">December </w:t>
      </w:r>
      <w:r w:rsidRPr="001A3BF9">
        <w:rPr>
          <w:rFonts w:eastAsia="Calibri"/>
        </w:rPr>
        <w:t>2023 (noting that the Academia membership category opened in 2011).</w:t>
      </w:r>
    </w:p>
    <w:p w14:paraId="06110256" w14:textId="77777777" w:rsidR="001A3BF9" w:rsidRPr="001A3BF9" w:rsidRDefault="001A3BF9" w:rsidP="001A3BF9">
      <w:pPr>
        <w:keepNext/>
        <w:keepLines/>
        <w:rPr>
          <w:rFonts w:eastAsia="Calibri"/>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1A3BF9" w:rsidRPr="001A3BF9" w14:paraId="5B86311D" w14:textId="77777777" w:rsidTr="009A5D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5936133" w14:textId="77777777" w:rsidR="001A3BF9" w:rsidRPr="001A3BF9" w:rsidRDefault="001A3BF9" w:rsidP="001A3BF9">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04D811" w14:textId="77777777" w:rsidR="001A3BF9" w:rsidRPr="001A3BF9" w:rsidRDefault="001A3BF9" w:rsidP="001A3BF9">
            <w:pPr>
              <w:keepNext/>
              <w:keepLines/>
              <w:rPr>
                <w:rFonts w:eastAsia="Calibri"/>
                <w:b/>
                <w:lang w:val="en-US"/>
              </w:rPr>
            </w:pPr>
            <w:r w:rsidRPr="001A3BF9">
              <w:rPr>
                <w:rFonts w:eastAsia="Calibri"/>
                <w:b/>
                <w:lang w:val="en-US"/>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EE1C549" w14:textId="77777777" w:rsidR="001A3BF9" w:rsidRPr="001A3BF9" w:rsidRDefault="001A3BF9" w:rsidP="001A3BF9">
            <w:pPr>
              <w:keepNext/>
              <w:keepLines/>
              <w:rPr>
                <w:rFonts w:eastAsia="Calibri"/>
                <w:b/>
                <w:lang w:val="en-US"/>
              </w:rPr>
            </w:pPr>
            <w:r w:rsidRPr="001A3BF9">
              <w:rPr>
                <w:rFonts w:eastAsia="Calibri"/>
                <w:b/>
                <w:lang w:val="en-US"/>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65A7BCE" w14:textId="77777777" w:rsidR="001A3BF9" w:rsidRPr="001A3BF9" w:rsidRDefault="001A3BF9" w:rsidP="001A3BF9">
            <w:pPr>
              <w:keepNext/>
              <w:keepLines/>
              <w:rPr>
                <w:rFonts w:eastAsia="Calibri"/>
                <w:b/>
                <w:lang w:val="en-US"/>
              </w:rPr>
            </w:pPr>
            <w:r w:rsidRPr="001A3BF9">
              <w:rPr>
                <w:rFonts w:eastAsia="Calibri"/>
                <w:b/>
                <w:lang w:val="en-US"/>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84C5219" w14:textId="77777777" w:rsidR="001A3BF9" w:rsidRPr="001A3BF9" w:rsidRDefault="001A3BF9" w:rsidP="001A3BF9">
            <w:pPr>
              <w:keepNext/>
              <w:keepLines/>
              <w:rPr>
                <w:rFonts w:eastAsia="Calibri"/>
                <w:b/>
                <w:lang w:val="en-US"/>
              </w:rPr>
            </w:pPr>
            <w:r w:rsidRPr="001A3BF9">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F64EC5" w14:textId="77777777" w:rsidR="001A3BF9" w:rsidRPr="001A3BF9" w:rsidRDefault="001A3BF9" w:rsidP="001A3BF9">
            <w:pPr>
              <w:keepNext/>
              <w:keepLines/>
              <w:rPr>
                <w:rFonts w:eastAsia="Calibri"/>
                <w:b/>
                <w:lang w:val="en-US"/>
              </w:rPr>
            </w:pPr>
            <w:r w:rsidRPr="001A3BF9">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E388C33" w14:textId="77777777" w:rsidR="001A3BF9" w:rsidRPr="001A3BF9" w:rsidRDefault="001A3BF9" w:rsidP="001A3BF9">
            <w:pPr>
              <w:keepNext/>
              <w:keepLines/>
              <w:rPr>
                <w:rFonts w:eastAsia="Calibri"/>
                <w:b/>
                <w:lang w:val="en-US"/>
              </w:rPr>
            </w:pPr>
            <w:r w:rsidRPr="001A3BF9">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A672F95" w14:textId="77777777" w:rsidR="001A3BF9" w:rsidRPr="001A3BF9" w:rsidRDefault="001A3BF9" w:rsidP="001A3BF9">
            <w:pPr>
              <w:keepNext/>
              <w:keepLines/>
              <w:rPr>
                <w:rFonts w:eastAsia="Calibri"/>
                <w:b/>
                <w:lang w:val="en-US"/>
              </w:rPr>
            </w:pPr>
            <w:r w:rsidRPr="001A3BF9">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9943AA" w14:textId="77777777" w:rsidR="001A3BF9" w:rsidRPr="001A3BF9" w:rsidRDefault="001A3BF9" w:rsidP="001A3BF9">
            <w:pPr>
              <w:keepNext/>
              <w:keepLines/>
              <w:rPr>
                <w:rFonts w:eastAsia="Calibri"/>
                <w:b/>
                <w:lang w:val="en-US"/>
              </w:rPr>
            </w:pPr>
            <w:r w:rsidRPr="001A3BF9">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9C5B71C" w14:textId="77777777" w:rsidR="001A3BF9" w:rsidRPr="001A3BF9" w:rsidRDefault="001A3BF9" w:rsidP="001A3BF9">
            <w:pPr>
              <w:keepNext/>
              <w:keepLines/>
              <w:rPr>
                <w:rFonts w:eastAsia="Calibri"/>
                <w:b/>
                <w:lang w:val="en-US"/>
              </w:rPr>
            </w:pPr>
            <w:r w:rsidRPr="001A3BF9">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710E8BA7" w14:textId="77777777" w:rsidR="001A3BF9" w:rsidRPr="001A3BF9" w:rsidRDefault="001A3BF9" w:rsidP="001A3BF9">
            <w:pPr>
              <w:keepNext/>
              <w:keepLines/>
              <w:rPr>
                <w:rFonts w:eastAsia="Calibri"/>
                <w:b/>
                <w:lang w:val="en-US"/>
              </w:rPr>
            </w:pPr>
            <w:r w:rsidRPr="001A3BF9">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561087BE" w14:textId="77777777" w:rsidR="001A3BF9" w:rsidRPr="001A3BF9" w:rsidRDefault="001A3BF9" w:rsidP="001A3BF9">
            <w:pPr>
              <w:keepNext/>
              <w:keepLines/>
              <w:rPr>
                <w:rFonts w:eastAsia="Calibri"/>
                <w:b/>
                <w:lang w:val="en-US"/>
              </w:rPr>
            </w:pPr>
            <w:r w:rsidRPr="001A3BF9">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53346A73" w14:textId="77777777" w:rsidR="001A3BF9" w:rsidRPr="001A3BF9" w:rsidRDefault="001A3BF9" w:rsidP="001A3BF9">
            <w:pPr>
              <w:keepNext/>
              <w:keepLines/>
              <w:rPr>
                <w:rFonts w:eastAsia="Calibri"/>
                <w:b/>
                <w:lang w:val="en-US"/>
              </w:rPr>
            </w:pPr>
            <w:r w:rsidRPr="001A3BF9">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1CE4A33C" w14:textId="77777777" w:rsidR="001A3BF9" w:rsidRPr="001A3BF9" w:rsidRDefault="001A3BF9" w:rsidP="001A3BF9">
            <w:pPr>
              <w:keepNext/>
              <w:keepLines/>
              <w:rPr>
                <w:rFonts w:eastAsia="Calibri"/>
                <w:b/>
                <w:lang w:val="en-US"/>
              </w:rPr>
            </w:pPr>
            <w:r w:rsidRPr="001A3BF9">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0A56E607" w14:textId="77777777" w:rsidR="001A3BF9" w:rsidRPr="001A3BF9" w:rsidRDefault="001A3BF9" w:rsidP="001A3BF9">
            <w:pPr>
              <w:keepNext/>
              <w:keepLines/>
              <w:rPr>
                <w:rFonts w:eastAsia="Calibri"/>
                <w:b/>
                <w:lang w:val="en-US"/>
              </w:rPr>
            </w:pPr>
            <w:r w:rsidRPr="001A3BF9">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42C35AFB" w14:textId="77777777" w:rsidR="001A3BF9" w:rsidRPr="001A3BF9" w:rsidRDefault="001A3BF9" w:rsidP="001A3BF9">
            <w:pPr>
              <w:keepNext/>
              <w:keepLines/>
              <w:rPr>
                <w:rFonts w:eastAsia="Calibri"/>
                <w:b/>
                <w:lang w:val="en-US"/>
              </w:rPr>
            </w:pPr>
            <w:r w:rsidRPr="001A3BF9">
              <w:rPr>
                <w:rFonts w:eastAsia="Calibri"/>
                <w:b/>
                <w:lang w:val="en-US"/>
              </w:rPr>
              <w:t>2023</w:t>
            </w:r>
          </w:p>
        </w:tc>
      </w:tr>
      <w:tr w:rsidR="001A3BF9" w:rsidRPr="001A3BF9" w14:paraId="1F298A6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6170EE2" w14:textId="77777777" w:rsidR="001A3BF9" w:rsidRPr="001A3BF9" w:rsidRDefault="001A3BF9" w:rsidP="001A3BF9">
            <w:pPr>
              <w:keepNext/>
              <w:keepLines/>
              <w:rPr>
                <w:rFonts w:eastAsia="Calibri"/>
                <w:lang w:val="en-US"/>
              </w:rPr>
            </w:pPr>
            <w:r w:rsidRPr="001A3BF9">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DA2DCC6" w14:textId="77777777" w:rsidR="001A3BF9" w:rsidRPr="001A3BF9" w:rsidRDefault="001A3BF9" w:rsidP="001A3BF9">
            <w:pPr>
              <w:keepNext/>
              <w:keepLines/>
              <w:rPr>
                <w:rFonts w:eastAsia="Calibri"/>
                <w:lang w:val="en-US"/>
              </w:rPr>
            </w:pPr>
            <w:r w:rsidRPr="001A3BF9">
              <w:rPr>
                <w:rFonts w:eastAsia="Calibri"/>
                <w:lang w:val="en-US"/>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BFC8E9D" w14:textId="77777777" w:rsidR="001A3BF9" w:rsidRPr="001A3BF9" w:rsidRDefault="001A3BF9" w:rsidP="001A3BF9">
            <w:pPr>
              <w:keepNext/>
              <w:keepLines/>
              <w:rPr>
                <w:rFonts w:eastAsia="Calibri"/>
                <w:lang w:val="en-US"/>
              </w:rPr>
            </w:pPr>
            <w:r w:rsidRPr="001A3BF9">
              <w:rPr>
                <w:rFonts w:eastAsia="Calibri"/>
                <w:lang w:val="en-US"/>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2F81272" w14:textId="77777777" w:rsidR="001A3BF9" w:rsidRPr="001A3BF9" w:rsidRDefault="001A3BF9" w:rsidP="001A3BF9">
            <w:pPr>
              <w:keepNext/>
              <w:keepLines/>
              <w:rPr>
                <w:rFonts w:eastAsia="Calibri"/>
                <w:lang w:val="en-US"/>
              </w:rPr>
            </w:pPr>
            <w:r w:rsidRPr="001A3BF9">
              <w:rPr>
                <w:rFonts w:eastAsia="Calibri"/>
                <w:lang w:val="en-US"/>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1E89188" w14:textId="77777777" w:rsidR="001A3BF9" w:rsidRPr="001A3BF9" w:rsidRDefault="001A3BF9" w:rsidP="001A3BF9">
            <w:pPr>
              <w:keepNext/>
              <w:keepLines/>
              <w:rPr>
                <w:rFonts w:eastAsia="Calibri"/>
                <w:lang w:val="en-US"/>
              </w:rPr>
            </w:pPr>
            <w:r w:rsidRPr="001A3BF9">
              <w:rPr>
                <w:rFonts w:eastAsia="Calibri"/>
                <w:lang w:val="en-US"/>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23DA63" w14:textId="77777777" w:rsidR="001A3BF9" w:rsidRPr="001A3BF9" w:rsidRDefault="001A3BF9" w:rsidP="001A3BF9">
            <w:pPr>
              <w:keepNext/>
              <w:keepLines/>
              <w:rPr>
                <w:rFonts w:eastAsia="Calibri"/>
                <w:lang w:val="en-US"/>
              </w:rPr>
            </w:pPr>
            <w:r w:rsidRPr="001A3BF9">
              <w:rPr>
                <w:rFonts w:eastAsia="Calibri"/>
                <w:lang w:val="en-US"/>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47DC27C" w14:textId="77777777" w:rsidR="001A3BF9" w:rsidRPr="001A3BF9" w:rsidRDefault="001A3BF9" w:rsidP="001A3BF9">
            <w:pPr>
              <w:keepNext/>
              <w:keepLines/>
              <w:rPr>
                <w:rFonts w:eastAsia="Calibri"/>
                <w:lang w:val="en-US"/>
              </w:rPr>
            </w:pPr>
            <w:r w:rsidRPr="001A3BF9">
              <w:rPr>
                <w:rFonts w:eastAsia="Calibri"/>
                <w:lang w:val="en-US"/>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79AE390" w14:textId="77777777" w:rsidR="001A3BF9" w:rsidRPr="001A3BF9" w:rsidRDefault="001A3BF9" w:rsidP="001A3BF9">
            <w:pPr>
              <w:keepNext/>
              <w:keepLines/>
              <w:rPr>
                <w:rFonts w:eastAsia="Calibri"/>
                <w:lang w:val="en-US"/>
              </w:rPr>
            </w:pPr>
            <w:r w:rsidRPr="001A3BF9">
              <w:rPr>
                <w:rFonts w:eastAsia="Calibri"/>
                <w:lang w:val="en-US"/>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C190753" w14:textId="77777777" w:rsidR="001A3BF9" w:rsidRPr="001A3BF9" w:rsidRDefault="001A3BF9" w:rsidP="001A3BF9">
            <w:pPr>
              <w:keepNext/>
              <w:keepLines/>
              <w:rPr>
                <w:rFonts w:eastAsia="Calibri"/>
                <w:lang w:val="en-US"/>
              </w:rPr>
            </w:pPr>
            <w:r w:rsidRPr="001A3BF9">
              <w:rPr>
                <w:rFonts w:eastAsia="Calibri"/>
                <w:lang w:val="en-US"/>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73A9FF1" w14:textId="77777777" w:rsidR="001A3BF9" w:rsidRPr="001A3BF9" w:rsidRDefault="001A3BF9" w:rsidP="001A3BF9">
            <w:pPr>
              <w:keepNext/>
              <w:keepLines/>
              <w:rPr>
                <w:rFonts w:eastAsia="Calibri"/>
                <w:lang w:val="en-US"/>
              </w:rPr>
            </w:pPr>
            <w:r w:rsidRPr="001A3BF9">
              <w:rPr>
                <w:rFonts w:eastAsia="Calibri"/>
                <w:lang w:val="en-US"/>
              </w:rPr>
              <w:t>256</w:t>
            </w:r>
          </w:p>
        </w:tc>
        <w:tc>
          <w:tcPr>
            <w:tcW w:w="600" w:type="dxa"/>
            <w:tcBorders>
              <w:top w:val="nil"/>
              <w:left w:val="single" w:sz="4" w:space="0" w:color="auto"/>
              <w:bottom w:val="single" w:sz="8" w:space="0" w:color="auto"/>
              <w:right w:val="single" w:sz="4" w:space="0" w:color="auto"/>
            </w:tcBorders>
            <w:hideMark/>
          </w:tcPr>
          <w:p w14:paraId="5F16C182" w14:textId="77777777" w:rsidR="001A3BF9" w:rsidRPr="001A3BF9" w:rsidRDefault="001A3BF9" w:rsidP="001A3BF9">
            <w:pPr>
              <w:keepNext/>
              <w:keepLines/>
              <w:rPr>
                <w:rFonts w:eastAsia="Calibri"/>
                <w:lang w:val="en-US"/>
              </w:rPr>
            </w:pPr>
            <w:r w:rsidRPr="001A3BF9">
              <w:rPr>
                <w:rFonts w:eastAsia="Calibri"/>
                <w:lang w:val="en-US"/>
              </w:rPr>
              <w:t>256</w:t>
            </w:r>
          </w:p>
        </w:tc>
        <w:tc>
          <w:tcPr>
            <w:tcW w:w="645" w:type="dxa"/>
            <w:tcBorders>
              <w:top w:val="nil"/>
              <w:left w:val="single" w:sz="4" w:space="0" w:color="auto"/>
              <w:bottom w:val="single" w:sz="8" w:space="0" w:color="auto"/>
              <w:right w:val="single" w:sz="4" w:space="0" w:color="auto"/>
            </w:tcBorders>
            <w:hideMark/>
          </w:tcPr>
          <w:p w14:paraId="070A73B8" w14:textId="77777777" w:rsidR="001A3BF9" w:rsidRPr="001A3BF9" w:rsidRDefault="001A3BF9" w:rsidP="001A3BF9">
            <w:pPr>
              <w:keepNext/>
              <w:keepLines/>
              <w:rPr>
                <w:rFonts w:eastAsia="Calibri"/>
                <w:lang w:val="en-US"/>
              </w:rPr>
            </w:pPr>
            <w:r w:rsidRPr="001A3BF9">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37060501" w14:textId="77777777" w:rsidR="001A3BF9" w:rsidRPr="001A3BF9" w:rsidRDefault="001A3BF9" w:rsidP="001A3BF9">
            <w:pPr>
              <w:keepNext/>
              <w:keepLines/>
              <w:rPr>
                <w:rFonts w:eastAsia="Calibri"/>
                <w:lang w:val="en-US"/>
              </w:rPr>
            </w:pPr>
            <w:r w:rsidRPr="001A3BF9">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7CFAC2D0" w14:textId="77777777" w:rsidR="001A3BF9" w:rsidRPr="001A3BF9" w:rsidRDefault="001A3BF9" w:rsidP="001A3BF9">
            <w:pPr>
              <w:keepNext/>
              <w:keepLines/>
              <w:rPr>
                <w:rFonts w:eastAsia="Calibri"/>
                <w:lang w:val="en-US"/>
              </w:rPr>
            </w:pPr>
            <w:r w:rsidRPr="001A3BF9">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3B10A265" w14:textId="77777777" w:rsidR="001A3BF9" w:rsidRPr="001A3BF9" w:rsidRDefault="001A3BF9" w:rsidP="001A3BF9">
            <w:pPr>
              <w:keepNext/>
              <w:keepLines/>
              <w:rPr>
                <w:rFonts w:eastAsia="Calibri"/>
                <w:lang w:val="en-US"/>
              </w:rPr>
            </w:pPr>
            <w:r w:rsidRPr="001A3BF9">
              <w:rPr>
                <w:rFonts w:eastAsia="Calibri"/>
                <w:lang w:val="en-US"/>
              </w:rPr>
              <w:t>263</w:t>
            </w:r>
          </w:p>
        </w:tc>
        <w:tc>
          <w:tcPr>
            <w:tcW w:w="630" w:type="dxa"/>
            <w:tcBorders>
              <w:top w:val="nil"/>
              <w:left w:val="single" w:sz="4" w:space="0" w:color="auto"/>
              <w:bottom w:val="single" w:sz="8" w:space="0" w:color="auto"/>
              <w:right w:val="single" w:sz="12" w:space="0" w:color="auto"/>
            </w:tcBorders>
          </w:tcPr>
          <w:p w14:paraId="0832C7D9" w14:textId="161214D8" w:rsidR="001A3BF9" w:rsidRPr="001A3BF9" w:rsidRDefault="001A3BF9" w:rsidP="001A3BF9">
            <w:pPr>
              <w:keepNext/>
              <w:keepLines/>
              <w:rPr>
                <w:rFonts w:eastAsia="Calibri"/>
                <w:lang w:val="en-US"/>
              </w:rPr>
            </w:pPr>
            <w:r w:rsidRPr="001A3BF9">
              <w:rPr>
                <w:rFonts w:eastAsia="Calibri"/>
                <w:lang w:val="en-US"/>
              </w:rPr>
              <w:t>2</w:t>
            </w:r>
            <w:r w:rsidR="00920EFA">
              <w:rPr>
                <w:rFonts w:eastAsia="Calibri"/>
                <w:lang w:val="en-US"/>
              </w:rPr>
              <w:t>72</w:t>
            </w:r>
          </w:p>
        </w:tc>
      </w:tr>
      <w:tr w:rsidR="001A3BF9" w:rsidRPr="001A3BF9" w14:paraId="70FA783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7B05316" w14:textId="77777777" w:rsidR="001A3BF9" w:rsidRPr="001A3BF9" w:rsidRDefault="001A3BF9" w:rsidP="001A3BF9">
            <w:pPr>
              <w:keepNext/>
              <w:keepLines/>
              <w:rPr>
                <w:rFonts w:eastAsia="Calibri"/>
                <w:lang w:val="en-US"/>
              </w:rPr>
            </w:pPr>
            <w:r w:rsidRPr="001A3BF9">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2704483" w14:textId="77777777" w:rsidR="001A3BF9" w:rsidRPr="001A3BF9" w:rsidRDefault="001A3BF9" w:rsidP="001A3BF9">
            <w:pPr>
              <w:keepNext/>
              <w:keepLines/>
              <w:rPr>
                <w:rFonts w:eastAsia="Calibri"/>
                <w:lang w:val="en-US"/>
              </w:rPr>
            </w:pPr>
            <w:r w:rsidRPr="001A3BF9">
              <w:rPr>
                <w:rFonts w:eastAsia="Calibri"/>
                <w:lang w:val="en-US"/>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8014769" w14:textId="77777777" w:rsidR="001A3BF9" w:rsidRPr="001A3BF9" w:rsidRDefault="001A3BF9" w:rsidP="001A3BF9">
            <w:pPr>
              <w:keepNext/>
              <w:keepLines/>
              <w:rPr>
                <w:rFonts w:eastAsia="Calibri"/>
                <w:lang w:val="en-US"/>
              </w:rPr>
            </w:pPr>
            <w:r w:rsidRPr="001A3BF9">
              <w:rPr>
                <w:rFonts w:eastAsia="Calibri"/>
                <w:lang w:val="en-US"/>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41D3740" w14:textId="77777777" w:rsidR="001A3BF9" w:rsidRPr="001A3BF9" w:rsidRDefault="001A3BF9" w:rsidP="001A3BF9">
            <w:pPr>
              <w:keepNext/>
              <w:keepLines/>
              <w:rPr>
                <w:rFonts w:eastAsia="Calibri"/>
                <w:lang w:val="en-US"/>
              </w:rPr>
            </w:pPr>
            <w:r w:rsidRPr="001A3BF9">
              <w:rPr>
                <w:rFonts w:eastAsia="Calibri"/>
                <w:lang w:val="en-US"/>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DD5D40" w14:textId="77777777" w:rsidR="001A3BF9" w:rsidRPr="001A3BF9" w:rsidRDefault="001A3BF9" w:rsidP="001A3BF9">
            <w:pPr>
              <w:keepNext/>
              <w:keepLines/>
              <w:rPr>
                <w:rFonts w:eastAsia="Calibri"/>
                <w:lang w:val="en-US"/>
              </w:rPr>
            </w:pPr>
            <w:r w:rsidRPr="001A3BF9">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4F59A2" w14:textId="77777777" w:rsidR="001A3BF9" w:rsidRPr="001A3BF9" w:rsidRDefault="001A3BF9" w:rsidP="001A3BF9">
            <w:pPr>
              <w:keepNext/>
              <w:keepLines/>
              <w:rPr>
                <w:rFonts w:eastAsia="Calibri"/>
                <w:lang w:val="en-US"/>
              </w:rPr>
            </w:pPr>
            <w:r w:rsidRPr="001A3BF9">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12E7F94" w14:textId="77777777" w:rsidR="001A3BF9" w:rsidRPr="001A3BF9" w:rsidRDefault="001A3BF9" w:rsidP="001A3BF9">
            <w:pPr>
              <w:keepNext/>
              <w:keepLines/>
              <w:rPr>
                <w:rFonts w:eastAsia="Calibri"/>
                <w:lang w:val="en-US"/>
              </w:rPr>
            </w:pPr>
            <w:r w:rsidRPr="001A3BF9">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FE147E7" w14:textId="77777777" w:rsidR="001A3BF9" w:rsidRPr="001A3BF9" w:rsidRDefault="001A3BF9" w:rsidP="001A3BF9">
            <w:pPr>
              <w:keepNext/>
              <w:keepLines/>
              <w:rPr>
                <w:rFonts w:eastAsia="Calibri"/>
                <w:lang w:val="en-US"/>
              </w:rPr>
            </w:pPr>
            <w:r w:rsidRPr="001A3BF9">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0903B6B" w14:textId="77777777" w:rsidR="001A3BF9" w:rsidRPr="001A3BF9" w:rsidRDefault="001A3BF9" w:rsidP="001A3BF9">
            <w:pPr>
              <w:keepNext/>
              <w:keepLines/>
              <w:rPr>
                <w:rFonts w:eastAsia="Calibri"/>
                <w:lang w:val="en-US"/>
              </w:rPr>
            </w:pPr>
            <w:r w:rsidRPr="001A3BF9">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8442AD3" w14:textId="77777777" w:rsidR="001A3BF9" w:rsidRPr="001A3BF9" w:rsidRDefault="001A3BF9" w:rsidP="001A3BF9">
            <w:pPr>
              <w:keepNext/>
              <w:keepLines/>
              <w:rPr>
                <w:rFonts w:eastAsia="Calibri"/>
                <w:lang w:val="en-US"/>
              </w:rPr>
            </w:pPr>
            <w:r w:rsidRPr="001A3BF9">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3A2BA7E9" w14:textId="77777777" w:rsidR="001A3BF9" w:rsidRPr="001A3BF9" w:rsidRDefault="001A3BF9" w:rsidP="001A3BF9">
            <w:pPr>
              <w:keepNext/>
              <w:keepLines/>
              <w:rPr>
                <w:rFonts w:eastAsia="Calibri"/>
                <w:lang w:val="en-US"/>
              </w:rPr>
            </w:pPr>
            <w:r w:rsidRPr="001A3BF9">
              <w:rPr>
                <w:rFonts w:eastAsia="Calibri"/>
                <w:lang w:val="en-US"/>
              </w:rPr>
              <w:t>153</w:t>
            </w:r>
          </w:p>
        </w:tc>
        <w:tc>
          <w:tcPr>
            <w:tcW w:w="645" w:type="dxa"/>
            <w:tcBorders>
              <w:top w:val="nil"/>
              <w:left w:val="single" w:sz="4" w:space="0" w:color="auto"/>
              <w:bottom w:val="single" w:sz="8" w:space="0" w:color="auto"/>
              <w:right w:val="single" w:sz="4" w:space="0" w:color="auto"/>
            </w:tcBorders>
            <w:hideMark/>
          </w:tcPr>
          <w:p w14:paraId="37D56585" w14:textId="77777777" w:rsidR="001A3BF9" w:rsidRPr="001A3BF9" w:rsidRDefault="001A3BF9" w:rsidP="001A3BF9">
            <w:pPr>
              <w:keepNext/>
              <w:keepLines/>
              <w:rPr>
                <w:rFonts w:eastAsia="Calibri"/>
                <w:lang w:val="en-US"/>
              </w:rPr>
            </w:pPr>
            <w:r w:rsidRPr="001A3BF9">
              <w:rPr>
                <w:rFonts w:eastAsia="Calibri"/>
                <w:lang w:val="en-US"/>
              </w:rPr>
              <w:t>179</w:t>
            </w:r>
          </w:p>
        </w:tc>
        <w:tc>
          <w:tcPr>
            <w:tcW w:w="630" w:type="dxa"/>
            <w:tcBorders>
              <w:top w:val="nil"/>
              <w:left w:val="single" w:sz="4" w:space="0" w:color="auto"/>
              <w:bottom w:val="single" w:sz="8" w:space="0" w:color="auto"/>
              <w:right w:val="single" w:sz="12" w:space="0" w:color="auto"/>
            </w:tcBorders>
            <w:hideMark/>
          </w:tcPr>
          <w:p w14:paraId="10A46AEC" w14:textId="77777777" w:rsidR="001A3BF9" w:rsidRPr="001A3BF9" w:rsidRDefault="001A3BF9" w:rsidP="001A3BF9">
            <w:pPr>
              <w:keepNext/>
              <w:keepLines/>
              <w:rPr>
                <w:rFonts w:eastAsia="Calibri"/>
                <w:lang w:val="en-US"/>
              </w:rPr>
            </w:pPr>
            <w:r w:rsidRPr="001A3BF9">
              <w:rPr>
                <w:rFonts w:eastAsia="Calibri"/>
                <w:lang w:val="en-US"/>
              </w:rPr>
              <w:t>194</w:t>
            </w:r>
          </w:p>
        </w:tc>
        <w:tc>
          <w:tcPr>
            <w:tcW w:w="630" w:type="dxa"/>
            <w:tcBorders>
              <w:top w:val="nil"/>
              <w:left w:val="single" w:sz="4" w:space="0" w:color="auto"/>
              <w:bottom w:val="single" w:sz="8" w:space="0" w:color="auto"/>
              <w:right w:val="single" w:sz="12" w:space="0" w:color="auto"/>
            </w:tcBorders>
            <w:hideMark/>
          </w:tcPr>
          <w:p w14:paraId="0EA69DC7" w14:textId="77777777" w:rsidR="001A3BF9" w:rsidRPr="001A3BF9" w:rsidRDefault="001A3BF9" w:rsidP="001A3BF9">
            <w:pPr>
              <w:keepNext/>
              <w:keepLines/>
              <w:rPr>
                <w:rFonts w:eastAsia="Calibri"/>
                <w:lang w:val="en-US"/>
              </w:rPr>
            </w:pPr>
            <w:r w:rsidRPr="001A3BF9">
              <w:rPr>
                <w:rFonts w:eastAsia="Calibri"/>
                <w:lang w:val="en-US"/>
              </w:rPr>
              <w:t>216</w:t>
            </w:r>
          </w:p>
        </w:tc>
        <w:tc>
          <w:tcPr>
            <w:tcW w:w="630" w:type="dxa"/>
            <w:tcBorders>
              <w:top w:val="nil"/>
              <w:left w:val="single" w:sz="4" w:space="0" w:color="auto"/>
              <w:bottom w:val="single" w:sz="8" w:space="0" w:color="auto"/>
              <w:right w:val="single" w:sz="12" w:space="0" w:color="auto"/>
            </w:tcBorders>
            <w:hideMark/>
          </w:tcPr>
          <w:p w14:paraId="28FF9E0E" w14:textId="5E434C0A" w:rsidR="001A3BF9" w:rsidRPr="001A3BF9" w:rsidRDefault="001A3BF9" w:rsidP="001A3BF9">
            <w:pPr>
              <w:keepNext/>
              <w:keepLines/>
              <w:rPr>
                <w:rFonts w:eastAsia="Calibri"/>
                <w:lang w:val="en-US"/>
              </w:rPr>
            </w:pPr>
            <w:r w:rsidRPr="001A3BF9">
              <w:rPr>
                <w:rFonts w:eastAsia="Calibri"/>
                <w:lang w:val="en-US"/>
              </w:rPr>
              <w:t>22</w:t>
            </w:r>
            <w:r w:rsidR="00B0606B">
              <w:rPr>
                <w:rFonts w:eastAsia="Calibri"/>
                <w:lang w:val="en-US"/>
              </w:rPr>
              <w:t>0</w:t>
            </w:r>
          </w:p>
        </w:tc>
        <w:tc>
          <w:tcPr>
            <w:tcW w:w="630" w:type="dxa"/>
            <w:tcBorders>
              <w:top w:val="nil"/>
              <w:left w:val="single" w:sz="4" w:space="0" w:color="auto"/>
              <w:bottom w:val="single" w:sz="8" w:space="0" w:color="auto"/>
              <w:right w:val="single" w:sz="12" w:space="0" w:color="auto"/>
            </w:tcBorders>
          </w:tcPr>
          <w:p w14:paraId="715F52DA" w14:textId="47DD4A9D" w:rsidR="001A3BF9" w:rsidRPr="001A3BF9" w:rsidRDefault="001A3BF9" w:rsidP="001A3BF9">
            <w:pPr>
              <w:keepNext/>
              <w:keepLines/>
              <w:rPr>
                <w:rFonts w:eastAsia="Calibri"/>
                <w:lang w:val="en-US"/>
              </w:rPr>
            </w:pPr>
            <w:r w:rsidRPr="001A3BF9">
              <w:rPr>
                <w:rFonts w:eastAsia="Calibri"/>
                <w:lang w:val="en-US"/>
              </w:rPr>
              <w:t>22</w:t>
            </w:r>
            <w:r w:rsidR="00920EFA">
              <w:rPr>
                <w:rFonts w:eastAsia="Calibri"/>
                <w:lang w:val="en-US"/>
              </w:rPr>
              <w:t>7</w:t>
            </w:r>
          </w:p>
        </w:tc>
      </w:tr>
      <w:tr w:rsidR="001A3BF9" w:rsidRPr="001A3BF9" w14:paraId="4318A673"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E3D6E3" w14:textId="77777777" w:rsidR="001A3BF9" w:rsidRPr="001A3BF9" w:rsidRDefault="001A3BF9" w:rsidP="001A3BF9">
            <w:pPr>
              <w:keepNext/>
              <w:keepLines/>
              <w:rPr>
                <w:rFonts w:eastAsia="Calibri"/>
                <w:lang w:val="en-US"/>
              </w:rPr>
            </w:pPr>
            <w:r w:rsidRPr="001A3BF9">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B79FC0"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D78680F"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F3CE315" w14:textId="77777777" w:rsidR="001A3BF9" w:rsidRPr="001A3BF9" w:rsidRDefault="001A3BF9" w:rsidP="001A3BF9">
            <w:pPr>
              <w:keepNext/>
              <w:keepLines/>
              <w:rPr>
                <w:rFonts w:eastAsia="Calibri"/>
                <w:lang w:val="en-US"/>
              </w:rPr>
            </w:pPr>
            <w:r w:rsidRPr="001A3BF9">
              <w:rPr>
                <w:rFonts w:eastAsia="Calibri"/>
                <w:lang w:val="en-US"/>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DE0A273" w14:textId="77777777" w:rsidR="001A3BF9" w:rsidRPr="001A3BF9" w:rsidRDefault="001A3BF9" w:rsidP="001A3BF9">
            <w:pPr>
              <w:keepNext/>
              <w:keepLines/>
              <w:rPr>
                <w:rFonts w:eastAsia="Calibri"/>
                <w:lang w:val="en-US"/>
              </w:rPr>
            </w:pPr>
            <w:r w:rsidRPr="001A3BF9">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DC4FF81" w14:textId="77777777" w:rsidR="001A3BF9" w:rsidRPr="001A3BF9" w:rsidRDefault="001A3BF9" w:rsidP="001A3BF9">
            <w:pPr>
              <w:keepNext/>
              <w:keepLines/>
              <w:rPr>
                <w:rFonts w:eastAsia="Calibri"/>
                <w:lang w:val="en-US"/>
              </w:rPr>
            </w:pPr>
            <w:r w:rsidRPr="001A3BF9">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98AB6A7" w14:textId="77777777" w:rsidR="001A3BF9" w:rsidRPr="001A3BF9" w:rsidRDefault="001A3BF9" w:rsidP="001A3BF9">
            <w:pPr>
              <w:keepNext/>
              <w:keepLines/>
              <w:rPr>
                <w:rFonts w:eastAsia="Calibri"/>
                <w:lang w:val="en-US"/>
              </w:rPr>
            </w:pPr>
            <w:r w:rsidRPr="001A3BF9">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98E06C0" w14:textId="77777777" w:rsidR="001A3BF9" w:rsidRPr="001A3BF9" w:rsidRDefault="001A3BF9" w:rsidP="001A3BF9">
            <w:pPr>
              <w:keepNext/>
              <w:keepLines/>
              <w:rPr>
                <w:rFonts w:eastAsia="Calibri"/>
                <w:lang w:val="en-US"/>
              </w:rPr>
            </w:pPr>
            <w:r w:rsidRPr="001A3BF9">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8A5C4AD" w14:textId="77777777" w:rsidR="001A3BF9" w:rsidRPr="001A3BF9" w:rsidRDefault="001A3BF9" w:rsidP="001A3BF9">
            <w:pPr>
              <w:keepNext/>
              <w:keepLines/>
              <w:rPr>
                <w:rFonts w:eastAsia="Calibri"/>
                <w:lang w:val="en-US"/>
              </w:rPr>
            </w:pPr>
            <w:r w:rsidRPr="001A3BF9">
              <w:rPr>
                <w:rFonts w:eastAsia="Calibri"/>
                <w:lang w:val="en-US"/>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A76DAEB" w14:textId="77777777" w:rsidR="001A3BF9" w:rsidRPr="001A3BF9" w:rsidRDefault="001A3BF9" w:rsidP="001A3BF9">
            <w:pPr>
              <w:keepNext/>
              <w:keepLines/>
              <w:rPr>
                <w:rFonts w:eastAsia="Calibri"/>
                <w:lang w:val="en-US"/>
              </w:rPr>
            </w:pPr>
            <w:r w:rsidRPr="001A3BF9">
              <w:rPr>
                <w:rFonts w:eastAsia="Calibri"/>
                <w:lang w:val="en-US"/>
              </w:rPr>
              <w:t>120</w:t>
            </w:r>
          </w:p>
        </w:tc>
        <w:tc>
          <w:tcPr>
            <w:tcW w:w="600" w:type="dxa"/>
            <w:tcBorders>
              <w:top w:val="nil"/>
              <w:left w:val="single" w:sz="4" w:space="0" w:color="auto"/>
              <w:bottom w:val="single" w:sz="8" w:space="0" w:color="auto"/>
              <w:right w:val="single" w:sz="4" w:space="0" w:color="auto"/>
            </w:tcBorders>
            <w:hideMark/>
          </w:tcPr>
          <w:p w14:paraId="2CB93A72" w14:textId="77777777" w:rsidR="001A3BF9" w:rsidRPr="001A3BF9" w:rsidRDefault="001A3BF9" w:rsidP="001A3BF9">
            <w:pPr>
              <w:keepNext/>
              <w:keepLines/>
              <w:rPr>
                <w:rFonts w:eastAsia="Calibri"/>
                <w:lang w:val="en-US"/>
              </w:rPr>
            </w:pPr>
            <w:r w:rsidRPr="001A3BF9">
              <w:rPr>
                <w:rFonts w:eastAsia="Calibri"/>
                <w:lang w:val="en-US"/>
              </w:rPr>
              <w:t>147</w:t>
            </w:r>
          </w:p>
        </w:tc>
        <w:tc>
          <w:tcPr>
            <w:tcW w:w="645" w:type="dxa"/>
            <w:tcBorders>
              <w:top w:val="nil"/>
              <w:left w:val="single" w:sz="4" w:space="0" w:color="auto"/>
              <w:bottom w:val="single" w:sz="8" w:space="0" w:color="auto"/>
              <w:right w:val="single" w:sz="4" w:space="0" w:color="auto"/>
            </w:tcBorders>
            <w:hideMark/>
          </w:tcPr>
          <w:p w14:paraId="5903EF6B" w14:textId="77777777" w:rsidR="001A3BF9" w:rsidRPr="001A3BF9" w:rsidRDefault="001A3BF9" w:rsidP="001A3BF9">
            <w:pPr>
              <w:keepNext/>
              <w:keepLines/>
              <w:rPr>
                <w:rFonts w:eastAsia="Calibri"/>
                <w:lang w:val="en-US"/>
              </w:rPr>
            </w:pPr>
            <w:r w:rsidRPr="001A3BF9">
              <w:rPr>
                <w:rFonts w:eastAsia="Calibri"/>
                <w:lang w:val="en-US"/>
              </w:rPr>
              <w:t>156</w:t>
            </w:r>
          </w:p>
        </w:tc>
        <w:tc>
          <w:tcPr>
            <w:tcW w:w="630" w:type="dxa"/>
            <w:tcBorders>
              <w:top w:val="nil"/>
              <w:left w:val="single" w:sz="4" w:space="0" w:color="auto"/>
              <w:bottom w:val="single" w:sz="8" w:space="0" w:color="auto"/>
              <w:right w:val="single" w:sz="12" w:space="0" w:color="auto"/>
            </w:tcBorders>
            <w:hideMark/>
          </w:tcPr>
          <w:p w14:paraId="0704CB12" w14:textId="77777777" w:rsidR="001A3BF9" w:rsidRPr="001A3BF9" w:rsidRDefault="001A3BF9" w:rsidP="001A3BF9">
            <w:pPr>
              <w:keepNext/>
              <w:keepLines/>
              <w:rPr>
                <w:rFonts w:eastAsia="Calibri"/>
                <w:lang w:val="en-US"/>
              </w:rPr>
            </w:pPr>
            <w:r w:rsidRPr="001A3BF9">
              <w:rPr>
                <w:rFonts w:eastAsia="Calibri"/>
                <w:lang w:val="en-US"/>
              </w:rPr>
              <w:t>160</w:t>
            </w:r>
          </w:p>
        </w:tc>
        <w:tc>
          <w:tcPr>
            <w:tcW w:w="630" w:type="dxa"/>
            <w:tcBorders>
              <w:top w:val="nil"/>
              <w:left w:val="single" w:sz="4" w:space="0" w:color="auto"/>
              <w:bottom w:val="single" w:sz="8" w:space="0" w:color="auto"/>
              <w:right w:val="single" w:sz="12" w:space="0" w:color="auto"/>
            </w:tcBorders>
            <w:hideMark/>
          </w:tcPr>
          <w:p w14:paraId="5DEF13EE" w14:textId="77777777" w:rsidR="001A3BF9" w:rsidRPr="001A3BF9" w:rsidRDefault="001A3BF9" w:rsidP="001A3BF9">
            <w:pPr>
              <w:keepNext/>
              <w:keepLines/>
              <w:rPr>
                <w:rFonts w:eastAsia="Calibri"/>
                <w:lang w:val="en-US"/>
              </w:rPr>
            </w:pPr>
            <w:r w:rsidRPr="001A3BF9">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37DC799D" w14:textId="79F06CEC" w:rsidR="001A3BF9" w:rsidRPr="001A3BF9" w:rsidRDefault="001A3BF9" w:rsidP="001A3BF9">
            <w:pPr>
              <w:keepNext/>
              <w:keepLines/>
              <w:rPr>
                <w:rFonts w:eastAsia="Calibri"/>
                <w:lang w:val="en-US"/>
              </w:rPr>
            </w:pPr>
            <w:r w:rsidRPr="001A3BF9">
              <w:rPr>
                <w:rFonts w:eastAsia="Calibri"/>
                <w:lang w:val="en-US"/>
              </w:rPr>
              <w:t>17</w:t>
            </w:r>
            <w:r w:rsidR="00B0606B">
              <w:rPr>
                <w:rFonts w:eastAsia="Calibri"/>
                <w:lang w:val="en-US"/>
              </w:rPr>
              <w:t>0</w:t>
            </w:r>
          </w:p>
        </w:tc>
        <w:tc>
          <w:tcPr>
            <w:tcW w:w="630" w:type="dxa"/>
            <w:tcBorders>
              <w:top w:val="nil"/>
              <w:left w:val="single" w:sz="4" w:space="0" w:color="auto"/>
              <w:bottom w:val="single" w:sz="8" w:space="0" w:color="auto"/>
              <w:right w:val="single" w:sz="12" w:space="0" w:color="auto"/>
            </w:tcBorders>
          </w:tcPr>
          <w:p w14:paraId="203241F2" w14:textId="27941A3C" w:rsidR="001A3BF9" w:rsidRPr="001A3BF9" w:rsidRDefault="001A3BF9" w:rsidP="001A3BF9">
            <w:pPr>
              <w:keepNext/>
              <w:keepLines/>
              <w:rPr>
                <w:rFonts w:eastAsia="Calibri"/>
                <w:lang w:val="en-US"/>
              </w:rPr>
            </w:pPr>
            <w:r w:rsidRPr="001A3BF9">
              <w:rPr>
                <w:rFonts w:eastAsia="Calibri"/>
                <w:lang w:val="en-US"/>
              </w:rPr>
              <w:t>1</w:t>
            </w:r>
            <w:r w:rsidR="00920EFA">
              <w:rPr>
                <w:rFonts w:eastAsia="Calibri"/>
                <w:lang w:val="en-US"/>
              </w:rPr>
              <w:t>69</w:t>
            </w:r>
          </w:p>
        </w:tc>
      </w:tr>
      <w:tr w:rsidR="001A3BF9" w:rsidRPr="001A3BF9" w14:paraId="2CCA31C6" w14:textId="77777777" w:rsidTr="009A5D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3B652D6" w14:textId="77777777" w:rsidR="001A3BF9" w:rsidRPr="001A3BF9" w:rsidRDefault="001A3BF9" w:rsidP="001A3BF9">
            <w:pPr>
              <w:keepNext/>
              <w:keepLines/>
              <w:rPr>
                <w:rFonts w:eastAsia="Calibri"/>
                <w:lang w:val="en-US"/>
              </w:rPr>
            </w:pPr>
            <w:r w:rsidRPr="001A3BF9">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494930B" w14:textId="77777777" w:rsidR="001A3BF9" w:rsidRPr="001A3BF9" w:rsidRDefault="001A3BF9" w:rsidP="001A3BF9">
            <w:pPr>
              <w:keepNext/>
              <w:keepLines/>
              <w:rPr>
                <w:rFonts w:eastAsia="Calibri"/>
                <w:lang w:val="en-US"/>
              </w:rPr>
            </w:pPr>
            <w:r w:rsidRPr="001A3BF9">
              <w:rPr>
                <w:rFonts w:eastAsia="Calibri"/>
                <w:lang w:val="en-US"/>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2D9C26B" w14:textId="77777777" w:rsidR="001A3BF9" w:rsidRPr="001A3BF9" w:rsidRDefault="001A3BF9" w:rsidP="001A3BF9">
            <w:pPr>
              <w:keepNext/>
              <w:keepLines/>
              <w:rPr>
                <w:rFonts w:eastAsia="Calibri"/>
                <w:lang w:val="en-US"/>
              </w:rPr>
            </w:pPr>
            <w:r w:rsidRPr="001A3BF9">
              <w:rPr>
                <w:rFonts w:eastAsia="Calibri"/>
                <w:lang w:val="en-US"/>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7047045" w14:textId="77777777" w:rsidR="001A3BF9" w:rsidRPr="001A3BF9" w:rsidRDefault="001A3BF9" w:rsidP="001A3BF9">
            <w:pPr>
              <w:keepNext/>
              <w:keepLines/>
              <w:rPr>
                <w:rFonts w:eastAsia="Calibri"/>
                <w:lang w:val="en-US"/>
              </w:rPr>
            </w:pPr>
            <w:r w:rsidRPr="001A3BF9">
              <w:rPr>
                <w:rFonts w:eastAsia="Calibri"/>
                <w:lang w:val="en-US"/>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053C208" w14:textId="77777777" w:rsidR="001A3BF9" w:rsidRPr="001A3BF9" w:rsidRDefault="001A3BF9" w:rsidP="001A3BF9">
            <w:pPr>
              <w:keepNext/>
              <w:keepLines/>
              <w:rPr>
                <w:rFonts w:eastAsia="Calibri"/>
                <w:lang w:val="en-US"/>
              </w:rPr>
            </w:pPr>
            <w:r w:rsidRPr="001A3BF9">
              <w:rPr>
                <w:rFonts w:eastAsia="Calibri"/>
                <w:lang w:val="en-US"/>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847AB3C" w14:textId="77777777" w:rsidR="001A3BF9" w:rsidRPr="001A3BF9" w:rsidRDefault="001A3BF9" w:rsidP="001A3BF9">
            <w:pPr>
              <w:keepNext/>
              <w:keepLines/>
              <w:rPr>
                <w:rFonts w:eastAsia="Calibri"/>
                <w:lang w:val="en-US"/>
              </w:rPr>
            </w:pPr>
            <w:r w:rsidRPr="001A3BF9">
              <w:rPr>
                <w:rFonts w:eastAsia="Calibri"/>
                <w:lang w:val="en-US"/>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081003A" w14:textId="77777777" w:rsidR="001A3BF9" w:rsidRPr="001A3BF9" w:rsidRDefault="001A3BF9" w:rsidP="001A3BF9">
            <w:pPr>
              <w:keepNext/>
              <w:keepLines/>
              <w:rPr>
                <w:rFonts w:eastAsia="Calibri"/>
                <w:lang w:val="en-US"/>
              </w:rPr>
            </w:pPr>
            <w:r w:rsidRPr="001A3BF9">
              <w:rPr>
                <w:rFonts w:eastAsia="Calibri"/>
                <w:lang w:val="en-US"/>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7FF28C54" w14:textId="77777777" w:rsidR="001A3BF9" w:rsidRPr="001A3BF9" w:rsidRDefault="001A3BF9" w:rsidP="001A3BF9">
            <w:pPr>
              <w:keepNext/>
              <w:keepLines/>
              <w:rPr>
                <w:rFonts w:eastAsia="Calibri"/>
                <w:lang w:val="en-US"/>
              </w:rPr>
            </w:pPr>
            <w:r w:rsidRPr="001A3BF9">
              <w:rPr>
                <w:rFonts w:eastAsia="Calibri"/>
                <w:lang w:val="en-US"/>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6FE7BDD" w14:textId="77777777" w:rsidR="001A3BF9" w:rsidRPr="001A3BF9" w:rsidRDefault="001A3BF9" w:rsidP="001A3BF9">
            <w:pPr>
              <w:keepNext/>
              <w:keepLines/>
              <w:rPr>
                <w:rFonts w:eastAsia="Calibri"/>
                <w:lang w:val="en-US"/>
              </w:rPr>
            </w:pPr>
            <w:r w:rsidRPr="001A3BF9">
              <w:rPr>
                <w:rFonts w:eastAsia="Calibri"/>
                <w:lang w:val="en-US"/>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3BE27ED0" w14:textId="77777777" w:rsidR="001A3BF9" w:rsidRPr="001A3BF9" w:rsidRDefault="001A3BF9" w:rsidP="001A3BF9">
            <w:pPr>
              <w:keepNext/>
              <w:keepLines/>
              <w:rPr>
                <w:rFonts w:eastAsia="Calibri"/>
                <w:lang w:val="en-US"/>
              </w:rPr>
            </w:pPr>
            <w:r w:rsidRPr="001A3BF9">
              <w:rPr>
                <w:rFonts w:eastAsia="Calibri"/>
                <w:lang w:val="en-US"/>
              </w:rPr>
              <w:t>511</w:t>
            </w:r>
          </w:p>
        </w:tc>
        <w:tc>
          <w:tcPr>
            <w:tcW w:w="600" w:type="dxa"/>
            <w:tcBorders>
              <w:top w:val="nil"/>
              <w:left w:val="single" w:sz="4" w:space="0" w:color="auto"/>
              <w:bottom w:val="single" w:sz="12" w:space="0" w:color="auto"/>
              <w:right w:val="single" w:sz="4" w:space="0" w:color="auto"/>
            </w:tcBorders>
            <w:hideMark/>
          </w:tcPr>
          <w:p w14:paraId="7B27CDDF" w14:textId="77777777" w:rsidR="001A3BF9" w:rsidRPr="001A3BF9" w:rsidRDefault="001A3BF9" w:rsidP="001A3BF9">
            <w:pPr>
              <w:keepNext/>
              <w:keepLines/>
              <w:rPr>
                <w:rFonts w:eastAsia="Calibri"/>
                <w:lang w:val="en-US"/>
              </w:rPr>
            </w:pPr>
            <w:r w:rsidRPr="001A3BF9">
              <w:rPr>
                <w:rFonts w:eastAsia="Calibri"/>
                <w:lang w:val="en-US"/>
              </w:rPr>
              <w:t>556</w:t>
            </w:r>
          </w:p>
        </w:tc>
        <w:tc>
          <w:tcPr>
            <w:tcW w:w="645" w:type="dxa"/>
            <w:tcBorders>
              <w:top w:val="nil"/>
              <w:left w:val="single" w:sz="4" w:space="0" w:color="auto"/>
              <w:bottom w:val="single" w:sz="12" w:space="0" w:color="auto"/>
              <w:right w:val="single" w:sz="4" w:space="0" w:color="auto"/>
            </w:tcBorders>
            <w:hideMark/>
          </w:tcPr>
          <w:p w14:paraId="4111DBD3" w14:textId="77777777" w:rsidR="001A3BF9" w:rsidRPr="001A3BF9" w:rsidRDefault="001A3BF9" w:rsidP="001A3BF9">
            <w:pPr>
              <w:keepNext/>
              <w:keepLines/>
              <w:rPr>
                <w:rFonts w:eastAsia="Calibri"/>
                <w:lang w:val="en-US"/>
              </w:rPr>
            </w:pPr>
            <w:r w:rsidRPr="001A3BF9">
              <w:rPr>
                <w:rFonts w:eastAsia="Calibri"/>
                <w:lang w:val="en-US"/>
              </w:rPr>
              <w:t>600</w:t>
            </w:r>
          </w:p>
        </w:tc>
        <w:tc>
          <w:tcPr>
            <w:tcW w:w="630" w:type="dxa"/>
            <w:tcBorders>
              <w:top w:val="nil"/>
              <w:left w:val="single" w:sz="4" w:space="0" w:color="auto"/>
              <w:bottom w:val="single" w:sz="12" w:space="0" w:color="auto"/>
              <w:right w:val="single" w:sz="12" w:space="0" w:color="auto"/>
            </w:tcBorders>
            <w:hideMark/>
          </w:tcPr>
          <w:p w14:paraId="652AF236" w14:textId="77777777" w:rsidR="001A3BF9" w:rsidRPr="001A3BF9" w:rsidRDefault="001A3BF9" w:rsidP="001A3BF9">
            <w:pPr>
              <w:keepNext/>
              <w:keepLines/>
              <w:rPr>
                <w:rFonts w:eastAsia="Calibri"/>
                <w:lang w:val="en-US"/>
              </w:rPr>
            </w:pPr>
            <w:r w:rsidRPr="001A3BF9">
              <w:rPr>
                <w:rFonts w:eastAsia="Calibri"/>
                <w:lang w:val="en-US"/>
              </w:rPr>
              <w:t>629</w:t>
            </w:r>
          </w:p>
        </w:tc>
        <w:tc>
          <w:tcPr>
            <w:tcW w:w="630" w:type="dxa"/>
            <w:tcBorders>
              <w:top w:val="nil"/>
              <w:left w:val="single" w:sz="4" w:space="0" w:color="auto"/>
              <w:bottom w:val="single" w:sz="12" w:space="0" w:color="auto"/>
              <w:right w:val="single" w:sz="12" w:space="0" w:color="auto"/>
            </w:tcBorders>
            <w:hideMark/>
          </w:tcPr>
          <w:p w14:paraId="3B9AE32D" w14:textId="77777777" w:rsidR="001A3BF9" w:rsidRPr="001A3BF9" w:rsidRDefault="001A3BF9" w:rsidP="001A3BF9">
            <w:pPr>
              <w:keepNext/>
              <w:keepLines/>
              <w:rPr>
                <w:rFonts w:eastAsia="Calibri"/>
                <w:lang w:val="en-US"/>
              </w:rPr>
            </w:pPr>
            <w:r w:rsidRPr="001A3BF9">
              <w:rPr>
                <w:rFonts w:eastAsia="Calibri"/>
                <w:lang w:val="en-US"/>
              </w:rPr>
              <w:t>644</w:t>
            </w:r>
          </w:p>
        </w:tc>
        <w:tc>
          <w:tcPr>
            <w:tcW w:w="630" w:type="dxa"/>
            <w:tcBorders>
              <w:top w:val="nil"/>
              <w:left w:val="single" w:sz="4" w:space="0" w:color="auto"/>
              <w:bottom w:val="single" w:sz="12" w:space="0" w:color="auto"/>
              <w:right w:val="single" w:sz="12" w:space="0" w:color="auto"/>
            </w:tcBorders>
            <w:hideMark/>
          </w:tcPr>
          <w:p w14:paraId="4009FBDB" w14:textId="7B1FBD36" w:rsidR="001A3BF9" w:rsidRPr="001A3BF9" w:rsidRDefault="001A3BF9" w:rsidP="001A3BF9">
            <w:pPr>
              <w:keepNext/>
              <w:keepLines/>
              <w:rPr>
                <w:rFonts w:eastAsia="Calibri"/>
                <w:lang w:val="en-US"/>
              </w:rPr>
            </w:pPr>
            <w:r w:rsidRPr="001A3BF9">
              <w:rPr>
                <w:rFonts w:eastAsia="Calibri"/>
                <w:lang w:val="en-US"/>
              </w:rPr>
              <w:t>65</w:t>
            </w:r>
            <w:r w:rsidR="00B0606B">
              <w:rPr>
                <w:rFonts w:eastAsia="Calibri"/>
                <w:lang w:val="en-US"/>
              </w:rPr>
              <w:t>3</w:t>
            </w:r>
          </w:p>
        </w:tc>
        <w:tc>
          <w:tcPr>
            <w:tcW w:w="630" w:type="dxa"/>
            <w:tcBorders>
              <w:top w:val="nil"/>
              <w:left w:val="single" w:sz="4" w:space="0" w:color="auto"/>
              <w:bottom w:val="single" w:sz="12" w:space="0" w:color="auto"/>
              <w:right w:val="single" w:sz="12" w:space="0" w:color="auto"/>
            </w:tcBorders>
          </w:tcPr>
          <w:p w14:paraId="5A0FD779" w14:textId="0F9DEDB4" w:rsidR="001A3BF9" w:rsidRPr="001A3BF9" w:rsidRDefault="001A3BF9" w:rsidP="001A3BF9">
            <w:pPr>
              <w:keepNext/>
              <w:keepLines/>
              <w:rPr>
                <w:rFonts w:eastAsia="Calibri"/>
                <w:lang w:val="en-US"/>
              </w:rPr>
            </w:pPr>
            <w:r w:rsidRPr="001A3BF9">
              <w:rPr>
                <w:rFonts w:eastAsia="Calibri"/>
                <w:lang w:val="en-US"/>
              </w:rPr>
              <w:t>66</w:t>
            </w:r>
            <w:r w:rsidR="00920EFA">
              <w:rPr>
                <w:rFonts w:eastAsia="Calibri"/>
                <w:lang w:val="en-US"/>
              </w:rPr>
              <w:t>8</w:t>
            </w:r>
          </w:p>
        </w:tc>
      </w:tr>
    </w:tbl>
    <w:p w14:paraId="63E43339" w14:textId="77777777" w:rsidR="001A3BF9" w:rsidRPr="001A3BF9" w:rsidRDefault="001A3BF9" w:rsidP="001A3BF9">
      <w:pPr>
        <w:keepNext/>
        <w:keepLines/>
        <w:jc w:val="center"/>
        <w:rPr>
          <w:rFonts w:eastAsia="Calibri"/>
        </w:rPr>
      </w:pPr>
      <w:r w:rsidRPr="001A3BF9">
        <w:rPr>
          <w:rFonts w:eastAsia="Calibri"/>
        </w:rPr>
        <w:t>NOTE – Some of the figures in the table above have been subject to retroactive changes.</w:t>
      </w:r>
    </w:p>
    <w:p w14:paraId="448DF7AF" w14:textId="4C88D738" w:rsidR="001A3BF9" w:rsidRPr="001A3BF9" w:rsidRDefault="00920EFA" w:rsidP="001A3BF9">
      <w:pPr>
        <w:keepNext/>
        <w:keepLines/>
        <w:jc w:val="center"/>
        <w:rPr>
          <w:rFonts w:eastAsia="Calibri"/>
        </w:rPr>
      </w:pPr>
      <w:r>
        <w:rPr>
          <w:noProof/>
        </w:rPr>
        <w:lastRenderedPageBreak/>
        <w:drawing>
          <wp:inline distT="0" distB="0" distL="0" distR="0" wp14:anchorId="38B56BC4" wp14:editId="22F411AD">
            <wp:extent cx="5076825" cy="3209925"/>
            <wp:effectExtent l="0" t="0" r="9525" b="9525"/>
            <wp:docPr id="2296962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14:paraId="19D69F03" w14:textId="0794D994" w:rsidR="001A3BF9" w:rsidRDefault="001A3BF9" w:rsidP="001A3BF9">
      <w:pPr>
        <w:keepNext/>
        <w:keepLines/>
        <w:jc w:val="center"/>
        <w:rPr>
          <w:rFonts w:eastAsia="Calibri"/>
        </w:rPr>
      </w:pPr>
      <w:r w:rsidRPr="001A3BF9">
        <w:rPr>
          <w:rFonts w:eastAsia="Calibri"/>
          <w:b/>
        </w:rPr>
        <w:t xml:space="preserve">Figure </w:t>
      </w:r>
      <w:r w:rsidR="00DB5555">
        <w:rPr>
          <w:rFonts w:eastAsia="Calibri"/>
          <w:b/>
        </w:rPr>
        <w:t>2</w:t>
      </w:r>
      <w:r w:rsidRPr="001A3BF9">
        <w:rPr>
          <w:rFonts w:eastAsia="Calibri"/>
          <w:b/>
        </w:rPr>
        <w:t xml:space="preserve"> – Evolution of ITU-T membership from 31 December 2009 to </w:t>
      </w:r>
      <w:r w:rsidR="00920EFA">
        <w:rPr>
          <w:rFonts w:eastAsia="Calibri"/>
          <w:b/>
        </w:rPr>
        <w:t>20 December</w:t>
      </w:r>
      <w:r w:rsidRPr="001A3BF9">
        <w:rPr>
          <w:rFonts w:eastAsia="Calibri"/>
          <w:b/>
          <w:bCs/>
        </w:rPr>
        <w:t xml:space="preserve"> </w:t>
      </w:r>
      <w:r w:rsidRPr="001A3BF9">
        <w:rPr>
          <w:rFonts w:eastAsia="Calibri"/>
          <w:b/>
        </w:rPr>
        <w:t>2023</w:t>
      </w:r>
    </w:p>
    <w:p w14:paraId="640C620C" w14:textId="1AB12B4B"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55" w:name="_10_Virtual_meetings"/>
      <w:bookmarkStart w:id="156" w:name="_Toc462664274"/>
      <w:bookmarkStart w:id="157" w:name="_Toc480527863"/>
      <w:bookmarkStart w:id="158" w:name="_11_Bridging_the"/>
      <w:bookmarkStart w:id="159" w:name="_12_Bridging_the"/>
      <w:bookmarkStart w:id="160" w:name="_Toc416161356"/>
      <w:bookmarkStart w:id="161" w:name="_Toc438553979"/>
      <w:bookmarkStart w:id="162" w:name="_Toc453929098"/>
      <w:bookmarkStart w:id="163" w:name="_Toc453932969"/>
      <w:bookmarkStart w:id="164" w:name="_Toc454295875"/>
      <w:bookmarkStart w:id="165" w:name="_Toc480527846"/>
      <w:bookmarkStart w:id="166" w:name="_Toc51042269"/>
      <w:bookmarkStart w:id="167" w:name="_Toc156392434"/>
      <w:bookmarkStart w:id="168" w:name="_Toc453929120"/>
      <w:bookmarkStart w:id="169" w:name="_Toc453932991"/>
      <w:bookmarkStart w:id="170" w:name="_Toc454295897"/>
      <w:bookmarkStart w:id="171" w:name="_Toc387390042"/>
      <w:bookmarkStart w:id="172" w:name="_Toc416161372"/>
      <w:bookmarkStart w:id="173" w:name="_Toc438553998"/>
      <w:bookmarkEnd w:id="146"/>
      <w:bookmarkEnd w:id="147"/>
      <w:bookmarkEnd w:id="148"/>
      <w:bookmarkEnd w:id="149"/>
      <w:bookmarkEnd w:id="150"/>
      <w:bookmarkEnd w:id="151"/>
      <w:bookmarkEnd w:id="152"/>
      <w:bookmarkEnd w:id="153"/>
      <w:bookmarkEnd w:id="155"/>
      <w:bookmarkEnd w:id="156"/>
      <w:bookmarkEnd w:id="157"/>
      <w:bookmarkEnd w:id="158"/>
      <w:bookmarkEnd w:id="159"/>
      <w:r>
        <w:rPr>
          <w:rFonts w:eastAsiaTheme="minorEastAsia"/>
        </w:rPr>
        <w:t>1</w:t>
      </w:r>
      <w:r w:rsidR="005C2626">
        <w:rPr>
          <w:rFonts w:eastAsiaTheme="minorEastAsia"/>
        </w:rPr>
        <w:t>2</w:t>
      </w:r>
      <w:r w:rsidR="00B83A2A" w:rsidRPr="00C32576">
        <w:rPr>
          <w:rFonts w:eastAsiaTheme="minorEastAsia"/>
        </w:rPr>
        <w:tab/>
      </w:r>
      <w:r w:rsidR="00B83A2A" w:rsidRPr="00C32576">
        <w:t xml:space="preserve">Bridging the standardization </w:t>
      </w:r>
      <w:proofErr w:type="gramStart"/>
      <w:r w:rsidR="00B83A2A" w:rsidRPr="00C5776F">
        <w:t>gap</w:t>
      </w:r>
      <w:bookmarkEnd w:id="160"/>
      <w:bookmarkEnd w:id="161"/>
      <w:bookmarkEnd w:id="162"/>
      <w:bookmarkEnd w:id="163"/>
      <w:bookmarkEnd w:id="164"/>
      <w:bookmarkEnd w:id="165"/>
      <w:bookmarkEnd w:id="166"/>
      <w:bookmarkEnd w:id="167"/>
      <w:proofErr w:type="gramEnd"/>
    </w:p>
    <w:p w14:paraId="6E6D884D" w14:textId="31BED4DA" w:rsidR="006C076E" w:rsidRPr="006C076E" w:rsidRDefault="009A3DC3" w:rsidP="006C076E">
      <w:hyperlink r:id="rId189" w:history="1">
        <w:r w:rsidR="006C076E" w:rsidRPr="006C076E">
          <w:rPr>
            <w:rStyle w:val="Hyperlink"/>
          </w:rPr>
          <w:t xml:space="preserve">ITU's Bridging the Standardization Gap (BSG) </w:t>
        </w:r>
        <w:r w:rsidR="00B44AD8">
          <w:rPr>
            <w:rStyle w:val="Hyperlink"/>
          </w:rPr>
          <w:t>P</w:t>
        </w:r>
        <w:r w:rsidR="006C076E" w:rsidRPr="006C076E">
          <w:rPr>
            <w:rStyle w:val="Hyperlink"/>
          </w:rPr>
          <w:t>rogra</w:t>
        </w:r>
        <w:r w:rsidR="004D3073">
          <w:rPr>
            <w:rStyle w:val="Hyperlink"/>
          </w:rPr>
          <w:t>mme</w:t>
        </w:r>
      </w:hyperlink>
      <w:r w:rsidR="00CA37AB">
        <w:t xml:space="preserve">, recently re-envisioned, </w:t>
      </w:r>
      <w:r w:rsidR="006C076E" w:rsidRPr="006C076E">
        <w:t>aims to enhance the ability of all countries, in particular developing countries, to participate in the</w:t>
      </w:r>
      <w:r w:rsidR="006C076E" w:rsidRPr="006C076E">
        <w:rPr>
          <w:i/>
          <w:iCs/>
        </w:rPr>
        <w:t xml:space="preserve"> </w:t>
      </w:r>
      <w:r w:rsidR="006C076E" w:rsidRPr="006C076E">
        <w:t>development and implementation of ITU-T standards.</w:t>
      </w:r>
    </w:p>
    <w:p w14:paraId="7B12E176" w14:textId="08F1E912" w:rsidR="006C076E" w:rsidRPr="006C076E" w:rsidRDefault="006C076E" w:rsidP="006C076E">
      <w:r w:rsidRPr="006C076E">
        <w:t xml:space="preserve">The </w:t>
      </w:r>
      <w:r w:rsidR="00CA37AB">
        <w:t xml:space="preserve">new </w:t>
      </w:r>
      <w:r w:rsidRPr="006C076E">
        <w:t xml:space="preserve">BSG </w:t>
      </w:r>
      <w:r w:rsidR="00B44AD8">
        <w:t>P</w:t>
      </w:r>
      <w:r w:rsidRPr="006C076E">
        <w:t>rogram</w:t>
      </w:r>
      <w:r w:rsidR="004D3073">
        <w:t>me</w:t>
      </w:r>
      <w:r w:rsidRPr="006C076E">
        <w:t xml:space="preserve">, considering WTSA Resolution 44 </w:t>
      </w:r>
      <w:r w:rsidRPr="006C076E">
        <w:rPr>
          <w:i/>
          <w:iCs/>
        </w:rPr>
        <w:t>inter alia</w:t>
      </w:r>
      <w:r w:rsidRPr="006C076E">
        <w:t xml:space="preserve">, has two main strategic pillars – </w:t>
      </w:r>
      <w:r w:rsidRPr="006C076E">
        <w:rPr>
          <w:i/>
          <w:iCs/>
        </w:rPr>
        <w:t>Development</w:t>
      </w:r>
      <w:r w:rsidRPr="006C076E">
        <w:t xml:space="preserve"> and </w:t>
      </w:r>
      <w:r w:rsidRPr="006C076E">
        <w:rPr>
          <w:i/>
          <w:iCs/>
        </w:rPr>
        <w:t>Implementation –</w:t>
      </w:r>
      <w:r w:rsidRPr="006C076E">
        <w:t xml:space="preserve"> supported by </w:t>
      </w:r>
      <w:r w:rsidRPr="006C076E">
        <w:rPr>
          <w:i/>
          <w:iCs/>
        </w:rPr>
        <w:t xml:space="preserve">Resources </w:t>
      </w:r>
      <w:r w:rsidRPr="006C076E">
        <w:t xml:space="preserve">and </w:t>
      </w:r>
      <w:r w:rsidRPr="006C076E">
        <w:rPr>
          <w:i/>
          <w:iCs/>
        </w:rPr>
        <w:t>Partnership</w:t>
      </w:r>
      <w:r w:rsidRPr="006C076E">
        <w:t xml:space="preserve">. Japan's Ministry of Internal Affairs and Communications </w:t>
      </w:r>
      <w:r w:rsidR="00CA37AB">
        <w:t xml:space="preserve">(MIC) </w:t>
      </w:r>
      <w:r w:rsidRPr="006C076E">
        <w:t xml:space="preserve">funded the BSG </w:t>
      </w:r>
      <w:r w:rsidR="00B44AD8">
        <w:t>Program</w:t>
      </w:r>
      <w:r w:rsidR="004D3073">
        <w:t>me</w:t>
      </w:r>
      <w:r w:rsidR="00B44AD8">
        <w:t xml:space="preserve"> </w:t>
      </w:r>
      <w:r w:rsidRPr="006C076E">
        <w:t xml:space="preserve">in 2023, encouraging others to join the </w:t>
      </w:r>
      <w:r w:rsidR="00B44AD8">
        <w:t>new BSG P</w:t>
      </w:r>
      <w:r w:rsidRPr="006C076E">
        <w:t>rogram</w:t>
      </w:r>
      <w:r w:rsidR="004D3073">
        <w:t>me</w:t>
      </w:r>
      <w:r w:rsidRPr="006C076E">
        <w:t>.</w:t>
      </w:r>
    </w:p>
    <w:p w14:paraId="79D35396" w14:textId="77777777" w:rsidR="006C076E" w:rsidRDefault="006C076E" w:rsidP="006C076E">
      <w:pPr>
        <w:rPr>
          <w:rFonts w:eastAsia="SimSun"/>
        </w:rPr>
      </w:pPr>
      <w:r w:rsidRPr="009077EF">
        <w:rPr>
          <w:rFonts w:eastAsia="SimSun"/>
          <w:b/>
          <w:bCs/>
          <w:i/>
          <w:iCs/>
        </w:rPr>
        <w:t>Development:</w:t>
      </w:r>
      <w:r w:rsidRPr="009077EF">
        <w:rPr>
          <w:rFonts w:eastAsia="SimSun"/>
        </w:rPr>
        <w:t xml:space="preserve"> This pillar focuses on enhancing the standards-formulation capabilities of delegates from all countries, in particular developing countries</w:t>
      </w:r>
      <w:r>
        <w:rPr>
          <w:rFonts w:eastAsia="SimSun"/>
        </w:rPr>
        <w:t xml:space="preserve">. Activities under the pillar include: </w:t>
      </w:r>
    </w:p>
    <w:p w14:paraId="7882647C" w14:textId="77777777" w:rsidR="006C076E" w:rsidRPr="006C076E" w:rsidRDefault="006C076E" w:rsidP="00770357">
      <w:pPr>
        <w:numPr>
          <w:ilvl w:val="0"/>
          <w:numId w:val="33"/>
        </w:numPr>
      </w:pPr>
      <w:r w:rsidRPr="006C076E">
        <w:t>Data analytics driven by close coordination and cooperation among TSB departments with respect to PP Resolution 71.</w:t>
      </w:r>
    </w:p>
    <w:p w14:paraId="3D55EDF8" w14:textId="77777777" w:rsidR="006C076E" w:rsidRPr="006C076E" w:rsidRDefault="006C076E" w:rsidP="00770357">
      <w:pPr>
        <w:numPr>
          <w:ilvl w:val="0"/>
          <w:numId w:val="33"/>
        </w:numPr>
      </w:pPr>
      <w:r w:rsidRPr="006C076E">
        <w:t>Physical and remote BSG trainings in close coordination and cooperation with ITU-T study groups and regional groups as well as ITU Regional and Area Offices (e.g., Regional Development Forums).</w:t>
      </w:r>
    </w:p>
    <w:p w14:paraId="249725ED" w14:textId="77777777" w:rsidR="006C076E" w:rsidRPr="006C076E" w:rsidRDefault="006C076E" w:rsidP="00770357">
      <w:pPr>
        <w:numPr>
          <w:ilvl w:val="0"/>
          <w:numId w:val="33"/>
        </w:numPr>
      </w:pPr>
      <w:r w:rsidRPr="006C076E">
        <w:t>Guidelines to create National Standardization Secretariats.</w:t>
      </w:r>
    </w:p>
    <w:p w14:paraId="1262DB8A" w14:textId="1440C62F" w:rsidR="006C076E" w:rsidRPr="00C32576" w:rsidRDefault="006C076E" w:rsidP="00770357">
      <w:pPr>
        <w:numPr>
          <w:ilvl w:val="0"/>
          <w:numId w:val="33"/>
        </w:numPr>
      </w:pPr>
      <w:r w:rsidRPr="006C076E">
        <w:t>Fellowships, supported by the systematic coordination and collaboration being established between TSB and BDT.</w:t>
      </w:r>
    </w:p>
    <w:p w14:paraId="12B2336E" w14:textId="065B940B" w:rsidR="006C076E" w:rsidRDefault="006C076E" w:rsidP="00B83A2A">
      <w:r w:rsidRPr="006C076E">
        <w:rPr>
          <w:b/>
          <w:bCs/>
          <w:i/>
          <w:iCs/>
        </w:rPr>
        <w:t>Implementation:</w:t>
      </w:r>
      <w:r w:rsidRPr="006C076E">
        <w:t xml:space="preserve"> This pillar is oriented towards </w:t>
      </w:r>
      <w:r w:rsidR="00DB5555">
        <w:t xml:space="preserve">supporting </w:t>
      </w:r>
      <w:r w:rsidRPr="006C076E">
        <w:t xml:space="preserve">the </w:t>
      </w:r>
      <w:r w:rsidR="00DB5555">
        <w:t xml:space="preserve">implementation of ITU-T standards, including </w:t>
      </w:r>
      <w:r w:rsidRPr="006C076E">
        <w:t xml:space="preserve">in alignment with national plans, </w:t>
      </w:r>
      <w:proofErr w:type="gramStart"/>
      <w:r w:rsidRPr="006C076E">
        <w:t>policies</w:t>
      </w:r>
      <w:proofErr w:type="gramEnd"/>
      <w:r w:rsidRPr="006C076E">
        <w:t xml:space="preserve"> and regulations. Activities under the pillar include:</w:t>
      </w:r>
    </w:p>
    <w:p w14:paraId="54FDC126" w14:textId="70A85D21" w:rsidR="006C076E" w:rsidRPr="006C076E" w:rsidRDefault="006C076E" w:rsidP="00770357">
      <w:pPr>
        <w:numPr>
          <w:ilvl w:val="0"/>
          <w:numId w:val="34"/>
        </w:numPr>
      </w:pPr>
      <w:r w:rsidRPr="006C076E">
        <w:t xml:space="preserve">Identification and outreach of thematic initiatives and priorities (e.g., </w:t>
      </w:r>
      <w:bookmarkStart w:id="174" w:name="_Hlk155178488"/>
      <w:r w:rsidRPr="006C076E">
        <w:t>DFS Security Lab, Cyber Defence Centre 4 Developing Countries, United for Smart Sustainable Cities, C&amp;I Programme, Make Listening Safe initiative,</w:t>
      </w:r>
      <w:bookmarkEnd w:id="174"/>
      <w:r w:rsidRPr="006C076E">
        <w:t xml:space="preserve"> etc.) in close collaboration with ITU-T SGs. </w:t>
      </w:r>
    </w:p>
    <w:p w14:paraId="25E7AA38" w14:textId="77777777" w:rsidR="006C076E" w:rsidRPr="006C076E" w:rsidRDefault="006C076E" w:rsidP="00770357">
      <w:pPr>
        <w:numPr>
          <w:ilvl w:val="0"/>
          <w:numId w:val="34"/>
        </w:numPr>
      </w:pPr>
      <w:r w:rsidRPr="006C076E">
        <w:t>Regular and continuous coordination with ITU Regional and Area Offices for enhancing cooperation and partnership.</w:t>
      </w:r>
    </w:p>
    <w:p w14:paraId="6A67D1C1" w14:textId="2FC3FE5C" w:rsidR="006C076E" w:rsidRDefault="006C076E" w:rsidP="00B83A2A">
      <w:r w:rsidRPr="006C076E">
        <w:rPr>
          <w:b/>
          <w:bCs/>
        </w:rPr>
        <w:lastRenderedPageBreak/>
        <w:t>BSG hands-on training sessions:</w:t>
      </w:r>
      <w:r w:rsidRPr="006C076E">
        <w:t xml:space="preserve"> TSB continues to conduct "BSG Hands-On effectiveness training for ITU-T SGs" focused on the development of practical skills to maximize the effectiveness of developing countries' participation in the ITU-T standardization process. These training sessions cover topics including strategies for participation in ITU-T SGs, drafting contributions to meetings, presenting proposals, collaborative working methods, building consensus and the utilization of TSB tools and services. Under the </w:t>
      </w:r>
      <w:r w:rsidR="00B44AD8">
        <w:t>new</w:t>
      </w:r>
      <w:r w:rsidRPr="006C076E">
        <w:t xml:space="preserve"> BSG </w:t>
      </w:r>
      <w:r w:rsidR="00B44AD8">
        <w:t>P</w:t>
      </w:r>
      <w:r w:rsidRPr="006C076E">
        <w:t>rogram</w:t>
      </w:r>
      <w:r w:rsidR="004D3073">
        <w:t>me</w:t>
      </w:r>
      <w:r w:rsidRPr="006C076E">
        <w:t>, the trainings will be further streamlined to cater to the different levels of standard-making expertise and experience of ITU-T delegates from the developing countries inter alia.</w:t>
      </w:r>
    </w:p>
    <w:p w14:paraId="458B16AA" w14:textId="77777777" w:rsidR="006C076E" w:rsidRPr="00AC439E" w:rsidRDefault="006C076E" w:rsidP="006C076E">
      <w:pPr>
        <w:tabs>
          <w:tab w:val="left" w:pos="1134"/>
          <w:tab w:val="left" w:pos="1871"/>
          <w:tab w:val="left" w:pos="2268"/>
        </w:tabs>
        <w:overflowPunct w:val="0"/>
        <w:autoSpaceDE w:val="0"/>
        <w:autoSpaceDN w:val="0"/>
        <w:adjustRightInd w:val="0"/>
        <w:spacing w:before="240"/>
        <w:textAlignment w:val="baseline"/>
        <w:rPr>
          <w:rFonts w:eastAsia="SimSun"/>
        </w:rPr>
      </w:pPr>
      <w:r w:rsidRPr="00AC439E">
        <w:rPr>
          <w:rFonts w:eastAsia="SimSun"/>
        </w:rPr>
        <w:t xml:space="preserve">BSG training sessions were </w:t>
      </w:r>
      <w:r>
        <w:rPr>
          <w:rFonts w:eastAsia="SimSun"/>
        </w:rPr>
        <w:t xml:space="preserve">organized in co-location with the following meetings during </w:t>
      </w:r>
      <w:r w:rsidRPr="00AC439E">
        <w:rPr>
          <w:rFonts w:eastAsia="SimSun"/>
        </w:rPr>
        <w:t>the reporting period</w:t>
      </w:r>
      <w:r>
        <w:rPr>
          <w:rFonts w:eastAsia="SimSun"/>
        </w:rPr>
        <w:t xml:space="preserve"> to optimize resources and results</w:t>
      </w:r>
      <w:r w:rsidRPr="00AC439E">
        <w:rPr>
          <w:rFonts w:eastAsia="SimSun"/>
        </w:rPr>
        <w:t xml:space="preserve">: </w:t>
      </w:r>
    </w:p>
    <w:p w14:paraId="37BE02AA" w14:textId="77777777" w:rsidR="006C076E" w:rsidRPr="006C076E" w:rsidRDefault="006C076E" w:rsidP="00770357">
      <w:pPr>
        <w:numPr>
          <w:ilvl w:val="0"/>
          <w:numId w:val="19"/>
        </w:numPr>
        <w:rPr>
          <w:lang w:val="de-DE"/>
        </w:rPr>
      </w:pPr>
      <w:r w:rsidRPr="006C076E">
        <w:rPr>
          <w:lang w:val="de-DE"/>
        </w:rPr>
        <w:t>SG5RG-AP, Bangkok, Thailand, 11-12 September 2023</w:t>
      </w:r>
    </w:p>
    <w:p w14:paraId="0F78FD0A" w14:textId="77777777" w:rsidR="006C076E" w:rsidRPr="006C076E" w:rsidRDefault="006C076E" w:rsidP="00770357">
      <w:pPr>
        <w:numPr>
          <w:ilvl w:val="0"/>
          <w:numId w:val="19"/>
        </w:numPr>
        <w:rPr>
          <w:lang w:val="de-DE"/>
        </w:rPr>
      </w:pPr>
      <w:r w:rsidRPr="006C076E">
        <w:rPr>
          <w:lang w:val="de-DE"/>
        </w:rPr>
        <w:t>SG11, Geneva, 10-20 October 2023</w:t>
      </w:r>
    </w:p>
    <w:p w14:paraId="2F9034D6" w14:textId="77777777" w:rsidR="006C076E" w:rsidRPr="006C076E" w:rsidRDefault="006C076E" w:rsidP="00770357">
      <w:pPr>
        <w:numPr>
          <w:ilvl w:val="0"/>
          <w:numId w:val="19"/>
        </w:numPr>
        <w:rPr>
          <w:lang w:val="de-DE"/>
        </w:rPr>
      </w:pPr>
      <w:r w:rsidRPr="006C076E">
        <w:rPr>
          <w:lang w:val="de-DE"/>
        </w:rPr>
        <w:t>SG2RG-AFR, Abidjan, Côte d'Ivoire, 21-22 September 2023</w:t>
      </w:r>
    </w:p>
    <w:p w14:paraId="4A47C52A" w14:textId="08CBBE63" w:rsidR="006C076E" w:rsidRPr="006C076E" w:rsidRDefault="006C076E" w:rsidP="00770357">
      <w:pPr>
        <w:numPr>
          <w:ilvl w:val="0"/>
          <w:numId w:val="19"/>
        </w:numPr>
        <w:rPr>
          <w:lang w:val="de-DE"/>
        </w:rPr>
      </w:pPr>
      <w:r w:rsidRPr="006C076E">
        <w:rPr>
          <w:lang w:val="de-DE"/>
        </w:rPr>
        <w:t xml:space="preserve">SG13, Geneva, 23 October </w:t>
      </w:r>
      <w:r w:rsidR="00161F18">
        <w:rPr>
          <w:lang w:val="de-DE"/>
        </w:rPr>
        <w:t>-</w:t>
      </w:r>
      <w:r w:rsidRPr="006C076E">
        <w:rPr>
          <w:lang w:val="de-DE"/>
        </w:rPr>
        <w:t xml:space="preserve"> 3 November 2023 </w:t>
      </w:r>
    </w:p>
    <w:p w14:paraId="3E63CAC7" w14:textId="77777777" w:rsidR="006C076E" w:rsidRPr="006C076E" w:rsidRDefault="006C076E" w:rsidP="00770357">
      <w:pPr>
        <w:numPr>
          <w:ilvl w:val="0"/>
          <w:numId w:val="19"/>
        </w:numPr>
        <w:rPr>
          <w:lang w:val="de-DE"/>
        </w:rPr>
      </w:pPr>
      <w:r w:rsidRPr="006C076E">
        <w:rPr>
          <w:lang w:val="de-DE"/>
        </w:rPr>
        <w:t>SG17RG-AFR and Regional Cybersecurity Summit for Africa, Kampala, Uganda, 20-23 November 2023</w:t>
      </w:r>
    </w:p>
    <w:p w14:paraId="157F980C" w14:textId="45293BC8" w:rsidR="00594191" w:rsidRPr="00594191" w:rsidRDefault="00594191" w:rsidP="00594191">
      <w:pPr>
        <w:keepNext/>
      </w:pPr>
      <w:bookmarkStart w:id="175" w:name="_Hlk135237566"/>
      <w:bookmarkStart w:id="176" w:name="_Hlk119499798"/>
      <w:r w:rsidRPr="00594191">
        <w:rPr>
          <w:b/>
          <w:bCs/>
        </w:rPr>
        <w:t>BSG training on services and tools:</w:t>
      </w:r>
      <w:r w:rsidRPr="00594191">
        <w:t xml:space="preserve"> On occasion, TSB also offers trainings on the use of TSB services and tools. These trainings introduce services and tools </w:t>
      </w:r>
      <w:r w:rsidR="00CA37AB">
        <w:t xml:space="preserve">supporting publications as well as </w:t>
      </w:r>
      <w:proofErr w:type="spellStart"/>
      <w:r w:rsidR="00CA37AB">
        <w:t>MyWorkspace</w:t>
      </w:r>
      <w:proofErr w:type="spellEnd"/>
      <w:r w:rsidR="00CA37AB">
        <w:t xml:space="preserve"> and its </w:t>
      </w:r>
      <w:r w:rsidRPr="00594191">
        <w:t>remote</w:t>
      </w:r>
      <w:r w:rsidR="00CA37AB">
        <w:t>-participation tools, for example</w:t>
      </w:r>
      <w:r w:rsidRPr="00594191">
        <w:t>. Such BSG trainings facilitate more active and efficient accessibility and participation in ITU-T work. For more on TSB services and tools, see</w:t>
      </w:r>
      <w:r w:rsidR="00DB5555">
        <w:t xml:space="preserve"> </w:t>
      </w:r>
      <w:hyperlink w:anchor="_15_Electronic_working" w:history="1">
        <w:r w:rsidR="00DB5555" w:rsidRPr="00DB5555">
          <w:rPr>
            <w:rStyle w:val="Hyperlink"/>
          </w:rPr>
          <w:t>section 15</w:t>
        </w:r>
      </w:hyperlink>
      <w:r w:rsidRPr="00594191">
        <w:t>.</w:t>
      </w:r>
    </w:p>
    <w:p w14:paraId="7800A333" w14:textId="77777777" w:rsidR="00594191" w:rsidRPr="00594191" w:rsidRDefault="00594191" w:rsidP="00594191">
      <w:bookmarkStart w:id="177" w:name="_Hlk92456849"/>
      <w:bookmarkStart w:id="178" w:name="_Toc480527849"/>
      <w:bookmarkEnd w:id="175"/>
      <w:r w:rsidRPr="00594191">
        <w:rPr>
          <w:b/>
          <w:bCs/>
        </w:rPr>
        <w:t>Regional groups:</w:t>
      </w:r>
      <w:r w:rsidRPr="00594191">
        <w:t xml:space="preserve"> Stimulating effective participation in ITU-T SGs, regional groups play a key role in bridging the standardization gap between developed and developing countries. Regional groups have proven effective mechanisms to coordinate regional contributions to ITU-T and increase the number and quality of technical contributions from developing countries, including least-developed countries. Regional group meetings are also demonstrating slightly better gender balance (35 per cent women) than meetings of ITU SGs (28 per cent women). An overview of regional groups' activities can be found </w:t>
      </w:r>
      <w:hyperlink r:id="rId190" w:history="1">
        <w:r w:rsidRPr="00594191">
          <w:rPr>
            <w:rStyle w:val="Hyperlink"/>
          </w:rPr>
          <w:t>here</w:t>
        </w:r>
      </w:hyperlink>
      <w:r w:rsidRPr="00594191">
        <w:t>.</w:t>
      </w:r>
    </w:p>
    <w:p w14:paraId="337C838C" w14:textId="398E8980" w:rsidR="004C28A3" w:rsidRDefault="00594191" w:rsidP="00F87402">
      <w:r>
        <w:t xml:space="preserve">The following regional </w:t>
      </w:r>
      <w:r w:rsidR="00F87402">
        <w:t xml:space="preserve">group </w:t>
      </w:r>
      <w:r w:rsidR="00F87402" w:rsidRPr="00F87402">
        <w:t>meetings</w:t>
      </w:r>
      <w:r w:rsidR="00F87402">
        <w:t xml:space="preserve"> were organized in the </w:t>
      </w:r>
      <w:r w:rsidR="000C4D20">
        <w:t xml:space="preserve">reporting </w:t>
      </w:r>
      <w:r w:rsidR="00F87402">
        <w:t>period</w:t>
      </w:r>
      <w:bookmarkStart w:id="179" w:name="_Hlk93320660"/>
      <w:r w:rsidR="004C28A3">
        <w:t>:</w:t>
      </w:r>
    </w:p>
    <w:p w14:paraId="06A5B79E" w14:textId="77777777" w:rsidR="00594191" w:rsidRPr="00594191" w:rsidRDefault="00594191" w:rsidP="00770357">
      <w:pPr>
        <w:numPr>
          <w:ilvl w:val="0"/>
          <w:numId w:val="19"/>
        </w:numPr>
      </w:pPr>
      <w:r w:rsidRPr="00594191">
        <w:t>SG20 Regional Group for Africa (SG20RG-AFR), Sharm El-Sheikh, Egypt, 8 June 2023</w:t>
      </w:r>
    </w:p>
    <w:p w14:paraId="1E81E7DE" w14:textId="77777777" w:rsidR="00594191" w:rsidRPr="00594191" w:rsidRDefault="00594191" w:rsidP="00770357">
      <w:pPr>
        <w:numPr>
          <w:ilvl w:val="0"/>
          <w:numId w:val="19"/>
        </w:numPr>
      </w:pPr>
      <w:r w:rsidRPr="00594191">
        <w:t>SG3 Regional Group for the Arab Region (SG3RG-ARB), E-meeting, 20 June 2023</w:t>
      </w:r>
    </w:p>
    <w:p w14:paraId="78A8E8D9" w14:textId="77777777" w:rsidR="00594191" w:rsidRPr="00594191" w:rsidRDefault="00594191" w:rsidP="00770357">
      <w:pPr>
        <w:numPr>
          <w:ilvl w:val="0"/>
          <w:numId w:val="19"/>
        </w:numPr>
      </w:pPr>
      <w:r w:rsidRPr="00594191">
        <w:t>SG20 Regional Group for Asia and the Pacific (SG20RG-AP), E-meeting, 25-26 July 2023</w:t>
      </w:r>
    </w:p>
    <w:p w14:paraId="02F9CC67" w14:textId="77777777" w:rsidR="00594191" w:rsidRPr="00594191" w:rsidRDefault="00594191" w:rsidP="00770357">
      <w:pPr>
        <w:numPr>
          <w:ilvl w:val="0"/>
          <w:numId w:val="19"/>
        </w:numPr>
      </w:pPr>
      <w:r w:rsidRPr="00594191">
        <w:t>SG20 Regional Group for the Arab Region (SG20 RG-ARB), E-meeting, 1 August 2023</w:t>
      </w:r>
    </w:p>
    <w:p w14:paraId="44233527" w14:textId="77777777" w:rsidR="00594191" w:rsidRPr="00594191" w:rsidRDefault="00594191" w:rsidP="00770357">
      <w:pPr>
        <w:numPr>
          <w:ilvl w:val="0"/>
          <w:numId w:val="19"/>
        </w:numPr>
      </w:pPr>
      <w:r w:rsidRPr="00594191">
        <w:t>SG3 Regional Group for Latin America and the Caribbean (SG3RG-LAC), San José, Costa Rica, 28-29 September 2023</w:t>
      </w:r>
    </w:p>
    <w:p w14:paraId="15BAF9AE" w14:textId="77777777" w:rsidR="00594191" w:rsidRPr="00594191" w:rsidRDefault="00594191" w:rsidP="00770357">
      <w:pPr>
        <w:numPr>
          <w:ilvl w:val="0"/>
          <w:numId w:val="19"/>
        </w:numPr>
      </w:pPr>
      <w:r w:rsidRPr="00594191">
        <w:t>SG3 Regional Group for Asia and Oceania (SG3RG-AO), Bangkok, Thailand 11-12 September 2023</w:t>
      </w:r>
    </w:p>
    <w:p w14:paraId="410950E4" w14:textId="77777777" w:rsidR="00594191" w:rsidRPr="00594191" w:rsidRDefault="00594191" w:rsidP="00770357">
      <w:pPr>
        <w:numPr>
          <w:ilvl w:val="0"/>
          <w:numId w:val="19"/>
        </w:numPr>
      </w:pPr>
      <w:r w:rsidRPr="00594191">
        <w:t>SG5 Regional Group for Asia and the Pacific (SG5RG-AP), Bangkok, Thailand 11-12 September 2023</w:t>
      </w:r>
    </w:p>
    <w:p w14:paraId="1D711C03" w14:textId="77777777" w:rsidR="00594191" w:rsidRPr="00594191" w:rsidRDefault="00594191" w:rsidP="00770357">
      <w:pPr>
        <w:numPr>
          <w:ilvl w:val="0"/>
          <w:numId w:val="19"/>
        </w:numPr>
      </w:pPr>
      <w:r w:rsidRPr="00594191">
        <w:t>SG11 Regional Group for Africa (SG11RG-AFR), 13-15 September 2023</w:t>
      </w:r>
    </w:p>
    <w:p w14:paraId="174C691F" w14:textId="77777777" w:rsidR="00594191" w:rsidRPr="00594191" w:rsidRDefault="00594191" w:rsidP="00770357">
      <w:pPr>
        <w:numPr>
          <w:ilvl w:val="0"/>
          <w:numId w:val="19"/>
        </w:numPr>
      </w:pPr>
      <w:r w:rsidRPr="00594191">
        <w:t>SG13 Regional Group for Africa (SG13RG-AFR), Abidjan, Côte d'Ivoire, 21-22 September 2023</w:t>
      </w:r>
    </w:p>
    <w:p w14:paraId="69698F6B" w14:textId="77777777" w:rsidR="00594191" w:rsidRPr="00594191" w:rsidRDefault="00594191" w:rsidP="00770357">
      <w:pPr>
        <w:numPr>
          <w:ilvl w:val="0"/>
          <w:numId w:val="19"/>
        </w:numPr>
      </w:pPr>
      <w:r w:rsidRPr="00594191">
        <w:t>SG2 Regional Group for Africa (SG2RG-AFR), Abidjan, Côte d'Ivoire, 21-22 September 2023</w:t>
      </w:r>
    </w:p>
    <w:p w14:paraId="11AFEED0" w14:textId="77777777" w:rsidR="00594191" w:rsidRPr="00594191" w:rsidRDefault="00594191" w:rsidP="00770357">
      <w:pPr>
        <w:numPr>
          <w:ilvl w:val="0"/>
          <w:numId w:val="19"/>
        </w:numPr>
      </w:pPr>
      <w:r w:rsidRPr="00594191">
        <w:lastRenderedPageBreak/>
        <w:t>SG17 Regional Group for Africa (SG17RG-AFR), 23 November 2023</w:t>
      </w:r>
    </w:p>
    <w:bookmarkEnd w:id="179"/>
    <w:p w14:paraId="7ADA4B58" w14:textId="25E6737C" w:rsidR="00DA7997" w:rsidRDefault="00DA7997" w:rsidP="00B83A2A">
      <w:r>
        <w:t xml:space="preserve">ITU-T hosts </w:t>
      </w:r>
      <w:r w:rsidR="002C488B">
        <w:t>2</w:t>
      </w:r>
      <w:r w:rsidR="00E27D92">
        <w:t>5</w:t>
      </w:r>
      <w:r w:rsidR="002C488B">
        <w:t xml:space="preserve"> </w:t>
      </w:r>
      <w:r>
        <w:t>regional groups:</w:t>
      </w:r>
    </w:p>
    <w:p w14:paraId="62419DF7" w14:textId="703CEEBC" w:rsidR="00FE05A7" w:rsidRPr="00AC19C8" w:rsidRDefault="00AA6FB6" w:rsidP="00770357">
      <w:pPr>
        <w:numPr>
          <w:ilvl w:val="0"/>
          <w:numId w:val="19"/>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3E39E08A"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AC19C8">
        <w:t>T</w:t>
      </w:r>
      <w:r w:rsidR="00E27D92">
        <w:t>hree</w:t>
      </w:r>
      <w:r w:rsidRPr="00AC19C8">
        <w:t xml:space="preserve"> for Asia and the Pacific (SGs 3</w:t>
      </w:r>
      <w:r w:rsidR="00E27D92">
        <w:t xml:space="preserve">, </w:t>
      </w:r>
      <w:r w:rsidRPr="00AC19C8">
        <w:t>5</w:t>
      </w:r>
      <w:r w:rsidR="00E27D92">
        <w:t>, and 20</w:t>
      </w:r>
      <w:r w:rsidRPr="00AC19C8">
        <w:t>)</w:t>
      </w:r>
    </w:p>
    <w:p w14:paraId="70E629B4" w14:textId="77777777"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1FC5C16F" w14:textId="10F30D82" w:rsidR="00594191"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 xml:space="preserve">Four for Eastern Europe, Central </w:t>
      </w:r>
      <w:proofErr w:type="gramStart"/>
      <w:r>
        <w:t>Asia</w:t>
      </w:r>
      <w:proofErr w:type="gramEnd"/>
      <w:r>
        <w:t xml:space="preserve"> and Transcaucasia (SGs 3, 11, 13, and 20)</w:t>
      </w:r>
      <w:bookmarkEnd w:id="177"/>
      <w:bookmarkEnd w:id="178"/>
    </w:p>
    <w:p w14:paraId="7E568733" w14:textId="77777777" w:rsidR="00594191" w:rsidRPr="00594191" w:rsidRDefault="00594191" w:rsidP="00594191">
      <w:r w:rsidRPr="00594191">
        <w:rPr>
          <w:b/>
          <w:bCs/>
        </w:rPr>
        <w:t>Regional Standardization Forums:</w:t>
      </w:r>
      <w:r w:rsidRPr="00594191">
        <w:t xml:space="preserve"> </w:t>
      </w:r>
      <w:hyperlink r:id="rId191" w:history="1">
        <w:r w:rsidRPr="00594191">
          <w:rPr>
            <w:rStyle w:val="Hyperlink"/>
          </w:rPr>
          <w:t>Regional Standardization Forums (RSFs)</w:t>
        </w:r>
      </w:hyperlink>
      <w:r w:rsidRPr="00594191">
        <w:t xml:space="preserve"> and Inter-regional Standardization Forums provide tutorials on ITU-T working methods as well as more technically-oriented themes. 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588D9D25" w14:textId="77777777" w:rsidR="00594191" w:rsidRPr="00594191" w:rsidRDefault="00594191" w:rsidP="00594191">
      <w:r w:rsidRPr="00594191">
        <w:rPr>
          <w:b/>
          <w:bCs/>
        </w:rPr>
        <w:t xml:space="preserve">National Standardization Secretariats: </w:t>
      </w:r>
      <w:r w:rsidRPr="00594191">
        <w:t xml:space="preserve">ITU-T's </w:t>
      </w:r>
      <w:hyperlink r:id="rId192" w:history="1">
        <w:r w:rsidRPr="00594191">
          <w:rPr>
            <w:rStyle w:val="Hyperlink"/>
          </w:rPr>
          <w:t>Guidelines for National Standardization Secretariats</w:t>
        </w:r>
      </w:hyperlink>
      <w:r w:rsidRPr="00594191">
        <w:t>, which will be updated further, sets out a number of options for developing national procedures and processes to support effective participation in the ITU-T standards-development process. A National Standardization Secretariat, as described by the Guidelines, is the full set of arrangements by which participation in and contributions to ITU-T are coordinated within a country.</w:t>
      </w:r>
    </w:p>
    <w:p w14:paraId="4BD28AC1" w14:textId="266AA9B2" w:rsidR="00594191" w:rsidRPr="00594191" w:rsidRDefault="00594191" w:rsidP="00594191">
      <w:r w:rsidRPr="00594191">
        <w:rPr>
          <w:b/>
          <w:bCs/>
        </w:rPr>
        <w:t>e-Learning courses:</w:t>
      </w:r>
      <w:r w:rsidRPr="00594191">
        <w:t xml:space="preserve"> The </w:t>
      </w:r>
      <w:hyperlink r:id="rId193" w:history="1">
        <w:r w:rsidRPr="00594191">
          <w:rPr>
            <w:rStyle w:val="Hyperlink"/>
          </w:rPr>
          <w:t>ITU-T Working Methods and other Mechanisms</w:t>
        </w:r>
      </w:hyperlink>
      <w:r w:rsidRPr="00594191">
        <w:t xml:space="preserve"> course was made available made available from February</w:t>
      </w:r>
      <w:r w:rsidR="004D3073">
        <w:t xml:space="preserve"> to </w:t>
      </w:r>
      <w:r w:rsidRPr="00594191">
        <w:t>September 2023, with 208 participants.</w:t>
      </w:r>
    </w:p>
    <w:p w14:paraId="6721E0AF" w14:textId="0BEA5C8C" w:rsidR="00594191" w:rsidRPr="00594191" w:rsidRDefault="00594191" w:rsidP="00594191">
      <w:r w:rsidRPr="00594191">
        <w:rPr>
          <w:b/>
          <w:bCs/>
        </w:rPr>
        <w:t>SG mentoring program</w:t>
      </w:r>
      <w:r w:rsidR="00AC5CB8">
        <w:rPr>
          <w:b/>
          <w:bCs/>
        </w:rPr>
        <w:t>me</w:t>
      </w:r>
      <w:r w:rsidRPr="00594191">
        <w:rPr>
          <w:b/>
          <w:bCs/>
        </w:rPr>
        <w:t>:</w:t>
      </w:r>
      <w:r w:rsidRPr="00594191">
        <w:t xml:space="preserve"> In 2011, a mentoring program</w:t>
      </w:r>
      <w:r w:rsidR="00AC5CB8">
        <w:t>me</w:t>
      </w:r>
      <w:r w:rsidRPr="00594191">
        <w:t xml:space="preserve"> for ITU-T SGs was introduced. The objective of the mentoring programme is to provide a contact point to assist new delegates with the working methods of ITU-T. It has since featured as an important part of the work of ITU-T SGs and TSAG.</w:t>
      </w:r>
    </w:p>
    <w:p w14:paraId="19B579DC" w14:textId="77777777" w:rsidR="00594191" w:rsidRPr="00594191" w:rsidRDefault="00594191" w:rsidP="00594191">
      <w:r w:rsidRPr="00594191">
        <w:rPr>
          <w:b/>
          <w:bCs/>
        </w:rPr>
        <w:t>Technical papers:</w:t>
      </w:r>
      <w:r w:rsidRPr="00594191">
        <w:t xml:space="preserve"> A series of Technical Papers and Technical Reports provide additional information for developing countries on best practices in implementing ITU-T Recommendations. See the Technical Reports </w:t>
      </w:r>
      <w:hyperlink r:id="rId194" w:history="1">
        <w:r w:rsidRPr="00594191">
          <w:rPr>
            <w:rStyle w:val="Hyperlink"/>
          </w:rPr>
          <w:t>web page</w:t>
        </w:r>
      </w:hyperlink>
      <w:r w:rsidRPr="00594191">
        <w:t>.</w:t>
      </w:r>
    </w:p>
    <w:p w14:paraId="6210B00E" w14:textId="52329815" w:rsidR="00594191" w:rsidRPr="00594191" w:rsidRDefault="00594191" w:rsidP="00594191">
      <w:r w:rsidRPr="00594191">
        <w:rPr>
          <w:b/>
          <w:bCs/>
        </w:rPr>
        <w:t xml:space="preserve">Fellowships: </w:t>
      </w:r>
      <w:r w:rsidRPr="00594191">
        <w:t xml:space="preserve">Fellowships provide financial support to ITU-T delegates from eligible developing countries to assist their participation in ITU-T meetings. 422 fellowships were requested in 2023 and 152 were awarded. </w:t>
      </w:r>
      <w:r>
        <w:t xml:space="preserve">Statistics on fellowships awarded in 2023 are provided below. </w:t>
      </w:r>
    </w:p>
    <w:p w14:paraId="353EFFB3" w14:textId="50ADC18B" w:rsidR="00594191" w:rsidRPr="00594191" w:rsidRDefault="00594191" w:rsidP="00594191">
      <w:r w:rsidRPr="00594191">
        <w:t xml:space="preserve">More details on the </w:t>
      </w:r>
      <w:r w:rsidR="00CA37AB">
        <w:t xml:space="preserve">new </w:t>
      </w:r>
      <w:r w:rsidRPr="00594191">
        <w:t>BSG</w:t>
      </w:r>
      <w:r w:rsidR="00CA37AB">
        <w:t xml:space="preserve"> Program</w:t>
      </w:r>
      <w:r w:rsidR="004D3073">
        <w:t>me</w:t>
      </w:r>
      <w:r w:rsidRPr="00594191">
        <w:t xml:space="preserve">, including analytics, are available in </w:t>
      </w:r>
      <w:hyperlink r:id="rId195" w:history="1">
        <w:r w:rsidRPr="00594191">
          <w:rPr>
            <w:rStyle w:val="Hyperlink"/>
          </w:rPr>
          <w:t>TD422</w:t>
        </w:r>
      </w:hyperlink>
      <w:r w:rsidRPr="00594191">
        <w:t xml:space="preserve">. </w:t>
      </w:r>
    </w:p>
    <w:p w14:paraId="03399D79" w14:textId="7D9F9605" w:rsidR="002A1732" w:rsidRDefault="002A1732" w:rsidP="00B83A2A">
      <w:pPr>
        <w:spacing w:after="120"/>
      </w:pPr>
      <w:bookmarkStart w:id="180" w:name="_Hlk135237679"/>
      <w:bookmarkStart w:id="181" w:name="_Hlk135237760"/>
    </w:p>
    <w:p w14:paraId="0C92E218" w14:textId="57D5A303" w:rsidR="002A1732" w:rsidRDefault="005175B7" w:rsidP="005175B7">
      <w:pPr>
        <w:spacing w:after="120"/>
        <w:jc w:val="center"/>
      </w:pPr>
      <w:r>
        <w:rPr>
          <w:noProof/>
        </w:rPr>
        <w:lastRenderedPageBreak/>
        <w:drawing>
          <wp:inline distT="0" distB="0" distL="0" distR="0" wp14:anchorId="39DB9BAF" wp14:editId="4901D7EB">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6"/>
              </a:graphicData>
            </a:graphic>
          </wp:inline>
        </w:drawing>
      </w:r>
    </w:p>
    <w:p w14:paraId="3A5DED09" w14:textId="6582BFF1" w:rsidR="002A1732" w:rsidRDefault="002A1732" w:rsidP="002A1732">
      <w:pPr>
        <w:spacing w:after="120"/>
        <w:jc w:val="center"/>
        <w:rPr>
          <w:b/>
          <w:bCs/>
        </w:rPr>
      </w:pPr>
      <w:r w:rsidRPr="00A37418">
        <w:rPr>
          <w:b/>
          <w:bCs/>
        </w:rPr>
        <w:t xml:space="preserve">Figure </w:t>
      </w:r>
      <w:r w:rsidR="00DB5555">
        <w:rPr>
          <w:b/>
          <w:bCs/>
        </w:rPr>
        <w:t>3</w:t>
      </w:r>
      <w:r w:rsidRPr="00A37418">
        <w:rPr>
          <w:b/>
          <w:bCs/>
        </w:rPr>
        <w:t xml:space="preserve"> – Awarded fellowships by region</w:t>
      </w:r>
      <w:r w:rsidR="00594191">
        <w:rPr>
          <w:b/>
          <w:bCs/>
        </w:rPr>
        <w:t xml:space="preserve"> in </w:t>
      </w:r>
      <w:proofErr w:type="gramStart"/>
      <w:r w:rsidR="00594191">
        <w:rPr>
          <w:b/>
          <w:bCs/>
        </w:rPr>
        <w:t>2023</w:t>
      </w:r>
      <w:proofErr w:type="gramEnd"/>
    </w:p>
    <w:p w14:paraId="733E5C0A" w14:textId="5B1C2817" w:rsidR="002A1732" w:rsidRDefault="00594191" w:rsidP="002A1732">
      <w:pPr>
        <w:spacing w:after="120"/>
        <w:jc w:val="center"/>
      </w:pPr>
      <w:bookmarkStart w:id="182" w:name="_Hlk135237734"/>
      <w:bookmarkEnd w:id="180"/>
      <w:r w:rsidRPr="00594191">
        <w:rPr>
          <w:noProof/>
        </w:rPr>
        <w:drawing>
          <wp:inline distT="0" distB="0" distL="0" distR="0" wp14:anchorId="623AF0BE" wp14:editId="43D8B57B">
            <wp:extent cx="4581525" cy="2753791"/>
            <wp:effectExtent l="0" t="0" r="0" b="8890"/>
            <wp:docPr id="2" name="Picture 1" descr="A blue and orange pie chart&#10;&#10;Description automatically generated">
              <a:extLst xmlns:a="http://schemas.openxmlformats.org/drawingml/2006/main">
                <a:ext uri="{FF2B5EF4-FFF2-40B4-BE49-F238E27FC236}">
                  <a16:creationId xmlns:a16="http://schemas.microsoft.com/office/drawing/2014/main" id="{6EDA3E26-32A1-4B2A-94D8-B66C7DC55F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orange pie chart&#10;&#10;Description automatically generated">
                      <a:extLst>
                        <a:ext uri="{FF2B5EF4-FFF2-40B4-BE49-F238E27FC236}">
                          <a16:creationId xmlns:a16="http://schemas.microsoft.com/office/drawing/2014/main" id="{6EDA3E26-32A1-4B2A-94D8-B66C7DC55F25}"/>
                        </a:ext>
                      </a:extLst>
                    </pic:cNvPr>
                    <pic:cNvPicPr>
                      <a:picLocks noChangeAspect="1"/>
                    </pic:cNvPicPr>
                  </pic:nvPicPr>
                  <pic:blipFill>
                    <a:blip r:embed="rId197"/>
                    <a:stretch>
                      <a:fillRect/>
                    </a:stretch>
                  </pic:blipFill>
                  <pic:spPr>
                    <a:xfrm>
                      <a:off x="0" y="0"/>
                      <a:ext cx="4600551" cy="2765227"/>
                    </a:xfrm>
                    <a:prstGeom prst="rect">
                      <a:avLst/>
                    </a:prstGeom>
                  </pic:spPr>
                </pic:pic>
              </a:graphicData>
            </a:graphic>
          </wp:inline>
        </w:drawing>
      </w:r>
    </w:p>
    <w:p w14:paraId="1E68B0A4" w14:textId="7D48B3D7" w:rsidR="002A1732" w:rsidRPr="00594191" w:rsidRDefault="00A37418" w:rsidP="00594191">
      <w:pPr>
        <w:spacing w:after="120"/>
        <w:jc w:val="center"/>
        <w:rPr>
          <w:b/>
          <w:bCs/>
        </w:rPr>
      </w:pPr>
      <w:r w:rsidRPr="00A37418">
        <w:rPr>
          <w:b/>
          <w:bCs/>
        </w:rPr>
        <w:t xml:space="preserve">Figure </w:t>
      </w:r>
      <w:r w:rsidR="00DB5555">
        <w:rPr>
          <w:b/>
          <w:bCs/>
        </w:rPr>
        <w:t>4</w:t>
      </w:r>
      <w:r w:rsidRPr="00A37418">
        <w:rPr>
          <w:b/>
          <w:bCs/>
        </w:rPr>
        <w:t xml:space="preserve"> – Awarded fellowships by </w:t>
      </w:r>
      <w:r>
        <w:rPr>
          <w:b/>
          <w:bCs/>
        </w:rPr>
        <w:t xml:space="preserve">gender </w:t>
      </w:r>
      <w:bookmarkEnd w:id="182"/>
      <w:r w:rsidR="00594191">
        <w:rPr>
          <w:b/>
          <w:bCs/>
        </w:rPr>
        <w:t xml:space="preserve">in </w:t>
      </w:r>
      <w:proofErr w:type="gramStart"/>
      <w:r w:rsidR="00594191">
        <w:rPr>
          <w:b/>
          <w:bCs/>
        </w:rPr>
        <w:t>2023</w:t>
      </w:r>
      <w:proofErr w:type="gramEnd"/>
    </w:p>
    <w:p w14:paraId="0FC68200" w14:textId="289EAF82" w:rsidR="004E1EE3" w:rsidRDefault="004E1EE3" w:rsidP="0048381E">
      <w:pPr>
        <w:pStyle w:val="Heading1"/>
        <w:spacing w:before="240"/>
      </w:pPr>
      <w:bookmarkStart w:id="183" w:name="_12_Publications"/>
      <w:bookmarkStart w:id="184" w:name="_12_Gender"/>
      <w:bookmarkStart w:id="185" w:name="_13_Gender"/>
      <w:bookmarkStart w:id="186" w:name="_Toc156392435"/>
      <w:bookmarkEnd w:id="176"/>
      <w:bookmarkEnd w:id="181"/>
      <w:bookmarkEnd w:id="183"/>
      <w:bookmarkEnd w:id="184"/>
      <w:bookmarkEnd w:id="185"/>
      <w:r w:rsidRPr="006E2B83">
        <w:t>1</w:t>
      </w:r>
      <w:r w:rsidR="005C2626">
        <w:t>3</w:t>
      </w:r>
      <w:r w:rsidRPr="006E2B83">
        <w:tab/>
        <w:t>Gend</w:t>
      </w:r>
      <w:r w:rsidRPr="00C5776F">
        <w:t>er</w:t>
      </w:r>
      <w:bookmarkEnd w:id="186"/>
    </w:p>
    <w:p w14:paraId="1A83E265" w14:textId="5F97CF22" w:rsidR="00C15E46" w:rsidRPr="00C15E46" w:rsidRDefault="00C15E46" w:rsidP="00C15E46">
      <w:pPr>
        <w:rPr>
          <w:rFonts w:asciiTheme="majorBidi" w:hAnsiTheme="majorBidi" w:cstheme="majorBidi"/>
        </w:rPr>
      </w:pPr>
      <w:r w:rsidRPr="00C15E46">
        <w:rPr>
          <w:rFonts w:asciiTheme="majorBidi" w:hAnsiTheme="majorBidi" w:cstheme="majorBidi"/>
        </w:rPr>
        <w:t xml:space="preserve">TSB remains dedicated to integrating a gender perspective in </w:t>
      </w:r>
      <w:proofErr w:type="gramStart"/>
      <w:r w:rsidRPr="00C15E46">
        <w:rPr>
          <w:rFonts w:asciiTheme="majorBidi" w:hAnsiTheme="majorBidi" w:cstheme="majorBidi"/>
        </w:rPr>
        <w:t xml:space="preserve">all </w:t>
      </w:r>
      <w:r w:rsidR="006D3365">
        <w:rPr>
          <w:rFonts w:asciiTheme="majorBidi" w:hAnsiTheme="majorBidi" w:cstheme="majorBidi"/>
        </w:rPr>
        <w:t>of</w:t>
      </w:r>
      <w:proofErr w:type="gramEnd"/>
      <w:r w:rsidR="006D3365">
        <w:rPr>
          <w:rFonts w:asciiTheme="majorBidi" w:hAnsiTheme="majorBidi" w:cstheme="majorBidi"/>
        </w:rPr>
        <w:t xml:space="preserve"> </w:t>
      </w:r>
      <w:r w:rsidRPr="00C15E46">
        <w:rPr>
          <w:rFonts w:asciiTheme="majorBidi" w:hAnsiTheme="majorBidi" w:cstheme="majorBidi"/>
        </w:rPr>
        <w:t>its activities and programmes, leveraging the framework of ITU Gender Task Force and the Network of Women in ITU-T (</w:t>
      </w:r>
      <w:proofErr w:type="spellStart"/>
      <w:r w:rsidRPr="00C15E46">
        <w:rPr>
          <w:rFonts w:asciiTheme="majorBidi" w:hAnsiTheme="majorBidi" w:cstheme="majorBidi"/>
        </w:rPr>
        <w:t>NoW</w:t>
      </w:r>
      <w:proofErr w:type="spellEnd"/>
      <w:r w:rsidRPr="00C15E46">
        <w:rPr>
          <w:rFonts w:asciiTheme="majorBidi" w:hAnsiTheme="majorBidi" w:cstheme="majorBidi"/>
        </w:rPr>
        <w:t xml:space="preserve"> in ITU-T). TSB’s ongoing efforts to enhance gender equality within TSB and ITU-T underscore ITU's commitment to diversity, gender parity</w:t>
      </w:r>
      <w:r w:rsidR="00EA757B">
        <w:rPr>
          <w:rFonts w:asciiTheme="majorBidi" w:hAnsiTheme="majorBidi" w:cstheme="majorBidi"/>
        </w:rPr>
        <w:t xml:space="preserve"> </w:t>
      </w:r>
      <w:r w:rsidRPr="00C15E46">
        <w:rPr>
          <w:rFonts w:asciiTheme="majorBidi" w:hAnsiTheme="majorBidi" w:cstheme="majorBidi"/>
        </w:rPr>
        <w:t>and the empowerment of women, all of which are among TSB’s priorities.</w:t>
      </w:r>
    </w:p>
    <w:p w14:paraId="5090F796" w14:textId="77777777" w:rsidR="00C15E46" w:rsidRPr="00C15E46" w:rsidRDefault="00C15E46" w:rsidP="00C15E46">
      <w:pPr>
        <w:rPr>
          <w:rFonts w:asciiTheme="majorBidi" w:hAnsiTheme="majorBidi" w:cstheme="majorBidi"/>
        </w:rPr>
      </w:pPr>
      <w:r w:rsidRPr="00C15E46">
        <w:rPr>
          <w:rFonts w:asciiTheme="majorBidi" w:hAnsiTheme="majorBidi" w:cstheme="majorBidi"/>
        </w:rPr>
        <w:t>Key highlights:</w:t>
      </w:r>
    </w:p>
    <w:p w14:paraId="6477067D" w14:textId="56DDB009" w:rsidR="00C15E46" w:rsidRPr="00C15E46" w:rsidRDefault="00C15E46" w:rsidP="00C073B3">
      <w:pPr>
        <w:rPr>
          <w:rFonts w:asciiTheme="majorBidi" w:hAnsiTheme="majorBidi" w:cstheme="majorBidi"/>
        </w:rPr>
      </w:pPr>
      <w:r w:rsidRPr="00C15E46">
        <w:rPr>
          <w:rFonts w:asciiTheme="majorBidi" w:hAnsiTheme="majorBidi" w:cstheme="majorBidi"/>
        </w:rPr>
        <w:t xml:space="preserve">The outcomes of survey on promoting gender equality in </w:t>
      </w:r>
      <w:r w:rsidR="00E27D92">
        <w:rPr>
          <w:rFonts w:asciiTheme="majorBidi" w:hAnsiTheme="majorBidi" w:cstheme="majorBidi"/>
        </w:rPr>
        <w:t xml:space="preserve">ITU-T </w:t>
      </w:r>
      <w:hyperlink r:id="rId198" w:history="1">
        <w:r w:rsidRPr="00C15E46">
          <w:rPr>
            <w:rStyle w:val="Hyperlink"/>
            <w:rFonts w:asciiTheme="majorBidi" w:hAnsiTheme="majorBidi" w:cstheme="majorBidi"/>
            <w:bCs/>
          </w:rPr>
          <w:t>TD 196</w:t>
        </w:r>
      </w:hyperlink>
      <w:r w:rsidRPr="00C15E46">
        <w:rPr>
          <w:rFonts w:asciiTheme="majorBidi" w:hAnsiTheme="majorBidi" w:cstheme="majorBidi"/>
          <w:bCs/>
          <w:u w:val="single"/>
        </w:rPr>
        <w:t xml:space="preserve"> </w:t>
      </w:r>
      <w:r w:rsidRPr="00C15E46">
        <w:rPr>
          <w:rFonts w:asciiTheme="majorBidi" w:hAnsiTheme="majorBidi" w:cstheme="majorBidi"/>
        </w:rPr>
        <w:t xml:space="preserve">were presented to </w:t>
      </w:r>
      <w:r w:rsidR="00E27D92">
        <w:rPr>
          <w:rFonts w:asciiTheme="majorBidi" w:hAnsiTheme="majorBidi" w:cstheme="majorBidi"/>
        </w:rPr>
        <w:t xml:space="preserve">the last meeting </w:t>
      </w:r>
      <w:r w:rsidRPr="00C15E46">
        <w:rPr>
          <w:rFonts w:asciiTheme="majorBidi" w:hAnsiTheme="majorBidi" w:cstheme="majorBidi"/>
        </w:rPr>
        <w:t>TSAG in May 2023</w:t>
      </w:r>
      <w:r w:rsidR="00E27D92">
        <w:rPr>
          <w:rFonts w:asciiTheme="majorBidi" w:hAnsiTheme="majorBidi" w:cstheme="majorBidi"/>
        </w:rPr>
        <w:t xml:space="preserve"> (see </w:t>
      </w:r>
      <w:hyperlink r:id="rId199" w:history="1">
        <w:r w:rsidR="00E27D92" w:rsidRPr="00C15E46">
          <w:rPr>
            <w:rStyle w:val="Hyperlink"/>
            <w:rFonts w:asciiTheme="majorBidi" w:hAnsiTheme="majorBidi" w:cstheme="majorBidi"/>
            <w:bCs/>
          </w:rPr>
          <w:t>TD 196</w:t>
        </w:r>
      </w:hyperlink>
      <w:r w:rsidR="00E27D92">
        <w:rPr>
          <w:rStyle w:val="Hyperlink"/>
          <w:rFonts w:asciiTheme="majorBidi" w:hAnsiTheme="majorBidi" w:cstheme="majorBidi"/>
          <w:bCs/>
        </w:rPr>
        <w:t>)</w:t>
      </w:r>
      <w:r w:rsidRPr="00C15E46">
        <w:rPr>
          <w:rFonts w:asciiTheme="majorBidi" w:hAnsiTheme="majorBidi" w:cstheme="majorBidi"/>
        </w:rPr>
        <w:t xml:space="preserve">. TSB is actively implementing actions based on the survey's findings as part of the </w:t>
      </w:r>
      <w:proofErr w:type="spellStart"/>
      <w:r w:rsidRPr="00C15E46">
        <w:rPr>
          <w:rFonts w:asciiTheme="majorBidi" w:hAnsiTheme="majorBidi" w:cstheme="majorBidi"/>
        </w:rPr>
        <w:t>NoW</w:t>
      </w:r>
      <w:proofErr w:type="spellEnd"/>
      <w:r w:rsidRPr="00C15E46">
        <w:rPr>
          <w:rFonts w:asciiTheme="majorBidi" w:hAnsiTheme="majorBidi" w:cstheme="majorBidi"/>
        </w:rPr>
        <w:t xml:space="preserve"> in ITU-T work plan.</w:t>
      </w:r>
    </w:p>
    <w:p w14:paraId="4540D0D0" w14:textId="77777777" w:rsidR="00C15E46" w:rsidRPr="00C15E46" w:rsidRDefault="009A3DC3" w:rsidP="00C073B3">
      <w:pPr>
        <w:rPr>
          <w:rFonts w:asciiTheme="majorBidi" w:hAnsiTheme="majorBidi" w:cstheme="majorBidi"/>
        </w:rPr>
      </w:pPr>
      <w:hyperlink r:id="rId200" w:history="1">
        <w:r w:rsidR="00C15E46" w:rsidRPr="00C15E46">
          <w:rPr>
            <w:rStyle w:val="Hyperlink"/>
            <w:rFonts w:asciiTheme="majorBidi" w:hAnsiTheme="majorBidi" w:cstheme="majorBidi"/>
          </w:rPr>
          <w:t>Access the recording of the WSIS Forum 2023 session on Gender Responsible Standards</w:t>
        </w:r>
      </w:hyperlink>
      <w:r w:rsidR="00C15E46" w:rsidRPr="00C15E46">
        <w:rPr>
          <w:rFonts w:asciiTheme="majorBidi" w:hAnsiTheme="majorBidi" w:cstheme="majorBidi"/>
        </w:rPr>
        <w:t xml:space="preserve">. Key recommendations from this session are being fed into the </w:t>
      </w:r>
      <w:proofErr w:type="spellStart"/>
      <w:r w:rsidR="00C15E46" w:rsidRPr="00C15E46">
        <w:rPr>
          <w:rFonts w:asciiTheme="majorBidi" w:hAnsiTheme="majorBidi" w:cstheme="majorBidi"/>
        </w:rPr>
        <w:t>NoW</w:t>
      </w:r>
      <w:proofErr w:type="spellEnd"/>
      <w:r w:rsidR="00C15E46" w:rsidRPr="00C15E46">
        <w:rPr>
          <w:rFonts w:asciiTheme="majorBidi" w:hAnsiTheme="majorBidi" w:cstheme="majorBidi"/>
        </w:rPr>
        <w:t xml:space="preserve"> ITU-T work plan. </w:t>
      </w:r>
    </w:p>
    <w:p w14:paraId="62978883" w14:textId="3924F21A" w:rsidR="00C15E46" w:rsidRDefault="004D07B3" w:rsidP="00C073B3">
      <w:pPr>
        <w:rPr>
          <w:rFonts w:asciiTheme="majorBidi" w:hAnsiTheme="majorBidi" w:cstheme="majorBidi"/>
        </w:rPr>
      </w:pPr>
      <w:r>
        <w:rPr>
          <w:rFonts w:asciiTheme="majorBidi" w:hAnsiTheme="majorBidi" w:cstheme="majorBidi"/>
        </w:rPr>
        <w:t>U</w:t>
      </w:r>
      <w:r w:rsidR="00C15E46" w:rsidRPr="00C15E46">
        <w:rPr>
          <w:rFonts w:asciiTheme="majorBidi" w:hAnsiTheme="majorBidi" w:cstheme="majorBidi"/>
        </w:rPr>
        <w:t>pdates on the Network of Women in ITU-T</w:t>
      </w:r>
      <w:r>
        <w:rPr>
          <w:rFonts w:asciiTheme="majorBidi" w:hAnsiTheme="majorBidi" w:cstheme="majorBidi"/>
        </w:rPr>
        <w:t>, formerly known as WISE, include</w:t>
      </w:r>
      <w:r w:rsidR="00C15E46" w:rsidRPr="00C15E46">
        <w:rPr>
          <w:rFonts w:asciiTheme="majorBidi" w:hAnsiTheme="majorBidi" w:cstheme="majorBidi"/>
        </w:rPr>
        <w:t>.</w:t>
      </w:r>
      <w:r w:rsidR="00F46FC9">
        <w:rPr>
          <w:rFonts w:asciiTheme="majorBidi" w:hAnsiTheme="majorBidi" w:cstheme="majorBidi"/>
        </w:rPr>
        <w:t xml:space="preserve"> </w:t>
      </w:r>
    </w:p>
    <w:p w14:paraId="3640A5E8" w14:textId="632B8842"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lastRenderedPageBreak/>
        <w:t xml:space="preserve">Terms of Reference outlining the mission, scope and work plan of the network to promote gender equality in ITU-T activities </w:t>
      </w:r>
      <w:r w:rsidR="00AF18F5">
        <w:rPr>
          <w:rFonts w:ascii="Times New Roman" w:hAnsi="Times New Roman"/>
          <w:sz w:val="24"/>
          <w:lang w:eastAsia="en-US"/>
        </w:rPr>
        <w:t xml:space="preserve">are presented to this meeting of </w:t>
      </w:r>
      <w:r w:rsidRPr="00F46FC9">
        <w:rPr>
          <w:rFonts w:ascii="Times New Roman" w:hAnsi="Times New Roman"/>
          <w:sz w:val="24"/>
          <w:lang w:eastAsia="en-US"/>
        </w:rPr>
        <w:t>TSAG for</w:t>
      </w:r>
      <w:r w:rsidR="00AF18F5">
        <w:rPr>
          <w:rFonts w:ascii="Times New Roman" w:hAnsi="Times New Roman"/>
          <w:sz w:val="24"/>
          <w:lang w:eastAsia="en-US"/>
        </w:rPr>
        <w:t xml:space="preserve"> review</w:t>
      </w:r>
      <w:r w:rsidRPr="00F46FC9">
        <w:rPr>
          <w:rFonts w:ascii="Times New Roman" w:hAnsi="Times New Roman"/>
          <w:sz w:val="24"/>
          <w:lang w:eastAsia="en-US"/>
        </w:rPr>
        <w:t xml:space="preserve"> (see </w:t>
      </w:r>
      <w:hyperlink r:id="rId201" w:history="1">
        <w:r w:rsidRPr="00F46FC9">
          <w:rPr>
            <w:rStyle w:val="Hyperlink"/>
            <w:rFonts w:ascii="Times New Roman" w:hAnsi="Times New Roman"/>
            <w:sz w:val="24"/>
            <w:lang w:eastAsia="en-US"/>
          </w:rPr>
          <w:t>TD 423</w:t>
        </w:r>
      </w:hyperlink>
      <w:r w:rsidRPr="00F46FC9">
        <w:rPr>
          <w:rFonts w:ascii="Times New Roman" w:hAnsi="Times New Roman"/>
          <w:sz w:val="24"/>
          <w:lang w:eastAsia="en-US"/>
        </w:rPr>
        <w:t>).</w:t>
      </w:r>
    </w:p>
    <w:p w14:paraId="72E2DD3F" w14:textId="564470FC"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t xml:space="preserve">The </w:t>
      </w:r>
      <w:hyperlink r:id="rId202" w:history="1">
        <w:proofErr w:type="spellStart"/>
        <w:r w:rsidRPr="00F46FC9">
          <w:rPr>
            <w:rStyle w:val="Hyperlink"/>
            <w:rFonts w:ascii="Times New Roman" w:hAnsi="Times New Roman"/>
            <w:sz w:val="24"/>
            <w:lang w:eastAsia="en-US"/>
          </w:rPr>
          <w:t>NoW</w:t>
        </w:r>
        <w:proofErr w:type="spellEnd"/>
        <w:r w:rsidRPr="00F46FC9">
          <w:rPr>
            <w:rStyle w:val="Hyperlink"/>
            <w:rFonts w:ascii="Times New Roman" w:hAnsi="Times New Roman"/>
            <w:sz w:val="24"/>
            <w:lang w:eastAsia="en-US"/>
          </w:rPr>
          <w:t xml:space="preserve"> in ITU-T webpage</w:t>
        </w:r>
      </w:hyperlink>
      <w:r w:rsidRPr="00F46FC9">
        <w:rPr>
          <w:rFonts w:ascii="Times New Roman" w:hAnsi="Times New Roman"/>
          <w:sz w:val="24"/>
          <w:lang w:eastAsia="en-US"/>
        </w:rPr>
        <w:t xml:space="preserve"> is now live on ITU's website, aligned with the other ITU Sectors.</w:t>
      </w:r>
    </w:p>
    <w:p w14:paraId="75F5DCDA" w14:textId="71A58043"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t>A mailing list (</w:t>
      </w:r>
      <w:hyperlink r:id="rId203" w:history="1">
        <w:r w:rsidRPr="00F46FC9">
          <w:rPr>
            <w:rStyle w:val="Hyperlink"/>
            <w:rFonts w:ascii="Times New Roman" w:hAnsi="Times New Roman"/>
            <w:sz w:val="24"/>
            <w:lang w:eastAsia="en-US"/>
          </w:rPr>
          <w:t>nowinitut@lists.itu.int</w:t>
        </w:r>
      </w:hyperlink>
      <w:r w:rsidRPr="00F46FC9">
        <w:rPr>
          <w:rFonts w:ascii="Times New Roman" w:hAnsi="Times New Roman"/>
          <w:sz w:val="24"/>
          <w:lang w:eastAsia="en-US"/>
        </w:rPr>
        <w:t xml:space="preserve">​) has been set up for women to connect and foster the growth of the network. </w:t>
      </w:r>
      <w:hyperlink r:id="rId204" w:history="1">
        <w:r w:rsidRPr="00F46FC9">
          <w:rPr>
            <w:rStyle w:val="Hyperlink"/>
            <w:rFonts w:ascii="Times New Roman" w:hAnsi="Times New Roman"/>
            <w:sz w:val="24"/>
            <w:lang w:eastAsia="en-US"/>
          </w:rPr>
          <w:t xml:space="preserve">Joi​n </w:t>
        </w:r>
        <w:proofErr w:type="spellStart"/>
        <w:r w:rsidRPr="00F46FC9">
          <w:rPr>
            <w:rStyle w:val="Hyperlink"/>
            <w:rFonts w:ascii="Times New Roman" w:hAnsi="Times New Roman"/>
            <w:sz w:val="24"/>
            <w:lang w:eastAsia="en-US"/>
          </w:rPr>
          <w:t>NoW</w:t>
        </w:r>
        <w:proofErr w:type="spellEnd"/>
        <w:r w:rsidRPr="00F46FC9">
          <w:rPr>
            <w:rStyle w:val="Hyperlink"/>
            <w:rFonts w:ascii="Times New Roman" w:hAnsi="Times New Roman"/>
            <w:sz w:val="24"/>
            <w:lang w:eastAsia="en-US"/>
          </w:rPr>
          <w:t xml:space="preserve"> in ITU-T mailing list</w:t>
        </w:r>
      </w:hyperlink>
      <w:r w:rsidRPr="00F46FC9">
        <w:rPr>
          <w:rFonts w:ascii="Times New Roman" w:hAnsi="Times New Roman"/>
          <w:sz w:val="24"/>
          <w:lang w:eastAsia="en-US"/>
        </w:rPr>
        <w:t>.</w:t>
      </w:r>
    </w:p>
    <w:p w14:paraId="7426826A" w14:textId="77777777"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t xml:space="preserve">Special event: A Network of Women Breakfast at TSAG will take place on 23 January 2024 from 08:00 to 09:30 in ITU Room Popov and online. This networking event will mark the launch of NOW4WTSA-24 and will include a panel discussion on gender equality in standardization. </w:t>
      </w:r>
      <w:hyperlink r:id="rId205" w:history="1">
        <w:r w:rsidRPr="00F46FC9">
          <w:rPr>
            <w:rStyle w:val="Hyperlink"/>
            <w:rFonts w:ascii="Times New Roman" w:hAnsi="Times New Roman"/>
            <w:sz w:val="24"/>
            <w:lang w:eastAsia="en-US"/>
          </w:rPr>
          <w:t>Consult the online programme</w:t>
        </w:r>
      </w:hyperlink>
      <w:r w:rsidRPr="00F46FC9">
        <w:rPr>
          <w:rFonts w:ascii="Times New Roman" w:hAnsi="Times New Roman"/>
          <w:sz w:val="24"/>
          <w:lang w:eastAsia="en-US"/>
        </w:rPr>
        <w:t>.</w:t>
      </w:r>
    </w:p>
    <w:p w14:paraId="04661A04" w14:textId="7B1E9475"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t>Gender</w:t>
      </w:r>
      <w:r w:rsidR="002668E2">
        <w:rPr>
          <w:rFonts w:ascii="Times New Roman" w:hAnsi="Times New Roman"/>
          <w:sz w:val="24"/>
          <w:lang w:eastAsia="en-US"/>
        </w:rPr>
        <w:t xml:space="preserve"> </w:t>
      </w:r>
      <w:r w:rsidRPr="00F46FC9">
        <w:rPr>
          <w:rFonts w:ascii="Times New Roman" w:hAnsi="Times New Roman"/>
          <w:sz w:val="24"/>
          <w:lang w:eastAsia="en-US"/>
        </w:rPr>
        <w:t xml:space="preserve">parity objectives for WTSA-24, supported by the NOW4WTSA-24 campaign, encourage Member States to pledge support for growth in the number of women in ITU-T leadership positions and the target of 35 per cent female participation at WTSA-24. Figure </w:t>
      </w:r>
      <w:r w:rsidR="002668E2">
        <w:rPr>
          <w:rFonts w:ascii="Times New Roman" w:hAnsi="Times New Roman"/>
          <w:sz w:val="24"/>
          <w:lang w:eastAsia="en-US"/>
        </w:rPr>
        <w:t xml:space="preserve">5 </w:t>
      </w:r>
      <w:r w:rsidRPr="00F46FC9">
        <w:rPr>
          <w:rFonts w:ascii="Times New Roman" w:hAnsi="Times New Roman"/>
          <w:sz w:val="24"/>
          <w:lang w:eastAsia="en-US"/>
        </w:rPr>
        <w:t>below provides statistics on women's participation in the past three WTSAs.</w:t>
      </w:r>
    </w:p>
    <w:p w14:paraId="649D9620" w14:textId="740412EE" w:rsidR="00C073B3" w:rsidRPr="00F46FC9" w:rsidRDefault="00F46FC9" w:rsidP="00770357">
      <w:pPr>
        <w:pStyle w:val="ListParagraph"/>
        <w:numPr>
          <w:ilvl w:val="0"/>
          <w:numId w:val="19"/>
        </w:numPr>
        <w:spacing w:before="120"/>
        <w:contextualSpacing w:val="0"/>
        <w:rPr>
          <w:rFonts w:ascii="Times New Roman" w:hAnsi="Times New Roman"/>
          <w:bCs/>
          <w:sz w:val="24"/>
          <w:lang w:eastAsia="en-US"/>
        </w:rPr>
      </w:pPr>
      <w:r w:rsidRPr="00F46FC9">
        <w:rPr>
          <w:rFonts w:ascii="Times New Roman" w:hAnsi="Times New Roman"/>
          <w:sz w:val="24"/>
          <w:lang w:eastAsia="en-US"/>
        </w:rPr>
        <w:t xml:space="preserve">TSB has strengthened collaboration with BR and BDT on </w:t>
      </w:r>
      <w:proofErr w:type="spellStart"/>
      <w:r w:rsidRPr="00F46FC9">
        <w:rPr>
          <w:rFonts w:ascii="Times New Roman" w:hAnsi="Times New Roman"/>
          <w:sz w:val="24"/>
          <w:lang w:eastAsia="en-US"/>
        </w:rPr>
        <w:t>NoW</w:t>
      </w:r>
      <w:proofErr w:type="spellEnd"/>
      <w:r w:rsidRPr="00F46FC9">
        <w:rPr>
          <w:rFonts w:ascii="Times New Roman" w:hAnsi="Times New Roman"/>
          <w:sz w:val="24"/>
          <w:lang w:eastAsia="en-US"/>
        </w:rPr>
        <w:t xml:space="preserve"> to leverage experience and insights gained across ITU and relevant documents and resources. The objective to ensure a "</w:t>
      </w:r>
      <w:proofErr w:type="spellStart"/>
      <w:r w:rsidRPr="00F46FC9">
        <w:rPr>
          <w:rFonts w:ascii="Times New Roman" w:hAnsi="Times New Roman"/>
          <w:sz w:val="24"/>
          <w:lang w:eastAsia="en-US"/>
        </w:rPr>
        <w:t>OneITU</w:t>
      </w:r>
      <w:proofErr w:type="spellEnd"/>
      <w:r w:rsidRPr="00F46FC9">
        <w:rPr>
          <w:rFonts w:ascii="Times New Roman" w:hAnsi="Times New Roman"/>
          <w:sz w:val="24"/>
          <w:lang w:eastAsia="en-US"/>
        </w:rPr>
        <w:t xml:space="preserve">" approach to gender equality aligns with Council-23 </w:t>
      </w:r>
      <w:hyperlink r:id="rId206" w:history="1">
        <w:r w:rsidRPr="00F46FC9">
          <w:rPr>
            <w:rStyle w:val="Hyperlink"/>
            <w:rFonts w:ascii="Times New Roman" w:hAnsi="Times New Roman"/>
            <w:sz w:val="24"/>
            <w:lang w:eastAsia="en-US"/>
          </w:rPr>
          <w:t>C23/76 corr.1</w:t>
        </w:r>
      </w:hyperlink>
      <w:r w:rsidRPr="00F46FC9">
        <w:rPr>
          <w:rFonts w:ascii="Times New Roman" w:hAnsi="Times New Roman"/>
          <w:sz w:val="24"/>
          <w:lang w:eastAsia="en-US"/>
        </w:rPr>
        <w:t xml:space="preserve"> calling for a new ITU-wide mechanism to coordinate the Network of Women across ITU.</w:t>
      </w:r>
    </w:p>
    <w:p w14:paraId="69B872F8" w14:textId="77777777" w:rsidR="00C15E46" w:rsidRPr="00C15E46" w:rsidRDefault="00C15E46" w:rsidP="00C073B3">
      <w:pPr>
        <w:rPr>
          <w:rFonts w:asciiTheme="majorBidi" w:hAnsiTheme="majorBidi" w:cstheme="majorBidi"/>
        </w:rPr>
      </w:pPr>
      <w:r w:rsidRPr="00C15E46">
        <w:rPr>
          <w:rFonts w:asciiTheme="majorBidi" w:hAnsiTheme="majorBidi" w:cstheme="majorBidi"/>
        </w:rPr>
        <w:t xml:space="preserve">In accordance with the </w:t>
      </w:r>
      <w:hyperlink r:id="rId207" w:history="1">
        <w:r w:rsidRPr="00C15E46">
          <w:rPr>
            <w:rStyle w:val="Hyperlink"/>
            <w:rFonts w:asciiTheme="majorBidi" w:hAnsiTheme="majorBidi" w:cstheme="majorBidi"/>
          </w:rPr>
          <w:t>UNECE Declaration on Gender Responsive Standards</w:t>
        </w:r>
      </w:hyperlink>
      <w:r w:rsidRPr="00C15E46">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208" w:history="1">
        <w:r w:rsidRPr="00C15E46">
          <w:rPr>
            <w:rStyle w:val="Hyperlink"/>
            <w:rFonts w:asciiTheme="majorBidi" w:hAnsiTheme="majorBidi" w:cstheme="majorBidi"/>
          </w:rPr>
          <w:t>training course</w:t>
        </w:r>
      </w:hyperlink>
      <w:r w:rsidRPr="00C15E46">
        <w:rPr>
          <w:rFonts w:asciiTheme="majorBidi" w:hAnsiTheme="majorBidi" w:cstheme="majorBidi"/>
        </w:rPr>
        <w:t xml:space="preserve"> on gender-responsive standards development. Members and staff are invited to send certificates of completion to </w:t>
      </w:r>
      <w:hyperlink r:id="rId209" w:history="1">
        <w:r w:rsidRPr="00C15E46">
          <w:rPr>
            <w:rStyle w:val="Hyperlink"/>
            <w:rFonts w:asciiTheme="majorBidi" w:hAnsiTheme="majorBidi" w:cstheme="majorBidi"/>
          </w:rPr>
          <w:t>wise@itu.int</w:t>
        </w:r>
      </w:hyperlink>
      <w:r w:rsidRPr="00C15E46">
        <w:rPr>
          <w:rFonts w:asciiTheme="majorBidi" w:hAnsiTheme="majorBidi" w:cstheme="majorBidi"/>
        </w:rPr>
        <w:t>.</w:t>
      </w:r>
    </w:p>
    <w:p w14:paraId="1085A68A" w14:textId="32521F49" w:rsidR="00C15E46" w:rsidRDefault="00C15E46" w:rsidP="00C15E46">
      <w:pPr>
        <w:rPr>
          <w:rFonts w:asciiTheme="majorBidi" w:hAnsiTheme="majorBidi" w:cstheme="majorBidi"/>
        </w:rPr>
      </w:pPr>
      <w:r w:rsidRPr="00C15E46">
        <w:rPr>
          <w:rFonts w:asciiTheme="majorBidi" w:hAnsiTheme="majorBidi" w:cstheme="majorBidi"/>
        </w:rPr>
        <w:t>The figures below provide an overview of TSB/ITU-T activities with respect to participants' gender.</w:t>
      </w:r>
    </w:p>
    <w:p w14:paraId="3D270A78" w14:textId="63B320AA" w:rsidR="00C15E46" w:rsidRPr="00C15E46" w:rsidRDefault="009B174D" w:rsidP="00EA757B">
      <w:pPr>
        <w:jc w:val="center"/>
        <w:rPr>
          <w:rFonts w:asciiTheme="majorBidi" w:hAnsiTheme="majorBidi" w:cstheme="majorBidi"/>
        </w:rPr>
      </w:pPr>
      <w:r>
        <w:rPr>
          <w:noProof/>
        </w:rPr>
        <w:drawing>
          <wp:inline distT="0" distB="0" distL="0" distR="0" wp14:anchorId="69F91769" wp14:editId="14040870">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50A679E2" w14:textId="477092B0" w:rsidR="00C404D6" w:rsidRDefault="00C13AAD" w:rsidP="00144E30">
      <w:pPr>
        <w:pStyle w:val="Caption"/>
      </w:pPr>
      <w:r w:rsidRPr="00BB400A">
        <w:t>Figure</w:t>
      </w:r>
      <w:r w:rsidR="00EA757B">
        <w:t xml:space="preserve"> </w:t>
      </w:r>
      <w:r w:rsidR="00DB5555">
        <w:t>5</w:t>
      </w:r>
      <w:r w:rsidRPr="00C32576">
        <w:t xml:space="preserve"> – </w:t>
      </w:r>
      <w:r w:rsidR="00EA757B">
        <w:t>Women's p</w:t>
      </w:r>
      <w:r w:rsidRPr="00C32576">
        <w:t xml:space="preserve">articipation </w:t>
      </w:r>
      <w:r>
        <w:t xml:space="preserve">in </w:t>
      </w:r>
      <w:r w:rsidR="00EA757B">
        <w:t>the past three WTSA</w:t>
      </w:r>
    </w:p>
    <w:p w14:paraId="323C8113" w14:textId="46A210A9" w:rsidR="009B174D" w:rsidRDefault="009B174D" w:rsidP="009B174D">
      <w:pPr>
        <w:jc w:val="center"/>
      </w:pPr>
      <w:r>
        <w:rPr>
          <w:noProof/>
        </w:rPr>
        <w:lastRenderedPageBreak/>
        <w:drawing>
          <wp:inline distT="0" distB="0" distL="0" distR="0" wp14:anchorId="5265F969" wp14:editId="128CFF51">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7488157C" w14:textId="6D1E0EAD" w:rsidR="009B174D" w:rsidRDefault="009B174D" w:rsidP="009B174D">
      <w:pPr>
        <w:pStyle w:val="Caption"/>
      </w:pPr>
      <w:r w:rsidRPr="00BB400A">
        <w:t>Figure</w:t>
      </w:r>
      <w:r>
        <w:t xml:space="preserve"> </w:t>
      </w:r>
      <w:r w:rsidR="00DB5555">
        <w:t>6</w:t>
      </w:r>
      <w:r w:rsidRPr="00C32576">
        <w:t xml:space="preserve"> – </w:t>
      </w:r>
      <w:r>
        <w:t xml:space="preserve">Women's </w:t>
      </w:r>
      <w:r w:rsidR="00506A83">
        <w:t xml:space="preserve">share of ITU-T leadership position and </w:t>
      </w:r>
      <w:r>
        <w:t>p</w:t>
      </w:r>
      <w:r w:rsidRPr="00C32576">
        <w:t xml:space="preserve">articipation </w:t>
      </w:r>
      <w:r>
        <w:t xml:space="preserve">in </w:t>
      </w:r>
      <w:r w:rsidR="00506A83">
        <w:t>study groups and regional groups within study groups</w:t>
      </w:r>
    </w:p>
    <w:p w14:paraId="573C370A" w14:textId="00500B57" w:rsidR="00EA757B" w:rsidRDefault="009B174D" w:rsidP="009B174D">
      <w:pPr>
        <w:jc w:val="center"/>
      </w:pPr>
      <w:r>
        <w:rPr>
          <w:noProof/>
        </w:rPr>
        <w:drawing>
          <wp:inline distT="0" distB="0" distL="0" distR="0" wp14:anchorId="19CFC5F9" wp14:editId="52EAB23B">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2"/>
              </a:graphicData>
            </a:graphic>
          </wp:inline>
        </w:drawing>
      </w:r>
    </w:p>
    <w:p w14:paraId="6447E111" w14:textId="7F0A1F5B" w:rsidR="00EA757B" w:rsidRDefault="00EA757B" w:rsidP="00EA757B">
      <w:pPr>
        <w:pStyle w:val="Caption"/>
      </w:pPr>
      <w:r w:rsidRPr="00543389">
        <w:t xml:space="preserve">Figure </w:t>
      </w:r>
      <w:r w:rsidR="00DB5555">
        <w:t>7</w:t>
      </w:r>
      <w:r w:rsidR="00196C10">
        <w:t xml:space="preserve"> </w:t>
      </w:r>
      <w:r w:rsidRPr="00543389">
        <w:t xml:space="preserve">– </w:t>
      </w:r>
      <w:r w:rsidR="00506A83">
        <w:t>Wome</w:t>
      </w:r>
      <w:r w:rsidR="00196C10">
        <w:t>n's p</w:t>
      </w:r>
      <w:r w:rsidR="00CB0E01">
        <w:t xml:space="preserve">articipation in </w:t>
      </w:r>
      <w:r w:rsidRPr="00543389">
        <w:t xml:space="preserve">ITU-T </w:t>
      </w:r>
      <w:r w:rsidR="00CB0E01">
        <w:t xml:space="preserve">statutory </w:t>
      </w:r>
      <w:r w:rsidR="00DB5555">
        <w:t xml:space="preserve">meetings </w:t>
      </w:r>
      <w:r w:rsidR="00196C10">
        <w:t xml:space="preserve">by </w:t>
      </w:r>
      <w:r w:rsidR="00CB0E01">
        <w:t>study period</w:t>
      </w:r>
    </w:p>
    <w:p w14:paraId="0947295C" w14:textId="0A6270A8" w:rsidR="00136E7B" w:rsidRPr="00C32576" w:rsidRDefault="0017570A" w:rsidP="0048381E">
      <w:pPr>
        <w:pStyle w:val="Heading1"/>
        <w:spacing w:before="240"/>
      </w:pPr>
      <w:bookmarkStart w:id="187" w:name="_14_Publications"/>
      <w:bookmarkStart w:id="188" w:name="_Toc156392436"/>
      <w:bookmarkStart w:id="189" w:name="_Hlk119499545"/>
      <w:bookmarkEnd w:id="187"/>
      <w:r>
        <w:t>1</w:t>
      </w:r>
      <w:r w:rsidR="005C2626">
        <w:t>4</w:t>
      </w:r>
      <w:r w:rsidR="00136E7B" w:rsidRPr="00C32576">
        <w:tab/>
        <w:t>Publica</w:t>
      </w:r>
      <w:r w:rsidR="00136E7B" w:rsidRPr="00C5776F">
        <w:t>tions</w:t>
      </w:r>
      <w:bookmarkEnd w:id="188"/>
    </w:p>
    <w:p w14:paraId="2CDD2E04" w14:textId="74EDF43C" w:rsidR="000B0258" w:rsidRPr="00C32576" w:rsidRDefault="0017570A" w:rsidP="0048381E">
      <w:pPr>
        <w:pStyle w:val="Heading2"/>
      </w:pPr>
      <w:bookmarkStart w:id="190" w:name="_12.1_Recommendations_and"/>
      <w:bookmarkStart w:id="191" w:name="_13.1_Recommendations_and"/>
      <w:bookmarkStart w:id="192" w:name="_14.1_Recommendations_and"/>
      <w:bookmarkStart w:id="193" w:name="_Toc156392437"/>
      <w:bookmarkEnd w:id="190"/>
      <w:bookmarkEnd w:id="191"/>
      <w:bookmarkEnd w:id="192"/>
      <w:r>
        <w:t>1</w:t>
      </w:r>
      <w:r w:rsidR="005C2626">
        <w:t>4</w:t>
      </w:r>
      <w:r w:rsidR="000B0258" w:rsidRPr="00C32576">
        <w:t>.1</w:t>
      </w:r>
      <w:r w:rsidR="000B0258" w:rsidRPr="00C32576">
        <w:tab/>
        <w:t xml:space="preserve">Recommendations and </w:t>
      </w:r>
      <w:r w:rsidR="00B44AD8">
        <w:t>s</w:t>
      </w:r>
      <w:r w:rsidR="000B0258" w:rsidRPr="00C32576">
        <w:t>upp</w:t>
      </w:r>
      <w:r w:rsidR="000B0258" w:rsidRPr="00C5776F">
        <w:t>lements</w:t>
      </w:r>
      <w:bookmarkEnd w:id="193"/>
    </w:p>
    <w:p w14:paraId="46571281" w14:textId="485545D5" w:rsidR="00CE6518" w:rsidRPr="00C32576" w:rsidRDefault="00E27D92" w:rsidP="00CE6518">
      <w:bookmarkStart w:id="194" w:name="_Hlk120610234"/>
      <w:r>
        <w:t>Close to 300</w:t>
      </w:r>
      <w:r w:rsidR="00CE6518" w:rsidRPr="00C32576">
        <w:t xml:space="preserve"> ITU-T Recommendations and Supplements were published</w:t>
      </w:r>
      <w:r w:rsidR="00CE6518">
        <w:t xml:space="preserve"> in</w:t>
      </w:r>
      <w:r>
        <w:t xml:space="preserve"> 2023</w:t>
      </w:r>
      <w:r w:rsidR="00CE6518" w:rsidRPr="00C32576">
        <w:t xml:space="preserve">. </w:t>
      </w:r>
      <w:bookmarkEnd w:id="194"/>
      <w:r w:rsidR="00CB0E01">
        <w:t>The f</w:t>
      </w:r>
      <w:r w:rsidR="00CE6518" w:rsidRPr="00C32576">
        <w:t xml:space="preserve">igure </w:t>
      </w:r>
      <w:r w:rsidR="00CB0E01">
        <w:t>below</w:t>
      </w:r>
      <w:r w:rsidR="00CE6518" w:rsidRPr="00C32576">
        <w:t xml:space="preserve"> illustrates the number of </w:t>
      </w:r>
      <w:r w:rsidR="00CE6518">
        <w:t xml:space="preserve">ITU-T </w:t>
      </w:r>
      <w:r w:rsidR="00CE6518" w:rsidRPr="00C32576">
        <w:t xml:space="preserve">Recommendations </w:t>
      </w:r>
      <w:r w:rsidR="00CE6518">
        <w:t xml:space="preserve">and </w:t>
      </w:r>
      <w:r w:rsidR="00CE6518" w:rsidRPr="00C32576">
        <w:t>Supplements published per year</w:t>
      </w:r>
      <w:r w:rsidR="00CE6518">
        <w:t xml:space="preserve"> since 201</w:t>
      </w:r>
      <w:r w:rsidR="009D2BC8">
        <w:t>8</w:t>
      </w:r>
      <w:r w:rsidR="00CE6518" w:rsidRPr="00C32576">
        <w:t>.</w:t>
      </w:r>
    </w:p>
    <w:p w14:paraId="7A8D7A49" w14:textId="7F8D44E1" w:rsidR="00CE6518" w:rsidRPr="001D19A4"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209931CA" w14:textId="0ECD9DDD" w:rsidR="00CE6518" w:rsidRDefault="00E27D92" w:rsidP="00D32CFD">
      <w:pPr>
        <w:pStyle w:val="xxmsonormal"/>
        <w:jc w:val="center"/>
      </w:pPr>
      <w:r>
        <w:rPr>
          <w:noProof/>
          <w14:ligatures w14:val="standardContextual"/>
        </w:rPr>
        <w:lastRenderedPageBreak/>
        <w:drawing>
          <wp:inline distT="0" distB="0" distL="0" distR="0" wp14:anchorId="012DEA5A" wp14:editId="5984219C">
            <wp:extent cx="5634653" cy="4203775"/>
            <wp:effectExtent l="0" t="0" r="4445" b="6350"/>
            <wp:docPr id="177247237"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3"/>
              </a:graphicData>
            </a:graphic>
          </wp:inline>
        </w:drawing>
      </w:r>
    </w:p>
    <w:p w14:paraId="3017E22F" w14:textId="7E0EDFEE" w:rsidR="00CE6518" w:rsidRPr="001D19A4" w:rsidRDefault="00CE6518" w:rsidP="00CE6518">
      <w:pPr>
        <w:pStyle w:val="xxmsonormal"/>
        <w:jc w:val="center"/>
      </w:pPr>
      <w:r>
        <w:rPr>
          <w:b/>
          <w:bCs/>
        </w:rPr>
        <w:t xml:space="preserve">Figure </w:t>
      </w:r>
      <w:r w:rsidR="00DB5555">
        <w:rPr>
          <w:b/>
          <w:bCs/>
        </w:rPr>
        <w:t>8</w:t>
      </w:r>
      <w:r>
        <w:rPr>
          <w:b/>
          <w:bCs/>
        </w:rPr>
        <w:t xml:space="preserve"> – Number of Recommendations, amendments and Supplements </w:t>
      </w:r>
      <w:r>
        <w:br/>
      </w:r>
      <w:r>
        <w:rPr>
          <w:b/>
          <w:bCs/>
        </w:rPr>
        <w:t xml:space="preserve">published per year since </w:t>
      </w:r>
      <w:proofErr w:type="gramStart"/>
      <w:r>
        <w:rPr>
          <w:b/>
          <w:bCs/>
        </w:rPr>
        <w:t>201</w:t>
      </w:r>
      <w:r w:rsidR="009D2BC8">
        <w:rPr>
          <w:b/>
          <w:bCs/>
        </w:rPr>
        <w:t>8</w:t>
      </w:r>
      <w:proofErr w:type="gramEnd"/>
      <w:r>
        <w:rPr>
          <w:b/>
          <w:bCs/>
        </w:rPr>
        <w:t xml:space="preserve"> </w:t>
      </w:r>
    </w:p>
    <w:p w14:paraId="55DE0091" w14:textId="77777777" w:rsidR="00EA793D" w:rsidRPr="00C32576" w:rsidRDefault="00EA793D" w:rsidP="00EA793D">
      <w:pPr>
        <w:pStyle w:val="Heading2"/>
      </w:pPr>
      <w:bookmarkStart w:id="195" w:name="_14.2_Official_languages"/>
      <w:bookmarkStart w:id="196" w:name="_Toc156392438"/>
      <w:bookmarkStart w:id="197" w:name="_Hlk155873780"/>
      <w:bookmarkEnd w:id="195"/>
      <w:r>
        <w:t>14</w:t>
      </w:r>
      <w:r w:rsidRPr="00C32576">
        <w:t>.1</w:t>
      </w:r>
      <w:r>
        <w:t>.1</w:t>
      </w:r>
      <w:r w:rsidRPr="00C32576">
        <w:tab/>
        <w:t xml:space="preserve">Recommendations </w:t>
      </w:r>
      <w:r>
        <w:t xml:space="preserve">deleted between </w:t>
      </w:r>
      <w:proofErr w:type="gramStart"/>
      <w:r w:rsidRPr="00C5776F">
        <w:t>WTSAs</w:t>
      </w:r>
      <w:bookmarkEnd w:id="196"/>
      <w:proofErr w:type="gramEnd"/>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1C7E9A6F" w14:textId="7442D74C" w:rsidR="00041B38" w:rsidRPr="00041B38" w:rsidRDefault="00041B38" w:rsidP="00770357">
      <w:pPr>
        <w:pStyle w:val="ListParagraph"/>
        <w:numPr>
          <w:ilvl w:val="0"/>
          <w:numId w:val="19"/>
        </w:numPr>
        <w:spacing w:before="120"/>
        <w:contextualSpacing w:val="0"/>
        <w:rPr>
          <w:rFonts w:ascii="Times New Roman" w:hAnsi="Times New Roman"/>
          <w:sz w:val="24"/>
          <w:lang w:eastAsia="en-US"/>
        </w:rPr>
      </w:pPr>
      <w:r w:rsidRPr="00041B38">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23BFFB24" w14:textId="0C365C46"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EA793D">
        <w:rPr>
          <w:rFonts w:ascii="Times New Roman" w:hAnsi="Times New Roman"/>
          <w:sz w:val="24"/>
          <w:lang w:eastAsia="en-US"/>
        </w:rPr>
        <w:t xml:space="preserve">Recommendation ITU-T D.212 "Charging and accounting principles for the use of Signalling System No. </w:t>
      </w:r>
      <w:proofErr w:type="gramStart"/>
      <w:r w:rsidRPr="00EA793D">
        <w:rPr>
          <w:rFonts w:ascii="Times New Roman" w:hAnsi="Times New Roman"/>
          <w:sz w:val="24"/>
          <w:lang w:eastAsia="en-US"/>
        </w:rPr>
        <w:t>7"</w:t>
      </w:r>
      <w:proofErr w:type="gramEnd"/>
    </w:p>
    <w:p w14:paraId="4DB14D61" w14:textId="287955C3" w:rsidR="00EA793D" w:rsidRDefault="00EA793D"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K.43</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Immunity requirements for telecommunication network equipment</w:t>
      </w:r>
      <w:r w:rsidR="00635FF8">
        <w:rPr>
          <w:rFonts w:ascii="Times New Roman" w:hAnsi="Times New Roman"/>
          <w:sz w:val="24"/>
          <w:lang w:eastAsia="en-US"/>
        </w:rPr>
        <w:t>"</w:t>
      </w:r>
    </w:p>
    <w:p w14:paraId="2B1CC4F4" w14:textId="6B3D34F7" w:rsidR="00EA793D" w:rsidRDefault="00EA793D"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telecommunication equipment – Product family Recommendation</w:t>
      </w:r>
      <w:r w:rsidR="00635FF8">
        <w:rPr>
          <w:rFonts w:ascii="Times New Roman" w:hAnsi="Times New Roman"/>
          <w:sz w:val="24"/>
          <w:lang w:eastAsia="en-US"/>
        </w:rPr>
        <w:t>"</w:t>
      </w:r>
    </w:p>
    <w:p w14:paraId="2C796521" w14:textId="0E93D863" w:rsidR="00EA793D" w:rsidRPr="00EA793D" w:rsidRDefault="00EA793D"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K.88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next generation network equipment</w:t>
      </w:r>
      <w:r w:rsidR="00635FF8">
        <w:rPr>
          <w:rFonts w:ascii="Times New Roman" w:hAnsi="Times New Roman"/>
          <w:sz w:val="24"/>
          <w:lang w:eastAsia="en-US"/>
        </w:rPr>
        <w:t>"</w:t>
      </w:r>
    </w:p>
    <w:p w14:paraId="6C4C42B9" w14:textId="6591C1AD"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44A8A5C6"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4EC6C6E"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4D088716"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5B3329A3"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4D13977"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79966F9B"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1B44844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2E941C2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03097F2F"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1E60CE39"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2D41144"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 xml:space="preserve">Requirements on underlying networks and signalling protocols to support </w:t>
      </w:r>
      <w:proofErr w:type="gramStart"/>
      <w:r w:rsidRPr="005B7E61">
        <w:rPr>
          <w:rFonts w:ascii="Times New Roman" w:hAnsi="Times New Roman"/>
          <w:sz w:val="24"/>
          <w:lang w:eastAsia="en-US"/>
        </w:rPr>
        <w:t>UPT</w:t>
      </w:r>
      <w:r>
        <w:rPr>
          <w:rFonts w:ascii="Times New Roman" w:hAnsi="Times New Roman"/>
          <w:sz w:val="24"/>
          <w:lang w:eastAsia="en-US"/>
        </w:rPr>
        <w:t>"</w:t>
      </w:r>
      <w:proofErr w:type="gramEnd"/>
    </w:p>
    <w:p w14:paraId="1CA71CC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 xml:space="preserve">UPT stage 2 for Service Set 1 on IN CS-1 – Procedures for universal personal telecommunication: Functional modelling and information </w:t>
      </w:r>
      <w:proofErr w:type="gramStart"/>
      <w:r w:rsidRPr="005B7E61">
        <w:rPr>
          <w:rFonts w:ascii="Times New Roman" w:hAnsi="Times New Roman"/>
          <w:sz w:val="24"/>
          <w:lang w:eastAsia="en-US"/>
        </w:rPr>
        <w:t>flows</w:t>
      </w:r>
      <w:r>
        <w:rPr>
          <w:rFonts w:ascii="Times New Roman" w:hAnsi="Times New Roman"/>
          <w:sz w:val="24"/>
          <w:lang w:eastAsia="en-US"/>
        </w:rPr>
        <w:t>"</w:t>
      </w:r>
      <w:proofErr w:type="gramEnd"/>
    </w:p>
    <w:p w14:paraId="28A4340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 xml:space="preserve">UPT stage 2 for Service Set 1 on IN CS-2 – Procedures for universal personal telecommunication: Functional modelling and information </w:t>
      </w:r>
      <w:proofErr w:type="gramStart"/>
      <w:r w:rsidRPr="005B7E61">
        <w:rPr>
          <w:rFonts w:ascii="Times New Roman" w:hAnsi="Times New Roman"/>
          <w:sz w:val="24"/>
          <w:lang w:eastAsia="en-US"/>
        </w:rPr>
        <w:t>flows</w:t>
      </w:r>
      <w:r>
        <w:rPr>
          <w:rFonts w:ascii="Times New Roman" w:hAnsi="Times New Roman"/>
          <w:sz w:val="24"/>
          <w:lang w:eastAsia="en-US"/>
        </w:rPr>
        <w:t>"</w:t>
      </w:r>
      <w:proofErr w:type="gramEnd"/>
    </w:p>
    <w:p w14:paraId="3E6D893A" w14:textId="77777777" w:rsidR="00EA793D" w:rsidRDefault="00EA793D" w:rsidP="00770357">
      <w:pPr>
        <w:numPr>
          <w:ilvl w:val="0"/>
          <w:numId w:val="19"/>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71BD595B" w:rsidR="00CE6518" w:rsidRPr="00C32576" w:rsidRDefault="00CE6518" w:rsidP="00CE6518">
      <w:pPr>
        <w:pStyle w:val="Heading2"/>
      </w:pPr>
      <w:bookmarkStart w:id="198" w:name="_Toc156392439"/>
      <w:bookmarkEnd w:id="197"/>
      <w:r>
        <w:t>1</w:t>
      </w:r>
      <w:r w:rsidR="005C2626">
        <w:t>4</w:t>
      </w:r>
      <w:r w:rsidRPr="00C32576">
        <w:t>.2</w:t>
      </w:r>
      <w:r w:rsidRPr="00C32576">
        <w:tab/>
        <w:t xml:space="preserve">Official languages on an </w:t>
      </w:r>
      <w:r w:rsidRPr="00C5776F">
        <w:t>equal footing</w:t>
      </w:r>
      <w:bookmarkEnd w:id="198"/>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14"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3864B6B1" w:rsidR="00CE6518" w:rsidRPr="00C32576" w:rsidRDefault="00CE6518" w:rsidP="00CE6518">
      <w:r w:rsidRPr="00C32576">
        <w:t xml:space="preserve">TSB also translated </w:t>
      </w:r>
      <w:r w:rsidR="00CB0E01">
        <w:t>six</w:t>
      </w:r>
      <w:r w:rsidRPr="00B103D3">
        <w:t xml:space="preserve"> Recommendations</w:t>
      </w:r>
      <w:r>
        <w:t xml:space="preserve"> approved under the Alternative Approval Process in </w:t>
      </w:r>
      <w:r w:rsidR="00CB0E01">
        <w:t>2023</w:t>
      </w:r>
      <w:r w:rsidRPr="00C32576">
        <w:t>, in accordance with requests received from ITU-T SGs and linguistic groups, and within the available budget.</w:t>
      </w:r>
    </w:p>
    <w:p w14:paraId="09867142" w14:textId="09F5EEF9" w:rsidR="00136E7B" w:rsidRPr="00C32576" w:rsidRDefault="007E7EE3" w:rsidP="00A4066E">
      <w:pPr>
        <w:pStyle w:val="Heading1"/>
        <w:spacing w:before="240"/>
      </w:pPr>
      <w:bookmarkStart w:id="199" w:name="_12.2_Official_languages"/>
      <w:bookmarkStart w:id="200" w:name="_13.2_Official_languages"/>
      <w:bookmarkStart w:id="201" w:name="_13_Services_and"/>
      <w:bookmarkStart w:id="202" w:name="_14_Services_and"/>
      <w:bookmarkStart w:id="203" w:name="_15_Services_and"/>
      <w:bookmarkStart w:id="204" w:name="_15_Electronic_working"/>
      <w:bookmarkStart w:id="205" w:name="_Toc416161374"/>
      <w:bookmarkStart w:id="206" w:name="_Toc438553999"/>
      <w:bookmarkStart w:id="207" w:name="_Toc453929121"/>
      <w:bookmarkStart w:id="208" w:name="_Toc453932992"/>
      <w:bookmarkStart w:id="209" w:name="_Toc454295898"/>
      <w:bookmarkStart w:id="210" w:name="_Toc462664276"/>
      <w:bookmarkStart w:id="211" w:name="_Toc480527868"/>
      <w:bookmarkStart w:id="212" w:name="_Ref16697318"/>
      <w:bookmarkStart w:id="213" w:name="_Toc156392440"/>
      <w:bookmarkStart w:id="214" w:name="_Hlk135239042"/>
      <w:bookmarkEnd w:id="168"/>
      <w:bookmarkEnd w:id="169"/>
      <w:bookmarkEnd w:id="170"/>
      <w:bookmarkEnd w:id="171"/>
      <w:bookmarkEnd w:id="172"/>
      <w:bookmarkEnd w:id="173"/>
      <w:bookmarkEnd w:id="189"/>
      <w:bookmarkEnd w:id="199"/>
      <w:bookmarkEnd w:id="200"/>
      <w:bookmarkEnd w:id="201"/>
      <w:bookmarkEnd w:id="202"/>
      <w:bookmarkEnd w:id="203"/>
      <w:bookmarkEnd w:id="204"/>
      <w:r w:rsidRPr="00C32576">
        <w:t>1</w:t>
      </w:r>
      <w:r w:rsidR="005C2626">
        <w:t>5</w:t>
      </w:r>
      <w:r w:rsidR="00136E7B" w:rsidRPr="00C32576">
        <w:tab/>
      </w:r>
      <w:bookmarkEnd w:id="205"/>
      <w:bookmarkEnd w:id="206"/>
      <w:bookmarkEnd w:id="207"/>
      <w:bookmarkEnd w:id="208"/>
      <w:bookmarkEnd w:id="209"/>
      <w:bookmarkEnd w:id="210"/>
      <w:bookmarkEnd w:id="211"/>
      <w:bookmarkEnd w:id="212"/>
      <w:r w:rsidR="007772C4">
        <w:t xml:space="preserve">Electronic working </w:t>
      </w:r>
      <w:r w:rsidR="00CD506F">
        <w:t xml:space="preserve">methods and </w:t>
      </w:r>
      <w:r w:rsidR="00CD506F" w:rsidRPr="00C5776F">
        <w:t>tools</w:t>
      </w:r>
      <w:bookmarkEnd w:id="213"/>
    </w:p>
    <w:p w14:paraId="5F88433C" w14:textId="7B633757" w:rsidR="003D5F16" w:rsidRDefault="00CD506F" w:rsidP="003D5F16">
      <w:bookmarkStart w:id="215" w:name="_Hlk120616566"/>
      <w:r>
        <w:t>Actions taken since the last meeting of TSAG are outlined below</w:t>
      </w:r>
      <w:bookmarkStart w:id="216" w:name="_Hlk155875540"/>
      <w:r w:rsidR="003D5F16" w:rsidRPr="003D5F16">
        <w:t>.</w:t>
      </w:r>
      <w:bookmarkEnd w:id="216"/>
    </w:p>
    <w:p w14:paraId="48F988D2" w14:textId="417D6201" w:rsidR="000E3711" w:rsidRDefault="000E3711" w:rsidP="004C3AFB">
      <w:pPr>
        <w:pStyle w:val="Heading2"/>
      </w:pPr>
      <w:bookmarkStart w:id="217" w:name="_Toc156392441"/>
      <w:r w:rsidRPr="00C32576">
        <w:t>1</w:t>
      </w:r>
      <w:r>
        <w:t>5</w:t>
      </w:r>
      <w:r w:rsidRPr="00C32576">
        <w:t>.</w:t>
      </w:r>
      <w:r>
        <w:t>1</w:t>
      </w:r>
      <w:r w:rsidRPr="00C32576">
        <w:tab/>
      </w:r>
      <w:r>
        <w:t>ITU</w:t>
      </w:r>
      <w:r w:rsidR="00821BE1">
        <w:t>-T</w:t>
      </w:r>
      <w:r>
        <w:t xml:space="preserve"> </w:t>
      </w:r>
      <w:r w:rsidR="00CD506F">
        <w:t>website</w:t>
      </w:r>
      <w:bookmarkEnd w:id="217"/>
    </w:p>
    <w:p w14:paraId="1D55D655" w14:textId="735151B4" w:rsidR="00CD506F" w:rsidRPr="00CD506F" w:rsidRDefault="00CD506F" w:rsidP="00CD506F">
      <w:pPr>
        <w:rPr>
          <w:bCs/>
        </w:rPr>
      </w:pPr>
      <w:bookmarkStart w:id="218" w:name="_Hlk120616944"/>
      <w:r w:rsidRPr="00CD506F">
        <w:rPr>
          <w:bCs/>
        </w:rPr>
        <w:t xml:space="preserve">TSB continuously creates and updates web pages to ensure that correct and current information is always available. Below are some of the notable sites that have been created since the last TSAG meeting: </w:t>
      </w:r>
    </w:p>
    <w:p w14:paraId="5BA016F9" w14:textId="77777777" w:rsidR="00CD506F" w:rsidRPr="00CD506F" w:rsidRDefault="009A3DC3" w:rsidP="00770357">
      <w:pPr>
        <w:numPr>
          <w:ilvl w:val="0"/>
          <w:numId w:val="23"/>
        </w:numPr>
        <w:rPr>
          <w:bCs/>
        </w:rPr>
      </w:pPr>
      <w:hyperlink r:id="rId215" w:history="1">
        <w:r w:rsidR="00CD506F" w:rsidRPr="00CD506F">
          <w:rPr>
            <w:rStyle w:val="Hyperlink"/>
            <w:bCs/>
          </w:rPr>
          <w:t>WTSA-24</w:t>
        </w:r>
      </w:hyperlink>
    </w:p>
    <w:p w14:paraId="279E400D" w14:textId="15B01897" w:rsidR="00CD506F" w:rsidRPr="00CD506F" w:rsidRDefault="009A3DC3" w:rsidP="00770357">
      <w:pPr>
        <w:numPr>
          <w:ilvl w:val="0"/>
          <w:numId w:val="23"/>
        </w:numPr>
        <w:rPr>
          <w:bCs/>
        </w:rPr>
      </w:pPr>
      <w:hyperlink r:id="rId216" w:history="1">
        <w:hyperlink r:id="rId217" w:history="1">
          <w:r w:rsidR="002135DD">
            <w:rPr>
              <w:rStyle w:val="Hyperlink"/>
              <w:bCs/>
            </w:rPr>
            <w:t>5</w:t>
          </w:r>
          <w:r w:rsidR="002135DD" w:rsidRPr="002135DD">
            <w:rPr>
              <w:rStyle w:val="Hyperlink"/>
              <w:bCs/>
              <w:vertAlign w:val="superscript"/>
            </w:rPr>
            <w:t>th</w:t>
          </w:r>
          <w:r w:rsidR="002135DD">
            <w:rPr>
              <w:rStyle w:val="Hyperlink"/>
              <w:bCs/>
            </w:rPr>
            <w:t xml:space="preserve"> </w:t>
          </w:r>
          <w:r w:rsidR="00CD506F" w:rsidRPr="00CD506F">
            <w:rPr>
              <w:rStyle w:val="Hyperlink"/>
              <w:bCs/>
            </w:rPr>
            <w:t>Global Standards Symposium</w:t>
          </w:r>
        </w:hyperlink>
      </w:hyperlink>
    </w:p>
    <w:p w14:paraId="7D0BF448" w14:textId="25033A55" w:rsidR="00CD506F" w:rsidRPr="00CD506F" w:rsidRDefault="009A3DC3" w:rsidP="00770357">
      <w:pPr>
        <w:numPr>
          <w:ilvl w:val="0"/>
          <w:numId w:val="23"/>
        </w:numPr>
        <w:rPr>
          <w:bCs/>
        </w:rPr>
      </w:pPr>
      <w:hyperlink r:id="rId218" w:history="1">
        <w:r w:rsidR="00CD506F" w:rsidRPr="00CD506F">
          <w:rPr>
            <w:rStyle w:val="Hyperlink"/>
            <w:bCs/>
          </w:rPr>
          <w:t xml:space="preserve">Inter-regional Meetings for WTSA-24 </w:t>
        </w:r>
        <w:r w:rsidR="002135DD">
          <w:rPr>
            <w:rStyle w:val="Hyperlink"/>
            <w:bCs/>
          </w:rPr>
          <w:t>p</w:t>
        </w:r>
        <w:r w:rsidR="00CD506F" w:rsidRPr="00CD506F">
          <w:rPr>
            <w:rStyle w:val="Hyperlink"/>
            <w:bCs/>
          </w:rPr>
          <w:t>reparation</w:t>
        </w:r>
      </w:hyperlink>
    </w:p>
    <w:p w14:paraId="5D6EADB6" w14:textId="08171CBD" w:rsidR="003D5F16" w:rsidRDefault="003D5F16" w:rsidP="003D5F16">
      <w:pPr>
        <w:pStyle w:val="Heading2"/>
      </w:pPr>
      <w:bookmarkStart w:id="219" w:name="_Toc156392442"/>
      <w:bookmarkEnd w:id="215"/>
      <w:bookmarkEnd w:id="218"/>
      <w:r w:rsidRPr="00C32576">
        <w:t>1</w:t>
      </w:r>
      <w:r w:rsidR="005C2626">
        <w:t>5</w:t>
      </w:r>
      <w:r w:rsidRPr="00C32576">
        <w:t>.</w:t>
      </w:r>
      <w:r w:rsidR="000E3711">
        <w:t>2</w:t>
      </w:r>
      <w:r w:rsidRPr="00C32576">
        <w:tab/>
      </w:r>
      <w:r w:rsidR="00CD506F">
        <w:t xml:space="preserve">Tools and </w:t>
      </w:r>
      <w:r>
        <w:t>applications</w:t>
      </w:r>
      <w:bookmarkEnd w:id="219"/>
    </w:p>
    <w:p w14:paraId="4DDBA30A" w14:textId="208E4E94" w:rsidR="00CD506F" w:rsidRPr="00CD506F" w:rsidRDefault="00CD506F" w:rsidP="00CD506F">
      <w:pPr>
        <w:rPr>
          <w:bCs/>
          <w:lang w:eastAsia="en-US"/>
        </w:rPr>
      </w:pPr>
      <w:r w:rsidRPr="00CD506F">
        <w:rPr>
          <w:bCs/>
          <w:lang w:eastAsia="en-US"/>
        </w:rPr>
        <w:t xml:space="preserve">TSB, ITU </w:t>
      </w:r>
      <w:proofErr w:type="gramStart"/>
      <w:r w:rsidRPr="00CD506F">
        <w:rPr>
          <w:bCs/>
          <w:lang w:eastAsia="en-US"/>
        </w:rPr>
        <w:t>IS</w:t>
      </w:r>
      <w:proofErr w:type="gramEnd"/>
      <w:r w:rsidRPr="00CD506F">
        <w:rPr>
          <w:bCs/>
          <w:lang w:eastAsia="en-US"/>
        </w:rPr>
        <w:t xml:space="preserve"> and C&amp;P Departments continue to develop several applications and further enhance existing facilities to support and improve the electronic working methods of the members. TSB strive</w:t>
      </w:r>
      <w:r>
        <w:rPr>
          <w:bCs/>
          <w:lang w:eastAsia="en-US"/>
        </w:rPr>
        <w:t>s</w:t>
      </w:r>
      <w:r w:rsidRPr="00CD506F">
        <w:rPr>
          <w:bCs/>
          <w:lang w:eastAsia="en-US"/>
        </w:rPr>
        <w:t xml:space="preserve"> to support mobile devices in all new applications develop</w:t>
      </w:r>
      <w:r>
        <w:rPr>
          <w:bCs/>
          <w:lang w:eastAsia="en-US"/>
        </w:rPr>
        <w:t>ed</w:t>
      </w:r>
      <w:r w:rsidRPr="00CD506F">
        <w:rPr>
          <w:bCs/>
          <w:lang w:eastAsia="en-US"/>
        </w:rPr>
        <w:t xml:space="preserve"> and follow the ITU design charter. Key achievements include:</w:t>
      </w:r>
    </w:p>
    <w:p w14:paraId="703AAA1E" w14:textId="3A681980" w:rsidR="004938FA" w:rsidRPr="004938FA" w:rsidRDefault="002135DD" w:rsidP="004938FA">
      <w:pPr>
        <w:rPr>
          <w:bCs/>
        </w:rPr>
      </w:pPr>
      <w:r w:rsidRPr="002135DD">
        <w:rPr>
          <w:b/>
          <w:bCs/>
        </w:rPr>
        <w:t xml:space="preserve">Document Management System for Rapporteur Group Meetings: </w:t>
      </w:r>
      <w:r w:rsidR="004938FA" w:rsidRPr="004938FA">
        <w:rPr>
          <w:bCs/>
        </w:rPr>
        <w:t>The Microsoft SharePoint-based Document Management System for ITU-T Rapporteur Group Meetings (RGMs) has been used extensively by the ITU-T Study Groups, and TSAG. Feedback from Rapporteurs drives the continuous improvement of the RGM system.</w:t>
      </w:r>
    </w:p>
    <w:p w14:paraId="159D2D19" w14:textId="77777777" w:rsidR="004938FA" w:rsidRPr="004938FA" w:rsidRDefault="004938FA" w:rsidP="004938FA">
      <w:pPr>
        <w:rPr>
          <w:bCs/>
        </w:rPr>
      </w:pPr>
      <w:r w:rsidRPr="004938FA">
        <w:rPr>
          <w:bCs/>
        </w:rPr>
        <w:t xml:space="preserve">Current and past RGM meetings can be accessed at </w:t>
      </w:r>
      <w:hyperlink r:id="rId219" w:history="1">
        <w:r w:rsidRPr="004938FA">
          <w:rPr>
            <w:rStyle w:val="Hyperlink"/>
            <w:bCs/>
          </w:rPr>
          <w:t>http://itu.int/go/itu-t/rgm</w:t>
        </w:r>
      </w:hyperlink>
      <w:r w:rsidRPr="004938FA">
        <w:rPr>
          <w:bCs/>
        </w:rPr>
        <w:t>.</w:t>
      </w:r>
    </w:p>
    <w:p w14:paraId="49D7D6A6" w14:textId="77777777" w:rsidR="004938FA" w:rsidRPr="004938FA" w:rsidRDefault="004938FA" w:rsidP="004938FA">
      <w:pPr>
        <w:rPr>
          <w:bCs/>
        </w:rPr>
      </w:pPr>
      <w:r w:rsidRPr="004938FA">
        <w:rPr>
          <w:bCs/>
        </w:rPr>
        <w:t xml:space="preserve">A comprehensive support and FAQ page offering RGM tips and best practices is available at </w:t>
      </w:r>
      <w:hyperlink r:id="rId220" w:history="1">
        <w:r w:rsidRPr="004938FA">
          <w:rPr>
            <w:rStyle w:val="Hyperlink"/>
            <w:bCs/>
          </w:rPr>
          <w:t>http://itu.int/go/itu-t/rgm-support</w:t>
        </w:r>
      </w:hyperlink>
      <w:r w:rsidRPr="004938FA">
        <w:rPr>
          <w:bCs/>
        </w:rPr>
        <w:t>.</w:t>
      </w:r>
    </w:p>
    <w:p w14:paraId="78526B7A" w14:textId="77777777" w:rsidR="004938FA" w:rsidRPr="004938FA" w:rsidRDefault="004938FA" w:rsidP="004938FA">
      <w:pPr>
        <w:rPr>
          <w:bCs/>
        </w:rPr>
      </w:pPr>
      <w:r w:rsidRPr="004938FA">
        <w:rPr>
          <w:bCs/>
        </w:rPr>
        <w:t xml:space="preserve">A detailed online user guide for the RGM System, including video tutorials, is available at </w:t>
      </w:r>
      <w:hyperlink r:id="rId221" w:history="1">
        <w:r w:rsidRPr="004938FA">
          <w:rPr>
            <w:rStyle w:val="Hyperlink"/>
            <w:bCs/>
          </w:rPr>
          <w:t>http://itu.int/go/itu-t/rgm-guide</w:t>
        </w:r>
      </w:hyperlink>
      <w:r w:rsidRPr="004938FA">
        <w:rPr>
          <w:bCs/>
        </w:rPr>
        <w:t>.</w:t>
      </w:r>
    </w:p>
    <w:p w14:paraId="0CF22AF9" w14:textId="77777777" w:rsidR="004938FA" w:rsidRDefault="004938FA" w:rsidP="004938FA">
      <w:pPr>
        <w:rPr>
          <w:bCs/>
        </w:rPr>
      </w:pPr>
      <w:r w:rsidRPr="004938FA">
        <w:rPr>
          <w:bCs/>
        </w:rPr>
        <w:t>The RGM system is one of several services available in the ITU-T SharePoint collaboration sites. These sites are restricted to ITU-T members and can be accessed using an ITU User Account (TIES).</w:t>
      </w:r>
    </w:p>
    <w:p w14:paraId="32C1D1DC" w14:textId="2C20D3BC" w:rsidR="004938FA" w:rsidRPr="004938FA" w:rsidRDefault="002135DD" w:rsidP="004938FA">
      <w:pPr>
        <w:rPr>
          <w:bCs/>
          <w:lang w:eastAsia="en-US"/>
        </w:rPr>
      </w:pPr>
      <w:r w:rsidRPr="002135DD">
        <w:rPr>
          <w:b/>
          <w:bCs/>
        </w:rPr>
        <w:t>ITU-T SharePoint collaboration sites</w:t>
      </w:r>
      <w:r w:rsidRPr="002135DD">
        <w:rPr>
          <w:b/>
          <w:bCs/>
          <w:lang w:eastAsia="en-US"/>
        </w:rPr>
        <w:t>:</w:t>
      </w:r>
      <w:r>
        <w:rPr>
          <w:bCs/>
          <w:lang w:eastAsia="en-US"/>
        </w:rPr>
        <w:t xml:space="preserve"> </w:t>
      </w:r>
      <w:r w:rsidR="004938FA" w:rsidRPr="004938FA">
        <w:rPr>
          <w:bCs/>
          <w:lang w:eastAsia="en-US"/>
        </w:rPr>
        <w:t>The ITU-T SharePoint collaboration sites enable participants in ITU-T working groups to conduct online discussions, work on projects, schedule meetings and manage and store documents in a secure shared environment.</w:t>
      </w:r>
    </w:p>
    <w:p w14:paraId="509CBF36" w14:textId="77777777" w:rsidR="004938FA" w:rsidRPr="004938FA" w:rsidRDefault="004938FA" w:rsidP="004938FA">
      <w:pPr>
        <w:rPr>
          <w:bCs/>
          <w:lang w:eastAsia="en-US"/>
        </w:rPr>
      </w:pPr>
      <w:r w:rsidRPr="004938FA">
        <w:rPr>
          <w:bCs/>
          <w:lang w:eastAsia="en-US"/>
        </w:rPr>
        <w:t xml:space="preserve">The home of ITU-T SharePoint collaboration sites can be accessed at: </w:t>
      </w:r>
      <w:hyperlink r:id="rId222" w:history="1">
        <w:r w:rsidRPr="004938FA">
          <w:rPr>
            <w:rStyle w:val="Hyperlink"/>
            <w:bCs/>
            <w:lang w:eastAsia="en-US"/>
          </w:rPr>
          <w:t>https://extranet.itu.int/sites/ITU-T/</w:t>
        </w:r>
      </w:hyperlink>
      <w:r w:rsidRPr="004938FA">
        <w:rPr>
          <w:bCs/>
          <w:lang w:eastAsia="en-US"/>
        </w:rPr>
        <w:t>.</w:t>
      </w:r>
    </w:p>
    <w:p w14:paraId="28604FBD" w14:textId="77777777" w:rsidR="004938FA" w:rsidRPr="004938FA" w:rsidRDefault="004938FA" w:rsidP="004938FA">
      <w:pPr>
        <w:rPr>
          <w:bCs/>
          <w:lang w:eastAsia="en-US"/>
        </w:rPr>
      </w:pPr>
      <w:r w:rsidRPr="004938FA">
        <w:rPr>
          <w:bCs/>
          <w:lang w:eastAsia="en-US"/>
        </w:rPr>
        <w:t xml:space="preserve">A support site that contains a knowledge base of FAQs and user guides on the various SharePoint services is also available at: </w:t>
      </w:r>
      <w:hyperlink r:id="rId223" w:history="1">
        <w:r w:rsidRPr="004938FA">
          <w:rPr>
            <w:rStyle w:val="Hyperlink"/>
            <w:bCs/>
            <w:lang w:eastAsia="en-US"/>
          </w:rPr>
          <w:t>https://extranet.itu.int/ITU-T/support/</w:t>
        </w:r>
      </w:hyperlink>
      <w:r w:rsidRPr="004938FA">
        <w:rPr>
          <w:bCs/>
          <w:lang w:eastAsia="en-US"/>
        </w:rPr>
        <w:t>.</w:t>
      </w:r>
    </w:p>
    <w:p w14:paraId="4EDFE708" w14:textId="59888610" w:rsidR="004938FA" w:rsidRDefault="004938FA" w:rsidP="004938FA">
      <w:pPr>
        <w:rPr>
          <w:bCs/>
          <w:lang w:eastAsia="en-US"/>
        </w:rPr>
      </w:pPr>
      <w:r w:rsidRPr="004938FA">
        <w:rPr>
          <w:bCs/>
          <w:lang w:eastAsia="en-US"/>
        </w:rPr>
        <w:t>Most of the collaboration sites are restricted to ITU-T Members and may be accessed using an ITU User (TIES) account. Some collaboration sites are open to non-members and may be accessed using non-member ITU User accounts.</w:t>
      </w:r>
    </w:p>
    <w:p w14:paraId="79928A5A" w14:textId="16C9ED34" w:rsidR="004938FA" w:rsidRDefault="004938FA" w:rsidP="004938FA">
      <w:pPr>
        <w:pStyle w:val="Heading2"/>
      </w:pPr>
      <w:bookmarkStart w:id="220" w:name="_Toc156392443"/>
      <w:r w:rsidRPr="00C32576">
        <w:t>1</w:t>
      </w:r>
      <w:r>
        <w:t>5</w:t>
      </w:r>
      <w:r w:rsidRPr="00C32576">
        <w:t>.</w:t>
      </w:r>
      <w:r>
        <w:t>3</w:t>
      </w:r>
      <w:r w:rsidRPr="00C32576">
        <w:tab/>
      </w:r>
      <w:r>
        <w:t>Web applications</w:t>
      </w:r>
      <w:bookmarkEnd w:id="220"/>
    </w:p>
    <w:p w14:paraId="21DF60E1" w14:textId="41E6F886" w:rsidR="004938FA" w:rsidRPr="004938FA" w:rsidRDefault="002135DD" w:rsidP="004938FA">
      <w:pPr>
        <w:rPr>
          <w:bCs/>
          <w:lang w:eastAsia="en-US"/>
        </w:rPr>
      </w:pPr>
      <w:proofErr w:type="spellStart"/>
      <w:r w:rsidRPr="002135DD">
        <w:rPr>
          <w:b/>
          <w:bCs/>
        </w:rPr>
        <w:t>MyWorkspace</w:t>
      </w:r>
      <w:proofErr w:type="spellEnd"/>
      <w:r w:rsidRPr="002135DD">
        <w:rPr>
          <w:b/>
          <w:bCs/>
        </w:rPr>
        <w:t xml:space="preserve">: </w:t>
      </w:r>
      <w:hyperlink r:id="rId224" w:history="1">
        <w:proofErr w:type="spellStart"/>
        <w:r w:rsidR="004938FA" w:rsidRPr="004938FA">
          <w:rPr>
            <w:rStyle w:val="Hyperlink"/>
            <w:bCs/>
            <w:lang w:eastAsia="en-US"/>
          </w:rPr>
          <w:t>MyWorkspace</w:t>
        </w:r>
        <w:proofErr w:type="spellEnd"/>
      </w:hyperlink>
      <w:r w:rsidR="004938FA" w:rsidRPr="004938FA">
        <w:rPr>
          <w:bCs/>
          <w:lang w:eastAsia="en-US"/>
        </w:rPr>
        <w:t xml:space="preserve"> is a user-friendly mobile platform that centrali</w:t>
      </w:r>
      <w:r w:rsidR="004938FA">
        <w:rPr>
          <w:bCs/>
          <w:lang w:eastAsia="en-US"/>
        </w:rPr>
        <w:t>z</w:t>
      </w:r>
      <w:r w:rsidR="004938FA" w:rsidRPr="004938FA">
        <w:rPr>
          <w:bCs/>
          <w:lang w:eastAsia="en-US"/>
        </w:rPr>
        <w:t xml:space="preserve">es a set of applications and services developed to </w:t>
      </w:r>
      <w:r w:rsidR="004938FA" w:rsidRPr="004938FA">
        <w:rPr>
          <w:bCs/>
          <w:i/>
          <w:iCs/>
          <w:lang w:eastAsia="en-US"/>
        </w:rPr>
        <w:t>strengthen electronic working methods for the work of ITU-T</w:t>
      </w:r>
      <w:r w:rsidR="004938FA" w:rsidRPr="004938FA">
        <w:rPr>
          <w:bCs/>
          <w:lang w:eastAsia="en-US"/>
        </w:rPr>
        <w:t>, as stated in WTSA Resolution 32.</w:t>
      </w:r>
    </w:p>
    <w:p w14:paraId="11946D9C" w14:textId="77777777" w:rsidR="004938FA" w:rsidRPr="004938FA" w:rsidRDefault="004938FA" w:rsidP="004938FA">
      <w:pPr>
        <w:rPr>
          <w:bCs/>
          <w:lang w:eastAsia="en-US"/>
        </w:rPr>
      </w:pPr>
      <w:r w:rsidRPr="004938FA">
        <w:rPr>
          <w:bCs/>
          <w:lang w:eastAsia="en-US"/>
        </w:rPr>
        <w:t>This platform has been built as a Progressive Web App (PWA) solution allowing the same user experience regardless of the device used. Access to this platform is restricted to users with an ITU user account.</w:t>
      </w:r>
    </w:p>
    <w:p w14:paraId="063DB34C" w14:textId="77777777" w:rsidR="004938FA" w:rsidRPr="004938FA" w:rsidRDefault="004938FA" w:rsidP="004938FA">
      <w:pPr>
        <w:rPr>
          <w:bCs/>
          <w:lang w:eastAsia="en-US"/>
        </w:rPr>
      </w:pPr>
      <w:r w:rsidRPr="004938FA">
        <w:rPr>
          <w:bCs/>
          <w:lang w:eastAsia="en-US"/>
        </w:rPr>
        <w:t xml:space="preserve">The following applications and services are available from </w:t>
      </w:r>
      <w:proofErr w:type="spellStart"/>
      <w:r w:rsidRPr="004938FA">
        <w:rPr>
          <w:bCs/>
          <w:lang w:eastAsia="en-US"/>
        </w:rPr>
        <w:t>MyWorkspace</w:t>
      </w:r>
      <w:proofErr w:type="spellEnd"/>
      <w:r w:rsidRPr="004938FA">
        <w:rPr>
          <w:bCs/>
          <w:lang w:eastAsia="en-US"/>
        </w:rPr>
        <w:t>:</w:t>
      </w:r>
    </w:p>
    <w:p w14:paraId="081411E0" w14:textId="33EDF5D2" w:rsidR="004938FA" w:rsidRPr="004938FA" w:rsidRDefault="009A3DC3" w:rsidP="00770357">
      <w:pPr>
        <w:numPr>
          <w:ilvl w:val="0"/>
          <w:numId w:val="26"/>
        </w:numPr>
        <w:rPr>
          <w:bCs/>
          <w:lang w:eastAsia="en-US"/>
        </w:rPr>
      </w:pPr>
      <w:hyperlink r:id="rId225" w:anchor="/Translate" w:tgtFrame="_blank" w:history="1">
        <w:r w:rsidR="004938FA" w:rsidRPr="004938FA">
          <w:rPr>
            <w:rStyle w:val="Hyperlink"/>
            <w:bCs/>
            <w:lang w:eastAsia="en-US"/>
          </w:rPr>
          <w:t>ITU Translate</w:t>
        </w:r>
      </w:hyperlink>
      <w:r w:rsidR="004938FA" w:rsidRPr="004938FA">
        <w:rPr>
          <w:bCs/>
          <w:lang w:eastAsia="en-US"/>
        </w:rPr>
        <w:t xml:space="preserve">: </w:t>
      </w:r>
      <w:r w:rsidR="004938FA" w:rsidRPr="004938FA">
        <w:rPr>
          <w:bCs/>
          <w:lang w:val="en-US" w:eastAsia="en-US"/>
        </w:rPr>
        <w:t xml:space="preserve"> ITU Translate is a neural machine translation tool developed in-house for ITU documents and websites. Based on an open-source framework, it has been trained using ITU material to ensure greater accuracy for technical content but includes website translation from external cloud-based translation services for general language expressions.</w:t>
      </w:r>
      <w:r w:rsidR="004938FA" w:rsidRPr="004938FA">
        <w:rPr>
          <w:bCs/>
          <w:lang w:val="en-US" w:eastAsia="en-US"/>
        </w:rPr>
        <w:br/>
      </w:r>
      <w:r w:rsidR="004938FA" w:rsidRPr="004938FA">
        <w:rPr>
          <w:bCs/>
          <w:lang w:val="en-US" w:eastAsia="en-US"/>
        </w:rPr>
        <w:br/>
        <w:t xml:space="preserve">ITU Translate identifies and applies the best tools available for each language pair to translate general language webpages not currently available in the six official ITU languages. It uses innovative technologies to ensure high quality gist translation services to </w:t>
      </w:r>
      <w:r w:rsidR="004938FA" w:rsidRPr="004938FA">
        <w:rPr>
          <w:bCs/>
          <w:lang w:val="en-US" w:eastAsia="en-US"/>
        </w:rPr>
        <w:lastRenderedPageBreak/>
        <w:t>complement the reach of the work carried out by ITU’s human translation service. This is in line with Plenipotentiary Resolution 154 on the use of the six official languages of the Union on an equal footing.</w:t>
      </w:r>
    </w:p>
    <w:p w14:paraId="04FE78C0" w14:textId="77777777" w:rsidR="004938FA" w:rsidRPr="004938FA" w:rsidRDefault="009A3DC3" w:rsidP="00770357">
      <w:pPr>
        <w:numPr>
          <w:ilvl w:val="0"/>
          <w:numId w:val="26"/>
        </w:numPr>
        <w:rPr>
          <w:bCs/>
          <w:lang w:eastAsia="en-US"/>
        </w:rPr>
      </w:pPr>
      <w:hyperlink r:id="rId226" w:anchor="/MyMeetings">
        <w:r w:rsidR="004938FA" w:rsidRPr="004938FA">
          <w:rPr>
            <w:rStyle w:val="Hyperlink"/>
            <w:bCs/>
            <w:lang w:eastAsia="en-US"/>
          </w:rPr>
          <w:t>MyMeetings</w:t>
        </w:r>
      </w:hyperlink>
      <w:r w:rsidR="004938FA" w:rsidRPr="004938FA">
        <w:rPr>
          <w:bCs/>
          <w:lang w:eastAsia="en-US"/>
        </w:rPr>
        <w:t xml:space="preserve">: Remote participation service based on the </w:t>
      </w:r>
      <w:hyperlink r:id="rId227">
        <w:proofErr w:type="spellStart"/>
        <w:r w:rsidR="004938FA" w:rsidRPr="004938FA">
          <w:rPr>
            <w:rStyle w:val="Hyperlink"/>
            <w:bCs/>
            <w:lang w:eastAsia="en-US"/>
          </w:rPr>
          <w:t>BigBlueButton</w:t>
        </w:r>
        <w:proofErr w:type="spellEnd"/>
      </w:hyperlink>
      <w:r w:rsidR="004938FA" w:rsidRPr="004938FA">
        <w:rPr>
          <w:bCs/>
          <w:lang w:eastAsia="en-US"/>
        </w:rPr>
        <w:t xml:space="preserve"> open-source solution and customized in-house to support requirements – at headquarters and in the regions – of both statutory and non-statutory ITU-T meetings, either accessible to all users, or to a selected number of users, or restricted to registered users.</w:t>
      </w:r>
    </w:p>
    <w:p w14:paraId="316AFDF8" w14:textId="77777777" w:rsidR="004938FA" w:rsidRPr="004938FA" w:rsidRDefault="004938FA" w:rsidP="00770357">
      <w:pPr>
        <w:numPr>
          <w:ilvl w:val="0"/>
          <w:numId w:val="26"/>
        </w:numPr>
        <w:rPr>
          <w:bCs/>
          <w:lang w:eastAsia="en-US"/>
        </w:rPr>
      </w:pPr>
      <w:r w:rsidRPr="004938FA">
        <w:rPr>
          <w:bCs/>
          <w:lang w:eastAsia="en-US"/>
        </w:rPr>
        <w:t xml:space="preserve">Documents: </w:t>
      </w:r>
    </w:p>
    <w:p w14:paraId="709DF0FA" w14:textId="77777777" w:rsidR="004938FA" w:rsidRPr="004938FA" w:rsidRDefault="009A3DC3" w:rsidP="00770357">
      <w:pPr>
        <w:numPr>
          <w:ilvl w:val="1"/>
          <w:numId w:val="27"/>
        </w:numPr>
        <w:rPr>
          <w:bCs/>
          <w:lang w:eastAsia="en-US"/>
        </w:rPr>
      </w:pPr>
      <w:hyperlink r:id="rId228" w:anchor="/Documents/MyDocuments/meeting=T22-TSAG-221212">
        <w:proofErr w:type="spellStart"/>
        <w:r w:rsidR="004938FA" w:rsidRPr="004938FA">
          <w:rPr>
            <w:rStyle w:val="Hyperlink"/>
            <w:bCs/>
            <w:lang w:eastAsia="en-US"/>
          </w:rPr>
          <w:t>MyDocuments</w:t>
        </w:r>
        <w:proofErr w:type="spellEnd"/>
      </w:hyperlink>
      <w:r w:rsidR="004938FA" w:rsidRPr="004938FA">
        <w:rPr>
          <w:bCs/>
          <w:lang w:eastAsia="en-US"/>
        </w:rPr>
        <w:t>: Simplified access to Study Group documents, per meeting, with multiple sorting and selection filters and full-text search, and automatic translation from English into 5 others official ITU languages (available on request).</w:t>
      </w:r>
    </w:p>
    <w:p w14:paraId="76329782" w14:textId="77777777" w:rsidR="004938FA" w:rsidRPr="004938FA" w:rsidRDefault="009A3DC3" w:rsidP="00770357">
      <w:pPr>
        <w:numPr>
          <w:ilvl w:val="1"/>
          <w:numId w:val="27"/>
        </w:numPr>
        <w:rPr>
          <w:bCs/>
          <w:lang w:eastAsia="en-US"/>
        </w:rPr>
      </w:pPr>
      <w:hyperlink r:id="rId229" w:anchor="/Documents/Suggested-Documents" w:history="1">
        <w:r w:rsidR="004938FA" w:rsidRPr="004938FA">
          <w:rPr>
            <w:rStyle w:val="Hyperlink"/>
            <w:bCs/>
            <w:lang w:eastAsia="en-US"/>
          </w:rPr>
          <w:t>Suggested documents</w:t>
        </w:r>
      </w:hyperlink>
      <w:r w:rsidR="004938FA" w:rsidRPr="004938FA">
        <w:rPr>
          <w:bCs/>
          <w:lang w:eastAsia="en-US"/>
        </w:rPr>
        <w:t>: A proposed list of documents based on pre-set user interests, with the option to bookmark favourites.</w:t>
      </w:r>
    </w:p>
    <w:p w14:paraId="0DEB5DA0" w14:textId="77777777" w:rsidR="004938FA" w:rsidRPr="004938FA" w:rsidRDefault="009A3DC3" w:rsidP="00770357">
      <w:pPr>
        <w:numPr>
          <w:ilvl w:val="0"/>
          <w:numId w:val="25"/>
        </w:numPr>
        <w:rPr>
          <w:bCs/>
          <w:lang w:eastAsia="en-US"/>
        </w:rPr>
      </w:pPr>
      <w:hyperlink r:id="rId230" w:anchor="/sdg">
        <w:r w:rsidR="004938FA" w:rsidRPr="004938FA">
          <w:rPr>
            <w:rStyle w:val="Hyperlink"/>
            <w:bCs/>
            <w:lang w:eastAsia="en-US"/>
          </w:rPr>
          <w:t>SDG Mapping</w:t>
        </w:r>
      </w:hyperlink>
      <w:r w:rsidR="004938FA" w:rsidRPr="004938FA">
        <w:rPr>
          <w:bCs/>
          <w:lang w:eastAsia="en-US"/>
        </w:rPr>
        <w:t>: Automatic mapping of ITU-T activities with UN SDGs by evaluating semantic relevance of texts.</w:t>
      </w:r>
    </w:p>
    <w:p w14:paraId="19737F4C" w14:textId="77777777" w:rsidR="004938FA" w:rsidRPr="004938FA" w:rsidRDefault="009A3DC3" w:rsidP="00770357">
      <w:pPr>
        <w:numPr>
          <w:ilvl w:val="0"/>
          <w:numId w:val="25"/>
        </w:numPr>
        <w:rPr>
          <w:bCs/>
          <w:lang w:eastAsia="en-US"/>
        </w:rPr>
      </w:pPr>
      <w:hyperlink r:id="rId231" w:anchor="/Calendar">
        <w:r w:rsidR="004938FA" w:rsidRPr="004938FA">
          <w:rPr>
            <w:rStyle w:val="Hyperlink"/>
            <w:bCs/>
            <w:lang w:eastAsia="en-US"/>
          </w:rPr>
          <w:t>Calendar</w:t>
        </w:r>
      </w:hyperlink>
      <w:r w:rsidR="004938FA" w:rsidRPr="004938FA">
        <w:rPr>
          <w:bCs/>
          <w:lang w:eastAsia="en-US"/>
        </w:rPr>
        <w:t>: Monthly calendar view of all ITU events with filters on ITU sectors and ITU-T working groups, with detailed information.</w:t>
      </w:r>
    </w:p>
    <w:p w14:paraId="7EE7349D" w14:textId="77777777" w:rsidR="004938FA" w:rsidRPr="004938FA" w:rsidRDefault="009A3DC3" w:rsidP="00770357">
      <w:pPr>
        <w:numPr>
          <w:ilvl w:val="0"/>
          <w:numId w:val="25"/>
        </w:numPr>
        <w:rPr>
          <w:bCs/>
          <w:lang w:eastAsia="en-US"/>
        </w:rPr>
      </w:pPr>
      <w:hyperlink r:id="rId232" w:anchor="/Myevents">
        <w:proofErr w:type="spellStart"/>
        <w:r w:rsidR="004938FA" w:rsidRPr="004938FA">
          <w:rPr>
            <w:rStyle w:val="Hyperlink"/>
            <w:bCs/>
            <w:lang w:eastAsia="en-US"/>
          </w:rPr>
          <w:t>MyEvents</w:t>
        </w:r>
        <w:proofErr w:type="spellEnd"/>
      </w:hyperlink>
      <w:r w:rsidR="004938FA" w:rsidRPr="004938FA">
        <w:rPr>
          <w:bCs/>
          <w:lang w:eastAsia="en-US"/>
        </w:rPr>
        <w:t xml:space="preserve">: Events management platform that provides real-time ITU-T events agenda, list of registered participants, </w:t>
      </w:r>
      <w:proofErr w:type="gramStart"/>
      <w:r w:rsidR="004938FA" w:rsidRPr="004938FA">
        <w:rPr>
          <w:bCs/>
          <w:lang w:eastAsia="en-US"/>
        </w:rPr>
        <w:t>speakers</w:t>
      </w:r>
      <w:proofErr w:type="gramEnd"/>
      <w:r w:rsidR="004938FA" w:rsidRPr="004938FA">
        <w:rPr>
          <w:bCs/>
          <w:lang w:eastAsia="en-US"/>
        </w:rPr>
        <w:t xml:space="preserve"> and exhibitors, as well as a matchmaking function to enable networking among participants.</w:t>
      </w:r>
    </w:p>
    <w:p w14:paraId="06DA591C" w14:textId="77777777" w:rsidR="004938FA" w:rsidRPr="004938FA" w:rsidRDefault="009A3DC3" w:rsidP="00770357">
      <w:pPr>
        <w:numPr>
          <w:ilvl w:val="0"/>
          <w:numId w:val="25"/>
        </w:numPr>
        <w:rPr>
          <w:bCs/>
          <w:lang w:eastAsia="en-US"/>
        </w:rPr>
      </w:pPr>
      <w:hyperlink r:id="rId233" w:anchor="/Mailing">
        <w:r w:rsidR="004938FA" w:rsidRPr="004938FA">
          <w:rPr>
            <w:rStyle w:val="Hyperlink"/>
            <w:bCs/>
            <w:lang w:eastAsia="en-US"/>
          </w:rPr>
          <w:t>Mailing list</w:t>
        </w:r>
      </w:hyperlink>
      <w:r w:rsidR="004938FA" w:rsidRPr="004938FA">
        <w:rPr>
          <w:bCs/>
          <w:lang w:eastAsia="en-US"/>
        </w:rPr>
        <w:t>: Subscription management with search functionality.</w:t>
      </w:r>
    </w:p>
    <w:p w14:paraId="01993435" w14:textId="77777777" w:rsidR="004938FA" w:rsidRPr="004938FA" w:rsidRDefault="009A3DC3" w:rsidP="00770357">
      <w:pPr>
        <w:numPr>
          <w:ilvl w:val="0"/>
          <w:numId w:val="25"/>
        </w:numPr>
        <w:rPr>
          <w:bCs/>
          <w:lang w:eastAsia="en-US"/>
        </w:rPr>
      </w:pPr>
      <w:hyperlink r:id="rId234" w:anchor="/Community">
        <w:r w:rsidR="004938FA" w:rsidRPr="004938FA">
          <w:rPr>
            <w:rStyle w:val="Hyperlink"/>
            <w:bCs/>
            <w:lang w:eastAsia="en-US"/>
          </w:rPr>
          <w:t>Community</w:t>
        </w:r>
      </w:hyperlink>
      <w:r w:rsidR="004938FA" w:rsidRPr="004938FA">
        <w:rPr>
          <w:bCs/>
          <w:lang w:eastAsia="en-US"/>
        </w:rPr>
        <w:t xml:space="preserve">: </w:t>
      </w:r>
      <w:proofErr w:type="spellStart"/>
      <w:r w:rsidR="004938FA" w:rsidRPr="004938FA">
        <w:rPr>
          <w:bCs/>
          <w:lang w:eastAsia="en-US"/>
        </w:rPr>
        <w:t>MyWorkspace</w:t>
      </w:r>
      <w:proofErr w:type="spellEnd"/>
      <w:r w:rsidR="004938FA" w:rsidRPr="004938FA">
        <w:rPr>
          <w:bCs/>
          <w:lang w:eastAsia="en-US"/>
        </w:rPr>
        <w:t xml:space="preserve"> user directory.</w:t>
      </w:r>
    </w:p>
    <w:p w14:paraId="6D748F19" w14:textId="77777777" w:rsidR="004938FA" w:rsidRPr="004938FA" w:rsidRDefault="009A3DC3" w:rsidP="00770357">
      <w:pPr>
        <w:numPr>
          <w:ilvl w:val="0"/>
          <w:numId w:val="25"/>
        </w:numPr>
        <w:rPr>
          <w:bCs/>
          <w:lang w:eastAsia="en-US"/>
        </w:rPr>
      </w:pPr>
      <w:hyperlink r:id="rId235" w:anchor="/profile">
        <w:r w:rsidR="004938FA" w:rsidRPr="004938FA">
          <w:rPr>
            <w:rStyle w:val="Hyperlink"/>
            <w:bCs/>
            <w:lang w:eastAsia="en-US"/>
          </w:rPr>
          <w:t>Profile and preferences</w:t>
        </w:r>
      </w:hyperlink>
      <w:r w:rsidR="004938FA" w:rsidRPr="004938FA">
        <w:rPr>
          <w:bCs/>
          <w:lang w:eastAsia="en-US"/>
        </w:rPr>
        <w:t>: User personal information and interests.</w:t>
      </w:r>
    </w:p>
    <w:p w14:paraId="2BA2949E" w14:textId="77777777" w:rsidR="004938FA" w:rsidRPr="004938FA" w:rsidRDefault="004938FA" w:rsidP="004938FA">
      <w:pPr>
        <w:rPr>
          <w:bCs/>
          <w:lang w:eastAsia="en-US"/>
        </w:rPr>
      </w:pPr>
      <w:r w:rsidRPr="004938FA">
        <w:rPr>
          <w:bCs/>
          <w:lang w:eastAsia="en-US"/>
        </w:rPr>
        <w:t xml:space="preserve">In addition to those integrated applications, </w:t>
      </w:r>
      <w:proofErr w:type="spellStart"/>
      <w:r w:rsidRPr="004938FA">
        <w:rPr>
          <w:bCs/>
          <w:lang w:eastAsia="en-US"/>
        </w:rPr>
        <w:t>MyWorkspace</w:t>
      </w:r>
      <w:proofErr w:type="spellEnd"/>
      <w:r w:rsidRPr="004938FA">
        <w:rPr>
          <w:bCs/>
          <w:lang w:eastAsia="en-US"/>
        </w:rPr>
        <w:t xml:space="preserve"> also offers access to an external set of services:</w:t>
      </w:r>
    </w:p>
    <w:p w14:paraId="594D3B09" w14:textId="38E73506" w:rsidR="004938FA" w:rsidRPr="002135DD" w:rsidRDefault="009A3DC3" w:rsidP="00770357">
      <w:pPr>
        <w:numPr>
          <w:ilvl w:val="0"/>
          <w:numId w:val="24"/>
        </w:numPr>
        <w:rPr>
          <w:bCs/>
          <w:lang w:eastAsia="en-US"/>
        </w:rPr>
      </w:pPr>
      <w:hyperlink r:id="rId236" w:anchor="/Other-apps">
        <w:r w:rsidR="004938FA" w:rsidRPr="004938FA">
          <w:rPr>
            <w:rStyle w:val="Hyperlink"/>
            <w:bCs/>
            <w:lang w:eastAsia="en-US"/>
          </w:rPr>
          <w:t>Other Apps</w:t>
        </w:r>
      </w:hyperlink>
      <w:r w:rsidR="004938FA" w:rsidRPr="004938FA">
        <w:rPr>
          <w:bCs/>
          <w:lang w:eastAsia="en-US"/>
        </w:rPr>
        <w:t xml:space="preserve">: Direct access to external services such as </w:t>
      </w:r>
      <w:hyperlink r:id="rId237">
        <w:r w:rsidR="004938FA" w:rsidRPr="004938FA">
          <w:rPr>
            <w:rStyle w:val="Hyperlink"/>
            <w:bCs/>
            <w:lang w:eastAsia="en-US"/>
          </w:rPr>
          <w:t>ITU-T Cloud</w:t>
        </w:r>
      </w:hyperlink>
      <w:r w:rsidR="004938FA" w:rsidRPr="004938FA">
        <w:rPr>
          <w:bCs/>
          <w:lang w:eastAsia="en-US"/>
        </w:rPr>
        <w:t xml:space="preserve">, </w:t>
      </w:r>
      <w:hyperlink r:id="rId238">
        <w:r w:rsidR="004938FA" w:rsidRPr="004938FA">
          <w:rPr>
            <w:rStyle w:val="Hyperlink"/>
            <w:bCs/>
            <w:lang w:eastAsia="en-US"/>
          </w:rPr>
          <w:t>ITU-T Databases</w:t>
        </w:r>
      </w:hyperlink>
      <w:r w:rsidR="004938FA" w:rsidRPr="004938FA">
        <w:rPr>
          <w:bCs/>
          <w:lang w:eastAsia="en-US"/>
        </w:rPr>
        <w:t xml:space="preserve">, a </w:t>
      </w:r>
      <w:hyperlink r:id="rId239">
        <w:r w:rsidR="004938FA" w:rsidRPr="004938FA">
          <w:rPr>
            <w:rStyle w:val="Hyperlink"/>
            <w:bCs/>
            <w:lang w:eastAsia="en-US"/>
          </w:rPr>
          <w:t>Meeting documents synchronisation tool</w:t>
        </w:r>
      </w:hyperlink>
      <w:r w:rsidR="004938FA" w:rsidRPr="004938FA">
        <w:rPr>
          <w:bCs/>
          <w:lang w:eastAsia="en-US"/>
        </w:rPr>
        <w:t xml:space="preserve">, Extranet collaboration platforms, </w:t>
      </w:r>
      <w:hyperlink r:id="rId240" w:history="1">
        <w:r w:rsidR="004938FA" w:rsidRPr="004938FA" w:rsidDel="00A72AA7">
          <w:rPr>
            <w:rStyle w:val="Hyperlink"/>
            <w:bCs/>
            <w:lang w:eastAsia="en-US"/>
          </w:rPr>
          <w:t>ITU Search</w:t>
        </w:r>
      </w:hyperlink>
      <w:r w:rsidR="004938FA" w:rsidRPr="004938FA">
        <w:rPr>
          <w:bCs/>
          <w:lang w:eastAsia="en-US"/>
        </w:rPr>
        <w:t xml:space="preserve">, </w:t>
      </w:r>
      <w:hyperlink r:id="rId241">
        <w:r w:rsidR="004938FA" w:rsidRPr="004938FA">
          <w:rPr>
            <w:rStyle w:val="Hyperlink"/>
            <w:bCs/>
            <w:lang w:eastAsia="en-US"/>
          </w:rPr>
          <w:t>Frequently asked questions</w:t>
        </w:r>
      </w:hyperlink>
      <w:r w:rsidR="004938FA" w:rsidRPr="004938FA">
        <w:rPr>
          <w:bCs/>
          <w:lang w:eastAsia="en-US"/>
        </w:rPr>
        <w:t>.</w:t>
      </w:r>
    </w:p>
    <w:p w14:paraId="4F466E79" w14:textId="671C8B81" w:rsidR="004938FA" w:rsidRDefault="002135DD" w:rsidP="004938FA">
      <w:pPr>
        <w:rPr>
          <w:bCs/>
          <w:lang w:eastAsia="en-US"/>
        </w:rPr>
      </w:pPr>
      <w:r w:rsidRPr="002135DD">
        <w:rPr>
          <w:b/>
          <w:bCs/>
        </w:rPr>
        <w:t>Alternative Approval Process system</w:t>
      </w:r>
      <w:r w:rsidRPr="002135DD">
        <w:rPr>
          <w:b/>
          <w:bCs/>
          <w:lang w:eastAsia="en-US"/>
        </w:rPr>
        <w:t>:</w:t>
      </w:r>
      <w:r>
        <w:rPr>
          <w:bCs/>
          <w:lang w:eastAsia="en-US"/>
        </w:rPr>
        <w:t xml:space="preserve"> </w:t>
      </w:r>
      <w:r w:rsidR="004938FA" w:rsidRPr="004938FA">
        <w:rPr>
          <w:bCs/>
          <w:lang w:eastAsia="en-US"/>
        </w:rPr>
        <w:t xml:space="preserve">Online solution to apply the ITU-T A.8 simplified and faster procedure used for seeking the approval of draft new and revised Recommendations: </w:t>
      </w:r>
      <w:hyperlink r:id="rId242">
        <w:r w:rsidR="004938FA" w:rsidRPr="004938FA">
          <w:rPr>
            <w:rStyle w:val="Hyperlink"/>
            <w:bCs/>
            <w:lang w:eastAsia="en-US"/>
          </w:rPr>
          <w:t>https://www.itu.int/t/aap/aap-recs</w:t>
        </w:r>
      </w:hyperlink>
      <w:r w:rsidR="004938FA" w:rsidRPr="004938FA">
        <w:rPr>
          <w:bCs/>
          <w:lang w:eastAsia="en-US"/>
        </w:rPr>
        <w:t>.</w:t>
      </w:r>
    </w:p>
    <w:p w14:paraId="2B0C1511" w14:textId="27CE9A7C" w:rsidR="004938FA" w:rsidRPr="004938FA" w:rsidRDefault="002135DD" w:rsidP="004938FA">
      <w:pPr>
        <w:rPr>
          <w:bCs/>
          <w:lang w:eastAsia="en-US"/>
        </w:rPr>
      </w:pPr>
      <w:r w:rsidRPr="002135DD">
        <w:rPr>
          <w:b/>
          <w:bCs/>
        </w:rPr>
        <w:t>ITU-T Work Programme</w:t>
      </w:r>
      <w:r w:rsidRPr="002135DD">
        <w:rPr>
          <w:b/>
          <w:bCs/>
          <w:lang w:eastAsia="en-US"/>
        </w:rPr>
        <w:t>:</w:t>
      </w:r>
      <w:r>
        <w:rPr>
          <w:bCs/>
          <w:lang w:eastAsia="en-US"/>
        </w:rPr>
        <w:t xml:space="preserve"> </w:t>
      </w:r>
      <w:r w:rsidR="004938FA" w:rsidRPr="004938FA">
        <w:rPr>
          <w:bCs/>
          <w:lang w:eastAsia="en-US"/>
        </w:rPr>
        <w:t xml:space="preserve">Suite of Windows and </w:t>
      </w:r>
      <w:hyperlink r:id="rId243" w:history="1">
        <w:r w:rsidR="004938FA" w:rsidRPr="004938FA">
          <w:rPr>
            <w:rStyle w:val="Hyperlink"/>
            <w:bCs/>
            <w:lang w:eastAsia="en-US"/>
          </w:rPr>
          <w:t>Web applications</w:t>
        </w:r>
      </w:hyperlink>
      <w:r w:rsidR="004938FA" w:rsidRPr="004938FA">
        <w:rPr>
          <w:bCs/>
          <w:lang w:eastAsia="en-US"/>
        </w:rPr>
        <w:t xml:space="preserve"> to follow ITU-T Working Groups current and past structure and work items.</w:t>
      </w:r>
    </w:p>
    <w:p w14:paraId="233D42D5" w14:textId="0C4478D2" w:rsidR="00FF59CF" w:rsidRDefault="002135DD" w:rsidP="00FF59CF">
      <w:r w:rsidRPr="002135DD">
        <w:rPr>
          <w:b/>
          <w:bCs/>
        </w:rPr>
        <w:t>ITU-T Liaison Statements:</w:t>
      </w:r>
      <w:r>
        <w:t xml:space="preserve"> </w:t>
      </w:r>
      <w:r w:rsidR="00FF59CF" w:rsidRPr="002A1222">
        <w:t xml:space="preserve">Online application to access the </w:t>
      </w:r>
      <w:hyperlink r:id="rId244" w:history="1">
        <w:r w:rsidR="00FF59CF" w:rsidRPr="004B5D5D">
          <w:rPr>
            <w:rStyle w:val="Hyperlink"/>
          </w:rPr>
          <w:t>ITU-T Liaison Statements</w:t>
        </w:r>
      </w:hyperlink>
      <w:r w:rsidR="00FF59CF" w:rsidRPr="002A1222">
        <w:t xml:space="preserve"> database.</w:t>
      </w:r>
    </w:p>
    <w:p w14:paraId="38C1D3CF" w14:textId="007F46B7" w:rsidR="00FF59CF" w:rsidRPr="00FF59CF" w:rsidRDefault="002135DD" w:rsidP="00FF59CF">
      <w:pPr>
        <w:rPr>
          <w:bCs/>
          <w:lang w:eastAsia="en-US"/>
        </w:rPr>
      </w:pPr>
      <w:r w:rsidRPr="002135DD">
        <w:rPr>
          <w:b/>
          <w:lang w:eastAsia="en-US"/>
        </w:rPr>
        <w:t>ITU-T Recommendations:</w:t>
      </w:r>
      <w:r>
        <w:rPr>
          <w:bCs/>
          <w:lang w:eastAsia="en-US"/>
        </w:rPr>
        <w:t xml:space="preserve"> </w:t>
      </w:r>
      <w:r w:rsidR="00FF59CF" w:rsidRPr="00FF59CF">
        <w:rPr>
          <w:bCs/>
          <w:lang w:eastAsia="en-US"/>
        </w:rPr>
        <w:t xml:space="preserve">Suite of Windows and Web applications to follow and access </w:t>
      </w:r>
      <w:hyperlink r:id="rId245" w:history="1">
        <w:r w:rsidR="00FF59CF" w:rsidRPr="00FF59CF">
          <w:rPr>
            <w:rStyle w:val="Hyperlink"/>
            <w:bCs/>
            <w:lang w:eastAsia="en-US"/>
          </w:rPr>
          <w:t>ITU-T Recommendations</w:t>
        </w:r>
      </w:hyperlink>
      <w:r w:rsidR="00FF59CF" w:rsidRPr="00FF59CF">
        <w:rPr>
          <w:bCs/>
          <w:lang w:eastAsia="en-US"/>
        </w:rPr>
        <w:t xml:space="preserve"> publications.</w:t>
      </w:r>
    </w:p>
    <w:p w14:paraId="1CFD6753" w14:textId="7B107B93" w:rsidR="00FF59CF" w:rsidRPr="00FF59CF" w:rsidRDefault="002135DD" w:rsidP="00FF59CF">
      <w:pPr>
        <w:rPr>
          <w:bCs/>
          <w:lang w:eastAsia="en-US"/>
        </w:rPr>
      </w:pPr>
      <w:r w:rsidRPr="002135DD">
        <w:rPr>
          <w:b/>
          <w:lang w:eastAsia="en-US"/>
        </w:rPr>
        <w:t>ICT Standards Landscape:</w:t>
      </w:r>
      <w:r>
        <w:rPr>
          <w:bCs/>
          <w:lang w:eastAsia="en-US"/>
        </w:rPr>
        <w:t xml:space="preserve"> </w:t>
      </w:r>
      <w:r w:rsidR="00FF59CF" w:rsidRPr="00FF59CF">
        <w:rPr>
          <w:bCs/>
          <w:lang w:eastAsia="en-US"/>
        </w:rPr>
        <w:t xml:space="preserve">Online management and research tool across the </w:t>
      </w:r>
      <w:hyperlink r:id="rId246" w:history="1">
        <w:r w:rsidR="00FF59CF" w:rsidRPr="00FF59CF">
          <w:rPr>
            <w:rStyle w:val="Hyperlink"/>
            <w:bCs/>
            <w:lang w:eastAsia="en-US"/>
          </w:rPr>
          <w:t>ICT standards landscape</w:t>
        </w:r>
      </w:hyperlink>
      <w:r w:rsidR="00FF59CF" w:rsidRPr="00FF59CF">
        <w:rPr>
          <w:bCs/>
          <w:lang w:eastAsia="en-US"/>
        </w:rPr>
        <w:t xml:space="preserve"> covering various high-level topics linked to ITU-T and other SDOs’ standards, under the responsibility of experts in the respective domain, such as:</w:t>
      </w:r>
    </w:p>
    <w:p w14:paraId="4071A52F" w14:textId="77777777" w:rsidR="00FF59CF" w:rsidRPr="00FF59CF" w:rsidRDefault="009A3DC3" w:rsidP="00770357">
      <w:pPr>
        <w:numPr>
          <w:ilvl w:val="0"/>
          <w:numId w:val="28"/>
        </w:numPr>
        <w:rPr>
          <w:bCs/>
          <w:lang w:eastAsia="en-US"/>
        </w:rPr>
      </w:pPr>
      <w:hyperlink r:id="rId247" w:history="1">
        <w:r w:rsidR="00FF59CF" w:rsidRPr="00FF59CF">
          <w:rPr>
            <w:rStyle w:val="Hyperlink"/>
            <w:bCs/>
            <w:lang w:eastAsia="en-US"/>
          </w:rPr>
          <w:t>Access Network Transport</w:t>
        </w:r>
      </w:hyperlink>
    </w:p>
    <w:p w14:paraId="62DAC13B" w14:textId="77777777" w:rsidR="00FF59CF" w:rsidRPr="00FF59CF" w:rsidRDefault="009A3DC3" w:rsidP="00770357">
      <w:pPr>
        <w:numPr>
          <w:ilvl w:val="0"/>
          <w:numId w:val="28"/>
        </w:numPr>
        <w:rPr>
          <w:bCs/>
          <w:lang w:eastAsia="en-US"/>
        </w:rPr>
      </w:pPr>
      <w:hyperlink r:id="rId248" w:history="1">
        <w:r w:rsidR="00FF59CF" w:rsidRPr="00FF59CF">
          <w:rPr>
            <w:rStyle w:val="Hyperlink"/>
            <w:bCs/>
            <w:lang w:eastAsia="en-US"/>
          </w:rPr>
          <w:t>Cloud Computing</w:t>
        </w:r>
      </w:hyperlink>
    </w:p>
    <w:p w14:paraId="7D33E75F" w14:textId="77777777" w:rsidR="00FF59CF" w:rsidRPr="00FF59CF" w:rsidRDefault="009A3DC3" w:rsidP="00770357">
      <w:pPr>
        <w:numPr>
          <w:ilvl w:val="0"/>
          <w:numId w:val="28"/>
        </w:numPr>
        <w:rPr>
          <w:bCs/>
          <w:lang w:eastAsia="en-US"/>
        </w:rPr>
      </w:pPr>
      <w:hyperlink r:id="rId249" w:history="1">
        <w:r w:rsidR="00FF59CF" w:rsidRPr="00FF59CF">
          <w:rPr>
            <w:rStyle w:val="Hyperlink"/>
            <w:bCs/>
            <w:lang w:eastAsia="en-US"/>
          </w:rPr>
          <w:t>Home Network Transport</w:t>
        </w:r>
      </w:hyperlink>
      <w:r w:rsidR="00FF59CF" w:rsidRPr="00FF59CF">
        <w:rPr>
          <w:bCs/>
          <w:lang w:eastAsia="en-US"/>
        </w:rPr>
        <w:t xml:space="preserve"> </w:t>
      </w:r>
    </w:p>
    <w:p w14:paraId="4B4019C7" w14:textId="77777777" w:rsidR="00FF59CF" w:rsidRPr="00FF59CF" w:rsidRDefault="009A3DC3" w:rsidP="00770357">
      <w:pPr>
        <w:numPr>
          <w:ilvl w:val="0"/>
          <w:numId w:val="28"/>
        </w:numPr>
        <w:rPr>
          <w:bCs/>
          <w:lang w:eastAsia="en-US"/>
        </w:rPr>
      </w:pPr>
      <w:hyperlink r:id="rId250" w:history="1">
        <w:r w:rsidR="00FF59CF" w:rsidRPr="00FF59CF">
          <w:rPr>
            <w:rStyle w:val="Hyperlink"/>
            <w:bCs/>
            <w:lang w:eastAsia="en-US"/>
          </w:rPr>
          <w:t>ICT Security</w:t>
        </w:r>
      </w:hyperlink>
      <w:r w:rsidR="00FF59CF" w:rsidRPr="00FF59CF">
        <w:rPr>
          <w:bCs/>
          <w:lang w:eastAsia="en-US"/>
        </w:rPr>
        <w:t xml:space="preserve"> </w:t>
      </w:r>
    </w:p>
    <w:p w14:paraId="7529C147" w14:textId="77777777" w:rsidR="00FF59CF" w:rsidRPr="00FF59CF" w:rsidRDefault="009A3DC3" w:rsidP="00770357">
      <w:pPr>
        <w:numPr>
          <w:ilvl w:val="0"/>
          <w:numId w:val="28"/>
        </w:numPr>
        <w:rPr>
          <w:bCs/>
          <w:lang w:eastAsia="en-US"/>
        </w:rPr>
      </w:pPr>
      <w:hyperlink r:id="rId251" w:history="1">
        <w:r w:rsidR="00FF59CF" w:rsidRPr="00FF59CF">
          <w:rPr>
            <w:rStyle w:val="Hyperlink"/>
            <w:bCs/>
            <w:lang w:eastAsia="en-US"/>
          </w:rPr>
          <w:t>IMT-2020 and beyond</w:t>
        </w:r>
      </w:hyperlink>
    </w:p>
    <w:p w14:paraId="5DE8C6C3" w14:textId="77777777" w:rsidR="00FF59CF" w:rsidRPr="00FF59CF" w:rsidRDefault="009A3DC3" w:rsidP="00770357">
      <w:pPr>
        <w:numPr>
          <w:ilvl w:val="0"/>
          <w:numId w:val="28"/>
        </w:numPr>
        <w:rPr>
          <w:bCs/>
          <w:lang w:eastAsia="en-US"/>
        </w:rPr>
      </w:pPr>
      <w:hyperlink r:id="rId252" w:history="1">
        <w:r w:rsidR="00FF59CF" w:rsidRPr="00FF59CF">
          <w:rPr>
            <w:rStyle w:val="Hyperlink"/>
            <w:bCs/>
            <w:lang w:eastAsia="en-US"/>
          </w:rPr>
          <w:t>ITS Communication</w:t>
        </w:r>
      </w:hyperlink>
    </w:p>
    <w:p w14:paraId="461E1E5A" w14:textId="77777777" w:rsidR="00FF59CF" w:rsidRPr="00FF59CF" w:rsidRDefault="009A3DC3" w:rsidP="00770357">
      <w:pPr>
        <w:numPr>
          <w:ilvl w:val="0"/>
          <w:numId w:val="28"/>
        </w:numPr>
        <w:rPr>
          <w:bCs/>
          <w:lang w:eastAsia="en-US"/>
        </w:rPr>
      </w:pPr>
      <w:hyperlink r:id="rId253" w:history="1">
        <w:r w:rsidR="00FF59CF" w:rsidRPr="00FF59CF">
          <w:rPr>
            <w:rStyle w:val="Hyperlink"/>
            <w:bCs/>
            <w:lang w:eastAsia="en-US"/>
          </w:rPr>
          <w:t>IoT &amp; Smart Sustainable Cities</w:t>
        </w:r>
      </w:hyperlink>
    </w:p>
    <w:p w14:paraId="6CA56A2C" w14:textId="7DDF7EDC" w:rsidR="00FF59CF" w:rsidRPr="00FF59CF" w:rsidRDefault="002135DD" w:rsidP="00FF59CF">
      <w:pPr>
        <w:rPr>
          <w:bCs/>
          <w:lang w:eastAsia="en-US"/>
        </w:rPr>
      </w:pPr>
      <w:r w:rsidRPr="002135DD">
        <w:rPr>
          <w:b/>
          <w:bCs/>
        </w:rPr>
        <w:t>Intellectual Property Rights in ITU-T Recommendations</w:t>
      </w:r>
      <w:r w:rsidRPr="002135DD">
        <w:rPr>
          <w:b/>
          <w:bCs/>
          <w:lang w:eastAsia="en-US"/>
        </w:rPr>
        <w:t>:</w:t>
      </w:r>
      <w:r>
        <w:rPr>
          <w:bCs/>
          <w:lang w:eastAsia="en-US"/>
        </w:rPr>
        <w:t xml:space="preserve"> </w:t>
      </w:r>
      <w:r w:rsidR="00FF59CF" w:rsidRPr="00FF59CF">
        <w:rPr>
          <w:bCs/>
          <w:lang w:eastAsia="en-US"/>
        </w:rPr>
        <w:t xml:space="preserve">Online search </w:t>
      </w:r>
      <w:r>
        <w:rPr>
          <w:bCs/>
          <w:lang w:eastAsia="en-US"/>
        </w:rPr>
        <w:t xml:space="preserve">of </w:t>
      </w:r>
      <w:hyperlink r:id="rId254" w:history="1">
        <w:r w:rsidR="00FF59CF" w:rsidRPr="002135DD">
          <w:rPr>
            <w:rStyle w:val="Hyperlink"/>
            <w:bCs/>
            <w:lang w:eastAsia="en-US"/>
          </w:rPr>
          <w:t>patents and software copyright declarations</w:t>
        </w:r>
      </w:hyperlink>
      <w:r w:rsidR="00FF59CF" w:rsidRPr="00FF59CF">
        <w:rPr>
          <w:bCs/>
          <w:lang w:eastAsia="en-US"/>
        </w:rPr>
        <w:t>.</w:t>
      </w:r>
    </w:p>
    <w:p w14:paraId="35F9AE56" w14:textId="636AD9B5" w:rsidR="00FF59CF" w:rsidRPr="00FF59CF" w:rsidRDefault="002135DD" w:rsidP="00FF59CF">
      <w:pPr>
        <w:rPr>
          <w:bCs/>
          <w:lang w:eastAsia="en-US"/>
        </w:rPr>
      </w:pPr>
      <w:r w:rsidRPr="002135DD">
        <w:rPr>
          <w:b/>
          <w:bCs/>
        </w:rPr>
        <w:t>ITU-R/ITU-T Terms &amp; Definitions Database</w:t>
      </w:r>
      <w:r w:rsidRPr="002135DD">
        <w:rPr>
          <w:b/>
          <w:bCs/>
          <w:lang w:eastAsia="en-US"/>
        </w:rPr>
        <w:t>:</w:t>
      </w:r>
      <w:r>
        <w:rPr>
          <w:bCs/>
          <w:lang w:eastAsia="en-US"/>
        </w:rPr>
        <w:t xml:space="preserve"> </w:t>
      </w:r>
      <w:r w:rsidR="00FF59CF" w:rsidRPr="00FF59CF">
        <w:rPr>
          <w:bCs/>
          <w:lang w:eastAsia="en-US"/>
        </w:rPr>
        <w:t xml:space="preserve">Online search on </w:t>
      </w:r>
      <w:hyperlink r:id="rId255" w:history="1">
        <w:r w:rsidR="00FF59CF" w:rsidRPr="00FF59CF">
          <w:rPr>
            <w:rStyle w:val="Hyperlink"/>
            <w:bCs/>
            <w:lang w:eastAsia="en-US"/>
          </w:rPr>
          <w:t>ITU-R and ITU-T Recommendations terms and definitions</w:t>
        </w:r>
      </w:hyperlink>
      <w:r w:rsidR="00FF59CF" w:rsidRPr="00FF59CF">
        <w:rPr>
          <w:bCs/>
          <w:lang w:eastAsia="en-US"/>
        </w:rPr>
        <w:t xml:space="preserve"> databases.</w:t>
      </w:r>
    </w:p>
    <w:p w14:paraId="46A1F494" w14:textId="77777777" w:rsidR="00FF59CF" w:rsidRPr="00FF59CF" w:rsidRDefault="00FF59CF" w:rsidP="00FF59CF">
      <w:pPr>
        <w:rPr>
          <w:bCs/>
          <w:lang w:eastAsia="en-US"/>
        </w:rPr>
      </w:pPr>
      <w:r w:rsidRPr="00FF59CF">
        <w:rPr>
          <w:bCs/>
          <w:lang w:eastAsia="en-US"/>
        </w:rPr>
        <w:t>This is maintained in close collaboration with the Coordination Committee for Vocabulary (</w:t>
      </w:r>
      <w:hyperlink r:id="rId256" w:history="1">
        <w:r w:rsidRPr="00FF59CF">
          <w:rPr>
            <w:rStyle w:val="Hyperlink"/>
            <w:bCs/>
            <w:lang w:eastAsia="en-US"/>
          </w:rPr>
          <w:t>CCV</w:t>
        </w:r>
      </w:hyperlink>
      <w:r w:rsidRPr="00FF59CF">
        <w:rPr>
          <w:bCs/>
          <w:lang w:eastAsia="en-US"/>
        </w:rPr>
        <w:t>).</w:t>
      </w:r>
    </w:p>
    <w:p w14:paraId="2A8E8429" w14:textId="3B82E548" w:rsidR="00FF59CF" w:rsidRPr="00FF59CF" w:rsidRDefault="002135DD" w:rsidP="00FF59CF">
      <w:pPr>
        <w:rPr>
          <w:b/>
          <w:bCs/>
          <w:lang w:eastAsia="en-US"/>
        </w:rPr>
      </w:pPr>
      <w:r w:rsidRPr="002135DD">
        <w:rPr>
          <w:b/>
          <w:bCs/>
        </w:rPr>
        <w:t>ITU National Numbering Plans Repository</w:t>
      </w:r>
      <w:r w:rsidRPr="002135DD">
        <w:rPr>
          <w:b/>
          <w:bCs/>
          <w:lang w:eastAsia="en-US"/>
        </w:rPr>
        <w:t>:</w:t>
      </w:r>
      <w:r>
        <w:rPr>
          <w:bCs/>
          <w:lang w:eastAsia="en-US"/>
        </w:rPr>
        <w:t xml:space="preserve"> </w:t>
      </w:r>
      <w:r w:rsidR="00FF59CF" w:rsidRPr="00FF59CF">
        <w:rPr>
          <w:bCs/>
          <w:lang w:eastAsia="en-US"/>
        </w:rPr>
        <w:t xml:space="preserve">Online access to </w:t>
      </w:r>
      <w:hyperlink r:id="rId257" w:anchor="/home">
        <w:r w:rsidR="00FF59CF" w:rsidRPr="00FF59CF">
          <w:rPr>
            <w:rStyle w:val="Hyperlink"/>
            <w:bCs/>
            <w:lang w:eastAsia="en-US"/>
          </w:rPr>
          <w:t>ITU National Numbering Plans</w:t>
        </w:r>
      </w:hyperlink>
      <w:r w:rsidR="00FF59CF" w:rsidRPr="00FF59CF">
        <w:rPr>
          <w:bCs/>
          <w:lang w:eastAsia="en-US"/>
        </w:rPr>
        <w:t xml:space="preserve"> which has been enhanced to allow users to access both the notifications of the administrations' plans in Word format and in dynamic lists, when applicable.</w:t>
      </w:r>
    </w:p>
    <w:p w14:paraId="6C34D435" w14:textId="5C05482C" w:rsidR="00FF59CF" w:rsidRPr="00FF59CF" w:rsidRDefault="002135DD" w:rsidP="00FF59CF">
      <w:pPr>
        <w:rPr>
          <w:lang w:eastAsia="en-US"/>
        </w:rPr>
      </w:pPr>
      <w:bookmarkStart w:id="221" w:name="_Hlk155876914"/>
      <w:r w:rsidRPr="002135DD">
        <w:rPr>
          <w:b/>
          <w:bCs/>
          <w:lang w:eastAsia="en-US"/>
        </w:rPr>
        <w:t>International Numbering Resources:</w:t>
      </w:r>
      <w:r>
        <w:rPr>
          <w:lang w:eastAsia="en-US"/>
        </w:rPr>
        <w:t xml:space="preserve"> </w:t>
      </w:r>
      <w:r w:rsidR="00FF59CF" w:rsidRPr="00FF59CF">
        <w:rPr>
          <w:lang w:eastAsia="en-US"/>
        </w:rPr>
        <w:t xml:space="preserve">The </w:t>
      </w:r>
      <w:hyperlink r:id="rId258">
        <w:r w:rsidR="00FF59CF" w:rsidRPr="00FF59CF">
          <w:rPr>
            <w:rStyle w:val="Hyperlink"/>
            <w:lang w:eastAsia="en-US"/>
          </w:rPr>
          <w:t>International Numbering Resources</w:t>
        </w:r>
      </w:hyperlink>
      <w:r w:rsidR="00FF59CF" w:rsidRPr="00FF59CF">
        <w:rPr>
          <w:lang w:eastAsia="en-US"/>
        </w:rPr>
        <w:t xml:space="preserve"> include databases such as:</w:t>
      </w:r>
    </w:p>
    <w:p w14:paraId="41BDE340" w14:textId="77777777" w:rsidR="00FF59CF" w:rsidRPr="00FF59CF" w:rsidRDefault="009A3DC3" w:rsidP="00770357">
      <w:pPr>
        <w:numPr>
          <w:ilvl w:val="0"/>
          <w:numId w:val="29"/>
        </w:numPr>
        <w:rPr>
          <w:lang w:eastAsia="en-US"/>
        </w:rPr>
      </w:pPr>
      <w:hyperlink r:id="rId259" w:history="1">
        <w:r w:rsidR="00FF59CF" w:rsidRPr="00FF59CF">
          <w:rPr>
            <w:rStyle w:val="Hyperlink"/>
            <w:lang w:eastAsia="en-US"/>
          </w:rPr>
          <w:t>Universal Numbers applications</w:t>
        </w:r>
      </w:hyperlink>
      <w:r w:rsidR="00FF59CF" w:rsidRPr="00FF59CF">
        <w:rPr>
          <w:lang w:eastAsia="en-US"/>
        </w:rPr>
        <w:t xml:space="preserve">: </w:t>
      </w:r>
      <w:r w:rsidR="00FF59CF" w:rsidRPr="00FF59CF">
        <w:rPr>
          <w:lang w:val="en-US" w:eastAsia="en-US"/>
        </w:rPr>
        <w:t>Enable the tracking of operators whose numbers have been reclaimed.</w:t>
      </w:r>
    </w:p>
    <w:p w14:paraId="2CC3DA9A" w14:textId="77777777" w:rsidR="00FF59CF" w:rsidRPr="00FF59CF" w:rsidRDefault="009A3DC3" w:rsidP="00770357">
      <w:pPr>
        <w:numPr>
          <w:ilvl w:val="0"/>
          <w:numId w:val="29"/>
        </w:numPr>
        <w:rPr>
          <w:lang w:eastAsia="en-US"/>
        </w:rPr>
      </w:pPr>
      <w:hyperlink r:id="rId260" w:history="1">
        <w:r w:rsidR="00FF59CF" w:rsidRPr="00FF59CF">
          <w:rPr>
            <w:rStyle w:val="Hyperlink"/>
            <w:lang w:eastAsia="en-US"/>
          </w:rPr>
          <w:t>Issuer Identifier Number</w:t>
        </w:r>
      </w:hyperlink>
      <w:r w:rsidR="00FF59CF" w:rsidRPr="00FF59CF">
        <w:rPr>
          <w:lang w:eastAsia="en-US"/>
        </w:rPr>
        <w:t xml:space="preserve"> (IIN): Workflow application allowing TSB secretariat to manage IIN registration.</w:t>
      </w:r>
    </w:p>
    <w:p w14:paraId="29BE5F14" w14:textId="34F7D088" w:rsidR="0046503E" w:rsidRPr="0046503E" w:rsidRDefault="002135DD" w:rsidP="0046503E">
      <w:pPr>
        <w:rPr>
          <w:bCs/>
          <w:lang w:eastAsia="en-US"/>
        </w:rPr>
      </w:pPr>
      <w:proofErr w:type="spellStart"/>
      <w:r w:rsidRPr="002135DD">
        <w:rPr>
          <w:b/>
          <w:bCs/>
          <w:lang w:eastAsia="en-US"/>
        </w:rPr>
        <w:t>ITUSearch</w:t>
      </w:r>
      <w:proofErr w:type="spellEnd"/>
      <w:r w:rsidRPr="002135DD">
        <w:rPr>
          <w:b/>
          <w:bCs/>
          <w:lang w:eastAsia="en-US"/>
        </w:rPr>
        <w:t>:</w:t>
      </w:r>
      <w:r>
        <w:rPr>
          <w:lang w:eastAsia="en-US"/>
        </w:rPr>
        <w:t xml:space="preserve"> </w:t>
      </w:r>
      <w:r w:rsidR="0046503E" w:rsidRPr="0046503E">
        <w:rPr>
          <w:lang w:eastAsia="en-US"/>
        </w:rPr>
        <w:t>Online search on ITU digital resources, including files that public search engines (e.g.</w:t>
      </w:r>
      <w:r w:rsidR="0046503E">
        <w:rPr>
          <w:lang w:eastAsia="en-US"/>
        </w:rPr>
        <w:t>,</w:t>
      </w:r>
      <w:r w:rsidR="0046503E" w:rsidRPr="0046503E">
        <w:rPr>
          <w:lang w:eastAsia="en-US"/>
        </w:rPr>
        <w:t xml:space="preserve"> Google) cannot access: meeting documents, publications, web pages, </w:t>
      </w:r>
      <w:hyperlink r:id="rId261" w:anchor="?target=Base%20text&amp;ex=false&amp;q=&amp;fl=0">
        <w:r w:rsidR="0046503E" w:rsidRPr="0046503E">
          <w:rPr>
            <w:rStyle w:val="Hyperlink"/>
            <w:lang w:eastAsia="en-US"/>
          </w:rPr>
          <w:t>ITU regulatory texts</w:t>
        </w:r>
      </w:hyperlink>
      <w:r w:rsidR="0046503E" w:rsidRPr="0046503E">
        <w:rPr>
          <w:lang w:eastAsia="en-US"/>
        </w:rPr>
        <w:t xml:space="preserve"> in 6 languages and the latest WTDC and WTSA outputs.</w:t>
      </w:r>
    </w:p>
    <w:p w14:paraId="0631E71C" w14:textId="73C36D59" w:rsidR="006B0381" w:rsidRDefault="002135DD" w:rsidP="006B0381">
      <w:pPr>
        <w:rPr>
          <w:lang w:eastAsia="en-US"/>
        </w:rPr>
      </w:pPr>
      <w:r w:rsidRPr="002135DD">
        <w:rPr>
          <w:b/>
          <w:bCs/>
          <w:lang w:eastAsia="en-US"/>
        </w:rPr>
        <w:t>ITU-T Mailing Lists:</w:t>
      </w:r>
      <w:r>
        <w:rPr>
          <w:lang w:eastAsia="en-US"/>
        </w:rPr>
        <w:t xml:space="preserve"> </w:t>
      </w:r>
      <w:r w:rsidR="006B0381" w:rsidRPr="006B0381">
        <w:rPr>
          <w:lang w:eastAsia="en-US"/>
        </w:rPr>
        <w:t xml:space="preserve">The mailing lists continue to be very useful tools in the work of the study groups and other groups. There are </w:t>
      </w:r>
      <w:r w:rsidR="006B0381" w:rsidRPr="006B0381">
        <w:rPr>
          <w:b/>
          <w:bCs/>
          <w:lang w:eastAsia="en-US"/>
        </w:rPr>
        <w:t>388 active ITU-T mailing lists</w:t>
      </w:r>
      <w:r w:rsidR="006B0381" w:rsidRPr="006B0381">
        <w:rPr>
          <w:lang w:eastAsia="en-US"/>
        </w:rPr>
        <w:t xml:space="preserve"> with a total of </w:t>
      </w:r>
      <w:r w:rsidR="006B0381" w:rsidRPr="006B0381">
        <w:rPr>
          <w:b/>
          <w:bCs/>
          <w:lang w:eastAsia="en-US"/>
        </w:rPr>
        <w:t>61519 subscriptions</w:t>
      </w:r>
      <w:r w:rsidR="006B0381" w:rsidRPr="006B0381">
        <w:rPr>
          <w:lang w:eastAsia="en-US"/>
        </w:rPr>
        <w:t xml:space="preserve"> currently being used as shown in the table below. TSB set up a new mailing list for ITU-T experts to receive an alert for each TSB Circular posting.</w:t>
      </w:r>
    </w:p>
    <w:p w14:paraId="5D686711" w14:textId="77777777" w:rsidR="006B0381" w:rsidRPr="006B0381" w:rsidRDefault="006B0381" w:rsidP="006B0381">
      <w:pPr>
        <w:rPr>
          <w:lang w:eastAsia="en-US"/>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6B0381" w14:paraId="3781550A"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87007C4" w14:textId="77777777" w:rsidR="006B0381" w:rsidRDefault="006B0381" w:rsidP="006375CD">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CE6BE34" w14:textId="77777777" w:rsidR="006B0381" w:rsidRDefault="006B0381" w:rsidP="006375CD">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0B1B75C2" w14:textId="77777777" w:rsidR="006B0381" w:rsidRPr="005949D0" w:rsidRDefault="006B0381" w:rsidP="006375CD">
            <w:pPr>
              <w:spacing w:line="252" w:lineRule="auto"/>
              <w:jc w:val="center"/>
              <w:rPr>
                <w:b/>
                <w:bCs/>
                <w:color w:val="000000"/>
              </w:rPr>
            </w:pPr>
            <w:r w:rsidRPr="7752686A">
              <w:rPr>
                <w:b/>
                <w:color w:val="000000" w:themeColor="text1"/>
              </w:rPr>
              <w:t>Subscribers</w:t>
            </w:r>
          </w:p>
        </w:tc>
      </w:tr>
      <w:tr w:rsidR="006B0381" w14:paraId="0B0C7125"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A837FF" w14:textId="77777777" w:rsidR="006B0381" w:rsidRDefault="006B0381" w:rsidP="006375CD">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7929E6" w14:textId="77777777" w:rsidR="006B0381" w:rsidRPr="00137ACF" w:rsidRDefault="006B0381" w:rsidP="006375CD">
            <w:pPr>
              <w:spacing w:line="252" w:lineRule="auto"/>
              <w:jc w:val="center"/>
              <w:rPr>
                <w:color w:val="000000"/>
              </w:rPr>
            </w:pPr>
            <w:r w:rsidRPr="506FB533">
              <w:rPr>
                <w:color w:val="000000" w:themeColor="text1"/>
              </w:rPr>
              <w:t>12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2492490" w14:textId="77777777" w:rsidR="006B0381" w:rsidRPr="00137ACF" w:rsidRDefault="006B0381" w:rsidP="006375CD">
            <w:pPr>
              <w:spacing w:line="252" w:lineRule="auto"/>
              <w:jc w:val="center"/>
            </w:pPr>
            <w:r w:rsidRPr="41221C47">
              <w:rPr>
                <w:color w:val="000000" w:themeColor="text1"/>
              </w:rPr>
              <w:t>2516</w:t>
            </w:r>
          </w:p>
        </w:tc>
      </w:tr>
      <w:tr w:rsidR="006B0381" w14:paraId="4DAF0884"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5D6132" w14:textId="77777777" w:rsidR="006B0381" w:rsidRDefault="006B0381" w:rsidP="006375CD">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466A350" w14:textId="77777777" w:rsidR="006B0381" w:rsidRPr="00137ACF" w:rsidRDefault="006B0381" w:rsidP="006375CD">
            <w:pPr>
              <w:spacing w:line="252" w:lineRule="auto"/>
              <w:jc w:val="center"/>
            </w:pPr>
            <w:r w:rsidRPr="0CCD7591">
              <w:rPr>
                <w:color w:val="000000" w:themeColor="text1"/>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094207D" w14:textId="77777777" w:rsidR="006B0381" w:rsidRPr="00137ACF" w:rsidRDefault="006B0381" w:rsidP="006375CD">
            <w:pPr>
              <w:spacing w:line="252" w:lineRule="auto"/>
              <w:jc w:val="center"/>
            </w:pPr>
            <w:r w:rsidRPr="41221C47">
              <w:rPr>
                <w:color w:val="000000" w:themeColor="text1"/>
              </w:rPr>
              <w:t>1648</w:t>
            </w:r>
          </w:p>
        </w:tc>
      </w:tr>
      <w:tr w:rsidR="006B0381" w14:paraId="45CA91EE"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E69721" w14:textId="77777777" w:rsidR="006B0381" w:rsidRDefault="006B0381" w:rsidP="006375CD">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40B6DC" w14:textId="77777777" w:rsidR="006B0381" w:rsidRPr="00137ACF" w:rsidRDefault="006B0381" w:rsidP="006375CD">
            <w:pPr>
              <w:spacing w:line="252" w:lineRule="auto"/>
              <w:jc w:val="center"/>
              <w:rPr>
                <w:color w:val="000000"/>
              </w:rPr>
            </w:pPr>
            <w:r w:rsidRPr="4AB7C3B6">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0B40902" w14:textId="77777777" w:rsidR="006B0381" w:rsidRPr="00137ACF" w:rsidRDefault="006B0381" w:rsidP="006375CD">
            <w:pPr>
              <w:spacing w:line="252" w:lineRule="auto"/>
              <w:jc w:val="center"/>
            </w:pPr>
            <w:r w:rsidRPr="41221C47">
              <w:rPr>
                <w:color w:val="000000" w:themeColor="text1"/>
              </w:rPr>
              <w:t>3183</w:t>
            </w:r>
          </w:p>
        </w:tc>
      </w:tr>
      <w:tr w:rsidR="006B0381" w14:paraId="23788435"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74D2936" w14:textId="77777777" w:rsidR="006B0381" w:rsidRDefault="006B0381" w:rsidP="006375CD">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632B69D" w14:textId="77777777" w:rsidR="006B0381" w:rsidRPr="00137ACF" w:rsidRDefault="006B0381" w:rsidP="006375CD">
            <w:pPr>
              <w:spacing w:line="252" w:lineRule="auto"/>
              <w:jc w:val="center"/>
              <w:rPr>
                <w:color w:val="000000"/>
              </w:rPr>
            </w:pPr>
            <w:r w:rsidRPr="506FB533">
              <w:rPr>
                <w:color w:val="000000" w:themeColor="text1"/>
              </w:rPr>
              <w:t>15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2946F23" w14:textId="77777777" w:rsidR="006B0381" w:rsidRPr="00137ACF" w:rsidRDefault="006B0381" w:rsidP="006375CD">
            <w:pPr>
              <w:spacing w:line="252" w:lineRule="auto"/>
              <w:jc w:val="center"/>
            </w:pPr>
            <w:r w:rsidRPr="41221C47">
              <w:rPr>
                <w:color w:val="000000" w:themeColor="text1"/>
              </w:rPr>
              <w:t>2286</w:t>
            </w:r>
          </w:p>
        </w:tc>
      </w:tr>
      <w:tr w:rsidR="006B0381" w14:paraId="165F0808"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74ADB5" w14:textId="77777777" w:rsidR="006B0381" w:rsidRDefault="006B0381" w:rsidP="006375CD">
            <w:pPr>
              <w:spacing w:line="252" w:lineRule="auto"/>
              <w:rPr>
                <w:b/>
                <w:bCs/>
                <w:color w:val="000000"/>
              </w:rPr>
            </w:pPr>
            <w:r>
              <w:rPr>
                <w:b/>
                <w:bCs/>
                <w:color w:val="000000"/>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438EB65" w14:textId="77777777" w:rsidR="006B0381" w:rsidRPr="00137ACF" w:rsidRDefault="006B0381" w:rsidP="006375CD">
            <w:pPr>
              <w:spacing w:line="252" w:lineRule="auto"/>
              <w:jc w:val="center"/>
              <w:rPr>
                <w:color w:val="000000"/>
              </w:rPr>
            </w:pPr>
            <w:r w:rsidRPr="00137ACF">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6AB5816" w14:textId="77777777" w:rsidR="006B0381" w:rsidRPr="00137ACF" w:rsidRDefault="006B0381" w:rsidP="006375CD">
            <w:pPr>
              <w:spacing w:line="252" w:lineRule="auto"/>
              <w:jc w:val="center"/>
            </w:pPr>
            <w:r w:rsidRPr="41221C47">
              <w:rPr>
                <w:color w:val="000000" w:themeColor="text1"/>
              </w:rPr>
              <w:t>291</w:t>
            </w:r>
          </w:p>
        </w:tc>
      </w:tr>
      <w:tr w:rsidR="006B0381" w14:paraId="3D478C37"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C3CBAF" w14:textId="77777777" w:rsidR="006B0381" w:rsidRDefault="006B0381" w:rsidP="006375CD">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069DBEE" w14:textId="77777777" w:rsidR="006B0381" w:rsidRPr="00137ACF" w:rsidRDefault="006B0381" w:rsidP="006375CD">
            <w:pPr>
              <w:spacing w:line="252" w:lineRule="auto"/>
              <w:jc w:val="center"/>
              <w:rPr>
                <w:color w:val="000000"/>
              </w:rPr>
            </w:pPr>
            <w:r w:rsidRPr="506FB533">
              <w:rPr>
                <w:color w:val="000000" w:themeColor="text1"/>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8270DC1" w14:textId="77777777" w:rsidR="006B0381" w:rsidRPr="00137ACF" w:rsidRDefault="006B0381" w:rsidP="006375CD">
            <w:pPr>
              <w:spacing w:line="252" w:lineRule="auto"/>
              <w:jc w:val="center"/>
            </w:pPr>
            <w:r w:rsidRPr="41221C47">
              <w:rPr>
                <w:color w:val="000000" w:themeColor="text1"/>
              </w:rPr>
              <w:t>2291</w:t>
            </w:r>
          </w:p>
        </w:tc>
      </w:tr>
      <w:tr w:rsidR="006B0381" w14:paraId="3981C808"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CDAF16B" w14:textId="77777777" w:rsidR="006B0381" w:rsidRDefault="006B0381" w:rsidP="006375CD">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66C9519" w14:textId="77777777" w:rsidR="006B0381" w:rsidRPr="00137ACF" w:rsidRDefault="006B0381" w:rsidP="006375CD">
            <w:pPr>
              <w:spacing w:line="252" w:lineRule="auto"/>
              <w:jc w:val="center"/>
              <w:rPr>
                <w:color w:val="000000"/>
              </w:rPr>
            </w:pPr>
            <w:r w:rsidRPr="506FB533">
              <w:rPr>
                <w:color w:val="000000" w:themeColor="text1"/>
              </w:rPr>
              <w:t>25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EA0CA68" w14:textId="77777777" w:rsidR="006B0381" w:rsidRPr="00137ACF" w:rsidRDefault="006B0381" w:rsidP="006375CD">
            <w:pPr>
              <w:spacing w:line="252" w:lineRule="auto"/>
              <w:jc w:val="center"/>
            </w:pPr>
            <w:r w:rsidRPr="41221C47">
              <w:rPr>
                <w:color w:val="000000" w:themeColor="text1"/>
              </w:rPr>
              <w:t>4221</w:t>
            </w:r>
          </w:p>
        </w:tc>
      </w:tr>
      <w:tr w:rsidR="006B0381" w14:paraId="699BBB46"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E3A2FD" w14:textId="77777777" w:rsidR="006B0381" w:rsidRDefault="006B0381" w:rsidP="006375CD">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1F093B6" w14:textId="77777777" w:rsidR="006B0381" w:rsidRPr="00137ACF" w:rsidRDefault="006B0381" w:rsidP="006375CD">
            <w:pPr>
              <w:spacing w:line="252" w:lineRule="auto"/>
              <w:jc w:val="center"/>
              <w:rPr>
                <w:color w:val="000000"/>
              </w:rPr>
            </w:pPr>
            <w:r w:rsidRPr="506FB533">
              <w:rPr>
                <w:color w:val="000000" w:themeColor="text1"/>
              </w:rPr>
              <w:t>29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55F71C0" w14:textId="77777777" w:rsidR="006B0381" w:rsidRPr="00137ACF" w:rsidRDefault="006B0381" w:rsidP="006375CD">
            <w:pPr>
              <w:spacing w:line="252" w:lineRule="auto"/>
              <w:jc w:val="center"/>
            </w:pPr>
            <w:r w:rsidRPr="41221C47">
              <w:rPr>
                <w:color w:val="000000" w:themeColor="text1"/>
              </w:rPr>
              <w:t>6124</w:t>
            </w:r>
          </w:p>
        </w:tc>
      </w:tr>
      <w:tr w:rsidR="006B0381" w14:paraId="17AE2B81"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6C5542" w14:textId="77777777" w:rsidR="006B0381" w:rsidRDefault="006B0381" w:rsidP="006375CD">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50F7CDF" w14:textId="77777777" w:rsidR="006B0381" w:rsidRPr="00137ACF" w:rsidRDefault="006B0381" w:rsidP="006375CD">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E36642F" w14:textId="77777777" w:rsidR="006B0381" w:rsidRPr="00137ACF" w:rsidRDefault="006B0381" w:rsidP="006375CD">
            <w:pPr>
              <w:spacing w:line="252" w:lineRule="auto"/>
              <w:jc w:val="center"/>
            </w:pPr>
            <w:r w:rsidRPr="41221C47">
              <w:rPr>
                <w:color w:val="000000" w:themeColor="text1"/>
              </w:rPr>
              <w:t>6141</w:t>
            </w:r>
          </w:p>
        </w:tc>
      </w:tr>
      <w:tr w:rsidR="006B0381" w14:paraId="6E4054C2"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FC7B1D5" w14:textId="77777777" w:rsidR="006B0381" w:rsidRDefault="006B0381" w:rsidP="006375CD">
            <w:pPr>
              <w:spacing w:line="252" w:lineRule="auto"/>
              <w:rPr>
                <w:b/>
                <w:bCs/>
                <w:color w:val="000000"/>
              </w:rPr>
            </w:pPr>
            <w:r>
              <w:rPr>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AFDF42B" w14:textId="77777777" w:rsidR="006B0381" w:rsidRPr="00137ACF" w:rsidRDefault="006B0381" w:rsidP="006375CD">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B8D13DF" w14:textId="77777777" w:rsidR="006B0381" w:rsidRPr="00137ACF" w:rsidRDefault="006B0381" w:rsidP="006375CD">
            <w:pPr>
              <w:spacing w:line="252" w:lineRule="auto"/>
              <w:jc w:val="center"/>
            </w:pPr>
            <w:r w:rsidRPr="41221C47">
              <w:rPr>
                <w:color w:val="000000" w:themeColor="text1"/>
              </w:rPr>
              <w:t>2699</w:t>
            </w:r>
          </w:p>
        </w:tc>
      </w:tr>
      <w:tr w:rsidR="006B0381" w14:paraId="613AE33D"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5009555" w14:textId="77777777" w:rsidR="006B0381" w:rsidRDefault="006B0381" w:rsidP="006375CD">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26DA548" w14:textId="77777777" w:rsidR="006B0381" w:rsidRPr="00137ACF" w:rsidRDefault="006B0381" w:rsidP="006375CD">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36ABF54" w14:textId="77777777" w:rsidR="006B0381" w:rsidRPr="00137ACF" w:rsidRDefault="006B0381" w:rsidP="006375CD">
            <w:pPr>
              <w:spacing w:line="252" w:lineRule="auto"/>
              <w:jc w:val="center"/>
            </w:pPr>
            <w:r w:rsidRPr="41221C47">
              <w:rPr>
                <w:color w:val="000000" w:themeColor="text1"/>
              </w:rPr>
              <w:t>4018</w:t>
            </w:r>
          </w:p>
        </w:tc>
      </w:tr>
      <w:tr w:rsidR="006B0381" w14:paraId="4DC3236C"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2C8064" w14:textId="77777777" w:rsidR="006B0381" w:rsidRDefault="006B0381" w:rsidP="006375CD">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5463F03" w14:textId="77777777" w:rsidR="006B0381" w:rsidRPr="00137ACF" w:rsidRDefault="006B0381" w:rsidP="006375CD">
            <w:pPr>
              <w:spacing w:line="252" w:lineRule="auto"/>
              <w:jc w:val="center"/>
              <w:rPr>
                <w:color w:val="000000"/>
              </w:rPr>
            </w:pPr>
            <w:r w:rsidRPr="506FB533">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2EC4941" w14:textId="77777777" w:rsidR="006B0381" w:rsidRPr="00137ACF" w:rsidRDefault="006B0381" w:rsidP="006375CD">
            <w:pPr>
              <w:spacing w:line="252" w:lineRule="auto"/>
              <w:jc w:val="center"/>
            </w:pPr>
            <w:r w:rsidRPr="41221C47">
              <w:rPr>
                <w:color w:val="000000" w:themeColor="text1"/>
              </w:rPr>
              <w:t>4195</w:t>
            </w:r>
          </w:p>
        </w:tc>
      </w:tr>
      <w:tr w:rsidR="006B0381" w14:paraId="2DFF72CB"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232B3C9" w14:textId="77777777" w:rsidR="006B0381" w:rsidRDefault="006B0381" w:rsidP="006375CD">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E27FFC8" w14:textId="77777777" w:rsidR="006B0381" w:rsidRPr="00137ACF" w:rsidRDefault="006B0381" w:rsidP="006375CD">
            <w:pPr>
              <w:spacing w:line="252" w:lineRule="auto"/>
              <w:jc w:val="center"/>
              <w:rPr>
                <w:color w:val="000000"/>
              </w:rPr>
            </w:pPr>
            <w:r w:rsidRPr="506FB533">
              <w:rPr>
                <w:color w:val="000000" w:themeColor="text1"/>
              </w:rPr>
              <w:t>26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F8C8CB9" w14:textId="77777777" w:rsidR="006B0381" w:rsidRPr="00137ACF" w:rsidRDefault="006B0381" w:rsidP="006375CD">
            <w:pPr>
              <w:spacing w:line="252" w:lineRule="auto"/>
              <w:jc w:val="center"/>
            </w:pPr>
            <w:r w:rsidRPr="41221C47">
              <w:rPr>
                <w:color w:val="000000" w:themeColor="text1"/>
              </w:rPr>
              <w:t>2351</w:t>
            </w:r>
          </w:p>
        </w:tc>
      </w:tr>
      <w:tr w:rsidR="006B0381" w14:paraId="4675DBF2"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BE3AA91" w14:textId="77777777" w:rsidR="006B0381" w:rsidRDefault="006B0381" w:rsidP="006375CD">
            <w:pPr>
              <w:spacing w:line="252" w:lineRule="auto"/>
              <w:rPr>
                <w:b/>
                <w:bCs/>
                <w:color w:val="000000"/>
              </w:rPr>
            </w:pPr>
            <w:r>
              <w:rPr>
                <w:b/>
                <w:bCs/>
                <w:color w:val="000000"/>
              </w:rPr>
              <w:lastRenderedPageBreak/>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81347D5" w14:textId="77777777" w:rsidR="006B0381" w:rsidRPr="00137ACF" w:rsidRDefault="006B0381" w:rsidP="006375CD">
            <w:pPr>
              <w:spacing w:line="252" w:lineRule="auto"/>
              <w:jc w:val="center"/>
              <w:rPr>
                <w:color w:val="000000"/>
              </w:rPr>
            </w:pPr>
            <w:r w:rsidRPr="506FB533">
              <w:rPr>
                <w:color w:val="000000" w:themeColor="text1"/>
              </w:rPr>
              <w:t>88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6B770FA" w14:textId="77777777" w:rsidR="006B0381" w:rsidRPr="00137ACF" w:rsidRDefault="006B0381" w:rsidP="006375CD">
            <w:pPr>
              <w:spacing w:line="252" w:lineRule="auto"/>
              <w:jc w:val="center"/>
            </w:pPr>
            <w:r w:rsidRPr="41221C47">
              <w:rPr>
                <w:color w:val="000000" w:themeColor="text1"/>
              </w:rPr>
              <w:t>12523</w:t>
            </w:r>
          </w:p>
        </w:tc>
      </w:tr>
      <w:tr w:rsidR="006B0381" w14:paraId="32B29D03"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283A470" w14:textId="77777777" w:rsidR="006B0381" w:rsidRDefault="006B0381" w:rsidP="006375CD">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482823" w14:textId="77777777" w:rsidR="006B0381" w:rsidRPr="00137ACF" w:rsidRDefault="006B0381" w:rsidP="006375CD">
            <w:pPr>
              <w:spacing w:line="252" w:lineRule="auto"/>
              <w:jc w:val="center"/>
              <w:rPr>
                <w:color w:val="000000"/>
              </w:rPr>
            </w:pPr>
            <w:r w:rsidRPr="506FB533">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E38C38C" w14:textId="77777777" w:rsidR="006B0381" w:rsidRPr="00137ACF" w:rsidRDefault="006B0381" w:rsidP="006375CD">
            <w:pPr>
              <w:spacing w:line="252" w:lineRule="auto"/>
              <w:jc w:val="center"/>
            </w:pPr>
            <w:r w:rsidRPr="41221C47">
              <w:rPr>
                <w:color w:val="000000" w:themeColor="text1"/>
              </w:rPr>
              <w:t>1664</w:t>
            </w:r>
          </w:p>
        </w:tc>
      </w:tr>
      <w:tr w:rsidR="006B0381" w14:paraId="6C029C82"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93E5D0D" w14:textId="77777777" w:rsidR="006B0381" w:rsidRDefault="006B0381" w:rsidP="006375CD">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88470D9" w14:textId="77777777" w:rsidR="006B0381" w:rsidRPr="00137ACF" w:rsidRDefault="006B0381" w:rsidP="006375CD">
            <w:pPr>
              <w:spacing w:line="252" w:lineRule="auto"/>
              <w:jc w:val="center"/>
            </w:pPr>
            <w:r w:rsidRPr="6E1DB3F1">
              <w:rPr>
                <w:color w:val="000000" w:themeColor="text1"/>
              </w:rPr>
              <w:t>53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BEA065B" w14:textId="77777777" w:rsidR="006B0381" w:rsidRPr="00137ACF" w:rsidRDefault="006B0381" w:rsidP="006375CD">
            <w:pPr>
              <w:spacing w:line="252" w:lineRule="auto"/>
              <w:jc w:val="center"/>
            </w:pPr>
            <w:r w:rsidRPr="67AC6A88">
              <w:rPr>
                <w:color w:val="000000" w:themeColor="text1"/>
              </w:rPr>
              <w:t>5368</w:t>
            </w:r>
          </w:p>
        </w:tc>
      </w:tr>
      <w:tr w:rsidR="006B0381" w14:paraId="24EFAB68"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B3B240F" w14:textId="77777777" w:rsidR="006B0381" w:rsidRDefault="006B0381" w:rsidP="006375CD">
            <w:pPr>
              <w:spacing w:line="252" w:lineRule="auto"/>
              <w:rPr>
                <w:b/>
                <w:bCs/>
                <w:color w:val="000000"/>
              </w:rPr>
            </w:pPr>
            <w:r>
              <w:rPr>
                <w:b/>
                <w:bCs/>
                <w:color w:val="000000"/>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66E31E9A" w14:textId="77777777" w:rsidR="006B0381" w:rsidRPr="0031635F" w:rsidRDefault="006B0381" w:rsidP="006375CD">
            <w:pPr>
              <w:spacing w:line="252" w:lineRule="auto"/>
              <w:jc w:val="center"/>
            </w:pPr>
            <w:r w:rsidRPr="3DEA7B85">
              <w:rPr>
                <w:b/>
                <w:bCs/>
                <w:color w:val="000000" w:themeColor="text1"/>
              </w:rPr>
              <w:t>388</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3219DAE7" w14:textId="77777777" w:rsidR="006B0381" w:rsidRPr="0031635F" w:rsidRDefault="006B0381" w:rsidP="006375CD">
            <w:pPr>
              <w:spacing w:line="252" w:lineRule="auto"/>
              <w:jc w:val="center"/>
            </w:pPr>
            <w:r w:rsidRPr="1A888B6D">
              <w:rPr>
                <w:b/>
                <w:bCs/>
                <w:color w:val="000000" w:themeColor="text1"/>
              </w:rPr>
              <w:t>61519</w:t>
            </w:r>
          </w:p>
        </w:tc>
      </w:tr>
    </w:tbl>
    <w:bookmarkEnd w:id="221"/>
    <w:p w14:paraId="0F7D5BA1" w14:textId="77777777" w:rsidR="00F4538E" w:rsidRPr="00130A6F" w:rsidRDefault="00F4538E" w:rsidP="00F4538E">
      <w:pPr>
        <w:jc w:val="center"/>
      </w:pPr>
      <w:r>
        <w:t>__________</w:t>
      </w:r>
    </w:p>
    <w:p w14:paraId="0E9ABDCE" w14:textId="77777777" w:rsidR="00F4538E" w:rsidRDefault="00F4538E" w:rsidP="003D5F16">
      <w:pPr>
        <w:rPr>
          <w:bCs/>
          <w:lang w:eastAsia="en-US"/>
        </w:rPr>
      </w:pPr>
    </w:p>
    <w:bookmarkEnd w:id="214"/>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22" w:name="_Toc117161212"/>
      <w:bookmarkStart w:id="223" w:name="_Toc120622862"/>
      <w:bookmarkStart w:id="224" w:name="_Toc156392444"/>
      <w:bookmarkEnd w:id="2"/>
      <w:bookmarkEnd w:id="3"/>
      <w:bookmarkEnd w:id="4"/>
      <w:r w:rsidRPr="00444359">
        <w:lastRenderedPageBreak/>
        <w:t xml:space="preserve">Appendix I – List of approved texts and texts undergoing </w:t>
      </w:r>
      <w:proofErr w:type="gramStart"/>
      <w:r w:rsidRPr="00444359">
        <w:t>approval</w:t>
      </w:r>
      <w:bookmarkEnd w:id="222"/>
      <w:bookmarkEnd w:id="223"/>
      <w:bookmarkEnd w:id="224"/>
      <w:proofErr w:type="gramEnd"/>
    </w:p>
    <w:p w14:paraId="16E11869" w14:textId="54723388" w:rsidR="00D7403C" w:rsidRDefault="00356999" w:rsidP="00EB705F">
      <w:pPr>
        <w:pStyle w:val="Note"/>
      </w:pPr>
      <w:r w:rsidRPr="0002157C">
        <w:t xml:space="preserve">NOTE – </w:t>
      </w:r>
      <w:r w:rsidRPr="00B75601">
        <w:t>Corrigenda are not listed here.</w:t>
      </w:r>
    </w:p>
    <w:p w14:paraId="559A7FD6" w14:textId="77777777" w:rsidR="0031434C" w:rsidRDefault="0031434C" w:rsidP="00EB705F">
      <w:pPr>
        <w:pStyle w:val="Note"/>
      </w:pPr>
    </w:p>
    <w:p w14:paraId="74848656" w14:textId="1B2274E6" w:rsidR="00D7403C" w:rsidRDefault="00EB705F" w:rsidP="00D7403C">
      <w:pPr>
        <w:pStyle w:val="Note"/>
        <w:jc w:val="center"/>
        <w:rPr>
          <w:b/>
          <w:bCs/>
        </w:rPr>
      </w:pPr>
      <w:r w:rsidRPr="003465DC">
        <w:rPr>
          <w:b/>
          <w:bCs/>
        </w:rPr>
        <w:t>List of approved texts</w:t>
      </w:r>
      <w:r w:rsidR="00D7403C">
        <w:rPr>
          <w:b/>
          <w:bCs/>
        </w:rPr>
        <w:t>, as of 18 December 2023</w:t>
      </w:r>
    </w:p>
    <w:p w14:paraId="7A50E55E" w14:textId="77777777" w:rsidR="00D7403C" w:rsidRPr="00D7403C" w:rsidRDefault="00D7403C" w:rsidP="00D7403C">
      <w:pPr>
        <w:pStyle w:val="Note"/>
        <w:jc w:val="center"/>
        <w:rPr>
          <w:b/>
          <w:bCs/>
        </w:rPr>
      </w:pP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2087"/>
        <w:gridCol w:w="938"/>
        <w:gridCol w:w="1610"/>
        <w:gridCol w:w="3519"/>
        <w:gridCol w:w="863"/>
      </w:tblGrid>
      <w:tr w:rsidR="00EB705F" w14:paraId="0BA75D4A" w14:textId="77777777" w:rsidTr="00C9333D">
        <w:trPr>
          <w:cantSplit/>
          <w:tblHead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0536B7B2"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Study group</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F31C7F6"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3D0E6DB"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0354C22"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7B66F65"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Summary</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CDC54A0"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Approval date</w:t>
            </w:r>
          </w:p>
        </w:tc>
      </w:tr>
      <w:tr w:rsidR="00EB705F" w14:paraId="4EAB731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B2873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FA570C" w14:textId="77777777" w:rsidR="00EB705F" w:rsidRDefault="009A3DC3" w:rsidP="00C9333D">
            <w:pPr>
              <w:jc w:val="center"/>
              <w:rPr>
                <w:rFonts w:ascii="Verdana" w:eastAsia="Times New Roman" w:hAnsi="Verdana"/>
                <w:color w:val="000066"/>
                <w:sz w:val="18"/>
                <w:szCs w:val="18"/>
              </w:rPr>
            </w:pPr>
            <w:hyperlink r:id="rId262" w:tooltip="See more details" w:history="1">
              <w:r w:rsidR="00EB705F">
                <w:rPr>
                  <w:rStyle w:val="Hyperlink"/>
                  <w:rFonts w:ascii="Verdana" w:eastAsia="Times New Roman" w:hAnsi="Verdana"/>
                  <w:sz w:val="18"/>
                  <w:szCs w:val="18"/>
                </w:rPr>
                <w:t>D.285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A29D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533B8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Guiding principles for charging and accounting for intelligent network supported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0570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outlines general considerations and guiding principles for charging and international accounting for traffic and facilities used to support services that utilize Intelligent Networking (IN)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B79A6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2023-11-10</w:t>
            </w:r>
          </w:p>
        </w:tc>
      </w:tr>
      <w:tr w:rsidR="00EB705F" w14:paraId="4C2FF3B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AA4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2DF63C" w14:textId="77777777" w:rsidR="00EB705F" w:rsidRDefault="009A3DC3" w:rsidP="00C9333D">
            <w:pPr>
              <w:jc w:val="center"/>
              <w:rPr>
                <w:rFonts w:ascii="Verdana" w:eastAsia="Times New Roman" w:hAnsi="Verdana"/>
                <w:color w:val="000066"/>
                <w:sz w:val="18"/>
                <w:szCs w:val="18"/>
              </w:rPr>
            </w:pPr>
            <w:hyperlink r:id="rId263" w:tooltip="See more details" w:history="1">
              <w:r w:rsidR="00EB705F">
                <w:rPr>
                  <w:rStyle w:val="Hyperlink"/>
                  <w:rFonts w:ascii="Verdana" w:eastAsia="Times New Roman" w:hAnsi="Verdana"/>
                  <w:sz w:val="18"/>
                  <w:szCs w:val="18"/>
                </w:rPr>
                <w:t>DSTR-ROAMREG (ex STUDY_ROAMREG)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C5AF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9FF8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Regional Roaming Initiatives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DDE4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50EA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2023-11-10</w:t>
            </w:r>
          </w:p>
        </w:tc>
      </w:tr>
      <w:tr w:rsidR="00EB705F" w14:paraId="16D9E61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A64F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5184BC" w14:textId="77777777" w:rsidR="00EB705F" w:rsidRDefault="009A3DC3" w:rsidP="00C9333D">
            <w:pPr>
              <w:jc w:val="center"/>
              <w:rPr>
                <w:rFonts w:ascii="Verdana" w:eastAsia="Times New Roman" w:hAnsi="Verdana"/>
                <w:color w:val="000066"/>
                <w:sz w:val="18"/>
                <w:szCs w:val="18"/>
              </w:rPr>
            </w:pPr>
            <w:hyperlink r:id="rId264" w:tooltip="See more details" w:history="1">
              <w:r w:rsidR="00EB705F">
                <w:rPr>
                  <w:rStyle w:val="Hyperlink"/>
                  <w:rFonts w:ascii="Verdana" w:eastAsia="Times New Roman" w:hAnsi="Verdana"/>
                  <w:sz w:val="18"/>
                  <w:szCs w:val="18"/>
                </w:rPr>
                <w:t>K.Suppl.32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5DD86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45C9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Case studies of radio frequency-electromagnetic field (RF-EMF)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A0A6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Supplement 32 to ITU-T K-series Recommendations presents results of case studies of radio frequency-electromagnetic field (RF-EMF) exposure levels including fifth generation (5G) systems taken in different conditions and areas. All results of assessment were delivered by ITU-T members and include calculations and measurements of the RF-EMF exposure levels in vicinity of different radio communication systems. RF-EMF exposure levels vary depending on the environment in which they are taken and type of radio communication systems that are in operation. The results included in Supplement 32 to ITU-T K-series Recommendations provide information about RF-EMF exposure levels in real situations. The EMF exposure assessments are included in appendices. Supplement 32 to ITU-T K-series Recommendations aims mainly to solve the problem of EMF compliance assessments of base station systems through typical case studies including computation evaluation and measurement evaluation, </w:t>
            </w:r>
            <w:proofErr w:type="gramStart"/>
            <w:r>
              <w:rPr>
                <w:rFonts w:ascii="Verdana" w:eastAsia="Times New Roman" w:hAnsi="Verdana"/>
                <w:color w:val="000066"/>
                <w:sz w:val="18"/>
                <w:szCs w:val="18"/>
              </w:rPr>
              <w:t>and also</w:t>
            </w:r>
            <w:proofErr w:type="gramEnd"/>
            <w:r>
              <w:rPr>
                <w:rFonts w:ascii="Verdana" w:eastAsia="Times New Roman" w:hAnsi="Verdana"/>
                <w:color w:val="000066"/>
                <w:sz w:val="18"/>
                <w:szCs w:val="18"/>
              </w:rPr>
              <w:t xml:space="preserve"> provides the case support on implementation of ITU-T K-Suppl.16 and IEC 62232.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27B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2023-06-23</w:t>
            </w:r>
          </w:p>
        </w:tc>
      </w:tr>
      <w:tr w:rsidR="00EB705F" w14:paraId="7F3AB84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D096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3E705C" w14:textId="77777777" w:rsidR="00EB705F" w:rsidRDefault="009A3DC3" w:rsidP="00C9333D">
            <w:pPr>
              <w:jc w:val="center"/>
              <w:rPr>
                <w:rFonts w:ascii="Verdana" w:eastAsia="Times New Roman" w:hAnsi="Verdana"/>
                <w:color w:val="000066"/>
                <w:sz w:val="18"/>
                <w:szCs w:val="18"/>
              </w:rPr>
            </w:pPr>
            <w:hyperlink r:id="rId265" w:tooltip="See more details" w:history="1">
              <w:r w:rsidR="00EB705F">
                <w:rPr>
                  <w:rStyle w:val="Hyperlink"/>
                  <w:rFonts w:ascii="Verdana" w:eastAsia="Times New Roman" w:hAnsi="Verdana"/>
                  <w:sz w:val="18"/>
                  <w:szCs w:val="18"/>
                </w:rPr>
                <w:t xml:space="preserve">L.Suppl.57 (ex </w:t>
              </w:r>
              <w:proofErr w:type="gramStart"/>
              <w:r w:rsidR="00EB705F">
                <w:rPr>
                  <w:rStyle w:val="Hyperlink"/>
                  <w:rFonts w:ascii="Verdana" w:eastAsia="Times New Roman" w:hAnsi="Verdana"/>
                  <w:sz w:val="18"/>
                  <w:szCs w:val="18"/>
                </w:rPr>
                <w:t>L.Suppl.Scope</w:t>
              </w:r>
              <w:proofErr w:type="gramEnd"/>
              <w:r w:rsidR="00EB705F">
                <w:rPr>
                  <w:rStyle w:val="Hyperlink"/>
                  <w:rFonts w:ascii="Verdana" w:eastAsia="Times New Roman" w:hAnsi="Verdana"/>
                  <w:sz w:val="18"/>
                  <w:szCs w:val="18"/>
                </w:rPr>
                <w:t>3Operators)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695F4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77EE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L.1420 - Scope 3 Guidance for telecommunication operators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E91F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Scope 3 emissions from telecommunication operators are the indirect emissions of their value chain, including their supply chain and products used by customers. Estimating Scope 3 emissions is difficult since this refers to emission sources outside a company’s direct control. Scope 3 emissions cover a wide range of economic activities that are divided into 15 Categories. This Supplement establishes guidance to harmonize methods for telecommunication operators to assess and report their Scope 3 Greenhouse Gas (GHG) emissions, and to increase coverage and transparency. This guidance prioritises Categories 1 to 2 and 11 of the GHG Protocol (which addresses the life cycle impact of company portfolios) </w:t>
            </w:r>
            <w:proofErr w:type="gramStart"/>
            <w:r>
              <w:rPr>
                <w:rFonts w:ascii="Verdana" w:eastAsia="Times New Roman" w:hAnsi="Verdana"/>
                <w:color w:val="000066"/>
                <w:sz w:val="18"/>
                <w:szCs w:val="18"/>
              </w:rPr>
              <w:t>in particular and</w:t>
            </w:r>
            <w:proofErr w:type="gramEnd"/>
            <w:r>
              <w:rPr>
                <w:rFonts w:ascii="Verdana" w:eastAsia="Times New Roman" w:hAnsi="Verdana"/>
                <w:color w:val="000066"/>
                <w:sz w:val="18"/>
                <w:szCs w:val="18"/>
              </w:rPr>
              <w:t xml:space="preserve"> Category 3 (which is closely linked to Scope 1 and 2), although all Categories are addressed.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33546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2023-06-23</w:t>
            </w:r>
          </w:p>
        </w:tc>
      </w:tr>
      <w:tr w:rsidR="00EB705F" w14:paraId="6681A08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BD78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D602C8" w14:textId="77777777" w:rsidR="00EB705F" w:rsidRDefault="009A3DC3" w:rsidP="00C9333D">
            <w:pPr>
              <w:jc w:val="center"/>
              <w:rPr>
                <w:rFonts w:ascii="Verdana" w:eastAsia="Times New Roman" w:hAnsi="Verdana"/>
                <w:color w:val="000066"/>
                <w:sz w:val="18"/>
                <w:szCs w:val="18"/>
              </w:rPr>
            </w:pPr>
            <w:hyperlink r:id="rId266" w:tooltip="See more details" w:history="1">
              <w:r w:rsidR="00EB705F">
                <w:rPr>
                  <w:rStyle w:val="Hyperlink"/>
                  <w:rFonts w:ascii="Verdana" w:eastAsia="Times New Roman" w:hAnsi="Verdana"/>
                  <w:sz w:val="18"/>
                  <w:szCs w:val="18"/>
                </w:rPr>
                <w:t>K.147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3579D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FF6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Protection of digital ports connected to balanced pairs of conductors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DDA0D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w:t>
            </w:r>
            <w:proofErr w:type="spellStart"/>
            <w:r>
              <w:rPr>
                <w:rFonts w:ascii="Verdana" w:eastAsia="Times New Roman" w:hAnsi="Verdana"/>
                <w:color w:val="000066"/>
                <w:sz w:val="18"/>
                <w:szCs w:val="18"/>
              </w:rPr>
              <w:t>K.147</w:t>
            </w:r>
            <w:proofErr w:type="spellEnd"/>
            <w:r>
              <w:rPr>
                <w:rFonts w:ascii="Verdana" w:eastAsia="Times New Roman" w:hAnsi="Verdana"/>
                <w:color w:val="000066"/>
                <w:sz w:val="18"/>
                <w:szCs w:val="18"/>
              </w:rPr>
              <w:t xml:space="preserve"> considers </w:t>
            </w:r>
            <w:proofErr w:type="spellStart"/>
            <w:r>
              <w:rPr>
                <w:rFonts w:ascii="Verdana" w:eastAsia="Times New Roman" w:hAnsi="Verdana"/>
                <w:color w:val="000066"/>
                <w:sz w:val="18"/>
                <w:szCs w:val="18"/>
              </w:rPr>
              <w:t>overvoltages</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overcurrents</w:t>
            </w:r>
            <w:proofErr w:type="spellEnd"/>
            <w:r>
              <w:rPr>
                <w:rFonts w:ascii="Verdana" w:eastAsia="Times New Roman" w:hAnsi="Verdana"/>
                <w:color w:val="000066"/>
                <w:sz w:val="18"/>
                <w:szCs w:val="18"/>
              </w:rPr>
              <w:t xml:space="preserve"> protection of information technology equipment including the IEEE 802.3 Ethernet. This Recommendation describes how surges are coupled into the system and what surge mitigation measures are used, </w:t>
            </w:r>
            <w:proofErr w:type="gramStart"/>
            <w:r>
              <w:rPr>
                <w:rFonts w:ascii="Verdana" w:eastAsia="Times New Roman" w:hAnsi="Verdana"/>
                <w:color w:val="000066"/>
                <w:sz w:val="18"/>
                <w:szCs w:val="18"/>
              </w:rPr>
              <w:t>taking into account</w:t>
            </w:r>
            <w:proofErr w:type="gramEnd"/>
            <w:r>
              <w:rPr>
                <w:rFonts w:ascii="Verdana" w:eastAsia="Times New Roman" w:hAnsi="Verdana"/>
                <w:color w:val="000066"/>
                <w:sz w:val="18"/>
                <w:szCs w:val="18"/>
              </w:rPr>
              <w:t xml:space="preserve"> the difference of implementations and network configurations. Furthermore, it contains the different surge and power fault test circuit approaches and conditions how the specified tests are applied.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w:t>
            </w:r>
            <w:proofErr w:type="gramStart"/>
            <w:r>
              <w:rPr>
                <w:rFonts w:ascii="Verdana" w:eastAsia="Times New Roman" w:hAnsi="Verdana"/>
                <w:color w:val="000066"/>
                <w:sz w:val="18"/>
                <w:szCs w:val="18"/>
              </w:rPr>
              <w:t>coupling</w:t>
            </w:r>
            <w:proofErr w:type="gramEnd"/>
            <w:r>
              <w:rPr>
                <w:rFonts w:ascii="Verdana" w:eastAsia="Times New Roman" w:hAnsi="Verdana"/>
                <w:color w:val="000066"/>
                <w:sz w:val="18"/>
                <w:szCs w:val="18"/>
              </w:rPr>
              <w:t xml:space="preserve">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F2F9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2023-07-22</w:t>
            </w:r>
          </w:p>
        </w:tc>
      </w:tr>
      <w:tr w:rsidR="00EB705F" w14:paraId="0D361A7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736E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10A30" w14:textId="77777777" w:rsidR="00EB705F" w:rsidRDefault="009A3DC3" w:rsidP="00C9333D">
            <w:pPr>
              <w:jc w:val="center"/>
              <w:rPr>
                <w:rFonts w:ascii="Verdana" w:eastAsia="Times New Roman" w:hAnsi="Verdana"/>
                <w:color w:val="000066"/>
                <w:sz w:val="18"/>
                <w:szCs w:val="18"/>
              </w:rPr>
            </w:pPr>
            <w:hyperlink r:id="rId267" w:tooltip="See more details" w:history="1">
              <w:r w:rsidR="00EB705F">
                <w:rPr>
                  <w:rStyle w:val="Hyperlink"/>
                  <w:rFonts w:ascii="Verdana" w:eastAsia="Times New Roman" w:hAnsi="Verdana"/>
                  <w:sz w:val="18"/>
                  <w:szCs w:val="18"/>
                </w:rPr>
                <w:t>K.143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F0B2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0EC4A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Guidance on safety relating to the use of surge protective devices and surge protective components in telecommunication terminal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9A747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It is necessary to clarify the electrical requirements for SPDs/SPCs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realize both resistibility and safety of telecommunication systems. Recommendation ITU-T K.143 analyses the influence on human safety of lightning measures bridging across insulation in equipment by surge suppressors. Recommendation ITU-T K.143 provides guidance for design of lightning protection and requirements on surge suppressor in equipment from the human safety standpoint. Requirements for SPDs/SPCs in multiservice surge protective devices (MSPDs) external to the equipment and SPDs installed on lines in a building lie outside the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72A52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2023-07-29</w:t>
            </w:r>
          </w:p>
        </w:tc>
      </w:tr>
      <w:tr w:rsidR="00EB705F" w14:paraId="6BC9480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A3010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B5EA8" w14:textId="77777777" w:rsidR="00EB705F" w:rsidRDefault="009A3DC3" w:rsidP="00C9333D">
            <w:pPr>
              <w:jc w:val="center"/>
              <w:rPr>
                <w:rFonts w:ascii="Verdana" w:eastAsia="Times New Roman" w:hAnsi="Verdana"/>
                <w:color w:val="000066"/>
                <w:sz w:val="18"/>
                <w:szCs w:val="18"/>
              </w:rPr>
            </w:pPr>
            <w:hyperlink r:id="rId268" w:tooltip="See more details" w:history="1">
              <w:r w:rsidR="00EB705F">
                <w:rPr>
                  <w:rStyle w:val="Hyperlink"/>
                  <w:rFonts w:ascii="Verdana" w:eastAsia="Times New Roman" w:hAnsi="Verdana"/>
                  <w:sz w:val="18"/>
                  <w:szCs w:val="18"/>
                </w:rPr>
                <w:t>K.60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1B294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0B3EE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Emission levels and test methods for wireline telecommunication networks to minimize electromagnetic disturbance of radio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78903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broadband services have fundamentally changed the utilization of the telecommunication network. First, the transmission </w:t>
            </w:r>
            <w:proofErr w:type="gramStart"/>
            <w:r>
              <w:rPr>
                <w:rFonts w:ascii="Verdana" w:eastAsia="Times New Roman" w:hAnsi="Verdana"/>
                <w:color w:val="000066"/>
                <w:sz w:val="18"/>
                <w:szCs w:val="18"/>
              </w:rPr>
              <w:t>is present on the network at all times</w:t>
            </w:r>
            <w:proofErr w:type="gramEnd"/>
            <w:r>
              <w:rPr>
                <w:rFonts w:ascii="Verdana" w:eastAsia="Times New Roman" w:hAnsi="Verdana"/>
                <w:color w:val="000066"/>
                <w:sz w:val="18"/>
                <w:szCs w:val="18"/>
              </w:rPr>
              <w:t xml:space="preserve"> (i.e., 'always-on'). Second, the transmission frequency range employed by broadband is much greater than that of previous access systems. Hence, the risk of interference with radio services has increased. In the event of interference, the share of responsibility between the network operator and the national responsible body, as well as the levels of the radiated field are not clearly defined. Recommendation ITU-T K.60 proposes a measurement method and target levels to guide administrations in case of interference with radio services. In addition, a methodology for solving the interference is discussed, and under what circumstances the case </w:t>
            </w:r>
            <w:proofErr w:type="gramStart"/>
            <w:r>
              <w:rPr>
                <w:rFonts w:ascii="Verdana" w:eastAsia="Times New Roman" w:hAnsi="Verdana"/>
                <w:color w:val="000066"/>
                <w:sz w:val="18"/>
                <w:szCs w:val="18"/>
              </w:rPr>
              <w:t>has to</w:t>
            </w:r>
            <w:proofErr w:type="gramEnd"/>
            <w:r>
              <w:rPr>
                <w:rFonts w:ascii="Verdana" w:eastAsia="Times New Roman" w:hAnsi="Verdana"/>
                <w:color w:val="000066"/>
                <w:sz w:val="18"/>
                <w:szCs w:val="18"/>
              </w:rPr>
              <w:t xml:space="preserve"> be forwarded to the national responsible body.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414A3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2023-07-29</w:t>
            </w:r>
          </w:p>
        </w:tc>
      </w:tr>
      <w:tr w:rsidR="00EB705F" w14:paraId="6E3E332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DB7F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E692C3" w14:textId="77777777" w:rsidR="00EB705F" w:rsidRDefault="009A3DC3" w:rsidP="00C9333D">
            <w:pPr>
              <w:jc w:val="center"/>
              <w:rPr>
                <w:rFonts w:ascii="Verdana" w:eastAsia="Times New Roman" w:hAnsi="Verdana"/>
                <w:color w:val="000066"/>
                <w:sz w:val="18"/>
                <w:szCs w:val="18"/>
              </w:rPr>
            </w:pPr>
            <w:hyperlink r:id="rId269" w:tooltip="See more details" w:history="1">
              <w:r w:rsidR="00EB705F">
                <w:rPr>
                  <w:rStyle w:val="Hyperlink"/>
                  <w:rFonts w:ascii="Verdana" w:eastAsia="Times New Roman" w:hAnsi="Verdana"/>
                  <w:sz w:val="18"/>
                  <w:szCs w:val="18"/>
                </w:rPr>
                <w:t>K.93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99002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6E22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Immunity of home network devices to electromagnetic disturbances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EEF2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introduction of high-speed data services to customer premises that rapidly adopt new technologies allows the distribution of such data within customer premises. This is leading to </w:t>
            </w:r>
            <w:proofErr w:type="gramStart"/>
            <w:r>
              <w:rPr>
                <w:rFonts w:ascii="Verdana" w:eastAsia="Times New Roman" w:hAnsi="Verdana"/>
                <w:color w:val="000066"/>
                <w:sz w:val="18"/>
                <w:szCs w:val="18"/>
              </w:rPr>
              <w:t>a number of</w:t>
            </w:r>
            <w:proofErr w:type="gramEnd"/>
            <w:r>
              <w:rPr>
                <w:rFonts w:ascii="Verdana" w:eastAsia="Times New Roman" w:hAnsi="Verdana"/>
                <w:color w:val="000066"/>
                <w:sz w:val="18"/>
                <w:szCs w:val="18"/>
              </w:rPr>
              <w:t xml:space="preserve"> different wireless (e.g., wireless local area network, LAN, and digital enhanced cordless telecommunications, DECT) and wireline technologies (e.g., LAN and technologies designed to exploit existing telephone extension and power distribution wiring) to interconnect a variety of in-home electronic and electrical equipment (such as set top box, STB), and PCs. Many types of broadband services are provided on IP networks, such as voice over Internet protocol (VoIP), video on demand (VoD) and broadcasting. Moreover, the electromagnetic environment in the home will change due to this situation. Therefore, new electromagnetic compatibility issues may occur in a home network environment. Recommendation ITU-T K.93 aims to ensure normal operation of home networking devices and to provide a new additional immunity test method for broadband services, especially for devices that are sensitive to broadband interferences.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95D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2023-07-29</w:t>
            </w:r>
          </w:p>
        </w:tc>
      </w:tr>
      <w:tr w:rsidR="00EB705F" w14:paraId="5B92FF8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3DB6B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983A77" w14:textId="77777777" w:rsidR="00EB705F" w:rsidRDefault="009A3DC3" w:rsidP="00C9333D">
            <w:pPr>
              <w:jc w:val="center"/>
              <w:rPr>
                <w:rFonts w:ascii="Verdana" w:eastAsia="Times New Roman" w:hAnsi="Verdana"/>
                <w:color w:val="000066"/>
                <w:sz w:val="18"/>
                <w:szCs w:val="18"/>
              </w:rPr>
            </w:pPr>
            <w:hyperlink r:id="rId270" w:tooltip="See more details" w:history="1">
              <w:r w:rsidR="00EB705F">
                <w:rPr>
                  <w:rStyle w:val="Hyperlink"/>
                  <w:rFonts w:ascii="Verdana" w:eastAsia="Times New Roman" w:hAnsi="Verdana"/>
                  <w:sz w:val="18"/>
                  <w:szCs w:val="18"/>
                </w:rPr>
                <w:t>L.1023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07BDD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0B06C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Assessment method for circular scoring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0FA4B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L.1023_rev outlines an assessment method for circularity scoring of information and communication technology (ICT) goods. The assessment method consists of three steps: 1) Setting the relevance and applicability (R) of each circularity indicator for the ICT goods at hand, 2) Assess the margin of improvement (MI) of each circularity indicator, 3) Calculate the circularity score (score) from 0 to 100% for the ICT good at hand for all three circularity aspects. This includes: – Using a predefined value matrix to identify the % score from 0 to 100 for each combination of R×MI. – Average the included circularity indicators for the ICT good at hand separately for all three circularity aspects: product durability, ability to recycle, repair, reuse, and upgrade from equipment and manufacturer level.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2E983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EB705F" w14:paraId="2129885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61AD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13C5E" w14:textId="77777777" w:rsidR="00EB705F" w:rsidRDefault="009A3DC3" w:rsidP="00C9333D">
            <w:pPr>
              <w:jc w:val="center"/>
              <w:rPr>
                <w:rFonts w:ascii="Verdana" w:eastAsia="Times New Roman" w:hAnsi="Verdana"/>
                <w:color w:val="000066"/>
                <w:sz w:val="18"/>
                <w:szCs w:val="18"/>
              </w:rPr>
            </w:pPr>
            <w:hyperlink r:id="rId271" w:tooltip="See more details" w:history="1">
              <w:r w:rsidR="00EB705F">
                <w:rPr>
                  <w:rStyle w:val="Hyperlink"/>
                  <w:rFonts w:ascii="Verdana" w:eastAsia="Times New Roman" w:hAnsi="Verdana"/>
                  <w:sz w:val="18"/>
                  <w:szCs w:val="18"/>
                </w:rPr>
                <w:t>L.1027 (ex L.ME_DIS)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8586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79C77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Assessment of material efficiency of ICT network infrastructure goods (circular economy) part 5- server and data storage product disassembly and disassembly instruction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4F20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utilises information compiled from stakeholders which can provide good insights into the specified content.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259D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EB705F" w14:paraId="507F641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5F23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E050D" w14:textId="77777777" w:rsidR="00EB705F" w:rsidRDefault="009A3DC3" w:rsidP="00C9333D">
            <w:pPr>
              <w:jc w:val="center"/>
              <w:rPr>
                <w:rFonts w:ascii="Verdana" w:eastAsia="Times New Roman" w:hAnsi="Verdana"/>
                <w:color w:val="000066"/>
                <w:sz w:val="18"/>
                <w:szCs w:val="18"/>
              </w:rPr>
            </w:pPr>
            <w:hyperlink r:id="rId272" w:tooltip="See more details" w:history="1">
              <w:r w:rsidR="00EB705F">
                <w:rPr>
                  <w:rStyle w:val="Hyperlink"/>
                  <w:rFonts w:ascii="Verdana" w:eastAsia="Times New Roman" w:hAnsi="Verdana"/>
                  <w:sz w:val="18"/>
                  <w:szCs w:val="18"/>
                </w:rPr>
                <w:t>L.1326 (ex L.BBU)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74AD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2BF3B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use cases of liquid cooling solutions and high energy efficiency solutions for 5G BBU in Centralized-RAN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30D9D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Liquid cooling systems are mainly used for processing capability of the high thermal power density, which exceeds the physical limits of </w:t>
            </w:r>
            <w:proofErr w:type="gramStart"/>
            <w:r>
              <w:rPr>
                <w:rFonts w:ascii="Verdana" w:eastAsia="Times New Roman" w:hAnsi="Verdana"/>
                <w:color w:val="000066"/>
                <w:sz w:val="18"/>
                <w:szCs w:val="18"/>
              </w:rPr>
              <w:t>air cooling</w:t>
            </w:r>
            <w:proofErr w:type="gramEnd"/>
            <w:r>
              <w:rPr>
                <w:rFonts w:ascii="Verdana" w:eastAsia="Times New Roman" w:hAnsi="Verdana"/>
                <w:color w:val="000066"/>
                <w:sz w:val="18"/>
                <w:szCs w:val="18"/>
              </w:rPr>
              <w:t xml:space="preserve"> methods, to support more and more application scenarios where manufacturers are creating competitive advantages. Liquid cooling can provide heat transfer capabilities several orders of magnitude higher than that of air cooling, and applications dealing with high heat density in the core and edge computing as well as access network will increasingly require the support of liquid cooling technology. This Recommendation identifies the requirements for liquid cooling and high energy efficiency solutions for 5G BBU in Centralized-RAN mode, including requirements of immersion and spray liquid cooling technology, key indicators of immersion and spray liquid, safety requirements of immersion and spray liquid cooling system, management procedure and energy efficiency measurement method, and use cases of liquid cooling solutions. In this Recommendation a complete infrastructure solution practiced in 5G BBU is proposed that can provide safe and efficient liquid cooling technical support, which can assist in the design of full liquid cooling facilities as well as the successful introduction of liquid cooling solutions into the existing </w:t>
            </w:r>
            <w:proofErr w:type="gramStart"/>
            <w:r>
              <w:rPr>
                <w:rFonts w:ascii="Verdana" w:eastAsia="Times New Roman" w:hAnsi="Verdana"/>
                <w:color w:val="000066"/>
                <w:sz w:val="18"/>
                <w:szCs w:val="18"/>
              </w:rPr>
              <w:t>air cooling</w:t>
            </w:r>
            <w:proofErr w:type="gramEnd"/>
            <w:r>
              <w:rPr>
                <w:rFonts w:ascii="Verdana" w:eastAsia="Times New Roman" w:hAnsi="Verdana"/>
                <w:color w:val="000066"/>
                <w:sz w:val="18"/>
                <w:szCs w:val="18"/>
              </w:rPr>
              <w:t xml:space="preserve"> telecommunication rooms and data centres.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22EA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EB705F" w14:paraId="7FEFEEF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30B89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25CBE6" w14:textId="77777777" w:rsidR="00EB705F" w:rsidRDefault="009A3DC3" w:rsidP="00C9333D">
            <w:pPr>
              <w:jc w:val="center"/>
              <w:rPr>
                <w:rFonts w:ascii="Verdana" w:eastAsia="Times New Roman" w:hAnsi="Verdana"/>
                <w:color w:val="000066"/>
                <w:sz w:val="18"/>
                <w:szCs w:val="18"/>
              </w:rPr>
            </w:pPr>
            <w:hyperlink r:id="rId273" w:tooltip="See more details" w:history="1">
              <w:r w:rsidR="00EB705F">
                <w:rPr>
                  <w:rStyle w:val="Hyperlink"/>
                  <w:rFonts w:ascii="Verdana" w:eastAsia="Times New Roman" w:hAnsi="Verdana"/>
                  <w:sz w:val="18"/>
                  <w:szCs w:val="18"/>
                </w:rPr>
                <w:t>L.1471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0C10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4C35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Guidance and criteria for information and communication technology organizations on setting Net Zero targets and strategies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64C4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Currently, the definitions of Net Zero and related concepts such as carbon neutrality and climate neutrality for organizations are still under development. Several initiatives, including, inter alia, the Science Based Target Initiative, the United Nations Framework Convention on Climate Change (UNFCCC) Race to Zero, the UN High-level Expert Group on Credibility and Accountability of Net-Zero Emissions Commitments of Non-State Entities (HLEG), ISO IWA42, ISO TC 207, and the Net Zero Initiative are working on defining or aligning the different views of these concepts to avoid confusion and reduce risks for green washing. Recommendation ITU-T L.1471 seeks to guide information and communication technology (ICT) organizations in clarifying the meaning of Net Zero in the context of the ICT sector and setting Net Zero targets and strategies. It also identifies actions that would lead the sector towards Net Zero according to the trajectories described in Recommendation ITU-T L.1470.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D9F74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EB705F" w14:paraId="4C54143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AFCFA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BE03A0" w14:textId="77777777" w:rsidR="00EB705F" w:rsidRDefault="009A3DC3" w:rsidP="00C9333D">
            <w:pPr>
              <w:jc w:val="center"/>
              <w:rPr>
                <w:rFonts w:ascii="Verdana" w:eastAsia="Times New Roman" w:hAnsi="Verdana"/>
                <w:color w:val="000066"/>
                <w:sz w:val="18"/>
                <w:szCs w:val="18"/>
              </w:rPr>
            </w:pPr>
            <w:hyperlink r:id="rId274" w:tooltip="See more details" w:history="1">
              <w:proofErr w:type="spellStart"/>
              <w:r w:rsidR="00EB705F">
                <w:rPr>
                  <w:rStyle w:val="Hyperlink"/>
                  <w:rFonts w:ascii="Verdana" w:eastAsia="Times New Roman" w:hAnsi="Verdana"/>
                  <w:sz w:val="18"/>
                  <w:szCs w:val="18"/>
                </w:rPr>
                <w:t>K.153</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K.Zones</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9DCF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27272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Guidance on Determining the Compliance Boundaries (the exclusion zones) of radio transmitter installations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14C22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Exclusion zones are described by the compliance boundaries around radio base station and transmitting stations in which the electromagnetic fields may exceed the RF-EMF exposure limits. The </w:t>
            </w:r>
            <w:proofErr w:type="gramStart"/>
            <w:r>
              <w:rPr>
                <w:rFonts w:ascii="Verdana" w:eastAsia="Times New Roman" w:hAnsi="Verdana"/>
                <w:color w:val="000066"/>
                <w:sz w:val="18"/>
                <w:szCs w:val="18"/>
              </w:rPr>
              <w:t>general public</w:t>
            </w:r>
            <w:proofErr w:type="gramEnd"/>
            <w:r>
              <w:rPr>
                <w:rFonts w:ascii="Verdana" w:eastAsia="Times New Roman" w:hAnsi="Verdana"/>
                <w:color w:val="000066"/>
                <w:sz w:val="18"/>
                <w:szCs w:val="18"/>
              </w:rPr>
              <w:t xml:space="preserve"> shall not have access to those areas. The exclusion zones are also defined for occupational exposure. Those areas are generally positioned on rooftops in urban or suburban locations. Their shape and dimension may be different depending on the regulations. This Recommendation includes information on how the zones should be determined based on the data concerning operating frequencies and EIRP on each of the operating frequencies. It also includes information on cases in which there is no exclusion zones. For example, those on masts, especially in rural areas, do not need any materialization as the </w:t>
            </w:r>
            <w:proofErr w:type="gramStart"/>
            <w:r>
              <w:rPr>
                <w:rFonts w:ascii="Verdana" w:eastAsia="Times New Roman" w:hAnsi="Verdana"/>
                <w:color w:val="000066"/>
                <w:sz w:val="18"/>
                <w:szCs w:val="18"/>
              </w:rPr>
              <w:t>general public</w:t>
            </w:r>
            <w:proofErr w:type="gramEnd"/>
            <w:r>
              <w:rPr>
                <w:rFonts w:ascii="Verdana" w:eastAsia="Times New Roman" w:hAnsi="Verdana"/>
                <w:color w:val="000066"/>
                <w:sz w:val="18"/>
                <w:szCs w:val="18"/>
              </w:rPr>
              <w:t xml:space="preserve"> does not have any access to this zone and the access for the workers is also limited and existing usually in the front of the transmitting antennas. Furthermore, some other transmitters do not need any compliance boundary as the installed power level is too low.</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692F9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2023-09-06</w:t>
            </w:r>
          </w:p>
        </w:tc>
      </w:tr>
      <w:tr w:rsidR="00EB705F" w14:paraId="0F6E37F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976F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91B15F" w14:textId="77777777" w:rsidR="00EB705F" w:rsidRPr="00144814" w:rsidRDefault="009A3DC3" w:rsidP="00C9333D">
            <w:pPr>
              <w:jc w:val="center"/>
              <w:rPr>
                <w:rFonts w:ascii="Verdana" w:eastAsia="Times New Roman" w:hAnsi="Verdana"/>
                <w:color w:val="000066"/>
                <w:sz w:val="18"/>
                <w:szCs w:val="18"/>
                <w:lang w:val="fr-FR"/>
              </w:rPr>
            </w:pPr>
            <w:hyperlink r:id="rId275" w:tooltip="See more details" w:history="1">
              <w:proofErr w:type="spellStart"/>
              <w:r w:rsidR="00EB705F" w:rsidRPr="00144814">
                <w:rPr>
                  <w:rStyle w:val="Hyperlink"/>
                  <w:rFonts w:ascii="Verdana" w:eastAsia="Times New Roman" w:hAnsi="Verdana"/>
                  <w:sz w:val="18"/>
                  <w:szCs w:val="18"/>
                  <w:lang w:val="fr-FR"/>
                </w:rPr>
                <w:t>L.1241</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L.PSU_for</w:t>
              </w:r>
              <w:proofErr w:type="spellEnd"/>
              <w:r w:rsidR="00EB705F" w:rsidRPr="00144814">
                <w:rPr>
                  <w:rStyle w:val="Hyperlink"/>
                  <w:rFonts w:ascii="Verdana" w:eastAsia="Times New Roman" w:hAnsi="Verdana"/>
                  <w:sz w:val="18"/>
                  <w:szCs w:val="18"/>
                  <w:lang w:val="fr-FR"/>
                </w:rPr>
                <w:t xml:space="preserve"> server)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4E6C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93B65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Methodologies for evaluating the functionality and performance of power supply unit configured for servers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C7FBD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comprehensive evaluation methods of power supply unit configured for servers to evaluate the electrical performances, </w:t>
            </w:r>
            <w:proofErr w:type="gramStart"/>
            <w:r>
              <w:rPr>
                <w:rFonts w:ascii="Verdana" w:eastAsia="Times New Roman" w:hAnsi="Verdana"/>
                <w:color w:val="000066"/>
                <w:sz w:val="18"/>
                <w:szCs w:val="18"/>
              </w:rPr>
              <w:t>functionalities</w:t>
            </w:r>
            <w:proofErr w:type="gramEnd"/>
            <w:r>
              <w:rPr>
                <w:rFonts w:ascii="Verdana" w:eastAsia="Times New Roman" w:hAnsi="Verdana"/>
                <w:color w:val="000066"/>
                <w:sz w:val="18"/>
                <w:szCs w:val="18"/>
              </w:rPr>
              <w:t xml:space="preserve"> and safety aspect.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5D3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4554268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66588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FCDD2" w14:textId="77777777" w:rsidR="00EB705F" w:rsidRDefault="009A3DC3" w:rsidP="00C9333D">
            <w:pPr>
              <w:jc w:val="center"/>
              <w:rPr>
                <w:rFonts w:ascii="Verdana" w:eastAsia="Times New Roman" w:hAnsi="Verdana"/>
                <w:color w:val="000066"/>
                <w:sz w:val="18"/>
                <w:szCs w:val="18"/>
              </w:rPr>
            </w:pPr>
            <w:hyperlink r:id="rId276" w:tooltip="See more details" w:history="1">
              <w:r w:rsidR="00EB705F">
                <w:rPr>
                  <w:rStyle w:val="Hyperlink"/>
                  <w:rFonts w:ascii="Verdana" w:eastAsia="Times New Roman" w:hAnsi="Verdana"/>
                  <w:sz w:val="18"/>
                  <w:szCs w:val="18"/>
                </w:rPr>
                <w:t xml:space="preserve">L.1631 (ex </w:t>
              </w:r>
              <w:proofErr w:type="gramStart"/>
              <w:r w:rsidR="00EB705F">
                <w:rPr>
                  <w:rStyle w:val="Hyperlink"/>
                  <w:rFonts w:ascii="Verdana" w:eastAsia="Times New Roman" w:hAnsi="Verdana"/>
                  <w:sz w:val="18"/>
                  <w:szCs w:val="18"/>
                </w:rPr>
                <w:t>L.FIMS</w:t>
              </w:r>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7DE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D9A0D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model of firefighting infrastructure management system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FCA6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L.1631 provides an overview of a firefighting infrastructure management system (FIMS), defines the reference model of the FIMS, and provides use cases for the FIMS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97A4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29EE249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68F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CE5996" w14:textId="77777777" w:rsidR="00EB705F" w:rsidRDefault="009A3DC3" w:rsidP="00C9333D">
            <w:pPr>
              <w:jc w:val="center"/>
              <w:rPr>
                <w:rFonts w:ascii="Verdana" w:eastAsia="Times New Roman" w:hAnsi="Verdana"/>
                <w:color w:val="000066"/>
                <w:sz w:val="18"/>
                <w:szCs w:val="18"/>
              </w:rPr>
            </w:pPr>
            <w:hyperlink r:id="rId277" w:tooltip="See more details" w:history="1">
              <w:r w:rsidR="00EB705F">
                <w:rPr>
                  <w:rStyle w:val="Hyperlink"/>
                  <w:rFonts w:ascii="Verdana" w:eastAsia="Times New Roman" w:hAnsi="Verdana"/>
                  <w:sz w:val="18"/>
                  <w:szCs w:val="18"/>
                </w:rPr>
                <w:t xml:space="preserve">L.1070 (ex </w:t>
              </w:r>
              <w:proofErr w:type="gramStart"/>
              <w:r w:rsidR="00EB705F">
                <w:rPr>
                  <w:rStyle w:val="Hyperlink"/>
                  <w:rFonts w:ascii="Verdana" w:eastAsia="Times New Roman" w:hAnsi="Verdana"/>
                  <w:sz w:val="18"/>
                  <w:szCs w:val="18"/>
                </w:rPr>
                <w:t>L.GDSPP</w:t>
              </w:r>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4F93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E9D8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Global digital sustainable product passport opportunities to achieve a circular economy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24F4E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an overview of global and common opportunities to represent sustainability, mainly environmental-related, details about digital technology products, either collective ICT product models, </w:t>
            </w:r>
            <w:proofErr w:type="gramStart"/>
            <w:r>
              <w:rPr>
                <w:rFonts w:ascii="Verdana" w:eastAsia="Times New Roman" w:hAnsi="Verdana"/>
                <w:color w:val="000066"/>
                <w:sz w:val="18"/>
                <w:szCs w:val="18"/>
              </w:rPr>
              <w:t>batches</w:t>
            </w:r>
            <w:proofErr w:type="gramEnd"/>
            <w:r>
              <w:rPr>
                <w:rFonts w:ascii="Verdana" w:eastAsia="Times New Roman" w:hAnsi="Verdana"/>
                <w:color w:val="000066"/>
                <w:sz w:val="18"/>
                <w:szCs w:val="18"/>
              </w:rPr>
              <w:t xml:space="preserve"> or individual ICT product items. These product details are intended to be represented in digital format instead of </w:t>
            </w:r>
            <w:proofErr w:type="gramStart"/>
            <w:r>
              <w:rPr>
                <w:rFonts w:ascii="Verdana" w:eastAsia="Times New Roman" w:hAnsi="Verdana"/>
                <w:color w:val="000066"/>
                <w:sz w:val="18"/>
                <w:szCs w:val="18"/>
              </w:rPr>
              <w:t>paper-based</w:t>
            </w:r>
            <w:proofErr w:type="gramEnd"/>
            <w:r>
              <w:rPr>
                <w:rFonts w:ascii="Verdana" w:eastAsia="Times New Roman" w:hAnsi="Verdana"/>
                <w:color w:val="000066"/>
                <w:sz w:val="18"/>
                <w:szCs w:val="18"/>
              </w:rPr>
              <w:t xml:space="preserve">. The details can represent design-related information, products at the time of manufacturing, including relevant information for product transparency and a potential for a circular lifecycle, such as details related to the origin of materials composition, design, manufacturing, energy consumption, maintenance, repair, preparation for reuse, final recycling, and may include links to related documentation. Product details can include or relate to details that change over the lifespan of a product </w:t>
            </w:r>
            <w:proofErr w:type="gramStart"/>
            <w:r>
              <w:rPr>
                <w:rFonts w:ascii="Verdana" w:eastAsia="Times New Roman" w:hAnsi="Verdana"/>
                <w:color w:val="000066"/>
                <w:sz w:val="18"/>
                <w:szCs w:val="18"/>
              </w:rPr>
              <w:t>as a result of</w:t>
            </w:r>
            <w:proofErr w:type="gramEnd"/>
            <w:r>
              <w:rPr>
                <w:rFonts w:ascii="Verdana" w:eastAsia="Times New Roman" w:hAnsi="Verdana"/>
                <w:color w:val="000066"/>
                <w:sz w:val="18"/>
                <w:szCs w:val="18"/>
              </w:rPr>
              <w:t xml:space="preserve"> reconfiguration events, including repair, upgrade, usage, sale, and final recycling. The details should exclude any personal or business-sensitive information. The Recommendation provides an overview of sustainability opportunities, environmental related, about product-related digital information common to all ICT products, with global scope for harmonisation, </w:t>
            </w:r>
            <w:proofErr w:type="gramStart"/>
            <w:r>
              <w:rPr>
                <w:rFonts w:ascii="Verdana" w:eastAsia="Times New Roman" w:hAnsi="Verdana"/>
                <w:color w:val="000066"/>
                <w:sz w:val="18"/>
                <w:szCs w:val="18"/>
              </w:rPr>
              <w:t>i.e.</w:t>
            </w:r>
            <w:proofErr w:type="gramEnd"/>
            <w:r>
              <w:rPr>
                <w:rFonts w:ascii="Verdana" w:eastAsia="Times New Roman" w:hAnsi="Verdana"/>
                <w:color w:val="000066"/>
                <w:sz w:val="18"/>
                <w:szCs w:val="18"/>
              </w:rPr>
              <w:t xml:space="preserve"> relevant to any region, that can support the development of the circular economy of ICT products. The product-related digital information can be represented under digital technology, such as product identifiers, data formats, linked data, and system architectures. It relates to and can complement regional and global standards.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3584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2023-11-06</w:t>
            </w:r>
          </w:p>
        </w:tc>
      </w:tr>
      <w:tr w:rsidR="00EB705F" w14:paraId="638BF2E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FD65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29F560" w14:textId="77777777" w:rsidR="00EB705F" w:rsidRDefault="009A3DC3" w:rsidP="00C9333D">
            <w:pPr>
              <w:jc w:val="center"/>
              <w:rPr>
                <w:rFonts w:ascii="Verdana" w:eastAsia="Times New Roman" w:hAnsi="Verdana"/>
                <w:color w:val="000066"/>
                <w:sz w:val="18"/>
                <w:szCs w:val="18"/>
              </w:rPr>
            </w:pPr>
            <w:hyperlink r:id="rId278" w:tooltip="See more details" w:history="1">
              <w:r w:rsidR="00EB705F">
                <w:rPr>
                  <w:rStyle w:val="Hyperlink"/>
                  <w:rFonts w:ascii="Verdana" w:eastAsia="Times New Roman" w:hAnsi="Verdana"/>
                  <w:sz w:val="18"/>
                  <w:szCs w:val="18"/>
                </w:rPr>
                <w:t>K.44Imp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B71C6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C840B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Guide on the use of the overvoltage resistibility for Recommendations ITU-T K.20, K.21 and K.45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670B3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Resistibility Guide assists test laboratories in implementing the correct tests for ITU-T K.20, K.21, and K.45 compliance testing. It will have four definitive sections: 1) introduction with general comments 2) definition of terms 3) general test plan flow charts 4) test circuit schematics This guide will assist the lab engineers and technicians in developing the correct test plans for equipment being submitted for ITU-T K.20, K.21 or K.45 compliance testing. It provides the sequence of testing to be conducted, shows specific test sequence for single pair ports and multiple pair ports with and without primary protection in both internal and external environments: 1) symmetric pair(s) </w:t>
            </w:r>
            <w:proofErr w:type="spellStart"/>
            <w:r>
              <w:rPr>
                <w:rFonts w:ascii="Verdana" w:eastAsia="Times New Roman" w:hAnsi="Verdana"/>
                <w:color w:val="000066"/>
                <w:sz w:val="18"/>
                <w:szCs w:val="18"/>
              </w:rPr>
              <w:t>ports</w:t>
            </w:r>
            <w:proofErr w:type="spellEnd"/>
            <w:r>
              <w:rPr>
                <w:rFonts w:ascii="Verdana" w:eastAsia="Times New Roman" w:hAnsi="Verdana"/>
                <w:color w:val="000066"/>
                <w:sz w:val="18"/>
                <w:szCs w:val="18"/>
              </w:rPr>
              <w:t xml:space="preserve"> including single pair, multiple pairs, and including Ethernet, 2) coaxial ports, 3) power ports and 4) ac mains ports This Guide also provides a practical example as Appendix, using a Home Gateway application that is subject to Recommendation ITU-T K.21. This application example contains ADSL port types, mains power port types, FXO and FXS port types, Ethernet port types, and USB port types.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5FDF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236A85F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22E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DDD164"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"http://www.itu.int/itu-t/workprog/wp_item.aspx?isn=18962" \o "See more details"</w:instrText>
            </w:r>
            <w:r>
              <w:fldChar w:fldCharType="separate"/>
            </w:r>
            <w:r w:rsidR="00EB705F" w:rsidRPr="00144814">
              <w:rPr>
                <w:rStyle w:val="Hyperlink"/>
                <w:rFonts w:ascii="Verdana" w:eastAsia="Times New Roman" w:hAnsi="Verdana"/>
                <w:sz w:val="18"/>
                <w:szCs w:val="18"/>
                <w:lang w:val="fr-FR"/>
              </w:rPr>
              <w:t>L.Suppl.59 to ITU-T L.1700 (</w:t>
            </w:r>
            <w:proofErr w:type="gramStart"/>
            <w:r w:rsidR="00EB705F" w:rsidRPr="00144814">
              <w:rPr>
                <w:rStyle w:val="Hyperlink"/>
                <w:rFonts w:ascii="Verdana" w:eastAsia="Times New Roman" w:hAnsi="Verdana"/>
                <w:sz w:val="18"/>
                <w:szCs w:val="18"/>
                <w:lang w:val="fr-FR"/>
              </w:rPr>
              <w:t>ex L</w:t>
            </w:r>
            <w:proofErr w:type="gramEnd"/>
            <w:r w:rsidR="00EB705F" w:rsidRPr="00144814">
              <w:rPr>
                <w:rStyle w:val="Hyperlink"/>
                <w:rFonts w:ascii="Verdana" w:eastAsia="Times New Roman" w:hAnsi="Verdana"/>
                <w:sz w:val="18"/>
                <w:szCs w:val="18"/>
                <w:lang w:val="fr-FR"/>
              </w:rPr>
              <w:t>.suppl.1700)</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B697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F84E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Low-cost sustainable telecommunication solution in rural and remote areas using WLAN/</w:t>
            </w:r>
            <w:proofErr w:type="spellStart"/>
            <w:proofErr w:type="gramStart"/>
            <w:r>
              <w:rPr>
                <w:rFonts w:ascii="Verdana" w:eastAsia="Times New Roman" w:hAnsi="Verdana"/>
                <w:color w:val="000066"/>
                <w:sz w:val="18"/>
                <w:szCs w:val="18"/>
              </w:rPr>
              <w:t>Wi?Fi</w:t>
            </w:r>
            <w:proofErr w:type="spellEnd"/>
            <w:proofErr w:type="gramEnd"/>
            <w:r>
              <w:rPr>
                <w:rFonts w:ascii="Verdana" w:eastAsia="Times New Roman" w:hAnsi="Verdana"/>
                <w:color w:val="000066"/>
                <w:sz w:val="18"/>
                <w:szCs w:val="18"/>
              </w:rPr>
              <w:t xml:space="preserve"> for conventional telecom services like voice calling using SIP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CADDB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Supplement to [ITU-T L.1700] provides a solution on a low-cost sustainable solution in rural and remote areas using WLAN/Wi-Fi for conventional telecom services like voice calling using Session Initiation Protocol (SIP). Access to communication and ICT infrastructure in rural areas of most developing countries is still a challenge. The inadequacy of crucial infrastructure like electricity in rural and remote areas present a significant problem. Deployment of telecommunication solutions which are low-cost and low maintenance and can be deployed easily is an inevitability in such cases. WLAN/Wi-Fi network infrastructure, configured to provide traditional telecom services like voice calling, being an overall low-cost solution can prove to be a viable solution in such cases to provide low-cost sustainable telecommunication.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8DE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3161EAB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A24A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76F38" w14:textId="77777777" w:rsidR="00EB705F" w:rsidRPr="00144814" w:rsidRDefault="009A3DC3" w:rsidP="00C9333D">
            <w:pPr>
              <w:jc w:val="center"/>
              <w:rPr>
                <w:rFonts w:ascii="Verdana" w:eastAsia="Times New Roman" w:hAnsi="Verdana"/>
                <w:color w:val="000066"/>
                <w:sz w:val="18"/>
                <w:szCs w:val="18"/>
                <w:lang w:val="fr-FR"/>
              </w:rPr>
            </w:pPr>
            <w:hyperlink r:id="rId279" w:tooltip="See more details" w:history="1">
              <w:r w:rsidR="00EB705F" w:rsidRPr="00144814">
                <w:rPr>
                  <w:rStyle w:val="Hyperlink"/>
                  <w:rFonts w:ascii="Verdana" w:eastAsia="Times New Roman" w:hAnsi="Verdana"/>
                  <w:sz w:val="18"/>
                  <w:szCs w:val="18"/>
                  <w:lang w:val="fr-FR"/>
                </w:rPr>
                <w:t>J.1036 (ex J.FSR-REQ)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127CC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4AACE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Factual subscriber-base reporting and protected content delivery in conditional access system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D8BB8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Most countries have implemented Digital Addressable Systems (DAS) for distribution platforms such as Cable TV, Direct to Home (DTH), Internet Protocol Television (IPTV), and Headend </w:t>
            </w:r>
            <w:proofErr w:type="gramStart"/>
            <w:r>
              <w:rPr>
                <w:rFonts w:ascii="Verdana" w:eastAsia="Times New Roman" w:hAnsi="Verdana"/>
                <w:color w:val="000066"/>
                <w:sz w:val="18"/>
                <w:szCs w:val="18"/>
              </w:rPr>
              <w:t>In</w:t>
            </w:r>
            <w:proofErr w:type="gramEnd"/>
            <w:r>
              <w:rPr>
                <w:rFonts w:ascii="Verdana" w:eastAsia="Times New Roman" w:hAnsi="Verdana"/>
                <w:color w:val="000066"/>
                <w:sz w:val="18"/>
                <w:szCs w:val="18"/>
              </w:rPr>
              <w:t xml:space="preserve"> The Sky (HITS). DAS enables subscribers to have a choice and option to select their channels and packages. Conditional Access System (CAS) and Subscriber Management System (SMS) are integral parts of a DAS environment. While CAS is responsible for encrypting the content and its delivery in a secure and encrypted manner only to authorised subscribers, SMS handles the subscriber management functions. The quality of service depends on the CAS and SMS systems deployed by the Distribution Platform Owner (DPO). Since the content providers and broadcasters have no control over the CAS and SMS, as these are deployed at the DPO end, they often complain about the loss of revenue due to various malpractices, such as under-reporting of subscriber-base, distribution of channels to unauthorised users, and content piracy. Therefore, it is necessary to frame benchmarks for the CAS systems, prescribing technical specifications focusing on functional requirements to ensure factual reporting of subscriber-base and protected delivery of content to authorised subscribers. Creating a framework that prevents the deployment of sub-standard CAS will bring preventive control from potential threats and revenue losses arising due to the vulnerability of such systems, bring economic efficiency, improve quality of service, and improve the end-consumer experience. The objective of the [draft new] Recommendation is to address two major concerns related to CAS, namely, underreporting of subscriber numbers and content piracy, leading to revenue loss to broadcasters, content providers and the governments. This [draft new] Recommendation elaborates the various functional requirements of the CAS such as log requirements, reports requirements, database requirements, security requirements, service requirements, and more. Compliance to these requirements in CAS performance will address the concerns mentioned above.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9E925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5135B6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75CB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FB1BB3"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"http://www.itu.int/itu-t/workprog/wp_item.aspx?isn=18515" \o "See more details"</w:instrText>
            </w:r>
            <w:r>
              <w:fldChar w:fldCharType="separate"/>
            </w:r>
            <w:r w:rsidR="00EB705F" w:rsidRPr="00144814">
              <w:rPr>
                <w:rStyle w:val="Hyperlink"/>
                <w:rFonts w:ascii="Verdana" w:eastAsia="Times New Roman" w:hAnsi="Verdana"/>
                <w:sz w:val="18"/>
                <w:szCs w:val="18"/>
                <w:lang w:val="fr-FR"/>
              </w:rPr>
              <w:t xml:space="preserve">J.1112 (ex </w:t>
            </w:r>
            <w:proofErr w:type="gramStart"/>
            <w:r w:rsidR="00EB705F" w:rsidRPr="00144814">
              <w:rPr>
                <w:rStyle w:val="Hyperlink"/>
                <w:rFonts w:ascii="Verdana" w:eastAsia="Times New Roman" w:hAnsi="Verdana"/>
                <w:sz w:val="18"/>
                <w:szCs w:val="18"/>
                <w:lang w:val="fr-FR"/>
              </w:rPr>
              <w:t>J.FSPEC</w:t>
            </w:r>
            <w:proofErr w:type="gramEnd"/>
            <w:r w:rsidR="00EB705F" w:rsidRPr="00144814">
              <w:rPr>
                <w:rStyle w:val="Hyperlink"/>
                <w:rFonts w:ascii="Verdana" w:eastAsia="Times New Roman" w:hAnsi="Verdana"/>
                <w:sz w:val="18"/>
                <w:szCs w:val="18"/>
                <w:lang w:val="fr-FR"/>
              </w:rPr>
              <w:t>-DVCS)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6246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E22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Functional Requirements </w:t>
            </w:r>
            <w:r>
              <w:rPr>
                <w:rFonts w:ascii="Verdana" w:eastAsia="Times New Roman" w:hAnsi="Verdana"/>
                <w:color w:val="000066"/>
                <w:sz w:val="18"/>
                <w:szCs w:val="18"/>
              </w:rPr>
              <w:lastRenderedPageBreak/>
              <w:t>for IP-based Digital Video Convergence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BFB6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lastRenderedPageBreak/>
              <w:t xml:space="preserve">As digital broadcasting services have been rapidly deployed, many service </w:t>
            </w:r>
            <w:r>
              <w:rPr>
                <w:rFonts w:ascii="Verdana" w:eastAsia="Times New Roman" w:hAnsi="Verdana"/>
                <w:color w:val="000066"/>
                <w:sz w:val="18"/>
                <w:szCs w:val="18"/>
              </w:rPr>
              <w:lastRenderedPageBreak/>
              <w:t>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IP-based Digital Video Convergence Service is a service mechanism for distributing digital video via IP-based broadband networks. It is the service mechanism for providing interfaces and functionalities to enable the service operators to offer quality of service (QoS)-guaranteed broadcasting to subscribers via IP-based converged broadband networks. This Recommendation aims to define the functional specification of IP-based Digital Video Convergence Service considering the convergence environment.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0255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2023-07-14</w:t>
            </w:r>
          </w:p>
        </w:tc>
      </w:tr>
      <w:tr w:rsidR="00EB705F" w14:paraId="3518C2A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9402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389207" w14:textId="77777777" w:rsidR="00EB705F" w:rsidRPr="00144814" w:rsidRDefault="009A3DC3" w:rsidP="00C9333D">
            <w:pPr>
              <w:jc w:val="center"/>
              <w:rPr>
                <w:rFonts w:ascii="Verdana" w:eastAsia="Times New Roman" w:hAnsi="Verdana"/>
                <w:color w:val="000066"/>
                <w:sz w:val="18"/>
                <w:szCs w:val="18"/>
                <w:lang w:val="fr-FR"/>
              </w:rPr>
            </w:pPr>
            <w:hyperlink r:id="rId280" w:tooltip="See more details" w:history="1">
              <w:proofErr w:type="spellStart"/>
              <w:r w:rsidR="00EB705F" w:rsidRPr="00144814">
                <w:rPr>
                  <w:rStyle w:val="Hyperlink"/>
                  <w:rFonts w:ascii="Verdana" w:eastAsia="Times New Roman" w:hAnsi="Verdana"/>
                  <w:sz w:val="18"/>
                  <w:szCs w:val="18"/>
                  <w:lang w:val="fr-FR"/>
                </w:rPr>
                <w:t>J.1305</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J.mma-req</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46D9D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1F783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322B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the requirements for the architecture and related components of audio-visual media based on microservice technologies. This Recommendation is applicable to the design, development, construction, </w:t>
            </w:r>
            <w:proofErr w:type="gramStart"/>
            <w:r>
              <w:rPr>
                <w:rFonts w:ascii="Verdana" w:eastAsia="Times New Roman" w:hAnsi="Verdana"/>
                <w:color w:val="000066"/>
                <w:sz w:val="18"/>
                <w:szCs w:val="18"/>
              </w:rPr>
              <w:t>operation</w:t>
            </w:r>
            <w:proofErr w:type="gramEnd"/>
            <w:r>
              <w:rPr>
                <w:rFonts w:ascii="Verdana" w:eastAsia="Times New Roman" w:hAnsi="Verdana"/>
                <w:color w:val="000066"/>
                <w:sz w:val="18"/>
                <w:szCs w:val="18"/>
              </w:rPr>
              <w:t xml:space="preserve">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tiered architectural methodology as ITU-T J.1302. Mainly from the perspective of cloud platform, ITU-T J.1301 and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6830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242CDB0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FCCE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943353" w14:textId="77777777" w:rsidR="00EB705F" w:rsidRPr="00144814" w:rsidRDefault="009A3DC3" w:rsidP="00C9333D">
            <w:pPr>
              <w:jc w:val="center"/>
              <w:rPr>
                <w:rFonts w:ascii="Verdana" w:eastAsia="Times New Roman" w:hAnsi="Verdana"/>
                <w:color w:val="000066"/>
                <w:sz w:val="18"/>
                <w:szCs w:val="18"/>
                <w:lang w:val="fr-FR"/>
              </w:rPr>
            </w:pPr>
            <w:hyperlink r:id="rId281" w:tooltip="See more details" w:history="1">
              <w:proofErr w:type="spellStart"/>
              <w:r w:rsidR="00EB705F" w:rsidRPr="00144814">
                <w:rPr>
                  <w:rStyle w:val="Hyperlink"/>
                  <w:rFonts w:ascii="Verdana" w:eastAsia="Times New Roman" w:hAnsi="Verdana"/>
                  <w:sz w:val="18"/>
                  <w:szCs w:val="18"/>
                  <w:lang w:val="fr-FR"/>
                </w:rPr>
                <w:t>J.1306</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J.mma-spec</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81D1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5270E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Specification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C2796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the specification for the architecture and related components of audio-visual media based on microservice technologies. This Recommendation </w:t>
            </w:r>
            <w:proofErr w:type="spellStart"/>
            <w:r>
              <w:rPr>
                <w:rFonts w:ascii="Verdana" w:eastAsia="Times New Roman" w:hAnsi="Verdana"/>
                <w:color w:val="000066"/>
                <w:sz w:val="18"/>
                <w:szCs w:val="18"/>
              </w:rPr>
              <w:t>fulfills</w:t>
            </w:r>
            <w:proofErr w:type="spellEnd"/>
            <w:r>
              <w:rPr>
                <w:rFonts w:ascii="Verdana" w:eastAsia="Times New Roman" w:hAnsi="Verdana"/>
                <w:color w:val="000066"/>
                <w:sz w:val="18"/>
                <w:szCs w:val="18"/>
              </w:rPr>
              <w:t xml:space="preserve"> the requirements in [ITU-T J.1305]. This Recommendation is applicable to the design, development, construction, </w:t>
            </w:r>
            <w:proofErr w:type="gramStart"/>
            <w:r>
              <w:rPr>
                <w:rFonts w:ascii="Verdana" w:eastAsia="Times New Roman" w:hAnsi="Verdana"/>
                <w:color w:val="000066"/>
                <w:sz w:val="18"/>
                <w:szCs w:val="18"/>
              </w:rPr>
              <w:t>operation</w:t>
            </w:r>
            <w:proofErr w:type="gramEnd"/>
            <w:r>
              <w:rPr>
                <w:rFonts w:ascii="Verdana" w:eastAsia="Times New Roman" w:hAnsi="Verdana"/>
                <w:color w:val="000066"/>
                <w:sz w:val="18"/>
                <w:szCs w:val="18"/>
              </w:rPr>
              <w:t xml:space="preserve">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layered architectural methodology as ITU-T J.1302. Mainly from the perspective of cloud platform, ITU-T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 From the perspective of microservice governance, this Recommendation realizes the compatibility of various current mainstream microservice frameworks and stipulates the management capabilities of distributed systems. From the perspective of the media business, it defines the microservice components which support the production, broadcasting, transmission, distribution, interaction, and other audio-visual media business. From the perspective of application integration, it stipulates the service orchestration capabilities and the application assembly means.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942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554E4CC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DB0F7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DB228"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"http://www.itu.int/itu-t/workprog/wp_item.aspx?isn=18506" \o "See more details"</w:instrText>
            </w:r>
            <w:r>
              <w:fldChar w:fldCharType="separate"/>
            </w:r>
            <w:r w:rsidR="00EB705F" w:rsidRPr="00144814">
              <w:rPr>
                <w:rStyle w:val="Hyperlink"/>
                <w:rFonts w:ascii="Verdana" w:eastAsia="Times New Roman" w:hAnsi="Verdana"/>
                <w:sz w:val="18"/>
                <w:szCs w:val="18"/>
                <w:lang w:val="fr-FR"/>
              </w:rPr>
              <w:t xml:space="preserve">J.152 (ex </w:t>
            </w:r>
            <w:proofErr w:type="gramStart"/>
            <w:r w:rsidR="00EB705F" w:rsidRPr="00144814">
              <w:rPr>
                <w:rStyle w:val="Hyperlink"/>
                <w:rFonts w:ascii="Verdana" w:eastAsia="Times New Roman" w:hAnsi="Verdana"/>
                <w:sz w:val="18"/>
                <w:szCs w:val="18"/>
                <w:lang w:val="fr-FR"/>
              </w:rPr>
              <w:t>J.cable</w:t>
            </w:r>
            <w:proofErr w:type="gramEnd"/>
            <w:r w:rsidR="00EB705F" w:rsidRPr="00144814">
              <w:rPr>
                <w:rStyle w:val="Hyperlink"/>
                <w:rFonts w:ascii="Verdana" w:eastAsia="Times New Roman" w:hAnsi="Verdana"/>
                <w:sz w:val="18"/>
                <w:szCs w:val="18"/>
                <w:lang w:val="fr-FR"/>
              </w:rPr>
              <w:t>-5G-req)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D8858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8702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cable television services to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16BE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IMT-2020 radio system, a.k.a. 5G, is expected to replace the wiring inside apartment buildings in cities, or to extend cable television systems in rural areas. However, to use the available bandwidth of 5G radio, cable television signals </w:t>
            </w:r>
            <w:proofErr w:type="gramStart"/>
            <w:r>
              <w:rPr>
                <w:rFonts w:ascii="Verdana" w:eastAsia="Times New Roman" w:hAnsi="Verdana"/>
                <w:color w:val="000066"/>
                <w:sz w:val="18"/>
                <w:szCs w:val="18"/>
              </w:rPr>
              <w:t>have to</w:t>
            </w:r>
            <w:proofErr w:type="gramEnd"/>
            <w:r>
              <w:rPr>
                <w:rFonts w:ascii="Verdana" w:eastAsia="Times New Roman" w:hAnsi="Verdana"/>
                <w:color w:val="000066"/>
                <w:sz w:val="18"/>
                <w:szCs w:val="18"/>
              </w:rPr>
              <w:t xml:space="preserve"> meet certain requirements to carry cable television service signals over 5G radio system. This Recommendation defines the requirements for cable television systems that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1427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6AB49F6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365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A77A03" w14:textId="77777777" w:rsidR="00EB705F" w:rsidRDefault="009A3DC3" w:rsidP="00C9333D">
            <w:pPr>
              <w:jc w:val="center"/>
              <w:rPr>
                <w:rFonts w:ascii="Verdana" w:eastAsia="Times New Roman" w:hAnsi="Verdana"/>
                <w:color w:val="000066"/>
                <w:sz w:val="18"/>
                <w:szCs w:val="18"/>
              </w:rPr>
            </w:pPr>
            <w:hyperlink r:id="rId282" w:tooltip="See more details" w:history="1">
              <w:r w:rsidR="00EB705F">
                <w:rPr>
                  <w:rStyle w:val="Hyperlink"/>
                  <w:rFonts w:ascii="Verdana" w:eastAsia="Times New Roman" w:hAnsi="Verdana"/>
                  <w:sz w:val="18"/>
                  <w:szCs w:val="18"/>
                </w:rPr>
                <w:t>J.1612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008E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799DA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Architecture for Smart Home Gateway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A2F10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Recommendation ITU-T J.1612 aims to define the architecture for a smart home gateway (SHGW) which addresses the functional requirements found in Recommendation ITU-T J.1611. The Recommendation consists of concepts of a virtual device model, dynamic device profile and other important software modules. With the introduction of these important modules, the architecture can dynamically support existing smart home devices and the devices in the future.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058B0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32E2BD3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54344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660C96" w14:textId="77777777" w:rsidR="00EB705F" w:rsidRDefault="009A3DC3" w:rsidP="00C9333D">
            <w:pPr>
              <w:jc w:val="center"/>
              <w:rPr>
                <w:rFonts w:ascii="Verdana" w:eastAsia="Times New Roman" w:hAnsi="Verdana"/>
                <w:color w:val="000066"/>
                <w:sz w:val="18"/>
                <w:szCs w:val="18"/>
              </w:rPr>
            </w:pPr>
            <w:hyperlink r:id="rId283" w:tooltip="See more details" w:history="1">
              <w:r w:rsidR="00EB705F">
                <w:rPr>
                  <w:rStyle w:val="Hyperlink"/>
                  <w:rFonts w:ascii="Verdana" w:eastAsia="Times New Roman" w:hAnsi="Verdana"/>
                  <w:sz w:val="18"/>
                  <w:szCs w:val="18"/>
                </w:rPr>
                <w:t>J.224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FDC8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A553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Fifth-generation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A4FD7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J.224 specifies the fifth generation of high-speed data-over-cable systems. Fifth generation transmission systems introduce </w:t>
            </w:r>
            <w:proofErr w:type="gramStart"/>
            <w:r>
              <w:rPr>
                <w:rFonts w:ascii="Verdana" w:eastAsia="Times New Roman" w:hAnsi="Verdana"/>
                <w:color w:val="000066"/>
                <w:sz w:val="18"/>
                <w:szCs w:val="18"/>
              </w:rPr>
              <w:t>a number of</w:t>
            </w:r>
            <w:proofErr w:type="gramEnd"/>
            <w:r>
              <w:rPr>
                <w:rFonts w:ascii="Verdana" w:eastAsia="Times New Roman" w:hAnsi="Verdana"/>
                <w:color w:val="000066"/>
                <w:sz w:val="18"/>
                <w:szCs w:val="18"/>
              </w:rPr>
              <w:t xml:space="preserve">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9DC0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54892F9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80CCC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3CCF2D" w14:textId="77777777" w:rsidR="00EB705F" w:rsidRDefault="009A3DC3" w:rsidP="00C9333D">
            <w:pPr>
              <w:jc w:val="center"/>
              <w:rPr>
                <w:rFonts w:ascii="Verdana" w:eastAsia="Times New Roman" w:hAnsi="Verdana"/>
                <w:color w:val="000066"/>
                <w:sz w:val="18"/>
                <w:szCs w:val="18"/>
              </w:rPr>
            </w:pPr>
            <w:hyperlink r:id="rId284" w:tooltip="See more details" w:history="1">
              <w:r w:rsidR="00EB705F">
                <w:rPr>
                  <w:rStyle w:val="Hyperlink"/>
                  <w:rFonts w:ascii="Verdana" w:eastAsia="Times New Roman" w:hAnsi="Verdana"/>
                  <w:sz w:val="18"/>
                  <w:szCs w:val="18"/>
                </w:rPr>
                <w:t>J.225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E4C5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87AB4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Fourth-generation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C3276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J.225 defines the fourth generation of high-speed data-over-cable systems. The fourth-generation transmission systems introduce </w:t>
            </w:r>
            <w:proofErr w:type="gramStart"/>
            <w:r>
              <w:rPr>
                <w:rFonts w:ascii="Verdana" w:eastAsia="Times New Roman" w:hAnsi="Verdana"/>
                <w:color w:val="000066"/>
                <w:sz w:val="18"/>
                <w:szCs w:val="18"/>
              </w:rPr>
              <w:t>a number of</w:t>
            </w:r>
            <w:proofErr w:type="gramEnd"/>
            <w:r>
              <w:rPr>
                <w:rFonts w:ascii="Verdana" w:eastAsia="Times New Roman" w:hAnsi="Verdana"/>
                <w:color w:val="000066"/>
                <w:sz w:val="18"/>
                <w:szCs w:val="18"/>
              </w:rPr>
              <w:t xml:space="preserve"> new features that build upon what was present in previous Recommendations ITU-T J.112, ITU-T J.122, ITU-T J.222.x-series, and ITU T J.223.x-series. This Recommendation includes key new features for the physical (PHY) layer and enhancements to the media access control (MAC) layer protocols as well as requirements for upper layer protocols such as Internet protocol (IP), dynamic host configuration protocol (DHCP), etc. The fourth-generation cable modem specifications are incorporated fully in this Recommendation. Informative Supplement 10 to the ITU-T J-series Recommendations contains the correspondence between the DOCSIS versions and the ITU-T Recommendations revisions and generations.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CB550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14FF8A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F3124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16C55" w14:textId="77777777" w:rsidR="00EB705F" w:rsidRDefault="009A3DC3" w:rsidP="00C9333D">
            <w:pPr>
              <w:jc w:val="center"/>
              <w:rPr>
                <w:rFonts w:ascii="Verdana" w:eastAsia="Times New Roman" w:hAnsi="Verdana"/>
                <w:color w:val="000066"/>
                <w:sz w:val="18"/>
                <w:szCs w:val="18"/>
              </w:rPr>
            </w:pPr>
            <w:hyperlink r:id="rId285" w:tooltip="See more details" w:history="1">
              <w:r w:rsidR="00EB705F">
                <w:rPr>
                  <w:rStyle w:val="Hyperlink"/>
                  <w:rFonts w:ascii="Verdana" w:eastAsia="Times New Roman" w:hAnsi="Verdana"/>
                  <w:sz w:val="18"/>
                  <w:szCs w:val="18"/>
                </w:rPr>
                <w:t>J.299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75F5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012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requirements for remote management of cable set-top box by auto configuration server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A4025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J.299 describes the functional requirements for auto configuration server (ACS) and set-top box (STB) connected to each other for the purpose of remote maintenance. ACS is usually used to remotely set up and maintain customer premises equipment (CPE) such as an STB. The major purpose of the Recommendation is to specify basic requirements for remote maintenance in the cable TV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B47D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319F899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5DF0C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E9CBEA" w14:textId="77777777" w:rsidR="00EB705F" w:rsidRPr="00144814" w:rsidRDefault="009A3DC3" w:rsidP="00C9333D">
            <w:pPr>
              <w:jc w:val="center"/>
              <w:rPr>
                <w:rFonts w:ascii="Verdana" w:eastAsia="Times New Roman" w:hAnsi="Verdana"/>
                <w:color w:val="000066"/>
                <w:sz w:val="18"/>
                <w:szCs w:val="18"/>
                <w:lang w:val="fr-FR"/>
              </w:rPr>
            </w:pPr>
            <w:hyperlink r:id="rId286" w:tooltip="See more details" w:history="1">
              <w:proofErr w:type="spellStart"/>
              <w:r w:rsidR="00EB705F" w:rsidRPr="00144814">
                <w:rPr>
                  <w:rStyle w:val="Hyperlink"/>
                  <w:rFonts w:ascii="Verdana" w:eastAsia="Times New Roman" w:hAnsi="Verdana"/>
                  <w:sz w:val="18"/>
                  <w:szCs w:val="18"/>
                  <w:lang w:val="fr-FR"/>
                </w:rPr>
                <w:t>J.484</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J.cable</w:t>
              </w:r>
              <w:proofErr w:type="gramEnd"/>
              <w:r w:rsidR="00EB705F" w:rsidRPr="00144814">
                <w:rPr>
                  <w:rStyle w:val="Hyperlink"/>
                  <w:rFonts w:ascii="Verdana" w:eastAsia="Times New Roman" w:hAnsi="Verdana"/>
                  <w:sz w:val="18"/>
                  <w:szCs w:val="18"/>
                  <w:lang w:val="fr-FR"/>
                </w:rPr>
                <w:t>-mabr</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40CB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D9C0D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multicast adaptive bitrate (M-ABR) IP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8C77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increased use of audio-visual traffic on the Internet forces cable operators to invest in additional facilities each year. Most of the audio-visual traffic is unicast, which, unlike multicast, consumes much bandwidth, but is easy to use, and compatible with consumer devices such as smartphones and tablets. Since some of unicast connections carry linear programming such as news and sports, the traffic on the delivery network can be significantly reduced if such linear programs are transmitted as a multicast. This Recommendation defines the requirements of an IP delivery technology which makes use of multicast to reduce audio-visual traffic in the cable delivery network but uses HTTP based unicast inside the home network, thereby making it compatible with consumer devices such as smartphones.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9BA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2023-11-15</w:t>
            </w:r>
          </w:p>
        </w:tc>
      </w:tr>
      <w:tr w:rsidR="00EB705F" w14:paraId="4BFF7A3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E0DF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19B736" w14:textId="77777777" w:rsidR="00EB705F" w:rsidRDefault="009A3DC3" w:rsidP="00C9333D">
            <w:pPr>
              <w:jc w:val="center"/>
              <w:rPr>
                <w:rFonts w:ascii="Verdana" w:eastAsia="Times New Roman" w:hAnsi="Verdana"/>
                <w:color w:val="000066"/>
                <w:sz w:val="18"/>
                <w:szCs w:val="18"/>
              </w:rPr>
            </w:pPr>
            <w:hyperlink r:id="rId287" w:tooltip="See more details" w:history="1">
              <w:proofErr w:type="spellStart"/>
              <w:proofErr w:type="gramStart"/>
              <w:r w:rsidR="00EB705F">
                <w:rPr>
                  <w:rStyle w:val="Hyperlink"/>
                  <w:rFonts w:ascii="Verdana" w:eastAsia="Times New Roman" w:hAnsi="Verdana"/>
                  <w:sz w:val="18"/>
                  <w:szCs w:val="18"/>
                </w:rPr>
                <w:t>J.Sup</w:t>
              </w:r>
              <w:proofErr w:type="spellEnd"/>
              <w:proofErr w:type="gramEnd"/>
              <w:r w:rsidR="00EB705F">
                <w:rPr>
                  <w:rStyle w:val="Hyperlink"/>
                  <w:rFonts w:ascii="Verdana" w:eastAsia="Times New Roman" w:hAnsi="Verdana"/>
                  <w:sz w:val="18"/>
                  <w:szCs w:val="18"/>
                </w:rPr>
                <w:t xml:space="preserve"> 13 (ex </w:t>
              </w:r>
              <w:proofErr w:type="spellStart"/>
              <w:r w:rsidR="00EB705F">
                <w:rPr>
                  <w:rStyle w:val="Hyperlink"/>
                  <w:rFonts w:ascii="Verdana" w:eastAsia="Times New Roman" w:hAnsi="Verdana"/>
                  <w:sz w:val="18"/>
                  <w:szCs w:val="18"/>
                </w:rPr>
                <w:t>J.FSR</w:t>
              </w:r>
              <w:proofErr w:type="spellEnd"/>
              <w:r w:rsidR="00EB705F">
                <w:rPr>
                  <w:rStyle w:val="Hyperlink"/>
                  <w:rFonts w:ascii="Verdana" w:eastAsia="Times New Roman" w:hAnsi="Verdana"/>
                  <w:sz w:val="18"/>
                  <w:szCs w:val="18"/>
                </w:rPr>
                <w:t>-TEST)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9652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DD837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Factual subscriber-base reporting and protected content delivery in Conditional Access System – Test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08500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Conditional Access System (CAS) having sub-standard solutions can be prone to manipulations and vulnerable to hacking, leading to loss of revenue to the concerned broadcasters and the government. Therefore, it is necessary to use tested and certified CAS systems to ensure factual reporting of subscriber-base and protected delivery of content to authorised subscribers. The purpose of this supplement is to frame the testing methodology against the various technical requirement of CAS. In addition to develop a framework for standardization (</w:t>
            </w:r>
            <w:proofErr w:type="gramStart"/>
            <w:r>
              <w:rPr>
                <w:rFonts w:ascii="Verdana" w:eastAsia="Times New Roman" w:hAnsi="Verdana"/>
                <w:color w:val="000066"/>
                <w:sz w:val="18"/>
                <w:szCs w:val="18"/>
              </w:rPr>
              <w:t>i.e.</w:t>
            </w:r>
            <w:proofErr w:type="gramEnd"/>
            <w:r>
              <w:rPr>
                <w:rFonts w:ascii="Verdana" w:eastAsia="Times New Roman" w:hAnsi="Verdana"/>
                <w:color w:val="000066"/>
                <w:sz w:val="18"/>
                <w:szCs w:val="18"/>
              </w:rPr>
              <w:t xml:space="preserve"> Technical Requirements), some countries have issued the provisions for assuring broadcasters and content providers that each CAS system has to conform to certain technical features and get tested from certified lab before deployment so that piracy and other malpractices can be minimised. The draft new supplement will provide the clause-by-clause test procedures and expected results for each clause of the draft new ITU-T Recommendation J.1036 such as log requirements, reports requirements, database requirements, security requirements, and more. By applying these test procedures on CAS, two major concerns, 'underreporting of subscribers' and 'content piracy', leading to revenue loss to broadcasters, content providers and the governments’, can easily be ascertained.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F21A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7DDCD82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008FE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9CAD43" w14:textId="77777777" w:rsidR="00EB705F" w:rsidRPr="00144814" w:rsidRDefault="009A3DC3" w:rsidP="00C9333D">
            <w:pPr>
              <w:jc w:val="center"/>
              <w:rPr>
                <w:rFonts w:ascii="Verdana" w:eastAsia="Times New Roman" w:hAnsi="Verdana"/>
                <w:color w:val="000066"/>
                <w:sz w:val="18"/>
                <w:szCs w:val="18"/>
                <w:lang w:val="fr-FR"/>
              </w:rPr>
            </w:pPr>
            <w:hyperlink r:id="rId288" w:tooltip="See more details" w:history="1">
              <w:proofErr w:type="spellStart"/>
              <w:r w:rsidR="00EB705F" w:rsidRPr="00144814">
                <w:rPr>
                  <w:rStyle w:val="Hyperlink"/>
                  <w:rFonts w:ascii="Verdana" w:eastAsia="Times New Roman" w:hAnsi="Verdana"/>
                  <w:sz w:val="18"/>
                  <w:szCs w:val="18"/>
                  <w:lang w:val="fr-FR"/>
                </w:rPr>
                <w:t>J.Sup.12</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J.Sup</w:t>
              </w:r>
              <w:proofErr w:type="gramEnd"/>
              <w:r w:rsidR="00EB705F" w:rsidRPr="00144814">
                <w:rPr>
                  <w:rStyle w:val="Hyperlink"/>
                  <w:rFonts w:ascii="Verdana" w:eastAsia="Times New Roman" w:hAnsi="Verdana"/>
                  <w:sz w:val="18"/>
                  <w:szCs w:val="18"/>
                  <w:lang w:val="fr-FR"/>
                </w:rPr>
                <w:t>-HiNoC</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AFCD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6083B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Comparison between </w:t>
            </w:r>
            <w:proofErr w:type="gramStart"/>
            <w:r>
              <w:rPr>
                <w:rFonts w:ascii="Verdana" w:eastAsia="Times New Roman" w:hAnsi="Verdana"/>
                <w:color w:val="000066"/>
                <w:sz w:val="18"/>
                <w:szCs w:val="18"/>
              </w:rPr>
              <w:t>third-generation</w:t>
            </w:r>
            <w:proofErr w:type="gram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and second-generation </w:t>
            </w:r>
            <w:proofErr w:type="spellStart"/>
            <w:r>
              <w:rPr>
                <w:rFonts w:ascii="Verdana" w:eastAsia="Times New Roman" w:hAnsi="Verdana"/>
                <w:color w:val="000066"/>
                <w:sz w:val="18"/>
                <w:szCs w:val="18"/>
              </w:rPr>
              <w:t>HiNoC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A9909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supplement indicated the main differences between the </w:t>
            </w:r>
            <w:proofErr w:type="gramStart"/>
            <w:r>
              <w:rPr>
                <w:rFonts w:ascii="Verdana" w:eastAsia="Times New Roman" w:hAnsi="Verdana"/>
                <w:color w:val="000066"/>
                <w:sz w:val="18"/>
                <w:szCs w:val="18"/>
              </w:rPr>
              <w:t>third-generation</w:t>
            </w:r>
            <w:proofErr w:type="gram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and the second-generation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2.0). This supplement is helpful for operators to choose the proper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for deployment.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1CF4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2FF1947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5DEBA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25124B" w14:textId="77777777" w:rsidR="00EB705F" w:rsidRDefault="009A3DC3" w:rsidP="00C9333D">
            <w:pPr>
              <w:jc w:val="center"/>
              <w:rPr>
                <w:rFonts w:ascii="Verdana" w:eastAsia="Times New Roman" w:hAnsi="Verdana"/>
                <w:color w:val="000066"/>
                <w:sz w:val="18"/>
                <w:szCs w:val="18"/>
              </w:rPr>
            </w:pPr>
            <w:hyperlink r:id="rId289" w:tooltip="See more details" w:history="1">
              <w:proofErr w:type="spellStart"/>
              <w:r w:rsidR="00EB705F">
                <w:rPr>
                  <w:rStyle w:val="Hyperlink"/>
                  <w:rFonts w:ascii="Verdana" w:eastAsia="Times New Roman" w:hAnsi="Verdana"/>
                  <w:sz w:val="18"/>
                  <w:szCs w:val="18"/>
                </w:rPr>
                <w:t>Q.3063</w:t>
              </w:r>
              <w:proofErr w:type="spellEnd"/>
              <w:r w:rsidR="00EB705F">
                <w:rPr>
                  <w:rStyle w:val="Hyperlink"/>
                  <w:rFonts w:ascii="Verdana" w:eastAsia="Times New Roman" w:hAnsi="Verdana"/>
                  <w:sz w:val="18"/>
                  <w:szCs w:val="18"/>
                </w:rPr>
                <w:t xml:space="preserve"> - </w:t>
              </w:r>
              <w:proofErr w:type="spellStart"/>
              <w:r w:rsidR="00EB705F">
                <w:rPr>
                  <w:rStyle w:val="Hyperlink"/>
                  <w:rFonts w:ascii="Verdana" w:eastAsia="Times New Roman" w:hAnsi="Verdana"/>
                  <w:sz w:val="18"/>
                  <w:szCs w:val="18"/>
                </w:rPr>
                <w:t>Corr</w:t>
              </w:r>
              <w:proofErr w:type="spellEnd"/>
              <w:r w:rsidR="00EB705F">
                <w:rPr>
                  <w:rStyle w:val="Hyperlink"/>
                  <w:rFonts w:ascii="Verdana" w:eastAsia="Times New Roman" w:hAnsi="Verdana"/>
                  <w:sz w:val="18"/>
                  <w:szCs w:val="18"/>
                </w:rPr>
                <w:t xml:space="preserve"> 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3BB7C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06937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procedures of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549A0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Corrigendum 1 to Recommendation ITU-T Q.3063 (2022) revises the definition of “calling line identification certificate (CLIC)”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57E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14D3ACD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D96F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851231" w14:textId="77777777" w:rsidR="00EB705F" w:rsidRDefault="009A3DC3" w:rsidP="00C9333D">
            <w:pPr>
              <w:jc w:val="center"/>
              <w:rPr>
                <w:rFonts w:ascii="Verdana" w:eastAsia="Times New Roman" w:hAnsi="Verdana"/>
                <w:color w:val="000066"/>
                <w:sz w:val="18"/>
                <w:szCs w:val="18"/>
              </w:rPr>
            </w:pPr>
            <w:hyperlink r:id="rId290" w:tooltip="See more details" w:history="1">
              <w:r w:rsidR="00EB705F">
                <w:rPr>
                  <w:rStyle w:val="Hyperlink"/>
                  <w:rFonts w:ascii="Verdana" w:eastAsia="Times New Roman" w:hAnsi="Verdana"/>
                  <w:sz w:val="18"/>
                  <w:szCs w:val="18"/>
                </w:rPr>
                <w:t>Q.4140 (ex Q.CPN)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17D9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0FA01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requirements for service deployment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CF05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signalling procedures and signalling requirements for service deployment in computing power network (CPN) based on Recommendation ITU-T Y.2501. The signalling requirements for service deployment include centralized mode and distributed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D019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28008B3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B896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F31C91" w14:textId="77777777" w:rsidR="00EB705F" w:rsidRDefault="009A3DC3" w:rsidP="00C9333D">
            <w:pPr>
              <w:jc w:val="center"/>
              <w:rPr>
                <w:rFonts w:ascii="Verdana" w:eastAsia="Times New Roman" w:hAnsi="Verdana"/>
                <w:color w:val="000066"/>
                <w:sz w:val="18"/>
                <w:szCs w:val="18"/>
              </w:rPr>
            </w:pPr>
            <w:hyperlink r:id="rId291" w:tooltip="See more details" w:history="1">
              <w:proofErr w:type="spellStart"/>
              <w:r w:rsidR="00EB705F">
                <w:rPr>
                  <w:rStyle w:val="Hyperlink"/>
                  <w:rFonts w:ascii="Verdana" w:eastAsia="Times New Roman" w:hAnsi="Verdana"/>
                  <w:sz w:val="18"/>
                  <w:szCs w:val="18"/>
                </w:rPr>
                <w:t>Q.5006</w:t>
              </w:r>
              <w:proofErr w:type="spellEnd"/>
              <w:r w:rsidR="00EB705F">
                <w:rPr>
                  <w:rStyle w:val="Hyperlink"/>
                  <w:rFonts w:ascii="Verdana" w:eastAsia="Times New Roman" w:hAnsi="Verdana"/>
                  <w:sz w:val="18"/>
                  <w:szCs w:val="18"/>
                </w:rPr>
                <w:t xml:space="preserve"> (ex </w:t>
              </w:r>
              <w:proofErr w:type="spellStart"/>
              <w:r w:rsidR="00EB705F">
                <w:rPr>
                  <w:rStyle w:val="Hyperlink"/>
                  <w:rFonts w:ascii="Verdana" w:eastAsia="Times New Roman" w:hAnsi="Verdana"/>
                  <w:sz w:val="18"/>
                  <w:szCs w:val="18"/>
                </w:rPr>
                <w:t>Q.hns</w:t>
              </w:r>
              <w:proofErr w:type="spell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BD2F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F879D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requirements for hierarchical network slicing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65E99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draft Recommendation specifies the signalling requirements for hierarchical network slicing services. This signalling is used for hierarchically and automatically slicing the network for the customers and its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0300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5937405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A6A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F8BB22"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"http://www.itu.int/itu-t/workprog/wp_item.aspx?isn=17869" \o "See more details"</w:instrText>
            </w:r>
            <w:r>
              <w:fldChar w:fldCharType="separate"/>
            </w:r>
            <w:r w:rsidR="00EB705F" w:rsidRPr="00144814">
              <w:rPr>
                <w:rStyle w:val="Hyperlink"/>
                <w:rFonts w:ascii="Verdana" w:eastAsia="Times New Roman" w:hAnsi="Verdana"/>
                <w:sz w:val="18"/>
                <w:szCs w:val="18"/>
                <w:lang w:val="fr-FR"/>
              </w:rPr>
              <w:t xml:space="preserve">Q.5026 (ex </w:t>
            </w:r>
            <w:proofErr w:type="gramStart"/>
            <w:r w:rsidR="00EB705F" w:rsidRPr="00144814">
              <w:rPr>
                <w:rStyle w:val="Hyperlink"/>
                <w:rFonts w:ascii="Verdana" w:eastAsia="Times New Roman" w:hAnsi="Verdana"/>
                <w:sz w:val="18"/>
                <w:szCs w:val="18"/>
                <w:lang w:val="fr-FR"/>
              </w:rPr>
              <w:t>Q.DIVS</w:t>
            </w:r>
            <w:proofErr w:type="gramEnd"/>
            <w:r w:rsidR="00EB705F" w:rsidRPr="00144814">
              <w:rPr>
                <w:rStyle w:val="Hyperlink"/>
                <w:rFonts w:ascii="Verdana" w:eastAsia="Times New Roman" w:hAnsi="Verdana"/>
                <w:sz w:val="18"/>
                <w:szCs w:val="18"/>
                <w:lang w:val="fr-FR"/>
              </w:rPr>
              <w:t>-IMT2020)</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2FDF5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9709B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Requirements and Protocol for Providing Network-oriented Data Integrity Verification Service based on Blockchain in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C322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signalling requirements and protocol for providing network-oriented data integrity verification service (DIVS) based on blockchain in IMT-2020 network. It includes signalling requirements, protocol procedures and message format between DIVS function with the UEs, the service users, the CEF and other DIVS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FCF45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0B9AF80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AD32E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6E98B" w14:textId="77777777" w:rsidR="00EB705F" w:rsidRDefault="009A3DC3" w:rsidP="00C9333D">
            <w:pPr>
              <w:jc w:val="center"/>
              <w:rPr>
                <w:rFonts w:ascii="Verdana" w:eastAsia="Times New Roman" w:hAnsi="Verdana"/>
                <w:color w:val="000066"/>
                <w:sz w:val="18"/>
                <w:szCs w:val="18"/>
              </w:rPr>
            </w:pPr>
            <w:hyperlink r:id="rId292" w:tooltip="See more details" w:history="1">
              <w:r w:rsidR="00EB705F">
                <w:rPr>
                  <w:rStyle w:val="Hyperlink"/>
                  <w:rFonts w:ascii="Verdana" w:eastAsia="Times New Roman" w:hAnsi="Verdana"/>
                  <w:sz w:val="18"/>
                  <w:szCs w:val="18"/>
                </w:rPr>
                <w:t xml:space="preserve">Q.5027 (ex </w:t>
              </w:r>
              <w:proofErr w:type="gramStart"/>
              <w:r w:rsidR="00EB705F">
                <w:rPr>
                  <w:rStyle w:val="Hyperlink"/>
                  <w:rFonts w:ascii="Verdana" w:eastAsia="Times New Roman" w:hAnsi="Verdana"/>
                  <w:sz w:val="18"/>
                  <w:szCs w:val="18"/>
                </w:rPr>
                <w:t>Q.IITSN</w:t>
              </w:r>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BA25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40B7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 for IMT-2020 network integration with Time Sensitive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A816B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protocol for IMT-2020 network integration with Time Sensitive </w:t>
            </w:r>
            <w:proofErr w:type="gramStart"/>
            <w:r>
              <w:rPr>
                <w:rFonts w:ascii="Verdana" w:eastAsia="Times New Roman" w:hAnsi="Verdana"/>
                <w:color w:val="000066"/>
                <w:sz w:val="18"/>
                <w:szCs w:val="18"/>
              </w:rPr>
              <w:t>Network(</w:t>
            </w:r>
            <w:proofErr w:type="gramEnd"/>
            <w:r>
              <w:rPr>
                <w:rFonts w:ascii="Verdana" w:eastAsia="Times New Roman" w:hAnsi="Verdana"/>
                <w:color w:val="000066"/>
                <w:sz w:val="18"/>
                <w:szCs w:val="18"/>
              </w:rPr>
              <w:t>TSN), and introduces the communication mechanism between IMT-2020 network and TSN system. It also describes parameters, procedures, signalling flow and message format between core network function of IMT-2020 network and TSN Translator.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7C3F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6342FD5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2998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FF7AC" w14:textId="77777777" w:rsidR="00EB705F" w:rsidRPr="00770357"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"http://www.itu.int/itu-t/workprog/wp_item.aspx?isn=17871" \o "See more details"</w:instrText>
            </w:r>
            <w:r>
              <w:fldChar w:fldCharType="separate"/>
            </w:r>
            <w:r w:rsidR="00EB705F" w:rsidRPr="00770357">
              <w:rPr>
                <w:rStyle w:val="Hyperlink"/>
                <w:rFonts w:ascii="Verdana" w:eastAsia="Times New Roman" w:hAnsi="Verdana"/>
                <w:sz w:val="18"/>
                <w:szCs w:val="18"/>
                <w:lang w:val="fr-FR"/>
              </w:rPr>
              <w:t xml:space="preserve">Q Suppl.76 (ex </w:t>
            </w:r>
            <w:proofErr w:type="gramStart"/>
            <w:r w:rsidR="00EB705F" w:rsidRPr="00770357">
              <w:rPr>
                <w:rStyle w:val="Hyperlink"/>
                <w:rFonts w:ascii="Verdana" w:eastAsia="Times New Roman" w:hAnsi="Verdana"/>
                <w:sz w:val="18"/>
                <w:szCs w:val="18"/>
                <w:lang w:val="fr-FR"/>
              </w:rPr>
              <w:t>Q.Sup.CEIR</w:t>
            </w:r>
            <w:proofErr w:type="gramEnd"/>
            <w:r w:rsidR="00EB705F" w:rsidRPr="00770357">
              <w:rPr>
                <w:rStyle w:val="Hyperlink"/>
                <w:rFonts w:ascii="Verdana" w:eastAsia="Times New Roman" w:hAnsi="Verdana"/>
                <w:sz w:val="18"/>
                <w:szCs w:val="18"/>
                <w:lang w:val="fr-FR"/>
              </w:rPr>
              <w:t>-EIR-int)</w:t>
            </w:r>
            <w:r>
              <w:rPr>
                <w:rStyle w:val="Hyperlink"/>
                <w:rFonts w:ascii="Verdana" w:eastAsia="Times New Roman" w:hAnsi="Verdana"/>
                <w:sz w:val="18"/>
                <w:szCs w:val="18"/>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8D6EF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66F0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Common approaches and interfaces for data exchange between CEIR and EIR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DC74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 defined on the ITU-T Q.5050 series, CEIR can be used to combat counterfeit ICT devices, to combat the use of stolen ICT devices and for other purposes. However, implementing a CEIR is a complex project that involves and impacts multiple stakeholders, and may require different processes in each country. Therefore, to assist ITU members on implementation, this supplement aims to identify current industry approach on the data exchange between CEIR and EIR and propose common approaches and interfaces on this topic.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125B3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2023-10-20</w:t>
            </w:r>
          </w:p>
        </w:tc>
      </w:tr>
      <w:tr w:rsidR="00EB705F" w14:paraId="6AF361A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FDC5B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64EB9" w14:textId="77777777" w:rsidR="00EB705F" w:rsidRDefault="009A3DC3" w:rsidP="00C9333D">
            <w:pPr>
              <w:jc w:val="center"/>
              <w:rPr>
                <w:rFonts w:ascii="Verdana" w:eastAsia="Times New Roman" w:hAnsi="Verdana"/>
                <w:color w:val="000066"/>
                <w:sz w:val="18"/>
                <w:szCs w:val="18"/>
              </w:rPr>
            </w:pPr>
            <w:hyperlink r:id="rId293" w:tooltip="See more details" w:history="1">
              <w:r w:rsidR="00EB705F">
                <w:rPr>
                  <w:rStyle w:val="Hyperlink"/>
                  <w:rFonts w:ascii="Verdana" w:eastAsia="Times New Roman" w:hAnsi="Verdana"/>
                  <w:sz w:val="18"/>
                  <w:szCs w:val="18"/>
                </w:rPr>
                <w:t>QSTR-MCM-UC (ex TR-MCM-Use-Cases)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57023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FD17A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Use Cases on the combat of Multimedia Content Misappropriation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813E6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Technical Report aims to collect use cases from ITU Members that reflects challenges, opportunities, and results on the combat of multimedia content misappropriation and, with this information compendium, assist ITU members in engaging this problem. To facilitate this information collection, this document proposed a template to be used when including information from new sources, that can either be members state engaging the problem or solution providers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44D6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2023-10-20</w:t>
            </w:r>
          </w:p>
        </w:tc>
      </w:tr>
      <w:tr w:rsidR="00EB705F" w14:paraId="5B85FC9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72D0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88014C" w14:textId="77777777" w:rsidR="00EB705F" w:rsidRPr="00144814" w:rsidRDefault="009A3DC3" w:rsidP="00C9333D">
            <w:pPr>
              <w:jc w:val="center"/>
              <w:rPr>
                <w:rFonts w:ascii="Verdana" w:eastAsia="Times New Roman" w:hAnsi="Verdana"/>
                <w:color w:val="000066"/>
                <w:sz w:val="18"/>
                <w:szCs w:val="18"/>
                <w:lang w:val="fr-FR"/>
              </w:rPr>
            </w:pPr>
            <w:hyperlink r:id="rId294" w:tooltip="See more details" w:history="1">
              <w:r w:rsidR="00EB705F" w:rsidRPr="00144814">
                <w:rPr>
                  <w:rStyle w:val="Hyperlink"/>
                  <w:rFonts w:ascii="Verdana" w:eastAsia="Times New Roman" w:hAnsi="Verdana"/>
                  <w:sz w:val="18"/>
                  <w:szCs w:val="18"/>
                  <w:lang w:val="fr-FR"/>
                </w:rPr>
                <w:t>Q.1902.3 (2001) Amd.6 (ex Q.1902.3.amd)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6959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C527D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Bearer Independent Call Control protocol (Capability Set 2) and Signalling System No. 7 ISDN user part: Formats and codes. Amendment 6.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96D54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Amendment 6 to Recommendation ITU-T Q.1902.3 was produced to meet the need for the implementation of calling line identification authentication (CIDA) as specified in Q.3063 (2022). This amendment contains the modifications to Recommendation ITU-T Q.1902.3 (2001)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accommodate these needs. This amendment should be read in connection with the related amendments to Recommendations ITU-T Q.1902.1 and ITU-T Q.1902.2.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80BAA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53C19A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3868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5832E" w14:textId="77777777" w:rsidR="00EB705F" w:rsidRPr="00144814" w:rsidRDefault="009A3DC3" w:rsidP="00C9333D">
            <w:pPr>
              <w:jc w:val="center"/>
              <w:rPr>
                <w:rFonts w:ascii="Verdana" w:eastAsia="Times New Roman" w:hAnsi="Verdana"/>
                <w:color w:val="000066"/>
                <w:sz w:val="18"/>
                <w:szCs w:val="18"/>
                <w:lang w:val="fr-FR"/>
              </w:rPr>
            </w:pPr>
            <w:hyperlink r:id="rId295" w:tooltip="See more details" w:history="1">
              <w:proofErr w:type="spellStart"/>
              <w:r w:rsidR="00EB705F" w:rsidRPr="00144814">
                <w:rPr>
                  <w:rStyle w:val="Hyperlink"/>
                  <w:rFonts w:ascii="Verdana" w:eastAsia="Times New Roman" w:hAnsi="Verdana"/>
                  <w:sz w:val="18"/>
                  <w:szCs w:val="18"/>
                  <w:lang w:val="fr-FR"/>
                </w:rPr>
                <w:t>Q.3962</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Q.joint</w:t>
              </w:r>
              <w:proofErr w:type="gramEnd"/>
              <w:r w:rsidR="00EB705F" w:rsidRPr="00144814">
                <w:rPr>
                  <w:rStyle w:val="Hyperlink"/>
                  <w:rFonts w:ascii="Verdana" w:eastAsia="Times New Roman" w:hAnsi="Verdana"/>
                  <w:sz w:val="18"/>
                  <w:szCs w:val="18"/>
                  <w:lang w:val="fr-FR"/>
                </w:rPr>
                <w:t>_tr</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6419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20364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Reference Model for optimized traceroute of joint Internet Protocol/Multi-Protocol Label Switching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CFCAA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aims to solve the problems of wrong failure location and performance information which brought by the traditional isolated traceroute tools in joint Internet Protocol /Multi-Protocol Label Switching (IP/MPLS) scenario. This Recommendation describes the requirements and reference model for optimized traceroute for joint IP/MPLS.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EB96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20D433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B12F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7549EE" w14:textId="77777777" w:rsidR="00EB705F" w:rsidRPr="00144814" w:rsidRDefault="009A3DC3" w:rsidP="00C9333D">
            <w:pPr>
              <w:jc w:val="center"/>
              <w:rPr>
                <w:rFonts w:ascii="Verdana" w:eastAsia="Times New Roman" w:hAnsi="Verdana"/>
                <w:color w:val="000066"/>
                <w:sz w:val="18"/>
                <w:szCs w:val="18"/>
                <w:lang w:val="fr-FR"/>
              </w:rPr>
            </w:pPr>
            <w:hyperlink r:id="rId296" w:tooltip="See more details" w:history="1">
              <w:proofErr w:type="spellStart"/>
              <w:r w:rsidR="00EB705F" w:rsidRPr="00144814">
                <w:rPr>
                  <w:rStyle w:val="Hyperlink"/>
                  <w:rFonts w:ascii="Verdana" w:eastAsia="Times New Roman" w:hAnsi="Verdana"/>
                  <w:sz w:val="18"/>
                  <w:szCs w:val="18"/>
                  <w:lang w:val="fr-FR"/>
                </w:rPr>
                <w:t>Q.4045</w:t>
              </w:r>
              <w:proofErr w:type="spellEnd"/>
              <w:r w:rsidR="00EB705F" w:rsidRPr="00144814">
                <w:rPr>
                  <w:rStyle w:val="Hyperlink"/>
                  <w:rFonts w:ascii="Verdana" w:eastAsia="Times New Roman" w:hAnsi="Verdana"/>
                  <w:sz w:val="18"/>
                  <w:szCs w:val="18"/>
                  <w:lang w:val="fr-FR"/>
                </w:rPr>
                <w:t xml:space="preserve"> (</w:t>
              </w:r>
              <w:proofErr w:type="gramStart"/>
              <w:r w:rsidR="00EB705F" w:rsidRPr="00144814">
                <w:rPr>
                  <w:rStyle w:val="Hyperlink"/>
                  <w:rFonts w:ascii="Verdana" w:eastAsia="Times New Roman" w:hAnsi="Verdana"/>
                  <w:sz w:val="18"/>
                  <w:szCs w:val="18"/>
                  <w:lang w:val="fr-FR"/>
                </w:rPr>
                <w:t xml:space="preserve">ex </w:t>
              </w:r>
              <w:proofErr w:type="spellStart"/>
              <w:r w:rsidR="00EB705F" w:rsidRPr="00144814">
                <w:rPr>
                  <w:rStyle w:val="Hyperlink"/>
                  <w:rFonts w:ascii="Verdana" w:eastAsia="Times New Roman" w:hAnsi="Verdana"/>
                  <w:sz w:val="18"/>
                  <w:szCs w:val="18"/>
                  <w:lang w:val="fr-FR"/>
                </w:rPr>
                <w:t>Q</w:t>
              </w:r>
              <w:proofErr w:type="gramEnd"/>
              <w:r w:rsidR="00EB705F" w:rsidRPr="00144814">
                <w:rPr>
                  <w:rStyle w:val="Hyperlink"/>
                  <w:rFonts w:ascii="Verdana" w:eastAsia="Times New Roman" w:hAnsi="Verdana"/>
                  <w:sz w:val="18"/>
                  <w:szCs w:val="18"/>
                  <w:lang w:val="fr-FR"/>
                </w:rPr>
                <w:t>.N</w:t>
              </w:r>
              <w:proofErr w:type="spellEnd"/>
              <w:r w:rsidR="00EB705F" w:rsidRPr="00144814">
                <w:rPr>
                  <w:rStyle w:val="Hyperlink"/>
                  <w:rFonts w:ascii="Verdana" w:eastAsia="Times New Roman" w:hAnsi="Verdana"/>
                  <w:sz w:val="18"/>
                  <w:szCs w:val="18"/>
                  <w:lang w:val="fr-FR"/>
                </w:rPr>
                <w:t>-att-</w:t>
              </w:r>
              <w:proofErr w:type="spellStart"/>
              <w:r w:rsidR="00EB705F" w:rsidRPr="00144814">
                <w:rPr>
                  <w:rStyle w:val="Hyperlink"/>
                  <w:rFonts w:ascii="Verdana" w:eastAsia="Times New Roman" w:hAnsi="Verdana"/>
                  <w:sz w:val="18"/>
                  <w:szCs w:val="18"/>
                  <w:lang w:val="fr-FR"/>
                </w:rPr>
                <w:t>framework</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A207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03C3E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network function virtualization automated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E5C2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overview and framework requirements of Network Function Virtualization (NFV) automated testing. To introduce NFV automated testing framework, this Recommendation also provides an overview of NFV automated testing and design consideration of it. Then, framework and requirements for NFV automated testing are derived based on the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A19CE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6A0B17E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D8E4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F9446" w14:textId="77777777" w:rsidR="00EB705F" w:rsidRPr="00144814" w:rsidRDefault="009A3DC3" w:rsidP="00C9333D">
            <w:pPr>
              <w:jc w:val="center"/>
              <w:rPr>
                <w:rFonts w:ascii="Verdana" w:eastAsia="Times New Roman" w:hAnsi="Verdana"/>
                <w:color w:val="000066"/>
                <w:sz w:val="18"/>
                <w:szCs w:val="18"/>
                <w:lang w:val="fr-FR"/>
              </w:rPr>
            </w:pPr>
            <w:hyperlink r:id="rId297" w:tooltip="See more details" w:history="1">
              <w:proofErr w:type="spellStart"/>
              <w:r w:rsidR="00EB705F" w:rsidRPr="00144814">
                <w:rPr>
                  <w:rStyle w:val="Hyperlink"/>
                  <w:rFonts w:ascii="Verdana" w:eastAsia="Times New Roman" w:hAnsi="Verdana"/>
                  <w:sz w:val="18"/>
                  <w:szCs w:val="18"/>
                  <w:lang w:val="fr-FR"/>
                </w:rPr>
                <w:t>Q.4046</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Q.BaaS</w:t>
              </w:r>
              <w:proofErr w:type="gramEnd"/>
              <w:r w:rsidR="00EB705F" w:rsidRPr="00144814">
                <w:rPr>
                  <w:rStyle w:val="Hyperlink"/>
                  <w:rFonts w:ascii="Verdana" w:eastAsia="Times New Roman" w:hAnsi="Verdana"/>
                  <w:sz w:val="18"/>
                  <w:szCs w:val="18"/>
                  <w:lang w:val="fr-FR"/>
                </w:rPr>
                <w:t>-iop-reqts</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813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92E51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Interoperability testing requirements of blockchain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6A4C6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aims to provide blockchain as a service (BaaS) interoperability testing overview and specifies BaaS interoperability testing requirements which are derived from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146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9D8E81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144B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D64972" w14:textId="77777777" w:rsidR="00EB705F" w:rsidRDefault="009A3DC3" w:rsidP="00C9333D">
            <w:pPr>
              <w:jc w:val="center"/>
              <w:rPr>
                <w:rFonts w:ascii="Verdana" w:eastAsia="Times New Roman" w:hAnsi="Verdana"/>
                <w:color w:val="000066"/>
                <w:sz w:val="18"/>
                <w:szCs w:val="18"/>
              </w:rPr>
            </w:pPr>
            <w:hyperlink r:id="rId298" w:tooltip="See more details" w:history="1">
              <w:r w:rsidR="00EB705F">
                <w:rPr>
                  <w:rStyle w:val="Hyperlink"/>
                  <w:rFonts w:ascii="Verdana" w:eastAsia="Times New Roman" w:hAnsi="Verdana"/>
                  <w:sz w:val="18"/>
                  <w:szCs w:val="18"/>
                </w:rPr>
                <w:t>Q.4071 (ex Q.UHD-T)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CC64E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76D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testing of 3D </w:t>
            </w:r>
            <w:proofErr w:type="spellStart"/>
            <w:r>
              <w:rPr>
                <w:rFonts w:ascii="Verdana" w:eastAsia="Times New Roman" w:hAnsi="Verdana"/>
                <w:color w:val="000066"/>
                <w:sz w:val="18"/>
                <w:szCs w:val="18"/>
              </w:rPr>
              <w:t>ultra high</w:t>
            </w:r>
            <w:proofErr w:type="spellEnd"/>
            <w:r>
              <w:rPr>
                <w:rFonts w:ascii="Verdana" w:eastAsia="Times New Roman" w:hAnsi="Verdana"/>
                <w:color w:val="000066"/>
                <w:sz w:val="18"/>
                <w:szCs w:val="18"/>
              </w:rPr>
              <w:t xml:space="preserve"> density IoT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4C055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 density and ultra-high density communication networks are currently being introduced based on the density requirements for IoT devices. For 3D Ultra-</w:t>
            </w:r>
            <w:proofErr w:type="gramStart"/>
            <w:r>
              <w:rPr>
                <w:rFonts w:ascii="Verdana" w:eastAsia="Times New Roman" w:hAnsi="Verdana"/>
                <w:color w:val="000066"/>
                <w:sz w:val="18"/>
                <w:szCs w:val="18"/>
              </w:rPr>
              <w:t>high density</w:t>
            </w:r>
            <w:proofErr w:type="gramEnd"/>
            <w:r>
              <w:rPr>
                <w:rFonts w:ascii="Verdana" w:eastAsia="Times New Roman" w:hAnsi="Verdana"/>
                <w:color w:val="000066"/>
                <w:sz w:val="18"/>
                <w:szCs w:val="18"/>
              </w:rPr>
              <w:t xml:space="preserve"> networks, the density of IoT devices is 100 devices per cubic meter. Such networks have certain design peculiarities and different fractal figures can be used for their planning. Therefore, it is required to develop models and test methods for high density and ultra-</w:t>
            </w:r>
            <w:proofErr w:type="gramStart"/>
            <w:r>
              <w:rPr>
                <w:rFonts w:ascii="Verdana" w:eastAsia="Times New Roman" w:hAnsi="Verdana"/>
                <w:color w:val="000066"/>
                <w:sz w:val="18"/>
                <w:szCs w:val="18"/>
              </w:rPr>
              <w:t>high density</w:t>
            </w:r>
            <w:proofErr w:type="gramEnd"/>
            <w:r>
              <w:rPr>
                <w:rFonts w:ascii="Verdana" w:eastAsia="Times New Roman" w:hAnsi="Verdana"/>
                <w:color w:val="000066"/>
                <w:sz w:val="18"/>
                <w:szCs w:val="18"/>
              </w:rPr>
              <w:t xml:space="preserve"> networks. New models and test methods for three-dimensional ultra-high density IoT networks will be developed and the structure of a model network for testing will be presented in the proposed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750F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62905B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4DBD5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6652EF" w14:textId="77777777" w:rsidR="00EB705F" w:rsidRPr="00144814" w:rsidRDefault="009A3DC3" w:rsidP="00C9333D">
            <w:pPr>
              <w:jc w:val="center"/>
              <w:rPr>
                <w:rFonts w:ascii="Verdana" w:eastAsia="Times New Roman" w:hAnsi="Verdana"/>
                <w:color w:val="000066"/>
                <w:sz w:val="18"/>
                <w:szCs w:val="18"/>
                <w:lang w:val="fr-FR"/>
              </w:rPr>
            </w:pPr>
            <w:hyperlink r:id="rId299" w:tooltip="See more details" w:history="1">
              <w:r w:rsidR="00EB705F" w:rsidRPr="00144814">
                <w:rPr>
                  <w:rStyle w:val="Hyperlink"/>
                  <w:rFonts w:ascii="Verdana" w:eastAsia="Times New Roman" w:hAnsi="Verdana"/>
                  <w:sz w:val="18"/>
                  <w:szCs w:val="18"/>
                  <w:lang w:val="fr-FR"/>
                </w:rPr>
                <w:t>Q.4141 (ex Q.BNG-INC)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884C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EBB4C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81F2F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a network solution to </w:t>
            </w:r>
            <w:proofErr w:type="gramStart"/>
            <w:r>
              <w:rPr>
                <w:rFonts w:ascii="Verdana" w:eastAsia="Times New Roman" w:hAnsi="Verdana"/>
                <w:color w:val="000066"/>
                <w:sz w:val="18"/>
                <w:szCs w:val="18"/>
              </w:rPr>
              <w:t>dynamically and flexibly schedule computing tasks</w:t>
            </w:r>
            <w:proofErr w:type="gramEnd"/>
            <w:r>
              <w:rPr>
                <w:rFonts w:ascii="Verdana" w:eastAsia="Times New Roman" w:hAnsi="Verdana"/>
                <w:color w:val="000066"/>
                <w:sz w:val="18"/>
                <w:szCs w:val="18"/>
              </w:rPr>
              <w:t xml:space="preserve"> at the border network gateway based on real-time computing resource performance, network performance, cost and other multi-dimensional factors based on business needs, thereby improving resource utilization, network utilization efficiency, and improving business user experience. This draft Recommendation aims to study the 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52663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B7E433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CCB8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D03A10" w14:textId="77777777" w:rsidR="00EB705F" w:rsidRPr="00144814" w:rsidRDefault="009A3DC3" w:rsidP="00C9333D">
            <w:pPr>
              <w:jc w:val="center"/>
              <w:rPr>
                <w:rFonts w:ascii="Verdana" w:eastAsia="Times New Roman" w:hAnsi="Verdana"/>
                <w:color w:val="000066"/>
                <w:sz w:val="18"/>
                <w:szCs w:val="18"/>
                <w:lang w:val="fr-FR"/>
              </w:rPr>
            </w:pPr>
            <w:hyperlink r:id="rId300" w:tooltip="See more details" w:history="1">
              <w:proofErr w:type="spellStart"/>
              <w:r w:rsidR="00EB705F" w:rsidRPr="00144814">
                <w:rPr>
                  <w:rStyle w:val="Hyperlink"/>
                  <w:rFonts w:ascii="Verdana" w:eastAsia="Times New Roman" w:hAnsi="Verdana"/>
                  <w:sz w:val="18"/>
                  <w:szCs w:val="18"/>
                  <w:lang w:val="fr-FR"/>
                </w:rPr>
                <w:t>Q.4160</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Q.QKDN</w:t>
              </w:r>
              <w:proofErr w:type="gramEnd"/>
              <w:r w:rsidR="00EB705F" w:rsidRPr="00144814">
                <w:rPr>
                  <w:rStyle w:val="Hyperlink"/>
                  <w:rFonts w:ascii="Verdana" w:eastAsia="Times New Roman" w:hAnsi="Verdana"/>
                  <w:sz w:val="18"/>
                  <w:szCs w:val="18"/>
                  <w:lang w:val="fr-FR"/>
                </w:rPr>
                <w:t>_profr</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026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E74F9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Protocol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E486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Q.4160 specifies a framework for signalling and protocols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277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C5DC16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E62C5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3ED8E5" w14:textId="77777777" w:rsidR="00EB705F" w:rsidRPr="00144814" w:rsidRDefault="009A3DC3" w:rsidP="00C9333D">
            <w:pPr>
              <w:jc w:val="center"/>
              <w:rPr>
                <w:rFonts w:ascii="Verdana" w:eastAsia="Times New Roman" w:hAnsi="Verdana"/>
                <w:color w:val="000066"/>
                <w:sz w:val="18"/>
                <w:szCs w:val="18"/>
                <w:lang w:val="fr-FR"/>
              </w:rPr>
            </w:pPr>
            <w:hyperlink r:id="rId301" w:tooltip="See more details" w:history="1">
              <w:proofErr w:type="spellStart"/>
              <w:r w:rsidR="00EB705F" w:rsidRPr="00144814">
                <w:rPr>
                  <w:rStyle w:val="Hyperlink"/>
                  <w:rFonts w:ascii="Verdana" w:eastAsia="Times New Roman" w:hAnsi="Verdana"/>
                  <w:sz w:val="18"/>
                  <w:szCs w:val="18"/>
                  <w:lang w:val="fr-FR"/>
                </w:rPr>
                <w:t>Q.4161</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Q.QKDN</w:t>
              </w:r>
              <w:proofErr w:type="gramEnd"/>
              <w:r w:rsidR="00EB705F" w:rsidRPr="00144814">
                <w:rPr>
                  <w:rStyle w:val="Hyperlink"/>
                  <w:rFonts w:ascii="Verdana" w:eastAsia="Times New Roman" w:hAnsi="Verdana"/>
                  <w:sz w:val="18"/>
                  <w:szCs w:val="18"/>
                  <w:lang w:val="fr-FR"/>
                </w:rPr>
                <w:t>_Ak</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13AF3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36C67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Protocols for Ak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69E25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Q.4161 specifies protocols for Ak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1CBBC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01E0E21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05D2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92CD35"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"http://www.itu.int/itu-t/workprog/wp_item.aspx?isn=17875" \o "See more details"</w:instrText>
            </w:r>
            <w:r>
              <w:fldChar w:fldCharType="separate"/>
            </w:r>
            <w:r w:rsidR="00EB705F" w:rsidRPr="00144814">
              <w:rPr>
                <w:rStyle w:val="Hyperlink"/>
                <w:rFonts w:ascii="Verdana" w:eastAsia="Times New Roman" w:hAnsi="Verdana"/>
                <w:sz w:val="18"/>
                <w:szCs w:val="18"/>
                <w:lang w:val="fr-FR"/>
              </w:rPr>
              <w:t xml:space="preserve">Q.4162 (ex </w:t>
            </w:r>
            <w:proofErr w:type="gramStart"/>
            <w:r w:rsidR="00EB705F" w:rsidRPr="00144814">
              <w:rPr>
                <w:rStyle w:val="Hyperlink"/>
                <w:rFonts w:ascii="Verdana" w:eastAsia="Times New Roman" w:hAnsi="Verdana"/>
                <w:sz w:val="18"/>
                <w:szCs w:val="18"/>
                <w:lang w:val="fr-FR"/>
              </w:rPr>
              <w:t>Q.QKDN</w:t>
            </w:r>
            <w:proofErr w:type="gramEnd"/>
            <w:r w:rsidR="00EB705F" w:rsidRPr="00144814">
              <w:rPr>
                <w:rStyle w:val="Hyperlink"/>
                <w:rFonts w:ascii="Verdana" w:eastAsia="Times New Roman" w:hAnsi="Verdana"/>
                <w:sz w:val="18"/>
                <w:szCs w:val="18"/>
                <w:lang w:val="fr-FR"/>
              </w:rPr>
              <w:t>_Kq-1)</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D71F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E15D8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Protocols for Kq-1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CCE11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Q.4162 specifies protocols for Kq-1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E36D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EF61C1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4E7EC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62336A" w14:textId="77777777" w:rsidR="00EB705F" w:rsidRPr="00144814" w:rsidRDefault="009A3DC3" w:rsidP="00C9333D">
            <w:pPr>
              <w:jc w:val="center"/>
              <w:rPr>
                <w:rFonts w:ascii="Verdana" w:eastAsia="Times New Roman" w:hAnsi="Verdana"/>
                <w:color w:val="000066"/>
                <w:sz w:val="18"/>
                <w:szCs w:val="18"/>
                <w:lang w:val="fr-FR"/>
              </w:rPr>
            </w:pPr>
            <w:hyperlink r:id="rId302" w:tooltip="See more details" w:history="1">
              <w:proofErr w:type="spellStart"/>
              <w:r w:rsidR="00EB705F" w:rsidRPr="00144814">
                <w:rPr>
                  <w:rStyle w:val="Hyperlink"/>
                  <w:rFonts w:ascii="Verdana" w:eastAsia="Times New Roman" w:hAnsi="Verdana"/>
                  <w:sz w:val="18"/>
                  <w:szCs w:val="18"/>
                  <w:lang w:val="fr-FR"/>
                </w:rPr>
                <w:t>Q.4163</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Q.QKDN</w:t>
              </w:r>
              <w:proofErr w:type="gramEnd"/>
              <w:r w:rsidR="00EB705F" w:rsidRPr="00144814">
                <w:rPr>
                  <w:rStyle w:val="Hyperlink"/>
                  <w:rFonts w:ascii="Verdana" w:eastAsia="Times New Roman" w:hAnsi="Verdana"/>
                  <w:sz w:val="18"/>
                  <w:szCs w:val="18"/>
                  <w:lang w:val="fr-FR"/>
                </w:rPr>
                <w:t>_Kx</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5B774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FB85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Protocols for Kx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38C8F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Q.4163 specifies protocols for Kx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8330D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4D9C74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9FC8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E16FA" w14:textId="77777777" w:rsidR="00EB705F" w:rsidRPr="00144814" w:rsidRDefault="009A3DC3" w:rsidP="00C9333D">
            <w:pPr>
              <w:jc w:val="center"/>
              <w:rPr>
                <w:rFonts w:ascii="Verdana" w:eastAsia="Times New Roman" w:hAnsi="Verdana"/>
                <w:color w:val="000066"/>
                <w:sz w:val="18"/>
                <w:szCs w:val="18"/>
                <w:lang w:val="fr-FR"/>
              </w:rPr>
            </w:pPr>
            <w:hyperlink r:id="rId303" w:tooltip="See more details" w:history="1">
              <w:proofErr w:type="spellStart"/>
              <w:r w:rsidR="00EB705F" w:rsidRPr="00144814">
                <w:rPr>
                  <w:rStyle w:val="Hyperlink"/>
                  <w:rFonts w:ascii="Verdana" w:eastAsia="Times New Roman" w:hAnsi="Verdana"/>
                  <w:sz w:val="18"/>
                  <w:szCs w:val="18"/>
                  <w:lang w:val="fr-FR"/>
                </w:rPr>
                <w:t>Q.4164</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Q.QKDN</w:t>
              </w:r>
              <w:proofErr w:type="gramEnd"/>
              <w:r w:rsidR="00EB705F" w:rsidRPr="00144814">
                <w:rPr>
                  <w:rStyle w:val="Hyperlink"/>
                  <w:rFonts w:ascii="Verdana" w:eastAsia="Times New Roman" w:hAnsi="Verdana"/>
                  <w:sz w:val="18"/>
                  <w:szCs w:val="18"/>
                  <w:lang w:val="fr-FR"/>
                </w:rPr>
                <w:t>_Ck</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2446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AE494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Protocols for Ck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E949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Q.4164 specifies protocols for Ck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D762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467912F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BF6D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664C8" w14:textId="77777777" w:rsidR="00EB705F" w:rsidRPr="00144814" w:rsidRDefault="009A3DC3" w:rsidP="00C9333D">
            <w:pPr>
              <w:jc w:val="center"/>
              <w:rPr>
                <w:rFonts w:ascii="Verdana" w:eastAsia="Times New Roman" w:hAnsi="Verdana"/>
                <w:color w:val="000066"/>
                <w:sz w:val="18"/>
                <w:szCs w:val="18"/>
                <w:lang w:val="fr-FR"/>
              </w:rPr>
            </w:pPr>
            <w:hyperlink r:id="rId304" w:tooltip="See more details" w:history="1">
              <w:r w:rsidR="00EB705F" w:rsidRPr="00144814">
                <w:rPr>
                  <w:rStyle w:val="Hyperlink"/>
                  <w:rFonts w:ascii="Verdana" w:eastAsia="Times New Roman" w:hAnsi="Verdana"/>
                  <w:sz w:val="18"/>
                  <w:szCs w:val="18"/>
                  <w:lang w:val="fr-FR"/>
                </w:rPr>
                <w:t>Q.5007 (ex Q.IEC-PRO)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1532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3313A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architecture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85108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To develop the IEC architecture, there are a couple of software-oriented architectural ways for building a flexible protocol architecture achieved by deploying and operating the architecture. One approach is </w:t>
            </w:r>
            <w:proofErr w:type="gramStart"/>
            <w:r>
              <w:rPr>
                <w:rFonts w:ascii="Verdana" w:eastAsia="Times New Roman" w:hAnsi="Verdana"/>
                <w:color w:val="000066"/>
                <w:sz w:val="18"/>
                <w:szCs w:val="18"/>
              </w:rPr>
              <w:t>an</w:t>
            </w:r>
            <w:proofErr w:type="gramEnd"/>
            <w:r>
              <w:rPr>
                <w:rFonts w:ascii="Verdana" w:eastAsia="Times New Roman" w:hAnsi="Verdana"/>
                <w:color w:val="000066"/>
                <w:sz w:val="18"/>
                <w:szCs w:val="18"/>
              </w:rPr>
              <w:t xml:space="preserve"> unified software-oriented architecture that composes logically modular functions in a tightly coupled way to similar with a monolithic architecture. Another approach is a microservice architecture, which loosely composes logically or physically separated processing functions as individual microservices. Since the IEC has been developed on different hardware specifications and various functionalities desired by each business demands, it has been standardized based on microservices and used as a reference standard for implementation. Adopting a microservices based IEC architecture facilitates continuous development and operation through the updating of individual microservices. This Recommendation specifies the signalling architecture, protocol interfaces, and protocol procedures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D813B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C4F6E3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D8A1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CB12BE" w14:textId="77777777" w:rsidR="00EB705F" w:rsidRPr="00144814" w:rsidRDefault="009A3DC3" w:rsidP="00C9333D">
            <w:pPr>
              <w:jc w:val="center"/>
              <w:rPr>
                <w:rFonts w:ascii="Verdana" w:eastAsia="Times New Roman" w:hAnsi="Verdana"/>
                <w:color w:val="000066"/>
                <w:sz w:val="18"/>
                <w:szCs w:val="18"/>
                <w:lang w:val="fr-FR"/>
              </w:rPr>
            </w:pPr>
            <w:hyperlink r:id="rId305" w:tooltip="See more details" w:history="1">
              <w:r w:rsidR="00EB705F" w:rsidRPr="00144814">
                <w:rPr>
                  <w:rStyle w:val="Hyperlink"/>
                  <w:rFonts w:ascii="Verdana" w:eastAsia="Times New Roman" w:hAnsi="Verdana"/>
                  <w:sz w:val="18"/>
                  <w:szCs w:val="18"/>
                  <w:lang w:val="fr-FR"/>
                </w:rPr>
                <w:t>Q.5008 (ex Q.AIS-SRA)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9AE6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962A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requirements and architecture to support AI based vertical services in future network,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322D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signalling requirements and architecture to support AI based vertical services in future network, IMT2020 and beyond. These requirements include the signalling information over each reference points and service procedures for high-level AI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CDEE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F8625B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37C2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FEFE5E" w14:textId="77777777" w:rsidR="00EB705F" w:rsidRPr="00144814" w:rsidRDefault="009A3DC3" w:rsidP="00C9333D">
            <w:pPr>
              <w:jc w:val="center"/>
              <w:rPr>
                <w:rFonts w:ascii="Verdana" w:eastAsia="Times New Roman" w:hAnsi="Verdana"/>
                <w:color w:val="000066"/>
                <w:sz w:val="18"/>
                <w:szCs w:val="18"/>
                <w:lang w:val="fr-FR"/>
              </w:rPr>
            </w:pPr>
            <w:hyperlink r:id="rId306" w:tooltip="See more details" w:history="1">
              <w:r w:rsidR="00EB705F" w:rsidRPr="00144814">
                <w:rPr>
                  <w:rStyle w:val="Hyperlink"/>
                  <w:rFonts w:ascii="Verdana" w:eastAsia="Times New Roman" w:hAnsi="Verdana"/>
                  <w:sz w:val="18"/>
                  <w:szCs w:val="18"/>
                  <w:lang w:val="fr-FR"/>
                </w:rPr>
                <w:t>Q.5028 (ex Q.IEC-SAINF)</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7155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E286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Data management interfaces for intelligent edge computing-based smart agriculture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27F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Q.5028 defines data management interfaces for intelligent edge computing-based smart agriculture service. The data management interface includes data resources and interfaces for data processing. Data resource can be used to decide what data are for. There are a lot of data needed to check environment and crop-growing status. The interfaces for data Agriculture, data management, edge. Processing defines web-based application programming interface (API) including data creation, retrieving, update and deletion.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950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9AA87B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0D27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7E16B" w14:textId="77777777" w:rsidR="00EB705F" w:rsidRPr="00144814" w:rsidRDefault="009A3DC3" w:rsidP="00C9333D">
            <w:pPr>
              <w:jc w:val="center"/>
              <w:rPr>
                <w:rFonts w:ascii="Verdana" w:eastAsia="Times New Roman" w:hAnsi="Verdana"/>
                <w:color w:val="000066"/>
                <w:sz w:val="18"/>
                <w:szCs w:val="18"/>
                <w:lang w:val="fr-FR"/>
              </w:rPr>
            </w:pPr>
            <w:hyperlink r:id="rId307" w:tooltip="See more details" w:history="1">
              <w:r w:rsidR="00EB705F" w:rsidRPr="00144814">
                <w:rPr>
                  <w:rStyle w:val="Hyperlink"/>
                  <w:rFonts w:ascii="Verdana" w:eastAsia="Times New Roman" w:hAnsi="Verdana"/>
                  <w:sz w:val="18"/>
                  <w:szCs w:val="18"/>
                  <w:lang w:val="fr-FR"/>
                </w:rPr>
                <w:t>Q.763 (1999) Amd.7 (ex Q.763.amd)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0FC8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F150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System No. 7 - ISDN User Part formats and codes. Amendment 7.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568D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Amendment 7 to Recommendation ITU-T Q.763 was produced to meet the need for the implementation of calling line identification authentication (CIDA) as specified in ITU-T Q.3063 (2022). This amendment contains the modifications to Recommendation ITU-T Q.763 (1999)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accommodate these needs. This amendment should be read in connection with the related amendments to Recommendations ITU-T Q.761 and ITU-T Q.762.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83218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7FB99B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26715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71756" w14:textId="77777777" w:rsidR="00EB705F" w:rsidRPr="00144814" w:rsidRDefault="009A3DC3" w:rsidP="00C9333D">
            <w:pPr>
              <w:jc w:val="center"/>
              <w:rPr>
                <w:rFonts w:ascii="Verdana" w:eastAsia="Times New Roman" w:hAnsi="Verdana"/>
                <w:color w:val="000066"/>
                <w:sz w:val="18"/>
                <w:szCs w:val="18"/>
                <w:lang w:val="fr-FR"/>
              </w:rPr>
            </w:pPr>
            <w:hyperlink r:id="rId308" w:tooltip="See more details" w:history="1">
              <w:r w:rsidR="00EB705F" w:rsidRPr="00144814">
                <w:rPr>
                  <w:rStyle w:val="Hyperlink"/>
                  <w:rFonts w:ascii="Verdana" w:eastAsia="Times New Roman" w:hAnsi="Verdana"/>
                  <w:sz w:val="18"/>
                  <w:szCs w:val="18"/>
                  <w:lang w:val="fr-FR"/>
                </w:rPr>
                <w:t>Q.931 (1998) Amd.2 (ex Q.931.amd)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6F4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EFED6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ISDN user-network interface layer 3 specification for basic call control. Amendment 2.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726AD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Amendment 2 to Recommendation ITU-T Q. 931 was produced to meet the need for the implementation of calling line identification authentication (CIDA) as specified in Q.3063 (2022). This amendment contains the modifications to Recommendation ITU-T Q. 931 (1998)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accommodate these needs.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79BAA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6B1315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4539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B62828" w14:textId="77777777" w:rsidR="00EB705F" w:rsidRPr="00144814" w:rsidRDefault="009A3DC3" w:rsidP="00C9333D">
            <w:pPr>
              <w:jc w:val="center"/>
              <w:rPr>
                <w:rFonts w:ascii="Verdana" w:eastAsia="Times New Roman" w:hAnsi="Verdana"/>
                <w:color w:val="000066"/>
                <w:sz w:val="18"/>
                <w:szCs w:val="18"/>
                <w:lang w:val="fr-FR"/>
              </w:rPr>
            </w:pPr>
            <w:hyperlink r:id="rId309" w:tooltip="See more details" w:history="1">
              <w:r w:rsidR="00EB705F" w:rsidRPr="00144814">
                <w:rPr>
                  <w:rStyle w:val="Hyperlink"/>
                  <w:rFonts w:ascii="Verdana" w:eastAsia="Times New Roman" w:hAnsi="Verdana"/>
                  <w:sz w:val="18"/>
                  <w:szCs w:val="18"/>
                  <w:lang w:val="fr-FR"/>
                </w:rPr>
                <w:t>ESTR-NUI (ex E.NUI)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2F67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90C2A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RF level based single-number indicator for mobile network usefulness for a given range of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892AB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Technical Report describes a framework and methodology for a spatially resolved single-number indicator expressing mobile network usefulness for a given range of purposes. The spatial resolution can be adjusted, by respective aggregation; practical ranges start at 25 to 50 m depending on the quality of GNSS data. The spectrum of purposes includes single-network assessment (e.g., expected speech quality or call stability) as well as assessment of coverage for emergency calls, where coverage of multiple networks is combined into a single indicator. Single-number indicators are used in QoS and </w:t>
            </w:r>
            <w:proofErr w:type="spellStart"/>
            <w:r>
              <w:rPr>
                <w:rFonts w:ascii="Verdana" w:eastAsia="Times New Roman" w:hAnsi="Verdana"/>
                <w:color w:val="000066"/>
                <w:sz w:val="18"/>
                <w:szCs w:val="18"/>
              </w:rPr>
              <w:t>QoE</w:t>
            </w:r>
            <w:proofErr w:type="spellEnd"/>
            <w:r>
              <w:rPr>
                <w:rFonts w:ascii="Verdana" w:eastAsia="Times New Roman" w:hAnsi="Verdana"/>
                <w:color w:val="000066"/>
                <w:sz w:val="18"/>
                <w:szCs w:val="18"/>
              </w:rPr>
              <w:t xml:space="preserve"> contexts to express an overall assessment of a system or service from a given perspective. Such indicators are used routinely, e.g., in mobile network benchmarking, where </w:t>
            </w:r>
            <w:proofErr w:type="gramStart"/>
            <w:r>
              <w:rPr>
                <w:rFonts w:ascii="Verdana" w:eastAsia="Times New Roman" w:hAnsi="Verdana"/>
                <w:color w:val="000066"/>
                <w:sz w:val="18"/>
                <w:szCs w:val="18"/>
              </w:rPr>
              <w:t>a number of</w:t>
            </w:r>
            <w:proofErr w:type="gramEnd"/>
            <w:r>
              <w:rPr>
                <w:rFonts w:ascii="Verdana" w:eastAsia="Times New Roman" w:hAnsi="Verdana"/>
                <w:color w:val="000066"/>
                <w:sz w:val="18"/>
                <w:szCs w:val="18"/>
              </w:rPr>
              <w:t xml:space="preserve"> QoS KPI is aggregated towards a single rating. This Technical Report describes a methodology which works in the same way, but is using low-level measurement data, i.e., RF level values. The </w:t>
            </w:r>
            <w:proofErr w:type="gramStart"/>
            <w:r>
              <w:rPr>
                <w:rFonts w:ascii="Verdana" w:eastAsia="Times New Roman" w:hAnsi="Verdana"/>
                <w:color w:val="000066"/>
                <w:sz w:val="18"/>
                <w:szCs w:val="18"/>
              </w:rPr>
              <w:t>particular instance</w:t>
            </w:r>
            <w:proofErr w:type="gramEnd"/>
            <w:r>
              <w:rPr>
                <w:rFonts w:ascii="Verdana" w:eastAsia="Times New Roman" w:hAnsi="Verdana"/>
                <w:color w:val="000066"/>
                <w:sz w:val="18"/>
                <w:szCs w:val="18"/>
              </w:rPr>
              <w:t xml:space="preserve">, i.e., the actual type of input value, depends on the radio network technology, e.g., </w:t>
            </w:r>
            <w:proofErr w:type="spellStart"/>
            <w:r>
              <w:rPr>
                <w:rFonts w:ascii="Verdana" w:eastAsia="Times New Roman" w:hAnsi="Verdana"/>
                <w:color w:val="000066"/>
                <w:sz w:val="18"/>
                <w:szCs w:val="18"/>
              </w:rPr>
              <w:t>RxLev</w:t>
            </w:r>
            <w:proofErr w:type="spellEnd"/>
            <w:r>
              <w:rPr>
                <w:rFonts w:ascii="Verdana" w:eastAsia="Times New Roman" w:hAnsi="Verdana"/>
                <w:color w:val="000066"/>
                <w:sz w:val="18"/>
                <w:szCs w:val="18"/>
              </w:rPr>
              <w:t xml:space="preserve"> for </w:t>
            </w:r>
            <w:proofErr w:type="spellStart"/>
            <w:r>
              <w:rPr>
                <w:rFonts w:ascii="Verdana" w:eastAsia="Times New Roman" w:hAnsi="Verdana"/>
                <w:color w:val="000066"/>
                <w:sz w:val="18"/>
                <w:szCs w:val="18"/>
              </w:rPr>
              <w:t>2G</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RSCP</w:t>
            </w:r>
            <w:proofErr w:type="spellEnd"/>
            <w:r>
              <w:rPr>
                <w:rFonts w:ascii="Verdana" w:eastAsia="Times New Roman" w:hAnsi="Verdana"/>
                <w:color w:val="000066"/>
                <w:sz w:val="18"/>
                <w:szCs w:val="18"/>
              </w:rPr>
              <w:t xml:space="preserve"> for 3G and RSRP for 4G and 5G, respectively. The indicator which is the result of data processing expresses a quantity from the QoS domain, namely the usefulness of the network coverage for a given range of purposes. The algorithm uses mapping relations which link the input quantity to component quantities from the QoS domain, such as telephony call setup success, call stability or call quality, or respective QoS KPI for packet-data services. These mapping relations are typically created from empirical data, </w:t>
            </w:r>
            <w:proofErr w:type="gramStart"/>
            <w:r>
              <w:rPr>
                <w:rFonts w:ascii="Verdana" w:eastAsia="Times New Roman" w:hAnsi="Verdana"/>
                <w:color w:val="000066"/>
                <w:sz w:val="18"/>
                <w:szCs w:val="18"/>
              </w:rPr>
              <w:t>e.g.</w:t>
            </w:r>
            <w:proofErr w:type="gramEnd"/>
            <w:r>
              <w:rPr>
                <w:rFonts w:ascii="Verdana" w:eastAsia="Times New Roman" w:hAnsi="Verdana"/>
                <w:color w:val="000066"/>
                <w:sz w:val="18"/>
                <w:szCs w:val="18"/>
              </w:rPr>
              <w:t xml:space="preserve"> from analysis of sufficiently large amounts of actual measurement data. It is understood that the respective indicator does not assume the same level of accuracy or relevance as a primary QoS quantity from active measurements. The degree of prediction accuracy will depend on input data available for respective characteristic curves, e.g., visualized by a scatter plot, or a heatmap-style density visualization. The indicator is however providing additional value in situations where only data from passive measurements, i.e., measurement of said RF levels, is available, or to </w:t>
            </w:r>
            <w:r>
              <w:rPr>
                <w:rFonts w:ascii="Verdana" w:eastAsia="Times New Roman" w:hAnsi="Verdana"/>
                <w:color w:val="000066"/>
                <w:sz w:val="18"/>
                <w:szCs w:val="18"/>
              </w:rPr>
              <w:lastRenderedPageBreak/>
              <w:t xml:space="preserve">create additional insights from data produced otherwise. It is meant to work with diverse data sources, such as RF level values provided from industrial-grade testing tools, apps, RF scanners, and even crowdsourcing. It is important to understand that this Technical Report does not attempt to provide actual fixed numbers, target values, </w:t>
            </w:r>
            <w:proofErr w:type="gramStart"/>
            <w:r>
              <w:rPr>
                <w:rFonts w:ascii="Verdana" w:eastAsia="Times New Roman" w:hAnsi="Verdana"/>
                <w:color w:val="000066"/>
                <w:sz w:val="18"/>
                <w:szCs w:val="18"/>
              </w:rPr>
              <w:t>thresholds</w:t>
            </w:r>
            <w:proofErr w:type="gramEnd"/>
            <w:r>
              <w:rPr>
                <w:rFonts w:ascii="Verdana" w:eastAsia="Times New Roman" w:hAnsi="Verdana"/>
                <w:color w:val="000066"/>
                <w:sz w:val="18"/>
                <w:szCs w:val="18"/>
              </w:rPr>
              <w:t xml:space="preserve"> or concrete mapping functions, as such absolute relations would not reflect the diversity of applications and situations in mobile network operation worldwide. Rather, it provides a solid methodological framework to create such implementations, as well as accompanying guidance and considerations on reliability of data in relation to properties of data sources.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3937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2023-09-28</w:t>
            </w:r>
          </w:p>
        </w:tc>
      </w:tr>
      <w:tr w:rsidR="00EB705F" w14:paraId="60F0B1B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1D33A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526F58" w14:textId="77777777" w:rsidR="00EB705F" w:rsidRPr="00144814" w:rsidRDefault="009A3DC3" w:rsidP="00C9333D">
            <w:pPr>
              <w:jc w:val="center"/>
              <w:rPr>
                <w:rFonts w:ascii="Verdana" w:eastAsia="Times New Roman" w:hAnsi="Verdana"/>
                <w:color w:val="000066"/>
                <w:sz w:val="18"/>
                <w:szCs w:val="18"/>
                <w:lang w:val="fr-FR"/>
              </w:rPr>
            </w:pPr>
            <w:hyperlink r:id="rId310" w:tooltip="See more details" w:history="1">
              <w:proofErr w:type="spellStart"/>
              <w:r w:rsidR="00EB705F" w:rsidRPr="00144814">
                <w:rPr>
                  <w:rStyle w:val="Hyperlink"/>
                  <w:rFonts w:ascii="Verdana" w:eastAsia="Times New Roman" w:hAnsi="Verdana"/>
                  <w:sz w:val="18"/>
                  <w:szCs w:val="18"/>
                  <w:lang w:val="fr-FR"/>
                </w:rPr>
                <w:t>GSTR-RQ</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G.CQoE</w:t>
              </w:r>
              <w:proofErr w:type="spellEnd"/>
              <w:proofErr w:type="gram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8664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BFD61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Roadmap for QoS and </w:t>
            </w:r>
            <w:proofErr w:type="spellStart"/>
            <w:r>
              <w:rPr>
                <w:rFonts w:ascii="Verdana" w:eastAsia="Times New Roman" w:hAnsi="Verdana"/>
                <w:color w:val="000066"/>
                <w:sz w:val="18"/>
                <w:szCs w:val="18"/>
              </w:rPr>
              <w:t>QoE</w:t>
            </w:r>
            <w:proofErr w:type="spellEnd"/>
            <w:r>
              <w:rPr>
                <w:rFonts w:ascii="Verdana" w:eastAsia="Times New Roman" w:hAnsi="Verdana"/>
                <w:color w:val="000066"/>
                <w:sz w:val="18"/>
                <w:szCs w:val="18"/>
              </w:rPr>
              <w:t xml:space="preserve"> in the ITU-T Study Group 12 context (TR-RQ)</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4319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Technical Report presents a compilation of Quality of Service (QoS), Quality of Experience (</w:t>
            </w:r>
            <w:proofErr w:type="spellStart"/>
            <w:r>
              <w:rPr>
                <w:rFonts w:ascii="Verdana" w:eastAsia="Times New Roman" w:hAnsi="Verdana"/>
                <w:color w:val="000066"/>
                <w:sz w:val="18"/>
                <w:szCs w:val="18"/>
              </w:rPr>
              <w:t>QoE</w:t>
            </w:r>
            <w:proofErr w:type="spellEnd"/>
            <w:r>
              <w:rPr>
                <w:rFonts w:ascii="Verdana" w:eastAsia="Times New Roman" w:hAnsi="Verdana"/>
                <w:color w:val="000066"/>
                <w:sz w:val="18"/>
                <w:szCs w:val="18"/>
              </w:rPr>
              <w:t xml:space="preserve">) and related terms defined by ITU-T Recommendations, exploring concepts, </w:t>
            </w:r>
            <w:proofErr w:type="gramStart"/>
            <w:r>
              <w:rPr>
                <w:rFonts w:ascii="Verdana" w:eastAsia="Times New Roman" w:hAnsi="Verdana"/>
                <w:color w:val="000066"/>
                <w:sz w:val="18"/>
                <w:szCs w:val="18"/>
              </w:rPr>
              <w:t>differences</w:t>
            </w:r>
            <w:proofErr w:type="gramEnd"/>
            <w:r>
              <w:rPr>
                <w:rFonts w:ascii="Verdana" w:eastAsia="Times New Roman" w:hAnsi="Verdana"/>
                <w:color w:val="000066"/>
                <w:sz w:val="18"/>
                <w:szCs w:val="18"/>
              </w:rPr>
              <w:t xml:space="preserve"> and relationship. The goal is to provide a roadmap for these concepts in the ITU-T Study Group 12 context, identifying possible definitions’ adjustments, clarifying the application of </w:t>
            </w:r>
            <w:proofErr w:type="spellStart"/>
            <w:r>
              <w:rPr>
                <w:rFonts w:ascii="Verdana" w:eastAsia="Times New Roman" w:hAnsi="Verdana"/>
                <w:color w:val="000066"/>
                <w:sz w:val="18"/>
                <w:szCs w:val="18"/>
              </w:rPr>
              <w:t>QoE</w:t>
            </w:r>
            <w:proofErr w:type="spellEnd"/>
            <w:r>
              <w:rPr>
                <w:rFonts w:ascii="Verdana" w:eastAsia="Times New Roman" w:hAnsi="Verdana"/>
                <w:color w:val="000066"/>
                <w:sz w:val="18"/>
                <w:szCs w:val="18"/>
              </w:rPr>
              <w:t xml:space="preserve"> terminology and which aspects characterize </w:t>
            </w:r>
            <w:proofErr w:type="spellStart"/>
            <w:r>
              <w:rPr>
                <w:rFonts w:ascii="Verdana" w:eastAsia="Times New Roman" w:hAnsi="Verdana"/>
                <w:color w:val="000066"/>
                <w:sz w:val="18"/>
                <w:szCs w:val="18"/>
              </w:rPr>
              <w:t>QoE</w:t>
            </w:r>
            <w:proofErr w:type="spellEnd"/>
            <w:r>
              <w:rPr>
                <w:rFonts w:ascii="Verdana" w:eastAsia="Times New Roman" w:hAnsi="Verdana"/>
                <w:color w:val="000066"/>
                <w:sz w:val="18"/>
                <w:szCs w:val="18"/>
              </w:rPr>
              <w:t xml:space="preserve"> assessment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6EC7B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2023-09-28</w:t>
            </w:r>
          </w:p>
        </w:tc>
      </w:tr>
      <w:tr w:rsidR="00EB705F" w14:paraId="7FF835E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D909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0E106" w14:textId="77777777" w:rsidR="00EB705F" w:rsidRPr="00144814" w:rsidRDefault="009A3DC3" w:rsidP="00C9333D">
            <w:pPr>
              <w:jc w:val="center"/>
              <w:rPr>
                <w:rFonts w:ascii="Verdana" w:eastAsia="Times New Roman" w:hAnsi="Verdana"/>
                <w:color w:val="000066"/>
                <w:sz w:val="18"/>
                <w:szCs w:val="18"/>
                <w:lang w:val="fr-FR"/>
              </w:rPr>
            </w:pPr>
            <w:hyperlink r:id="rId311" w:tooltip="See more details" w:history="1">
              <w:proofErr w:type="spellStart"/>
              <w:proofErr w:type="gramStart"/>
              <w:r w:rsidR="00EB705F" w:rsidRPr="00144814">
                <w:rPr>
                  <w:rStyle w:val="Hyperlink"/>
                  <w:rFonts w:ascii="Verdana" w:eastAsia="Times New Roman" w:hAnsi="Verdana"/>
                  <w:sz w:val="18"/>
                  <w:szCs w:val="18"/>
                  <w:lang w:val="fr-FR"/>
                </w:rPr>
                <w:t>P.Sup</w:t>
              </w:r>
              <w:proofErr w:type="gramEnd"/>
              <w:r w:rsidR="00EB705F" w:rsidRPr="00144814">
                <w:rPr>
                  <w:rStyle w:val="Hyperlink"/>
                  <w:rFonts w:ascii="Verdana" w:eastAsia="Times New Roman" w:hAnsi="Verdana"/>
                  <w:sz w:val="18"/>
                  <w:szCs w:val="18"/>
                  <w:lang w:val="fr-FR"/>
                </w:rPr>
                <w:t>30</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P.Suppl_DFS</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579C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DE600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Considerations on the automation of Digital Financial Services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179D8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When testing Digital Financial Services, a variety of specific aspects </w:t>
            </w:r>
            <w:proofErr w:type="gramStart"/>
            <w:r>
              <w:rPr>
                <w:rFonts w:ascii="Verdana" w:eastAsia="Times New Roman" w:hAnsi="Verdana"/>
                <w:color w:val="000066"/>
                <w:sz w:val="18"/>
                <w:szCs w:val="18"/>
              </w:rPr>
              <w:t>have to</w:t>
            </w:r>
            <w:proofErr w:type="gramEnd"/>
            <w:r>
              <w:rPr>
                <w:rFonts w:ascii="Verdana" w:eastAsia="Times New Roman" w:hAnsi="Verdana"/>
                <w:color w:val="000066"/>
                <w:sz w:val="18"/>
                <w:szCs w:val="18"/>
              </w:rPr>
              <w:t xml:space="preserve"> be considered. On one hand these services are an unprecedented combination of efforts in both the telecommunication and the financial sector. Secondly, and most important, each test carried out is sending real money (which might be retrieved in many cases) and is being charged real fees (which typically cannot be retrieved and are adding to the cost of testing). Once attempts are made towards automation in DFS testing, many more aspects and requirements need to be considered. This Supplement provides guidance on aspects of automation in DFS testing that need to be included in the test conditions as well as specific instructions that experimenters should consider. This Supplement also provides examples of automation which are suitable for DFS testing. It is meant to be a starting point and basis for industry vendors and other stakeholders in the DFS Ecosystem to develop robust environments for automated testing. In all cases, it is assumed that automation is technology neutral and technology agnostic.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021BF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2023-09-28</w:t>
            </w:r>
          </w:p>
        </w:tc>
      </w:tr>
      <w:tr w:rsidR="00EB705F" w14:paraId="34C6A5B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3921A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CD072A" w14:textId="77777777" w:rsidR="00EB705F" w:rsidRDefault="009A3DC3" w:rsidP="00C9333D">
            <w:pPr>
              <w:jc w:val="center"/>
              <w:rPr>
                <w:rFonts w:ascii="Verdana" w:eastAsia="Times New Roman" w:hAnsi="Verdana"/>
                <w:color w:val="000066"/>
                <w:sz w:val="18"/>
                <w:szCs w:val="18"/>
              </w:rPr>
            </w:pPr>
            <w:hyperlink r:id="rId312" w:tooltip="See more details" w:history="1">
              <w:proofErr w:type="spellStart"/>
              <w:r w:rsidR="00EB705F">
                <w:rPr>
                  <w:rStyle w:val="Hyperlink"/>
                  <w:rFonts w:ascii="Verdana" w:eastAsia="Times New Roman" w:hAnsi="Verdana"/>
                  <w:sz w:val="18"/>
                  <w:szCs w:val="18"/>
                </w:rPr>
                <w:t>G.1092</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G.TeleMeTax</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8CE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264D0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Taxonomy of </w:t>
            </w:r>
            <w:proofErr w:type="spellStart"/>
            <w:r>
              <w:rPr>
                <w:rFonts w:ascii="Verdana" w:eastAsia="Times New Roman" w:hAnsi="Verdana"/>
                <w:color w:val="000066"/>
                <w:sz w:val="18"/>
                <w:szCs w:val="18"/>
              </w:rPr>
              <w:t>telemeetings</w:t>
            </w:r>
            <w:proofErr w:type="spellEnd"/>
            <w:r>
              <w:rPr>
                <w:rFonts w:ascii="Verdana" w:eastAsia="Times New Roman" w:hAnsi="Verdana"/>
                <w:color w:val="000066"/>
                <w:sz w:val="18"/>
                <w:szCs w:val="18"/>
              </w:rPr>
              <w:t xml:space="preserve"> from a </w:t>
            </w:r>
            <w:proofErr w:type="spellStart"/>
            <w:r>
              <w:rPr>
                <w:rFonts w:ascii="Verdana" w:eastAsia="Times New Roman" w:hAnsi="Verdana"/>
                <w:color w:val="000066"/>
                <w:sz w:val="18"/>
                <w:szCs w:val="18"/>
              </w:rPr>
              <w:t>QoE</w:t>
            </w:r>
            <w:proofErr w:type="spellEnd"/>
            <w:r>
              <w:rPr>
                <w:rFonts w:ascii="Verdana" w:eastAsia="Times New Roman" w:hAnsi="Verdana"/>
                <w:color w:val="000066"/>
                <w:sz w:val="18"/>
                <w:szCs w:val="18"/>
              </w:rPr>
              <w:t xml:space="preserve">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65B9C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a taxonomy on the different possible types of </w:t>
            </w:r>
            <w:proofErr w:type="spellStart"/>
            <w:r>
              <w:rPr>
                <w:rFonts w:ascii="Verdana" w:eastAsia="Times New Roman" w:hAnsi="Verdana"/>
                <w:color w:val="000066"/>
                <w:sz w:val="18"/>
                <w:szCs w:val="18"/>
              </w:rPr>
              <w:t>telemeetings</w:t>
            </w:r>
            <w:proofErr w:type="spellEnd"/>
            <w:r>
              <w:rPr>
                <w:rFonts w:ascii="Verdana" w:eastAsia="Times New Roman" w:hAnsi="Verdana"/>
                <w:color w:val="000066"/>
                <w:sz w:val="18"/>
                <w:szCs w:val="18"/>
              </w:rPr>
              <w:t>, focussing on aspects that are crucial for Quality of Experience (</w:t>
            </w:r>
            <w:proofErr w:type="spellStart"/>
            <w:r>
              <w:rPr>
                <w:rFonts w:ascii="Verdana" w:eastAsia="Times New Roman" w:hAnsi="Verdana"/>
                <w:color w:val="000066"/>
                <w:sz w:val="18"/>
                <w:szCs w:val="18"/>
              </w:rPr>
              <w:t>QoE</w:t>
            </w:r>
            <w:proofErr w:type="spellEnd"/>
            <w:r>
              <w:rPr>
                <w:rFonts w:ascii="Verdana" w:eastAsia="Times New Roman" w:hAnsi="Verdana"/>
                <w:color w:val="000066"/>
                <w:sz w:val="18"/>
                <w:szCs w:val="18"/>
              </w:rPr>
              <w:t>) assessment. The purpose is to facilitate the selection of appropriate quality assessment methods as well as an appropriate reporting and interpretation of results.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485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3F31A0D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CFE2B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39C879" w14:textId="77777777" w:rsidR="00EB705F" w:rsidRDefault="009A3DC3" w:rsidP="00C9333D">
            <w:pPr>
              <w:jc w:val="center"/>
              <w:rPr>
                <w:rFonts w:ascii="Verdana" w:eastAsia="Times New Roman" w:hAnsi="Verdana"/>
                <w:color w:val="000066"/>
                <w:sz w:val="18"/>
                <w:szCs w:val="18"/>
              </w:rPr>
            </w:pPr>
            <w:hyperlink r:id="rId313" w:tooltip="See more details" w:history="1">
              <w:r w:rsidR="00EB705F">
                <w:rPr>
                  <w:rStyle w:val="Hyperlink"/>
                  <w:rFonts w:ascii="Verdana" w:eastAsia="Times New Roman" w:hAnsi="Verdana"/>
                  <w:sz w:val="18"/>
                  <w:szCs w:val="18"/>
                </w:rPr>
                <w:t>P.1204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C87B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7EAB4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Video quality assessment of streaming services over reliable transport for resolutions up to 4K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7DA70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P.1204 is the introductory document for a set of documents that describe model algorithms for monitoring the video quality for streaming using reliable transport (e.g., adaptive streaming based on the hypertext transfer protocol (HTTP) over the transmission control protocol (TCP), quick user datagram protocol internet connections (QUIC)). The ITU-T P.1204 series of Recommendations comprises different variants of models for sequence-related (between 5 and </w:t>
            </w:r>
            <w:proofErr w:type="gramStart"/>
            <w:r>
              <w:rPr>
                <w:rFonts w:ascii="Verdana" w:eastAsia="Times New Roman" w:hAnsi="Verdana"/>
                <w:color w:val="000066"/>
                <w:sz w:val="18"/>
                <w:szCs w:val="18"/>
              </w:rPr>
              <w:t>10?s</w:t>
            </w:r>
            <w:proofErr w:type="gramEnd"/>
            <w:r>
              <w:rPr>
                <w:rFonts w:ascii="Verdana" w:eastAsia="Times New Roman" w:hAnsi="Verdana"/>
                <w:color w:val="000066"/>
                <w:sz w:val="18"/>
                <w:szCs w:val="18"/>
              </w:rPr>
              <w:t>) and per-1-second video-quality estimation. The variants differ in the type of input information they use: bitstream based, pixel based, and hybrid (using both bitstream and pixel information). In principle, the per-1-second outputs of these video-quality models can be used together with an audio-quality model for integration into audiovisual quality and, together with information about initial loading delay and media playout stalling events, further into a final per-session model output, an estimate of integral per-session quality (see e.g., ITU-T P.1203, ITU-T P.1203.2, ITU-T P.1203.3). Recommendation ITU-T P.1204 was developed in collaboration with the Video Quality Experts Group (VQEG). The structure of the set of Recommendations reflects the different functionality of modules described in each document: –ITU-T P.1204 (2020), Video quality assessment of streaming services over reliable transport for resolutions up to 4K. –ITU-T P.1204.3 (2020), Video quality assessment of streaming services over reliable transport for resolutions up to 4K with access to full bitstream information. –ITU-T P.1204.4 (2020), Video quality assessment of streaming services over reliable transport for resolutions up to 4K with access to full and reduced reference pixel information. –ITU-T P.1204.5 (2020), Video quality assessment of streaming services over reliable transport for resolutions up to 4K with access to transport and received pixel information. The ITU-T P.1204-series of Recommendations addresses three application areas, which are respectively indicated in the module-related ITU-T P.1204.3, ITU-T P.1204.4 and ITUT P.1204.5: –large-screen presentation as with fixed-</w:t>
            </w:r>
            <w:r>
              <w:rPr>
                <w:rFonts w:ascii="Verdana" w:eastAsia="Times New Roman" w:hAnsi="Verdana"/>
                <w:color w:val="000066"/>
                <w:sz w:val="18"/>
                <w:szCs w:val="18"/>
              </w:rPr>
              <w:lastRenderedPageBreak/>
              <w:t>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E52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2023-10-29</w:t>
            </w:r>
          </w:p>
        </w:tc>
      </w:tr>
      <w:tr w:rsidR="00EB705F" w14:paraId="6ED004C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F566F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7B4D3E" w14:textId="77777777" w:rsidR="00EB705F" w:rsidRDefault="009A3DC3" w:rsidP="00C9333D">
            <w:pPr>
              <w:jc w:val="center"/>
              <w:rPr>
                <w:rFonts w:ascii="Verdana" w:eastAsia="Times New Roman" w:hAnsi="Verdana"/>
                <w:color w:val="000066"/>
                <w:sz w:val="18"/>
                <w:szCs w:val="18"/>
              </w:rPr>
            </w:pPr>
            <w:hyperlink r:id="rId314" w:tooltip="See more details" w:history="1">
              <w:r w:rsidR="00EB705F">
                <w:rPr>
                  <w:rStyle w:val="Hyperlink"/>
                  <w:rFonts w:ascii="Verdana" w:eastAsia="Times New Roman" w:hAnsi="Verdana"/>
                  <w:sz w:val="18"/>
                  <w:szCs w:val="18"/>
                </w:rPr>
                <w:t>P.1204.5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4F432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CF095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Video quality assessment of streaming services over reliable transport for resolutions up to 4K with access to transport and received pixel information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A69CA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P.1204.5 describes the hybrid no-reference video quality estimation model for monitoring the video quality for streaming using reliable transport (e.g., hypertext transfer protocol- (HTTP-)based adaptive streaming (HAS) over the transmission control protocol (TCP), quick user datagram protocol internet connections (QUIC)). The estimate is validated for videos encoded with H.264, H.265, video payload type 9 (</w:t>
            </w:r>
            <w:proofErr w:type="spellStart"/>
            <w:r>
              <w:rPr>
                <w:rFonts w:ascii="Verdana" w:eastAsia="Times New Roman" w:hAnsi="Verdana"/>
                <w:color w:val="000066"/>
                <w:sz w:val="18"/>
                <w:szCs w:val="18"/>
              </w:rPr>
              <w:t>VP9</w:t>
            </w:r>
            <w:proofErr w:type="spellEnd"/>
            <w:r>
              <w:rPr>
                <w:rFonts w:ascii="Verdana" w:eastAsia="Times New Roman" w:hAnsi="Verdana"/>
                <w:color w:val="000066"/>
                <w:sz w:val="18"/>
                <w:szCs w:val="18"/>
              </w:rPr>
              <w:t xml:space="preserve">) or </w:t>
            </w:r>
            <w:proofErr w:type="spellStart"/>
            <w:r>
              <w:rPr>
                <w:rFonts w:ascii="Verdana" w:eastAsia="Times New Roman" w:hAnsi="Verdana"/>
                <w:color w:val="000066"/>
                <w:sz w:val="18"/>
                <w:szCs w:val="18"/>
              </w:rPr>
              <w:t>AOMedia</w:t>
            </w:r>
            <w:proofErr w:type="spellEnd"/>
            <w:r>
              <w:rPr>
                <w:rFonts w:ascii="Verdana" w:eastAsia="Times New Roman" w:hAnsi="Verdana"/>
                <w:color w:val="000066"/>
                <w:sz w:val="18"/>
                <w:szCs w:val="18"/>
              </w:rPr>
              <w:t xml:space="preserve"> Video 1 (</w:t>
            </w:r>
            <w:proofErr w:type="spellStart"/>
            <w:r>
              <w:rPr>
                <w:rFonts w:ascii="Verdana" w:eastAsia="Times New Roman" w:hAnsi="Verdana"/>
                <w:color w:val="000066"/>
                <w:sz w:val="18"/>
                <w:szCs w:val="18"/>
              </w:rPr>
              <w:t>AV1</w:t>
            </w:r>
            <w:proofErr w:type="spellEnd"/>
            <w:r>
              <w:rPr>
                <w:rFonts w:ascii="Verdana" w:eastAsia="Times New Roman" w:hAnsi="Verdana"/>
                <w:color w:val="000066"/>
                <w:sz w:val="18"/>
                <w:szCs w:val="18"/>
              </w:rPr>
              <w:t>) codecs at any resolution up to 4K/ultra-high definition-1 (UHD-1) resolution for personal computer (PC) monitors and television (TV) and up to 2?</w:t>
            </w:r>
            <w:proofErr w:type="gramStart"/>
            <w:r>
              <w:rPr>
                <w:rFonts w:ascii="Verdana" w:eastAsia="Times New Roman" w:hAnsi="Verdana"/>
                <w:color w:val="000066"/>
                <w:sz w:val="18"/>
                <w:szCs w:val="18"/>
              </w:rPr>
              <w:t>560?×</w:t>
            </w:r>
            <w:proofErr w:type="gramEnd"/>
            <w:r>
              <w:rPr>
                <w:rFonts w:ascii="Verdana" w:eastAsia="Times New Roman" w:hAnsi="Verdana"/>
                <w:color w:val="000066"/>
                <w:sz w:val="18"/>
                <w:szCs w:val="18"/>
              </w:rPr>
              <w:t xml:space="preserve"> 1?440 for mobile (MO) and tablet (TA) displays. The ITU-</w:t>
            </w:r>
            <w:proofErr w:type="gramStart"/>
            <w:r>
              <w:rPr>
                <w:rFonts w:ascii="Verdana" w:eastAsia="Times New Roman" w:hAnsi="Verdana"/>
                <w:color w:val="000066"/>
                <w:sz w:val="18"/>
                <w:szCs w:val="18"/>
              </w:rPr>
              <w:t>T?P.</w:t>
            </w:r>
            <w:proofErr w:type="gramEnd"/>
            <w:r>
              <w:rPr>
                <w:rFonts w:ascii="Verdana" w:eastAsia="Times New Roman" w:hAnsi="Verdana"/>
                <w:color w:val="000066"/>
                <w:sz w:val="18"/>
                <w:szCs w:val="18"/>
              </w:rPr>
              <w:t>1204 series of Recommendations provide sequence-related (between 5?s and 10?s)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for example, ITU-T P.1203, ITU-T P.1203.2, ITU-T P.1203.3). Recommendation ITU-T P.1204.5 was developed in collaboration with the Video Quality Experts Group (VQEG). The ITU-T P.1204-series of Recommendations addresses three application areas: –large-screen presentation as with fixed-network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D4C6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36F2EAE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5500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FA0729" w14:textId="77777777" w:rsidR="00EB705F" w:rsidRDefault="009A3DC3" w:rsidP="00C9333D">
            <w:pPr>
              <w:jc w:val="center"/>
              <w:rPr>
                <w:rFonts w:ascii="Verdana" w:eastAsia="Times New Roman" w:hAnsi="Verdana"/>
                <w:color w:val="000066"/>
                <w:sz w:val="18"/>
                <w:szCs w:val="18"/>
              </w:rPr>
            </w:pPr>
            <w:hyperlink r:id="rId315" w:tooltip="See more details" w:history="1">
              <w:proofErr w:type="spellStart"/>
              <w:r w:rsidR="00EB705F">
                <w:rPr>
                  <w:rStyle w:val="Hyperlink"/>
                  <w:rFonts w:ascii="Verdana" w:eastAsia="Times New Roman" w:hAnsi="Verdana"/>
                  <w:sz w:val="18"/>
                  <w:szCs w:val="18"/>
                </w:rPr>
                <w:t>P.1211</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P.DiAQoSE</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F15A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2234D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Derivation procedure of contribution values for quality degradation of adaptive audiovisual streaming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51B43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derivation procedure of contribution values that provides information about a relationship between quality-influencing factors (e.g., media quality levels and stalling) and the final media session quality score of adaptive audiovisual streaming services. More precisely, contribution values show how much each quality-influencing factor affects (i.e., decreases) the final media session quality score provided by a quality estimation model (e.g., P.1203 or P.1204) using Shapley theory, which is a key concept in cooperative game theory for distributing profits in a game among participants. This derivation procedure can be used to monitor the streaming service since operators can know which quality-influencing factors decrease the final media session quality score.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7AB80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51F945C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29FA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7A14E0" w14:textId="77777777" w:rsidR="00EB705F" w:rsidRDefault="009A3DC3" w:rsidP="00C9333D">
            <w:pPr>
              <w:jc w:val="center"/>
              <w:rPr>
                <w:rFonts w:ascii="Verdana" w:eastAsia="Times New Roman" w:hAnsi="Verdana"/>
                <w:color w:val="000066"/>
                <w:sz w:val="18"/>
                <w:szCs w:val="18"/>
              </w:rPr>
            </w:pPr>
            <w:hyperlink r:id="rId316" w:tooltip="See more details" w:history="1">
              <w:r w:rsidR="00EB705F">
                <w:rPr>
                  <w:rStyle w:val="Hyperlink"/>
                  <w:rFonts w:ascii="Verdana" w:eastAsia="Times New Roman" w:hAnsi="Verdana"/>
                  <w:sz w:val="18"/>
                  <w:szCs w:val="18"/>
                </w:rPr>
                <w:t>P.910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7F9B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8EE3E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Subjective video quality assessment methods for multimedia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C96C2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P.910 describes non-interactive subjective assessment methods for evaluating the one-way overall video quality, audio quality and audiovisual quality for applications such as multimedia and distribution quality television. These methods can be used for several different purposes including, but not limited to, comparing the quality of multiple devices, comparing the performance of a device in multiple environments, and for subjective assessment where the quality impact of the device and the audiovisual material is confounded.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471B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07CBE8C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F663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65ECEC" w14:textId="77777777" w:rsidR="00EB705F" w:rsidRDefault="009A3DC3" w:rsidP="00C9333D">
            <w:pPr>
              <w:jc w:val="center"/>
              <w:rPr>
                <w:rFonts w:ascii="Verdana" w:eastAsia="Times New Roman" w:hAnsi="Verdana"/>
                <w:color w:val="000066"/>
                <w:sz w:val="18"/>
                <w:szCs w:val="18"/>
              </w:rPr>
            </w:pPr>
            <w:hyperlink r:id="rId317" w:tooltip="See more details" w:history="1">
              <w:r w:rsidR="00EB705F">
                <w:rPr>
                  <w:rStyle w:val="Hyperlink"/>
                  <w:rFonts w:ascii="Verdana" w:eastAsia="Times New Roman" w:hAnsi="Verdana"/>
                  <w:sz w:val="18"/>
                  <w:szCs w:val="18"/>
                </w:rPr>
                <w:t>Y.1567 (ex Y.LUL)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3EECA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0AABF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Latency Under Load metrics and methods of measurement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74445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There is considerable industry interest to conduct tests that capture latency of the user’s path while in-use. The traffic load level associated with “while in-use” is widely proportional to the additional latency measured with respect to the minimum latency, and latency increases rapidly near the maximum load level. A user using application traffic will experience latency within measurable bounds: the lower limit of the minimum latency and the upper limit of latency at Maximum Capacity. Although many measurement applications assess different metrics of latency today, they mostly employ the TCP protocol. Therefore, a clear gap is UDP-based Latency under Load/Responsiveness. This gap is significant, because: 1. User applications/traffic with strict response time requirements will use UDP. 2. The percentage of UDP traffic is significant and continues to grow in proportion to TCP traffic. This Recommendation specifies metrics of latency under simultaneous traffic </w:t>
            </w:r>
            <w:proofErr w:type="gramStart"/>
            <w:r>
              <w:rPr>
                <w:rFonts w:ascii="Verdana" w:eastAsia="Times New Roman" w:hAnsi="Verdana"/>
                <w:color w:val="000066"/>
                <w:sz w:val="18"/>
                <w:szCs w:val="18"/>
              </w:rPr>
              <w:t>load, and</w:t>
            </w:r>
            <w:proofErr w:type="gramEnd"/>
            <w:r>
              <w:rPr>
                <w:rFonts w:ascii="Verdana" w:eastAsia="Times New Roman" w:hAnsi="Verdana"/>
                <w:color w:val="000066"/>
                <w:sz w:val="18"/>
                <w:szCs w:val="18"/>
              </w:rPr>
              <w:t xml:space="preserve"> defines methods of measurement to increase the specificity and repeatability of metric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6F02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6A04876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AD5CB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CA3363" w14:textId="77777777" w:rsidR="00EB705F" w:rsidRPr="00144814" w:rsidRDefault="009A3DC3" w:rsidP="00C9333D">
            <w:pPr>
              <w:jc w:val="center"/>
              <w:rPr>
                <w:rFonts w:ascii="Verdana" w:eastAsia="Times New Roman" w:hAnsi="Verdana"/>
                <w:color w:val="000066"/>
                <w:sz w:val="18"/>
                <w:szCs w:val="18"/>
                <w:lang w:val="fr-FR"/>
              </w:rPr>
            </w:pPr>
            <w:hyperlink r:id="rId318" w:tooltip="See more details" w:history="1">
              <w:proofErr w:type="spellStart"/>
              <w:r w:rsidR="00EB705F" w:rsidRPr="00144814">
                <w:rPr>
                  <w:rStyle w:val="Hyperlink"/>
                  <w:rFonts w:ascii="Verdana" w:eastAsia="Times New Roman" w:hAnsi="Verdana"/>
                  <w:sz w:val="18"/>
                  <w:szCs w:val="18"/>
                  <w:lang w:val="fr-FR"/>
                </w:rPr>
                <w:t>Y.3656</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Y.bDDN</w:t>
              </w:r>
              <w:proofErr w:type="gramEnd"/>
              <w:r w:rsidR="00EB705F" w:rsidRPr="00144814">
                <w:rPr>
                  <w:rStyle w:val="Hyperlink"/>
                  <w:rFonts w:ascii="Verdana" w:eastAsia="Times New Roman" w:hAnsi="Verdana"/>
                  <w:sz w:val="18"/>
                  <w:szCs w:val="18"/>
                  <w:lang w:val="fr-FR"/>
                </w:rPr>
                <w:t>-NSMec</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2608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DE667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Big Data Driven Networking-Mechanism of network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0E0FB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w:t>
            </w:r>
            <w:proofErr w:type="spellStart"/>
            <w:r>
              <w:rPr>
                <w:rFonts w:ascii="Verdana" w:eastAsia="Times New Roman" w:hAnsi="Verdana"/>
                <w:color w:val="000066"/>
                <w:sz w:val="18"/>
                <w:szCs w:val="18"/>
              </w:rPr>
              <w:t>bDDN</w:t>
            </w:r>
            <w:proofErr w:type="spellEnd"/>
            <w:r>
              <w:rPr>
                <w:rFonts w:ascii="Verdana" w:eastAsia="Times New Roman" w:hAnsi="Verdana"/>
                <w:color w:val="000066"/>
                <w:sz w:val="18"/>
                <w:szCs w:val="18"/>
              </w:rPr>
              <w:t xml:space="preserve"> can provide a better integration and more intelligent capabilities, such as the capability of self-optimization, self-configuration, and intelligent fault management, based on big data plane and its machine learning capabilities. It can </w:t>
            </w:r>
            <w:proofErr w:type="gramStart"/>
            <w:r>
              <w:rPr>
                <w:rFonts w:ascii="Verdana" w:eastAsia="Times New Roman" w:hAnsi="Verdana"/>
                <w:color w:val="000066"/>
                <w:sz w:val="18"/>
                <w:szCs w:val="18"/>
              </w:rPr>
              <w:t>provide significantly</w:t>
            </w:r>
            <w:proofErr w:type="gramEnd"/>
            <w:r>
              <w:rPr>
                <w:rFonts w:ascii="Verdana" w:eastAsia="Times New Roman" w:hAnsi="Verdana"/>
                <w:color w:val="000066"/>
                <w:sz w:val="18"/>
                <w:szCs w:val="18"/>
              </w:rPr>
              <w:t xml:space="preserve"> enhancement to the network service provisioning by using big data intelligence. This recommendation specifies the network service provisioning mechanism in </w:t>
            </w:r>
            <w:proofErr w:type="spellStart"/>
            <w:r>
              <w:rPr>
                <w:rFonts w:ascii="Verdana" w:eastAsia="Times New Roman" w:hAnsi="Verdana"/>
                <w:color w:val="000066"/>
                <w:sz w:val="18"/>
                <w:szCs w:val="18"/>
              </w:rPr>
              <w:t>bDDN</w:t>
            </w:r>
            <w:proofErr w:type="spellEnd"/>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7DBE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2023-06-22</w:t>
            </w:r>
          </w:p>
        </w:tc>
      </w:tr>
      <w:tr w:rsidR="00EB705F" w14:paraId="1CAEA70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CB8C9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DDD864" w14:textId="77777777" w:rsidR="00EB705F" w:rsidRDefault="009A3DC3" w:rsidP="00C9333D">
            <w:pPr>
              <w:jc w:val="center"/>
              <w:rPr>
                <w:rFonts w:ascii="Verdana" w:eastAsia="Times New Roman" w:hAnsi="Verdana"/>
                <w:color w:val="000066"/>
                <w:sz w:val="18"/>
                <w:szCs w:val="18"/>
              </w:rPr>
            </w:pPr>
            <w:hyperlink r:id="rId319" w:tooltip="See more details" w:history="1">
              <w:proofErr w:type="spellStart"/>
              <w:r w:rsidR="00EB705F">
                <w:rPr>
                  <w:rStyle w:val="Hyperlink"/>
                  <w:rFonts w:ascii="Verdana" w:eastAsia="Times New Roman" w:hAnsi="Verdana"/>
                  <w:sz w:val="18"/>
                  <w:szCs w:val="18"/>
                </w:rPr>
                <w:t>Y.2249</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Y.arsm</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C37C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B097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Service model for human-centric touring guide with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F62BE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w:t>
            </w:r>
            <w:proofErr w:type="spellStart"/>
            <w:proofErr w:type="gramStart"/>
            <w:r>
              <w:rPr>
                <w:rFonts w:ascii="Verdana" w:eastAsia="Times New Roman" w:hAnsi="Verdana"/>
                <w:color w:val="000066"/>
                <w:sz w:val="18"/>
                <w:szCs w:val="18"/>
              </w:rPr>
              <w:t>Y.arsm</w:t>
            </w:r>
            <w:proofErr w:type="spellEnd"/>
            <w:proofErr w:type="gramEnd"/>
            <w:r>
              <w:rPr>
                <w:rFonts w:ascii="Verdana" w:eastAsia="Times New Roman" w:hAnsi="Verdana"/>
                <w:color w:val="000066"/>
                <w:sz w:val="18"/>
                <w:szCs w:val="18"/>
              </w:rPr>
              <w:t xml:space="preserve"> specifies a service model for a human-centric touring guide with augmented reality(AR), including the concept, reference architecture, service requirements, and specific application scenarios of the service model. This Recommendation can be used to guide AR-based cultural tourism service providers to develop a service model for human-centric touring guide with AR.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0061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4199C7A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4B425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3DBCCF" w14:textId="77777777" w:rsidR="00EB705F" w:rsidRDefault="009A3DC3" w:rsidP="00C9333D">
            <w:pPr>
              <w:jc w:val="center"/>
              <w:rPr>
                <w:rFonts w:ascii="Verdana" w:eastAsia="Times New Roman" w:hAnsi="Verdana"/>
                <w:color w:val="000066"/>
                <w:sz w:val="18"/>
                <w:szCs w:val="18"/>
              </w:rPr>
            </w:pPr>
            <w:hyperlink r:id="rId320" w:tooltip="See more details" w:history="1">
              <w:proofErr w:type="spellStart"/>
              <w:r w:rsidR="00EB705F">
                <w:rPr>
                  <w:rStyle w:val="Hyperlink"/>
                  <w:rFonts w:ascii="Verdana" w:eastAsia="Times New Roman" w:hAnsi="Verdana"/>
                  <w:sz w:val="18"/>
                  <w:szCs w:val="18"/>
                </w:rPr>
                <w:t>Y.3058</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Y.trust</w:t>
              </w:r>
              <w:proofErr w:type="spellEnd"/>
              <w:proofErr w:type="gramEnd"/>
              <w:r w:rsidR="00EB705F">
                <w:rPr>
                  <w:rStyle w:val="Hyperlink"/>
                  <w:rFonts w:ascii="Verdana" w:eastAsia="Times New Roman" w:hAnsi="Verdana"/>
                  <w:sz w:val="18"/>
                  <w:szCs w:val="18"/>
                </w:rPr>
                <w:t>-arch)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10E9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18A17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trust enabled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68B4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 trust enabled service is a reliable service which satisfies service and trust requirements, by applying additional functions for trust provisioning capabilities to conventional ICT service entities (including resources, stakeholders, and users), that </w:t>
            </w:r>
            <w:proofErr w:type="gramStart"/>
            <w:r>
              <w:rPr>
                <w:rFonts w:ascii="Verdana" w:eastAsia="Times New Roman" w:hAnsi="Verdana"/>
                <w:color w:val="000066"/>
                <w:sz w:val="18"/>
                <w:szCs w:val="18"/>
              </w:rPr>
              <w:t>is able to</w:t>
            </w:r>
            <w:proofErr w:type="gramEnd"/>
            <w:r>
              <w:rPr>
                <w:rFonts w:ascii="Verdana" w:eastAsia="Times New Roman" w:hAnsi="Verdana"/>
                <w:color w:val="000066"/>
                <w:sz w:val="18"/>
                <w:szCs w:val="18"/>
              </w:rPr>
              <w:t xml:space="preserve"> develop better quality of services and experience.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provide trust enabled features to existing ICT services, relevant architectures with key components are required. Therefore, this draft Recommendation provides a functional architecture for trust enabled service provisioning. It describes the concept and requirements and specifies related functional blocks, reference points and trust enabled service provisioning procedures between related functional blocks to support trust provisioning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9D5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65BD350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CD4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CD2188" w14:textId="77777777" w:rsidR="00EB705F" w:rsidRDefault="009A3DC3" w:rsidP="00C9333D">
            <w:pPr>
              <w:jc w:val="center"/>
              <w:rPr>
                <w:rFonts w:ascii="Verdana" w:eastAsia="Times New Roman" w:hAnsi="Verdana"/>
                <w:color w:val="000066"/>
                <w:sz w:val="18"/>
                <w:szCs w:val="18"/>
              </w:rPr>
            </w:pPr>
            <w:hyperlink r:id="rId321" w:tooltip="See more details" w:history="1">
              <w:proofErr w:type="spellStart"/>
              <w:r w:rsidR="00EB705F">
                <w:rPr>
                  <w:rStyle w:val="Hyperlink"/>
                  <w:rFonts w:ascii="Verdana" w:eastAsia="Times New Roman" w:hAnsi="Verdana"/>
                  <w:sz w:val="18"/>
                  <w:szCs w:val="18"/>
                </w:rPr>
                <w:t>Y.3060</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Y.trust</w:t>
              </w:r>
              <w:proofErr w:type="spellEnd"/>
              <w:proofErr w:type="gramEnd"/>
              <w:r w:rsidR="00EB705F">
                <w:rPr>
                  <w:rStyle w:val="Hyperlink"/>
                  <w:rFonts w:ascii="Verdana" w:eastAsia="Times New Roman" w:hAnsi="Verdana"/>
                  <w:sz w:val="18"/>
                  <w:szCs w:val="18"/>
                </w:rPr>
                <w:t>-an)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8C1C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2C2A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Autonomous networks - overview on trust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8C3E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an overview on trust for autonomous networks. It introduces the background and necessities of trust study in areas of network autonomy and network intelligence. The concepts of trust for autonomous networks are explained and defined in the context of trusted autonomous network. Basing on the concepts of trust for autonomous networks, basic principles are also be explained and described in detail. In addition, an overall workflow model for trusted autonomous network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051C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53FA516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A908C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22743" w14:textId="77777777" w:rsidR="00EB705F" w:rsidRPr="00144814" w:rsidRDefault="009A3DC3" w:rsidP="00C9333D">
            <w:pPr>
              <w:jc w:val="center"/>
              <w:rPr>
                <w:rFonts w:ascii="Verdana" w:eastAsia="Times New Roman" w:hAnsi="Verdana"/>
                <w:color w:val="000066"/>
                <w:sz w:val="18"/>
                <w:szCs w:val="18"/>
                <w:lang w:val="fr-FR"/>
              </w:rPr>
            </w:pPr>
            <w:hyperlink r:id="rId322" w:tooltip="See more details" w:history="1">
              <w:r w:rsidR="00EB705F" w:rsidRPr="00144814">
                <w:rPr>
                  <w:rStyle w:val="Hyperlink"/>
                  <w:rFonts w:ascii="Verdana" w:eastAsia="Times New Roman" w:hAnsi="Verdana"/>
                  <w:sz w:val="18"/>
                  <w:szCs w:val="18"/>
                  <w:lang w:val="fr-FR"/>
                </w:rPr>
                <w:t>Y.3083 (ex Y.ICN-SEAN)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6909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EF27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Information-centric networking in networks beyond IMT-2020: Reference model of on-site, elastic, and autonomous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779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the elastic and autonomous information-centric networking (ICN), which can meet all the requirements of look-up-based forwarding in ICN described in [ITU-T Y.3075], and its capabilities of on-site forwarding and processing, elastic managing, and autonomous name mapping and resolving to support instant re-addressing and routing efficiently. It describes the reference model, interaction mechanism of different components, and the deployment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2289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119EE32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127F3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A738CB" w14:textId="77777777" w:rsidR="00EB705F" w:rsidRPr="00144814" w:rsidRDefault="009A3DC3" w:rsidP="00C9333D">
            <w:pPr>
              <w:jc w:val="center"/>
              <w:rPr>
                <w:rFonts w:ascii="Verdana" w:eastAsia="Times New Roman" w:hAnsi="Verdana"/>
                <w:color w:val="000066"/>
                <w:sz w:val="18"/>
                <w:szCs w:val="18"/>
                <w:lang w:val="fr-FR"/>
              </w:rPr>
            </w:pPr>
            <w:hyperlink r:id="rId323" w:tooltip="See more details" w:history="1">
              <w:r w:rsidR="00EB705F" w:rsidRPr="00144814">
                <w:rPr>
                  <w:rStyle w:val="Hyperlink"/>
                  <w:rFonts w:ascii="Verdana" w:eastAsia="Times New Roman" w:hAnsi="Verdana"/>
                  <w:sz w:val="18"/>
                  <w:szCs w:val="18"/>
                  <w:lang w:val="fr-FR"/>
                </w:rPr>
                <w:t>Y.3124 (ex Y.IMT-2020.qos-mon)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3ABF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9AC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Quality of service monitoring requirements and framework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1DC1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quality of service (QoS) monitoring requirements and framework for IMT-2020 and beyond. It first provides an introduction of QoS monitoring for IMT-2020 and beyond. The QoS monitoring requirements and framework are specified accordingly.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585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1F80487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7CF9F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8DD49E"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"http://www.itu.int/itu-t/workprog/wp_item.aspx?isn=18084" \o "See more details"</w:instrText>
            </w:r>
            <w:r>
              <w:fldChar w:fldCharType="separate"/>
            </w:r>
            <w:r w:rsidR="00EB705F" w:rsidRPr="00144814">
              <w:rPr>
                <w:rStyle w:val="Hyperlink"/>
                <w:rFonts w:ascii="Verdana" w:eastAsia="Times New Roman" w:hAnsi="Verdana"/>
                <w:sz w:val="18"/>
                <w:szCs w:val="18"/>
                <w:lang w:val="fr-FR"/>
              </w:rPr>
              <w:t xml:space="preserve">Y.3125 (ex </w:t>
            </w:r>
            <w:proofErr w:type="gramStart"/>
            <w:r w:rsidR="00EB705F" w:rsidRPr="00144814">
              <w:rPr>
                <w:rStyle w:val="Hyperlink"/>
                <w:rFonts w:ascii="Verdana" w:eastAsia="Times New Roman" w:hAnsi="Verdana"/>
                <w:sz w:val="18"/>
                <w:szCs w:val="18"/>
                <w:lang w:val="fr-FR"/>
              </w:rPr>
              <w:t>Y.IMT</w:t>
            </w:r>
            <w:proofErr w:type="gramEnd"/>
            <w:r w:rsidR="00EB705F" w:rsidRPr="00144814">
              <w:rPr>
                <w:rStyle w:val="Hyperlink"/>
                <w:rFonts w:ascii="Verdana" w:eastAsia="Times New Roman" w:hAnsi="Verdana"/>
                <w:sz w:val="18"/>
                <w:szCs w:val="18"/>
                <w:lang w:val="fr-FR"/>
              </w:rPr>
              <w:t>2020-qos-req-cg)</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22761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9D94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QoS assurance requirements and framework for cloud gaming supported by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B243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the QoS assurance aspects for cloud gaming supported by the international mobile telecommunications 2020 (IMT-2020) network. It first provides an overview of the cloud gaming supported by IMT-2020 network. It then specifies the high level requirements, functional requirements, and framework for cloud gaming supported by IMT-2020 </w:t>
            </w:r>
            <w:proofErr w:type="gramStart"/>
            <w:r>
              <w:rPr>
                <w:rFonts w:ascii="Verdana" w:eastAsia="Times New Roman" w:hAnsi="Verdana"/>
                <w:color w:val="000066"/>
                <w:sz w:val="18"/>
                <w:szCs w:val="18"/>
              </w:rPr>
              <w:t>network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D8429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28B9009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67F4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2985A6"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"http://www.itu.int/itu-t/workprog/wp_item.aspx?isn=18126" \o "See more details"</w:instrText>
            </w:r>
            <w:r>
              <w:fldChar w:fldCharType="separate"/>
            </w:r>
            <w:r w:rsidR="00EB705F" w:rsidRPr="00144814">
              <w:rPr>
                <w:rStyle w:val="Hyperlink"/>
                <w:rFonts w:ascii="Verdana" w:eastAsia="Times New Roman" w:hAnsi="Verdana"/>
                <w:sz w:val="18"/>
                <w:szCs w:val="18"/>
                <w:lang w:val="fr-FR"/>
              </w:rPr>
              <w:t xml:space="preserve">Y.3204 (ex </w:t>
            </w:r>
            <w:proofErr w:type="gramStart"/>
            <w:r w:rsidR="00EB705F" w:rsidRPr="00144814">
              <w:rPr>
                <w:rStyle w:val="Hyperlink"/>
                <w:rFonts w:ascii="Verdana" w:eastAsia="Times New Roman" w:hAnsi="Verdana"/>
                <w:sz w:val="18"/>
                <w:szCs w:val="18"/>
                <w:lang w:val="fr-FR"/>
              </w:rPr>
              <w:t>Y.FMSC</w:t>
            </w:r>
            <w:proofErr w:type="gramEnd"/>
            <w:r w:rsidR="00EB705F" w:rsidRPr="00144814">
              <w:rPr>
                <w:rStyle w:val="Hyperlink"/>
                <w:rFonts w:ascii="Verdana" w:eastAsia="Times New Roman" w:hAnsi="Verdana"/>
                <w:sz w:val="18"/>
                <w:szCs w:val="18"/>
                <w:lang w:val="fr-FR"/>
              </w:rPr>
              <w:t>-SC)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8F01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1FAA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Fixed, mobile and satellite convergence - Service continuity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E84B7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service continuity is the ability for a moving object to maintain ongoing service over including current states, such as user's network environment and session for a service. Fixed, mobile and satellite convergence (FMSC) is the capability that provides services and applications to end users regardless of the fixed, mobile or satellite access technologies. This Recommendation specifies the scenarios, requirements, enablers, network function enhancements, </w:t>
            </w:r>
            <w:proofErr w:type="gramStart"/>
            <w:r>
              <w:rPr>
                <w:rFonts w:ascii="Verdana" w:eastAsia="Times New Roman" w:hAnsi="Verdana"/>
                <w:color w:val="000066"/>
                <w:sz w:val="18"/>
                <w:szCs w:val="18"/>
              </w:rPr>
              <w:t>procedures</w:t>
            </w:r>
            <w:proofErr w:type="gramEnd"/>
            <w:r>
              <w:rPr>
                <w:rFonts w:ascii="Verdana" w:eastAsia="Times New Roman" w:hAnsi="Verdana"/>
                <w:color w:val="000066"/>
                <w:sz w:val="18"/>
                <w:szCs w:val="18"/>
              </w:rPr>
              <w:t xml:space="preserve"> and security considerations of service continuity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421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1FD37FF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5869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CCEE57" w14:textId="77777777" w:rsidR="00EB705F" w:rsidRPr="00144814" w:rsidRDefault="009A3DC3" w:rsidP="00C9333D">
            <w:pPr>
              <w:jc w:val="center"/>
              <w:rPr>
                <w:rFonts w:ascii="Verdana" w:eastAsia="Times New Roman" w:hAnsi="Verdana"/>
                <w:color w:val="000066"/>
                <w:sz w:val="18"/>
                <w:szCs w:val="18"/>
                <w:lang w:val="fr-FR"/>
              </w:rPr>
            </w:pPr>
            <w:hyperlink r:id="rId324" w:tooltip="See more details" w:history="1">
              <w:proofErr w:type="spellStart"/>
              <w:r w:rsidR="00EB705F" w:rsidRPr="00144814">
                <w:rPr>
                  <w:rStyle w:val="Hyperlink"/>
                  <w:rFonts w:ascii="Verdana" w:eastAsia="Times New Roman" w:hAnsi="Verdana"/>
                  <w:sz w:val="18"/>
                  <w:szCs w:val="18"/>
                  <w:lang w:val="fr-FR"/>
                </w:rPr>
                <w:t>Y.3815</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Y.QKDN</w:t>
              </w:r>
              <w:proofErr w:type="gramEnd"/>
              <w:r w:rsidR="00EB705F" w:rsidRPr="00144814">
                <w:rPr>
                  <w:rStyle w:val="Hyperlink"/>
                  <w:rFonts w:ascii="Verdana" w:eastAsia="Times New Roman" w:hAnsi="Verdana"/>
                  <w:sz w:val="18"/>
                  <w:szCs w:val="18"/>
                  <w:lang w:val="fr-FR"/>
                </w:rPr>
                <w:t>-rsfr</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E0560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0020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overview of resilience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6AEA6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For seamless key supply even in the case of network failures, this Recommendation describes an overview of resilience and conceptual models of protection and recovery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FA1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3A87541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E0359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4B10E" w14:textId="77777777" w:rsidR="00EB705F" w:rsidRPr="00144814" w:rsidRDefault="009A3DC3" w:rsidP="00C9333D">
            <w:pPr>
              <w:jc w:val="center"/>
              <w:rPr>
                <w:rFonts w:ascii="Verdana" w:eastAsia="Times New Roman" w:hAnsi="Verdana"/>
                <w:color w:val="000066"/>
                <w:sz w:val="18"/>
                <w:szCs w:val="18"/>
                <w:lang w:val="fr-FR"/>
              </w:rPr>
            </w:pPr>
            <w:hyperlink r:id="rId325" w:tooltip="See more details" w:history="1">
              <w:proofErr w:type="spellStart"/>
              <w:r w:rsidR="00EB705F" w:rsidRPr="00144814">
                <w:rPr>
                  <w:rStyle w:val="Hyperlink"/>
                  <w:rFonts w:ascii="Verdana" w:eastAsia="Times New Roman" w:hAnsi="Verdana"/>
                  <w:sz w:val="18"/>
                  <w:szCs w:val="18"/>
                  <w:lang w:val="fr-FR"/>
                </w:rPr>
                <w:t>Y.3816</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Y.QKDN</w:t>
              </w:r>
              <w:proofErr w:type="spellEnd"/>
              <w:proofErr w:type="gramEnd"/>
              <w:r w:rsidR="00EB705F" w:rsidRPr="00144814">
                <w:rPr>
                  <w:rStyle w:val="Hyperlink"/>
                  <w:rFonts w:ascii="Verdana" w:eastAsia="Times New Roman" w:hAnsi="Verdana"/>
                  <w:sz w:val="18"/>
                  <w:szCs w:val="18"/>
                  <w:lang w:val="fr-FR"/>
                </w:rPr>
                <w:t>-</w:t>
              </w:r>
              <w:proofErr w:type="spellStart"/>
              <w:r w:rsidR="00EB705F" w:rsidRPr="00144814">
                <w:rPr>
                  <w:rStyle w:val="Hyperlink"/>
                  <w:rFonts w:ascii="Verdana" w:eastAsia="Times New Roman" w:hAnsi="Verdana"/>
                  <w:sz w:val="18"/>
                  <w:szCs w:val="18"/>
                  <w:lang w:val="fr-FR"/>
                </w:rPr>
                <w:t>qos</w:t>
              </w:r>
              <w:proofErr w:type="spellEnd"/>
              <w:r w:rsidR="00EB705F" w:rsidRPr="00144814">
                <w:rPr>
                  <w:rStyle w:val="Hyperlink"/>
                  <w:rFonts w:ascii="Verdana" w:eastAsia="Times New Roman" w:hAnsi="Verdana"/>
                  <w:sz w:val="18"/>
                  <w:szCs w:val="18"/>
                  <w:lang w:val="fr-FR"/>
                </w:rPr>
                <w:t>-ml-fa)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B93F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CD992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architecture enhancement of machine learning based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79794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functional architecture enhancement of machine learning based QoS assurance for the quantum key distribution networks (QKDN). This Recommendation first provides an overview of functional architecture enhancement of machine learning based QoS assurance for the QKDN. It then describes a functional architecture enhancement of QoS assurance which includes functional components such as QoS data collection, data processing, data storage, data analytics, QoS anomaly detection and prediction, QoS policy decision making, enforcement and reporting. Based on the capabilities described in the functional architecture enhancement, this recommendation specifies an operational procedure of QoS assurance for the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2EB29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2773D26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B166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BD95ED" w14:textId="77777777" w:rsidR="00EB705F" w:rsidRPr="00144814" w:rsidRDefault="009A3DC3" w:rsidP="00C9333D">
            <w:pPr>
              <w:jc w:val="center"/>
              <w:rPr>
                <w:rFonts w:ascii="Verdana" w:eastAsia="Times New Roman" w:hAnsi="Verdana"/>
                <w:color w:val="000066"/>
                <w:sz w:val="18"/>
                <w:szCs w:val="18"/>
                <w:lang w:val="fr-FR"/>
              </w:rPr>
            </w:pPr>
            <w:hyperlink r:id="rId326" w:tooltip="See more details" w:history="1">
              <w:proofErr w:type="spellStart"/>
              <w:r w:rsidR="00EB705F" w:rsidRPr="00144814">
                <w:rPr>
                  <w:rStyle w:val="Hyperlink"/>
                  <w:rFonts w:ascii="Verdana" w:eastAsia="Times New Roman" w:hAnsi="Verdana"/>
                  <w:sz w:val="18"/>
                  <w:szCs w:val="18"/>
                  <w:lang w:val="fr-FR"/>
                </w:rPr>
                <w:t>Y.3817</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Y.QKDN</w:t>
              </w:r>
              <w:proofErr w:type="gramEnd"/>
              <w:r w:rsidR="00EB705F" w:rsidRPr="00144814">
                <w:rPr>
                  <w:rStyle w:val="Hyperlink"/>
                  <w:rFonts w:ascii="Verdana" w:eastAsia="Times New Roman" w:hAnsi="Verdana"/>
                  <w:sz w:val="18"/>
                  <w:szCs w:val="18"/>
                  <w:lang w:val="fr-FR"/>
                </w:rPr>
                <w:t>-qos-iw-req</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D88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CFFED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Quantum key distribution networks interworking - Requirements of </w:t>
            </w:r>
            <w:proofErr w:type="gramStart"/>
            <w:r>
              <w:rPr>
                <w:rFonts w:ascii="Verdana" w:eastAsia="Times New Roman" w:hAnsi="Verdana"/>
                <w:color w:val="000066"/>
                <w:sz w:val="18"/>
                <w:szCs w:val="18"/>
              </w:rPr>
              <w:t>quality of service</w:t>
            </w:r>
            <w:proofErr w:type="gramEnd"/>
            <w:r>
              <w:rPr>
                <w:rFonts w:ascii="Verdana" w:eastAsia="Times New Roman" w:hAnsi="Verdana"/>
                <w:color w:val="000066"/>
                <w:sz w:val="18"/>
                <w:szCs w:val="18"/>
              </w:rPr>
              <w:t xml:space="preserv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FB1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high-level and functional requirements of quality of service (QoS) assurance for quantum key distribution networks (QKDN) interworking. The functional requirements include QoS information transfer, QoS negotiation, QoS management and QoS routing.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030F6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675F9BA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5B219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2497D7" w14:textId="77777777" w:rsidR="00EB705F" w:rsidRPr="00144814" w:rsidRDefault="009A3DC3" w:rsidP="00C9333D">
            <w:pPr>
              <w:jc w:val="center"/>
              <w:rPr>
                <w:rFonts w:ascii="Verdana" w:eastAsia="Times New Roman" w:hAnsi="Verdana"/>
                <w:color w:val="000066"/>
                <w:sz w:val="18"/>
                <w:szCs w:val="18"/>
                <w:lang w:val="fr-FR"/>
              </w:rPr>
            </w:pPr>
            <w:hyperlink r:id="rId327" w:tooltip="See more details" w:history="1">
              <w:proofErr w:type="spellStart"/>
              <w:r w:rsidR="00EB705F" w:rsidRPr="00144814">
                <w:rPr>
                  <w:rStyle w:val="Hyperlink"/>
                  <w:rFonts w:ascii="Verdana" w:eastAsia="Times New Roman" w:hAnsi="Verdana"/>
                  <w:sz w:val="18"/>
                  <w:szCs w:val="18"/>
                  <w:lang w:val="fr-FR"/>
                </w:rPr>
                <w:t>Y.3818</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Y.QKDN</w:t>
              </w:r>
              <w:proofErr w:type="spellEnd"/>
              <w:proofErr w:type="gramEnd"/>
              <w:r w:rsidR="00EB705F" w:rsidRPr="00144814">
                <w:rPr>
                  <w:rStyle w:val="Hyperlink"/>
                  <w:rFonts w:ascii="Verdana" w:eastAsia="Times New Roman" w:hAnsi="Verdana"/>
                  <w:sz w:val="18"/>
                  <w:szCs w:val="18"/>
                  <w:lang w:val="fr-FR"/>
                </w:rPr>
                <w:t xml:space="preserve">- </w:t>
              </w:r>
              <w:proofErr w:type="spellStart"/>
              <w:r w:rsidR="00EB705F" w:rsidRPr="00144814">
                <w:rPr>
                  <w:rStyle w:val="Hyperlink"/>
                  <w:rFonts w:ascii="Verdana" w:eastAsia="Times New Roman" w:hAnsi="Verdana"/>
                  <w:sz w:val="18"/>
                  <w:szCs w:val="18"/>
                  <w:lang w:val="fr-FR"/>
                </w:rPr>
                <w:t>iwac</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E1E1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A264B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interworking -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FF091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For quantum key distribution networks (QKDN), Recommendation ITU-T </w:t>
            </w:r>
            <w:proofErr w:type="spellStart"/>
            <w:proofErr w:type="gramStart"/>
            <w:r>
              <w:rPr>
                <w:rFonts w:ascii="Verdana" w:eastAsia="Times New Roman" w:hAnsi="Verdana"/>
                <w:color w:val="000066"/>
                <w:sz w:val="18"/>
                <w:szCs w:val="18"/>
              </w:rPr>
              <w:t>Y.QKDN</w:t>
            </w:r>
            <w:proofErr w:type="gramEnd"/>
            <w:r>
              <w:rPr>
                <w:rFonts w:ascii="Verdana" w:eastAsia="Times New Roman" w:hAnsi="Verdana"/>
                <w:color w:val="000066"/>
                <w:sz w:val="18"/>
                <w:szCs w:val="18"/>
              </w:rPr>
              <w:t>_iwac</w:t>
            </w:r>
            <w:proofErr w:type="spellEnd"/>
            <w:r>
              <w:rPr>
                <w:rFonts w:ascii="Verdana" w:eastAsia="Times New Roman" w:hAnsi="Verdana"/>
                <w:color w:val="000066"/>
                <w:sz w:val="18"/>
                <w:szCs w:val="18"/>
              </w:rPr>
              <w:t xml:space="preserve"> specifies functional architecture models for QKDN interworking (</w:t>
            </w:r>
            <w:proofErr w:type="spellStart"/>
            <w:r>
              <w:rPr>
                <w:rFonts w:ascii="Verdana" w:eastAsia="Times New Roman" w:hAnsi="Verdana"/>
                <w:color w:val="000066"/>
                <w:sz w:val="18"/>
                <w:szCs w:val="18"/>
              </w:rPr>
              <w:t>QKDNi</w:t>
            </w:r>
            <w:proofErr w:type="spellEnd"/>
            <w:r>
              <w:rPr>
                <w:rFonts w:ascii="Verdana" w:eastAsia="Times New Roman" w:hAnsi="Verdana"/>
                <w:color w:val="000066"/>
                <w:sz w:val="18"/>
                <w:szCs w:val="18"/>
              </w:rPr>
              <w:t xml:space="preserve">), i.e., functional architecture with </w:t>
            </w:r>
            <w:proofErr w:type="spellStart"/>
            <w:r>
              <w:rPr>
                <w:rFonts w:ascii="Verdana" w:eastAsia="Times New Roman" w:hAnsi="Verdana"/>
                <w:color w:val="000066"/>
                <w:sz w:val="18"/>
                <w:szCs w:val="18"/>
              </w:rPr>
              <w:t>GateWay</w:t>
            </w:r>
            <w:proofErr w:type="spellEnd"/>
            <w:r>
              <w:rPr>
                <w:rFonts w:ascii="Verdana" w:eastAsia="Times New Roman" w:hAnsi="Verdana"/>
                <w:color w:val="000066"/>
                <w:sz w:val="18"/>
                <w:szCs w:val="18"/>
              </w:rPr>
              <w:t xml:space="preserve"> Nodes (</w:t>
            </w:r>
            <w:proofErr w:type="spellStart"/>
            <w:r>
              <w:rPr>
                <w:rFonts w:ascii="Verdana" w:eastAsia="Times New Roman" w:hAnsi="Verdana"/>
                <w:color w:val="000066"/>
                <w:sz w:val="18"/>
                <w:szCs w:val="18"/>
              </w:rPr>
              <w:t>GWNs</w:t>
            </w:r>
            <w:proofErr w:type="spellEnd"/>
            <w:r>
              <w:rPr>
                <w:rFonts w:ascii="Verdana" w:eastAsia="Times New Roman" w:hAnsi="Verdana"/>
                <w:color w:val="000066"/>
                <w:sz w:val="18"/>
                <w:szCs w:val="18"/>
              </w:rPr>
              <w:t xml:space="preserve">) and functional architecture with </w:t>
            </w:r>
            <w:proofErr w:type="spellStart"/>
            <w:r>
              <w:rPr>
                <w:rFonts w:ascii="Verdana" w:eastAsia="Times New Roman" w:hAnsi="Verdana"/>
                <w:color w:val="000066"/>
                <w:sz w:val="18"/>
                <w:szCs w:val="18"/>
              </w:rPr>
              <w:t>InterWorking</w:t>
            </w:r>
            <w:proofErr w:type="spellEnd"/>
            <w:r>
              <w:rPr>
                <w:rFonts w:ascii="Verdana" w:eastAsia="Times New Roman" w:hAnsi="Verdana"/>
                <w:color w:val="000066"/>
                <w:sz w:val="18"/>
                <w:szCs w:val="18"/>
              </w:rPr>
              <w:t xml:space="preserve"> Nodes (</w:t>
            </w:r>
            <w:proofErr w:type="spellStart"/>
            <w:r>
              <w:rPr>
                <w:rFonts w:ascii="Verdana" w:eastAsia="Times New Roman" w:hAnsi="Verdana"/>
                <w:color w:val="000066"/>
                <w:sz w:val="18"/>
                <w:szCs w:val="18"/>
              </w:rPr>
              <w:t>IWNs</w:t>
            </w:r>
            <w:proofErr w:type="spellEnd"/>
            <w:r>
              <w:rPr>
                <w:rFonts w:ascii="Verdana" w:eastAsia="Times New Roman" w:hAnsi="Verdana"/>
                <w:color w:val="000066"/>
                <w:sz w:val="18"/>
                <w:szCs w:val="18"/>
              </w:rPr>
              <w:t xml:space="preserve">). In order realize these two models, it specifies detailed functional elements, basic operational procedures, and architectural configurations for </w:t>
            </w:r>
            <w:proofErr w:type="spellStart"/>
            <w:r>
              <w:rPr>
                <w:rFonts w:ascii="Verdana" w:eastAsia="Times New Roman" w:hAnsi="Verdana"/>
                <w:color w:val="000066"/>
                <w:sz w:val="18"/>
                <w:szCs w:val="18"/>
              </w:rPr>
              <w:t>QKDNi</w:t>
            </w:r>
            <w:proofErr w:type="spellEnd"/>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B8E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60BC009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35AE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22B506" w14:textId="77777777" w:rsidR="00EB705F" w:rsidRPr="00144814" w:rsidRDefault="009A3DC3" w:rsidP="00C9333D">
            <w:pPr>
              <w:jc w:val="center"/>
              <w:rPr>
                <w:rFonts w:ascii="Verdana" w:eastAsia="Times New Roman" w:hAnsi="Verdana"/>
                <w:color w:val="000066"/>
                <w:sz w:val="18"/>
                <w:szCs w:val="18"/>
                <w:lang w:val="fr-FR"/>
              </w:rPr>
            </w:pPr>
            <w:hyperlink r:id="rId328" w:tooltip="See more details" w:history="1">
              <w:proofErr w:type="spellStart"/>
              <w:r w:rsidR="00EB705F" w:rsidRPr="00144814">
                <w:rPr>
                  <w:rStyle w:val="Hyperlink"/>
                  <w:rFonts w:ascii="Verdana" w:eastAsia="Times New Roman" w:hAnsi="Verdana"/>
                  <w:sz w:val="18"/>
                  <w:szCs w:val="18"/>
                  <w:lang w:val="fr-FR"/>
                </w:rPr>
                <w:t>Y.3540</w:t>
              </w:r>
              <w:proofErr w:type="spellEnd"/>
              <w:r w:rsidR="00EB705F" w:rsidRPr="00144814">
                <w:rPr>
                  <w:rStyle w:val="Hyperlink"/>
                  <w:rFonts w:ascii="Verdana" w:eastAsia="Times New Roman" w:hAnsi="Verdana"/>
                  <w:sz w:val="18"/>
                  <w:szCs w:val="18"/>
                  <w:lang w:val="fr-FR"/>
                </w:rPr>
                <w:t xml:space="preserve"> (ex Y.ec-</w:t>
              </w:r>
              <w:proofErr w:type="spellStart"/>
              <w:r w:rsidR="00EB705F" w:rsidRPr="00144814">
                <w:rPr>
                  <w:rStyle w:val="Hyperlink"/>
                  <w:rFonts w:ascii="Verdana" w:eastAsia="Times New Roman" w:hAnsi="Verdana"/>
                  <w:sz w:val="18"/>
                  <w:szCs w:val="18"/>
                  <w:lang w:val="fr-FR"/>
                </w:rPr>
                <w:t>reqts</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8752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7A1E8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Edge computing - Overview and high-level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F2977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A9D77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2023-10-22</w:t>
            </w:r>
          </w:p>
        </w:tc>
      </w:tr>
      <w:tr w:rsidR="00EB705F" w14:paraId="175EAEE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0882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237F48" w14:textId="77777777" w:rsidR="00EB705F" w:rsidRPr="00144814" w:rsidRDefault="009A3DC3" w:rsidP="00C9333D">
            <w:pPr>
              <w:jc w:val="center"/>
              <w:rPr>
                <w:rFonts w:ascii="Verdana" w:eastAsia="Times New Roman" w:hAnsi="Verdana"/>
                <w:color w:val="000066"/>
                <w:sz w:val="18"/>
                <w:szCs w:val="18"/>
                <w:lang w:val="fr-FR"/>
              </w:rPr>
            </w:pPr>
            <w:hyperlink r:id="rId329" w:tooltip="See more details" w:history="1">
              <w:r w:rsidR="00EB705F" w:rsidRPr="00144814">
                <w:rPr>
                  <w:rStyle w:val="Hyperlink"/>
                  <w:rFonts w:ascii="Verdana" w:eastAsia="Times New Roman" w:hAnsi="Verdana"/>
                  <w:sz w:val="18"/>
                  <w:szCs w:val="18"/>
                  <w:lang w:val="fr-FR"/>
                </w:rPr>
                <w:t>Y.3159 (ex Y.IMT-2020-NSL-fra)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6BB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E24A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for classifying network slice level in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465A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objective of this Recommendation is to specify a framework for classifying network slice level in future networks including IMT-2020. This framework guides the network slice deployment and management. A method for classifying network slice level of future networks including IMT-2020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1B17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2023-10-23</w:t>
            </w:r>
          </w:p>
        </w:tc>
      </w:tr>
      <w:tr w:rsidR="00EB705F" w14:paraId="643C0E2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699D6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75F91" w14:textId="77777777" w:rsidR="00EB705F" w:rsidRPr="00144814" w:rsidRDefault="009A3DC3" w:rsidP="00C9333D">
            <w:pPr>
              <w:jc w:val="center"/>
              <w:rPr>
                <w:rFonts w:ascii="Verdana" w:eastAsia="Times New Roman" w:hAnsi="Verdana"/>
                <w:color w:val="000066"/>
                <w:sz w:val="18"/>
                <w:szCs w:val="18"/>
                <w:lang w:val="fr-FR"/>
              </w:rPr>
            </w:pPr>
            <w:hyperlink r:id="rId330" w:tooltip="See more details" w:history="1">
              <w:r w:rsidR="00EB705F" w:rsidRPr="00144814">
                <w:rPr>
                  <w:rStyle w:val="Hyperlink"/>
                  <w:rFonts w:ascii="Verdana" w:eastAsia="Times New Roman" w:hAnsi="Verdana"/>
                  <w:sz w:val="18"/>
                  <w:szCs w:val="18"/>
                  <w:lang w:val="fr-FR"/>
                </w:rPr>
                <w:t xml:space="preserve">Suppl.40 to ITU-T Y-3600 </w:t>
              </w:r>
              <w:proofErr w:type="spellStart"/>
              <w:r w:rsidR="00EB705F" w:rsidRPr="00144814">
                <w:rPr>
                  <w:rStyle w:val="Hyperlink"/>
                  <w:rFonts w:ascii="Verdana" w:eastAsia="Times New Roman" w:hAnsi="Verdana"/>
                  <w:sz w:val="18"/>
                  <w:szCs w:val="18"/>
                  <w:lang w:val="fr-FR"/>
                </w:rPr>
                <w:t>series</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Y.sup.bdsr2</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AA028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018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Big data and data handling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35A62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Supplement 40 to ITU-T Y-3600 series Recommendations provides the standardization roadmap for big data and data handling in the telecommunication sector. It describes the landscape and conceptual ecosystem of big data and data handling from an ITU-T perspective, related technical areas, activities in standards development organizations (SDOs) and gap analysis.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33186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3F68ABF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F77C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C68E4" w14:textId="77777777" w:rsidR="00EB705F" w:rsidRDefault="009A3DC3" w:rsidP="00C9333D">
            <w:pPr>
              <w:jc w:val="center"/>
              <w:rPr>
                <w:rFonts w:ascii="Verdana" w:eastAsia="Times New Roman" w:hAnsi="Verdana"/>
                <w:color w:val="000066"/>
                <w:sz w:val="18"/>
                <w:szCs w:val="18"/>
              </w:rPr>
            </w:pPr>
            <w:hyperlink r:id="rId331" w:tooltip="See more details" w:history="1">
              <w:r w:rsidR="00EB705F">
                <w:rPr>
                  <w:rStyle w:val="Hyperlink"/>
                  <w:rFonts w:ascii="Verdana" w:eastAsia="Times New Roman" w:hAnsi="Verdana"/>
                  <w:sz w:val="18"/>
                  <w:szCs w:val="18"/>
                </w:rPr>
                <w:t xml:space="preserve">Suppl.59 to ITU-T </w:t>
              </w:r>
              <w:proofErr w:type="spellStart"/>
              <w:r w:rsidR="00EB705F">
                <w:rPr>
                  <w:rStyle w:val="Hyperlink"/>
                  <w:rFonts w:ascii="Verdana" w:eastAsia="Times New Roman" w:hAnsi="Verdana"/>
                  <w:sz w:val="18"/>
                  <w:szCs w:val="18"/>
                </w:rPr>
                <w:t>Y.3100</w:t>
              </w:r>
              <w:proofErr w:type="spellEnd"/>
              <w:r w:rsidR="00EB705F">
                <w:rPr>
                  <w:rStyle w:val="Hyperlink"/>
                  <w:rFonts w:ascii="Verdana" w:eastAsia="Times New Roman" w:hAnsi="Verdana"/>
                  <w:sz w:val="18"/>
                  <w:szCs w:val="18"/>
                </w:rPr>
                <w:t>-series (</w:t>
              </w:r>
              <w:proofErr w:type="spellStart"/>
              <w:r w:rsidR="00EB705F">
                <w:rPr>
                  <w:rStyle w:val="Hyperlink"/>
                  <w:rFonts w:ascii="Verdana" w:eastAsia="Times New Roman" w:hAnsi="Verdana"/>
                  <w:sz w:val="18"/>
                  <w:szCs w:val="18"/>
                </w:rPr>
                <w:t>ex roadmap</w:t>
              </w:r>
              <w:proofErr w:type="spell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00B4D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2676E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IMT-2020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CF4E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document provides the standardization roadmap for IMT-2020 and beyond in the information and communication technologies area. This revised Supplement 59 to ITU-T Y.3100-series Recommendations IMT-2020 and beyond standardization roadmap has been developed to assist in the development of IMT-2020 and beyond related standards in the ICT fields by providing information about existing and under developing standards in key standards development organizations (SDOs).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C32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3EF0501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9E71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4243D5" w14:textId="77777777" w:rsidR="00EB705F" w:rsidRPr="00144814" w:rsidRDefault="009A3DC3" w:rsidP="00C9333D">
            <w:pPr>
              <w:jc w:val="center"/>
              <w:rPr>
                <w:rFonts w:ascii="Verdana" w:eastAsia="Times New Roman" w:hAnsi="Verdana"/>
                <w:color w:val="000066"/>
                <w:sz w:val="18"/>
                <w:szCs w:val="18"/>
                <w:lang w:val="fr-FR"/>
              </w:rPr>
            </w:pPr>
            <w:hyperlink r:id="rId332" w:tooltip="See more details" w:history="1">
              <w:proofErr w:type="spellStart"/>
              <w:r w:rsidR="00EB705F" w:rsidRPr="00144814">
                <w:rPr>
                  <w:rStyle w:val="Hyperlink"/>
                  <w:rFonts w:ascii="Verdana" w:eastAsia="Times New Roman" w:hAnsi="Verdana"/>
                  <w:sz w:val="18"/>
                  <w:szCs w:val="18"/>
                  <w:lang w:val="fr-FR"/>
                </w:rPr>
                <w:t>Supplement</w:t>
              </w:r>
              <w:proofErr w:type="spellEnd"/>
              <w:r w:rsidR="00EB705F" w:rsidRPr="00144814">
                <w:rPr>
                  <w:rStyle w:val="Hyperlink"/>
                  <w:rFonts w:ascii="Verdana" w:eastAsia="Times New Roman" w:hAnsi="Verdana"/>
                  <w:sz w:val="18"/>
                  <w:szCs w:val="18"/>
                  <w:lang w:val="fr-FR"/>
                </w:rPr>
                <w:t xml:space="preserve"> 79 to ITU-T </w:t>
              </w:r>
              <w:proofErr w:type="spellStart"/>
              <w:r w:rsidR="00EB705F" w:rsidRPr="00144814">
                <w:rPr>
                  <w:rStyle w:val="Hyperlink"/>
                  <w:rFonts w:ascii="Verdana" w:eastAsia="Times New Roman" w:hAnsi="Verdana"/>
                  <w:sz w:val="18"/>
                  <w:szCs w:val="18"/>
                  <w:lang w:val="fr-FR"/>
                </w:rPr>
                <w:t>Y.3800-series</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TR.QKDN</w:t>
              </w:r>
              <w:proofErr w:type="gramEnd"/>
              <w:r w:rsidR="00EB705F" w:rsidRPr="00144814">
                <w:rPr>
                  <w:rStyle w:val="Hyperlink"/>
                  <w:rFonts w:ascii="Verdana" w:eastAsia="Times New Roman" w:hAnsi="Verdana"/>
                  <w:sz w:val="18"/>
                  <w:szCs w:val="18"/>
                  <w:lang w:val="fr-FR"/>
                </w:rPr>
                <w:t>-nq</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30EE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49504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Role in end-to-end cryptographic services with non-quantum cryptography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98CD1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Based on ITU-T Recommendation Y.3800, many study items are successfully developed and developing so far. However, in case that mobile objects (i.e., autonomous car, mobile phone, etc.) are to be supplied QKD service, there is a difficulty to establish and maintain a quantum channel stably with them. KSA-keys are not able to be supported on this situation. </w:t>
            </w:r>
            <w:proofErr w:type="gramStart"/>
            <w:r>
              <w:rPr>
                <w:rFonts w:ascii="Verdana" w:eastAsia="Times New Roman" w:hAnsi="Verdana"/>
                <w:color w:val="000066"/>
                <w:sz w:val="18"/>
                <w:szCs w:val="18"/>
              </w:rPr>
              <w:t>For the purpose of</w:t>
            </w:r>
            <w:proofErr w:type="gramEnd"/>
            <w:r>
              <w:rPr>
                <w:rFonts w:ascii="Verdana" w:eastAsia="Times New Roman" w:hAnsi="Verdana"/>
                <w:color w:val="000066"/>
                <w:sz w:val="18"/>
                <w:szCs w:val="18"/>
              </w:rPr>
              <w:t xml:space="preserve"> delivery of KSA-keys generated from QKD network into the mobile objects, the keys can be delivered through user network using PKI technology (especially key exchange protocol) with PQC algorithm. Therefore, the integration of QKD network with non-quantum cryptography will enable the QKD network/service providers, bringing its cryptography service to a much wider range of business opportunity. For this purpose, the relationship between QKDN and E2E cryptography service will be introduced. Then, relative examples for the integration of QKD network with non-quantum cryptography will be described. Finally, based on the analysis of the detailed attributes of examples, implications in terms of further study issue will be identified. QKDN’s relation to end-to-end cryptography service Examples for the integration with non-quantum cryptography (e.g., PKI architecture) Implications for standardization activity on Study Group 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FFDDE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4613EEF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C66A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3B03A3" w14:textId="77777777" w:rsidR="00EB705F" w:rsidRDefault="009A3DC3" w:rsidP="00C9333D">
            <w:pPr>
              <w:jc w:val="center"/>
              <w:rPr>
                <w:rFonts w:ascii="Verdana" w:eastAsia="Times New Roman" w:hAnsi="Verdana"/>
                <w:color w:val="000066"/>
                <w:sz w:val="18"/>
                <w:szCs w:val="18"/>
              </w:rPr>
            </w:pPr>
            <w:hyperlink r:id="rId333" w:tooltip="See more details" w:history="1">
              <w:r w:rsidR="00EB705F">
                <w:rPr>
                  <w:rStyle w:val="Hyperlink"/>
                  <w:rFonts w:ascii="Verdana" w:eastAsia="Times New Roman" w:hAnsi="Verdana"/>
                  <w:sz w:val="18"/>
                  <w:szCs w:val="18"/>
                </w:rPr>
                <w:t xml:space="preserve">Supplement 80 to ITU-T </w:t>
              </w:r>
              <w:proofErr w:type="spellStart"/>
              <w:r w:rsidR="00EB705F">
                <w:rPr>
                  <w:rStyle w:val="Hyperlink"/>
                  <w:rFonts w:ascii="Verdana" w:eastAsia="Times New Roman" w:hAnsi="Verdana"/>
                  <w:sz w:val="18"/>
                  <w:szCs w:val="18"/>
                </w:rPr>
                <w:t>Y.3800</w:t>
              </w:r>
              <w:proofErr w:type="spellEnd"/>
              <w:r w:rsidR="00EB705F">
                <w:rPr>
                  <w:rStyle w:val="Hyperlink"/>
                  <w:rFonts w:ascii="Verdana" w:eastAsia="Times New Roman" w:hAnsi="Verdana"/>
                  <w:sz w:val="18"/>
                  <w:szCs w:val="18"/>
                </w:rPr>
                <w:t xml:space="preserve">-series (ex </w:t>
              </w:r>
              <w:proofErr w:type="spellStart"/>
              <w:proofErr w:type="gramStart"/>
              <w:r w:rsidR="00EB705F">
                <w:rPr>
                  <w:rStyle w:val="Hyperlink"/>
                  <w:rFonts w:ascii="Verdana" w:eastAsia="Times New Roman" w:hAnsi="Verdana"/>
                  <w:sz w:val="18"/>
                  <w:szCs w:val="18"/>
                </w:rPr>
                <w:t>Y.Supp.QKDN</w:t>
              </w:r>
              <w:proofErr w:type="spellEnd"/>
              <w:proofErr w:type="gramEnd"/>
              <w:r w:rsidR="00EB705F">
                <w:rPr>
                  <w:rStyle w:val="Hyperlink"/>
                  <w:rFonts w:ascii="Verdana" w:eastAsia="Times New Roman" w:hAnsi="Verdana"/>
                  <w:sz w:val="18"/>
                  <w:szCs w:val="18"/>
                </w:rPr>
                <w:t>-UC)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075E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BE70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DFCD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Supplement consolidates the QKDN use cases in the context of networking technologies as the mandate of ITU-T SG13. Through a comprehensive analysis, the QKDN uses cases are classified into several classes and this Supplement highlights the competitive advantage of the use cases brought by QKDN and provides suggestions for future standardization efforts in ITU-T 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D492E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7BB56BF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C39E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A45863" w14:textId="77777777" w:rsidR="00EB705F" w:rsidRDefault="009A3DC3" w:rsidP="00C9333D">
            <w:pPr>
              <w:jc w:val="center"/>
              <w:rPr>
                <w:rFonts w:ascii="Verdana" w:eastAsia="Times New Roman" w:hAnsi="Verdana"/>
                <w:color w:val="000066"/>
                <w:sz w:val="18"/>
                <w:szCs w:val="18"/>
              </w:rPr>
            </w:pPr>
            <w:hyperlink r:id="rId334" w:tooltip="See more details" w:history="1">
              <w:proofErr w:type="spellStart"/>
              <w:proofErr w:type="gramStart"/>
              <w:r w:rsidR="00EB705F">
                <w:rPr>
                  <w:rStyle w:val="Hyperlink"/>
                  <w:rFonts w:ascii="Verdana" w:eastAsia="Times New Roman" w:hAnsi="Verdana"/>
                  <w:sz w:val="18"/>
                  <w:szCs w:val="18"/>
                </w:rPr>
                <w:t>TR.Reqts</w:t>
              </w:r>
              <w:proofErr w:type="spellEnd"/>
              <w:proofErr w:type="gramEnd"/>
              <w:r w:rsidR="00EB705F">
                <w:rPr>
                  <w:rStyle w:val="Hyperlink"/>
                  <w:rFonts w:ascii="Verdana" w:eastAsia="Times New Roman" w:hAnsi="Verdana"/>
                  <w:sz w:val="18"/>
                  <w:szCs w:val="18"/>
                </w:rPr>
                <w:t>-SAN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DF97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B7383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semantic-aware networking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F48FE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Semantic-aware network (SAN) adopts machine and human-shared semantic terms and syntax to represent, annotate, analyse, and interpret network and user generated data, and is a promising candidate to support automatic data analysing, processing, and learning for future networks including IMT-2020. This Technical Report identifies potential requirements of SAN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40E59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017E511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FB91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092913" w14:textId="77777777" w:rsidR="00EB705F" w:rsidRDefault="009A3DC3" w:rsidP="00C9333D">
            <w:pPr>
              <w:jc w:val="center"/>
              <w:rPr>
                <w:rFonts w:ascii="Verdana" w:eastAsia="Times New Roman" w:hAnsi="Verdana"/>
                <w:color w:val="000066"/>
                <w:sz w:val="18"/>
                <w:szCs w:val="18"/>
              </w:rPr>
            </w:pPr>
            <w:hyperlink r:id="rId335" w:tooltip="See more details" w:history="1">
              <w:r w:rsidR="00EB705F">
                <w:rPr>
                  <w:rStyle w:val="Hyperlink"/>
                  <w:rFonts w:ascii="Verdana" w:eastAsia="Times New Roman" w:hAnsi="Verdana"/>
                  <w:sz w:val="18"/>
                  <w:szCs w:val="18"/>
                </w:rPr>
                <w:t>Y.TR-QN-UC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798E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AB5B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Use cases of quantum networks beyond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AAC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Technical Report analyses use cases of quantum networks beyond quantum key distribution network (QKDN) in the context of networking technologies as the mandate of ITU-T SG13. The uses cases which are only applied by quantum networks beyond QKDN are collected, </w:t>
            </w:r>
            <w:proofErr w:type="gramStart"/>
            <w:r>
              <w:rPr>
                <w:rFonts w:ascii="Verdana" w:eastAsia="Times New Roman" w:hAnsi="Verdana"/>
                <w:color w:val="000066"/>
                <w:sz w:val="18"/>
                <w:szCs w:val="18"/>
              </w:rPr>
              <w:t>investigated</w:t>
            </w:r>
            <w:proofErr w:type="gramEnd"/>
            <w:r>
              <w:rPr>
                <w:rFonts w:ascii="Verdana" w:eastAsia="Times New Roman" w:hAnsi="Verdana"/>
                <w:color w:val="000066"/>
                <w:sz w:val="18"/>
                <w:szCs w:val="18"/>
              </w:rPr>
              <w:t xml:space="preserve"> and summarized; all use cases are analysed by problem statement, technical considerations along with a short description of each use case. This Technical Report also provides analyses for future applications and potential standardization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BCC9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65E737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F88F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A626A7" w14:textId="77777777" w:rsidR="00EB705F" w:rsidRDefault="009A3DC3" w:rsidP="00C9333D">
            <w:pPr>
              <w:jc w:val="center"/>
              <w:rPr>
                <w:rFonts w:ascii="Verdana" w:eastAsia="Times New Roman" w:hAnsi="Verdana"/>
                <w:color w:val="000066"/>
                <w:sz w:val="18"/>
                <w:szCs w:val="18"/>
              </w:rPr>
            </w:pPr>
            <w:hyperlink r:id="rId336" w:tooltip="See more details" w:history="1">
              <w:r w:rsidR="00EB705F">
                <w:rPr>
                  <w:rStyle w:val="Hyperlink"/>
                  <w:rFonts w:ascii="Verdana" w:eastAsia="Times New Roman" w:hAnsi="Verdana"/>
                  <w:sz w:val="18"/>
                  <w:szCs w:val="18"/>
                </w:rPr>
                <w:t>Y.3802 (2020) Amd1 (ex Y.3802)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258AF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52003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DE7AC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Amendment aligns Recommendation Y.3802 with Recommendation Y.3810 “Quantum key distribution network interworking – framework”, Figure 2, of which describes a reference model with reference point of Mx. Mx is responsible for the QKDN manager to communicate management information with other QKDN manager. This amendment intends the following: - to add a reference point of Mx in clause 8.4 Reference points on a QKDN manager; - to revise Figure 1 – A functional architecture model of QKDN in clause 6 Functional architecture model to include the Mx reference point and an editorial correction on key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18C26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726D922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984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510A9" w14:textId="77777777" w:rsidR="00EB705F" w:rsidRDefault="009A3DC3" w:rsidP="00C9333D">
            <w:pPr>
              <w:jc w:val="center"/>
              <w:rPr>
                <w:rFonts w:ascii="Verdana" w:eastAsia="Times New Roman" w:hAnsi="Verdana"/>
                <w:color w:val="000066"/>
                <w:sz w:val="18"/>
                <w:szCs w:val="18"/>
              </w:rPr>
            </w:pPr>
            <w:hyperlink r:id="rId337" w:tooltip="See more details" w:history="1">
              <w:r w:rsidR="00EB705F">
                <w:rPr>
                  <w:rStyle w:val="Hyperlink"/>
                  <w:rFonts w:ascii="Verdana" w:eastAsia="Times New Roman" w:hAnsi="Verdana"/>
                  <w:sz w:val="18"/>
                  <w:szCs w:val="18"/>
                </w:rPr>
                <w:t>Y.3803 (2020) Amd1 (ex Y.3803)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7CF5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E0C5E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Key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5A85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Amendment includes the additional reference point Mx into the Y.3810 “Quantum key distribution network interworking – framework”, Figure 2, that describes a reference model. Mx is responsible for the QKDN manager to communicate management information with other QKDN manager. </w:t>
            </w:r>
            <w:proofErr w:type="gramStart"/>
            <w:r>
              <w:rPr>
                <w:rFonts w:ascii="Verdana" w:eastAsia="Times New Roman" w:hAnsi="Verdana"/>
                <w:color w:val="000066"/>
                <w:sz w:val="18"/>
                <w:szCs w:val="18"/>
              </w:rPr>
              <w:t>So</w:t>
            </w:r>
            <w:proofErr w:type="gramEnd"/>
            <w:r>
              <w:rPr>
                <w:rFonts w:ascii="Verdana" w:eastAsia="Times New Roman" w:hAnsi="Verdana"/>
                <w:color w:val="000066"/>
                <w:sz w:val="18"/>
                <w:szCs w:val="18"/>
              </w:rPr>
              <w:t xml:space="preserve"> Amendment includes the following changes: Revision of Figure 2 of Y.3803 – A functional architecture model of QKDN in clause 7 Functional elements of key management to include the Mx reference point and an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878C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379C181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DB1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D2C353" w14:textId="77777777" w:rsidR="00EB705F" w:rsidRDefault="009A3DC3" w:rsidP="00C9333D">
            <w:pPr>
              <w:jc w:val="center"/>
              <w:rPr>
                <w:rFonts w:ascii="Verdana" w:eastAsia="Times New Roman" w:hAnsi="Verdana"/>
                <w:color w:val="000066"/>
                <w:sz w:val="18"/>
                <w:szCs w:val="18"/>
              </w:rPr>
            </w:pPr>
            <w:hyperlink r:id="rId338" w:tooltip="See more details" w:history="1">
              <w:r w:rsidR="00EB705F">
                <w:rPr>
                  <w:rStyle w:val="Hyperlink"/>
                  <w:rFonts w:ascii="Verdana" w:eastAsia="Times New Roman" w:hAnsi="Verdana"/>
                  <w:sz w:val="18"/>
                  <w:szCs w:val="18"/>
                </w:rPr>
                <w:t>Y.3804 (2020) Amd1 (ex Y.3804)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9BEEA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1ED8D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Control and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7203C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Y.3804 refers the functional architecture model in Y.3802, Figure 1 – Functional elements and reference points relevant to QKDN control and management and relevant texts need to be revised for alignment with the amendment of Y.3802. This amendment intends the following: to revise texts and Figure 1 – Functional elements and reference points relevant to QKDN control and management in clause 7 to include the Mx reference point. to revise texts in clause 9.3.2 Orchestration for external management. to correct an editorial error in Appendix I.7.1. to add descriptions in Appendix I.8 Reference point Mx.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07C8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6610D4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567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5E3941" w14:textId="77777777" w:rsidR="00EB705F" w:rsidRDefault="009A3DC3" w:rsidP="00C9333D">
            <w:pPr>
              <w:jc w:val="center"/>
              <w:rPr>
                <w:rFonts w:ascii="Verdana" w:eastAsia="Times New Roman" w:hAnsi="Verdana"/>
                <w:color w:val="000066"/>
                <w:sz w:val="18"/>
                <w:szCs w:val="18"/>
              </w:rPr>
            </w:pPr>
            <w:hyperlink r:id="rId339" w:tooltip="See more details" w:history="1">
              <w:r w:rsidR="00EB705F">
                <w:rPr>
                  <w:rStyle w:val="Hyperlink"/>
                  <w:rFonts w:ascii="Verdana" w:eastAsia="Times New Roman" w:hAnsi="Verdana"/>
                  <w:sz w:val="18"/>
                  <w:szCs w:val="18"/>
                </w:rPr>
                <w:t>Y.3805 (2021) Amd1 (ex Y.3805)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C757F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77BE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Software-defined networking control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A8EB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Y.3805 refers the functional architecture model in Y.3802, Figure 1 of Y.3805 – Functional architecture for SDN control in QKDN needs to be revised for alignment with the amendment of Y.3802. This amendment revises Figure 1 of Y.3805 – Functional architecture for SDN control in QKDN in clause 8 Functional architecture for SDN control in QKDN to include the Mx reference point and captures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5099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0B09608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A595E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73A791" w14:textId="77777777" w:rsidR="00EB705F" w:rsidRDefault="009A3DC3" w:rsidP="00C9333D">
            <w:pPr>
              <w:jc w:val="center"/>
              <w:rPr>
                <w:rFonts w:ascii="Verdana" w:eastAsia="Times New Roman" w:hAnsi="Verdana"/>
                <w:color w:val="000066"/>
                <w:sz w:val="18"/>
                <w:szCs w:val="18"/>
              </w:rPr>
            </w:pPr>
            <w:hyperlink r:id="rId340" w:tooltip="See more details" w:history="1">
              <w:r w:rsidR="00EB705F">
                <w:rPr>
                  <w:rStyle w:val="Hyperlink"/>
                  <w:rFonts w:ascii="Verdana" w:eastAsia="Times New Roman" w:hAnsi="Verdana"/>
                  <w:sz w:val="18"/>
                  <w:szCs w:val="18"/>
                </w:rPr>
                <w:t>Y.3811 (2022) Amd1 (ex Y.3811)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01C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0392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Quantum key distribution networks - Functional architecture for </w:t>
            </w:r>
            <w:proofErr w:type="gramStart"/>
            <w:r>
              <w:rPr>
                <w:rFonts w:ascii="Verdana" w:eastAsia="Times New Roman" w:hAnsi="Verdana"/>
                <w:color w:val="000066"/>
                <w:sz w:val="18"/>
                <w:szCs w:val="18"/>
              </w:rPr>
              <w:t>quality of service</w:t>
            </w:r>
            <w:proofErr w:type="gramEnd"/>
            <w:r>
              <w:rPr>
                <w:rFonts w:ascii="Verdana" w:eastAsia="Times New Roman" w:hAnsi="Verdana"/>
                <w:color w:val="000066"/>
                <w:sz w:val="18"/>
                <w:szCs w:val="18"/>
              </w:rPr>
              <w:t xml:space="preserv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1D4A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Y.3811 refers the functional architecture model in Y.3802, Figure 1 – Functional architecture of QoS assurance for QKDN needs to be revised for alignment with the amendment of Y.3802. This amendment revises Figure 1 – Functional architecture of QoS assurance for QKDN to include the Mx reference point and makes few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CCBA0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47E8AC2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CA02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AE297" w14:textId="77777777" w:rsidR="00EB705F" w:rsidRDefault="009A3DC3" w:rsidP="00C9333D">
            <w:pPr>
              <w:jc w:val="center"/>
              <w:rPr>
                <w:rFonts w:ascii="Verdana" w:eastAsia="Times New Roman" w:hAnsi="Verdana"/>
                <w:color w:val="000066"/>
                <w:sz w:val="18"/>
                <w:szCs w:val="18"/>
              </w:rPr>
            </w:pPr>
            <w:hyperlink r:id="rId341" w:tooltip="See more details" w:history="1">
              <w:r w:rsidR="00EB705F">
                <w:rPr>
                  <w:rStyle w:val="Hyperlink"/>
                  <w:rFonts w:ascii="Verdana" w:eastAsia="Times New Roman" w:hAnsi="Verdana"/>
                  <w:sz w:val="18"/>
                  <w:szCs w:val="18"/>
                </w:rPr>
                <w:t>Y.3814 (</w:t>
              </w:r>
              <w:proofErr w:type="gramStart"/>
              <w:r w:rsidR="00EB705F">
                <w:rPr>
                  <w:rStyle w:val="Hyperlink"/>
                  <w:rFonts w:ascii="Verdana" w:eastAsia="Times New Roman" w:hAnsi="Verdana"/>
                  <w:sz w:val="18"/>
                  <w:szCs w:val="18"/>
                </w:rPr>
                <w:t>2023)Amd</w:t>
              </w:r>
              <w:proofErr w:type="gramEnd"/>
              <w:r w:rsidR="00EB705F">
                <w:rPr>
                  <w:rStyle w:val="Hyperlink"/>
                  <w:rFonts w:ascii="Verdana" w:eastAsia="Times New Roman" w:hAnsi="Verdana"/>
                  <w:sz w:val="18"/>
                  <w:szCs w:val="18"/>
                </w:rPr>
                <w:t>1 (ex Y.3814)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6385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3945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requirements and architecture for machine learning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FBBC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Y.3814 refers the functional architecture model in Y.3802, Figure 1 – Functional architecture of QoS assurance for QKDN needs to be revised for alignment with the amendment of Y.3802. This amendment revises Figure 8-1 – Functional architecture model of </w:t>
            </w:r>
            <w:proofErr w:type="spellStart"/>
            <w:r>
              <w:rPr>
                <w:rFonts w:ascii="Verdana" w:eastAsia="Times New Roman" w:hAnsi="Verdana"/>
                <w:color w:val="000066"/>
                <w:sz w:val="18"/>
                <w:szCs w:val="18"/>
              </w:rPr>
              <w:t>QKDNml</w:t>
            </w:r>
            <w:proofErr w:type="spellEnd"/>
            <w:r>
              <w:rPr>
                <w:rFonts w:ascii="Verdana" w:eastAsia="Times New Roman" w:hAnsi="Verdana"/>
                <w:color w:val="000066"/>
                <w:sz w:val="18"/>
                <w:szCs w:val="18"/>
              </w:rPr>
              <w:t xml:space="preserve"> to include the Mx reference point and makes an editorial correction.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23B52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6C2640C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20FCB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B697F" w14:textId="77777777" w:rsidR="00EB705F" w:rsidRPr="00144814" w:rsidRDefault="009A3DC3" w:rsidP="00C9333D">
            <w:pPr>
              <w:jc w:val="center"/>
              <w:rPr>
                <w:rFonts w:ascii="Verdana" w:eastAsia="Times New Roman" w:hAnsi="Verdana"/>
                <w:color w:val="000066"/>
                <w:sz w:val="18"/>
                <w:szCs w:val="18"/>
                <w:lang w:val="fr-FR"/>
              </w:rPr>
            </w:pPr>
            <w:hyperlink r:id="rId342" w:tooltip="See more details" w:history="1">
              <w:proofErr w:type="spellStart"/>
              <w:r w:rsidR="00EB705F" w:rsidRPr="00144814">
                <w:rPr>
                  <w:rStyle w:val="Hyperlink"/>
                  <w:rFonts w:ascii="Verdana" w:eastAsia="Times New Roman" w:hAnsi="Verdana"/>
                  <w:sz w:val="18"/>
                  <w:szCs w:val="18"/>
                  <w:lang w:val="fr-FR"/>
                </w:rPr>
                <w:t>Y.2325</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Y.Arch</w:t>
              </w:r>
              <w:proofErr w:type="gramEnd"/>
              <w:r w:rsidR="00EB705F" w:rsidRPr="00144814">
                <w:rPr>
                  <w:rStyle w:val="Hyperlink"/>
                  <w:rFonts w:ascii="Verdana" w:eastAsia="Times New Roman" w:hAnsi="Verdana"/>
                  <w:sz w:val="18"/>
                  <w:szCs w:val="18"/>
                  <w:lang w:val="fr-FR"/>
                </w:rPr>
                <w:t>_NGNe_ncp</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AFA6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448C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Architectural evolution for Next Generation Network control plane by applying Software-Defined Networking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C41B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aims to standardize an evolved NGN control plane architecture which is scalable, </w:t>
            </w:r>
            <w:proofErr w:type="gramStart"/>
            <w:r>
              <w:rPr>
                <w:rFonts w:ascii="Verdana" w:eastAsia="Times New Roman" w:hAnsi="Verdana"/>
                <w:color w:val="000066"/>
                <w:sz w:val="18"/>
                <w:szCs w:val="18"/>
              </w:rPr>
              <w:t>simplified</w:t>
            </w:r>
            <w:proofErr w:type="gramEnd"/>
            <w:r>
              <w:rPr>
                <w:rFonts w:ascii="Verdana" w:eastAsia="Times New Roman" w:hAnsi="Verdana"/>
                <w:color w:val="000066"/>
                <w:sz w:val="18"/>
                <w:szCs w:val="18"/>
              </w:rPr>
              <w:t xml:space="preserve"> and flexible by decoupling the end-user signalling handling functionality and the user plane control functionality and also treating the signalling as a user service (data) leading to uniform handling of services. This recommendation includes the description of information flow for services such as network attachment, session establishment and registration etc. for the recommended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610C6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0B1B010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125C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6348BD" w14:textId="77777777" w:rsidR="00EB705F" w:rsidRDefault="009A3DC3" w:rsidP="00C9333D">
            <w:pPr>
              <w:jc w:val="center"/>
              <w:rPr>
                <w:rFonts w:ascii="Verdana" w:eastAsia="Times New Roman" w:hAnsi="Verdana"/>
                <w:color w:val="000066"/>
                <w:sz w:val="18"/>
                <w:szCs w:val="18"/>
              </w:rPr>
            </w:pPr>
            <w:hyperlink r:id="rId343" w:tooltip="See more details" w:history="1">
              <w:r w:rsidR="00EB705F">
                <w:rPr>
                  <w:rStyle w:val="Hyperlink"/>
                  <w:rFonts w:ascii="Verdana" w:eastAsia="Times New Roman" w:hAnsi="Verdana"/>
                  <w:sz w:val="18"/>
                  <w:szCs w:val="18"/>
                </w:rPr>
                <w:t>Y.2346 (ex Y.SFO)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EA67C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9B42F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framework of Service Function Orchestration based on service function chaining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63B34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scenarios, requirements and framework of service function orchestration based on service function chaining. Based on user requirement, service function orchestration can realize function services deployment and dynamically adjustment on demand, and based on resource situation, it can realize the resource optimization and load balance of service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E1663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37C56C6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035A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B23070" w14:textId="77777777" w:rsidR="00EB705F" w:rsidRDefault="009A3DC3" w:rsidP="00C9333D">
            <w:pPr>
              <w:jc w:val="center"/>
              <w:rPr>
                <w:rFonts w:ascii="Verdana" w:eastAsia="Times New Roman" w:hAnsi="Verdana"/>
                <w:color w:val="000066"/>
                <w:sz w:val="18"/>
                <w:szCs w:val="18"/>
              </w:rPr>
            </w:pPr>
            <w:hyperlink r:id="rId344" w:tooltip="See more details" w:history="1">
              <w:proofErr w:type="spellStart"/>
              <w:r w:rsidR="00EB705F">
                <w:rPr>
                  <w:rStyle w:val="Hyperlink"/>
                  <w:rFonts w:ascii="Verdana" w:eastAsia="Times New Roman" w:hAnsi="Verdana"/>
                  <w:sz w:val="18"/>
                  <w:szCs w:val="18"/>
                </w:rPr>
                <w:t>Y.3061</w:t>
              </w:r>
              <w:proofErr w:type="spellEnd"/>
              <w:r w:rsidR="00EB705F">
                <w:rPr>
                  <w:rStyle w:val="Hyperlink"/>
                  <w:rFonts w:ascii="Verdana" w:eastAsia="Times New Roman" w:hAnsi="Verdana"/>
                  <w:sz w:val="18"/>
                  <w:szCs w:val="18"/>
                </w:rPr>
                <w:t xml:space="preserve"> (ex Y.AN-Arch-</w:t>
              </w:r>
              <w:proofErr w:type="spellStart"/>
              <w:r w:rsidR="00EB705F">
                <w:rPr>
                  <w:rStyle w:val="Hyperlink"/>
                  <w:rFonts w:ascii="Verdana" w:eastAsia="Times New Roman" w:hAnsi="Verdana"/>
                  <w:sz w:val="18"/>
                  <w:szCs w:val="18"/>
                </w:rPr>
                <w:t>fw</w:t>
              </w:r>
              <w:proofErr w:type="spell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F9352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789AF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Autonomous Networks - Architecture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DDD5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requirements, architecture, </w:t>
            </w:r>
            <w:proofErr w:type="gramStart"/>
            <w:r>
              <w:rPr>
                <w:rFonts w:ascii="Verdana" w:eastAsia="Times New Roman" w:hAnsi="Verdana"/>
                <w:color w:val="000066"/>
                <w:sz w:val="18"/>
                <w:szCs w:val="18"/>
              </w:rPr>
              <w:t>components</w:t>
            </w:r>
            <w:proofErr w:type="gramEnd"/>
            <w:r>
              <w:rPr>
                <w:rFonts w:ascii="Verdana" w:eastAsia="Times New Roman" w:hAnsi="Verdana"/>
                <w:color w:val="000066"/>
                <w:sz w:val="18"/>
                <w:szCs w:val="18"/>
              </w:rPr>
              <w:t xml:space="preserve"> and related sequence diagrams which together comprise an architecture framework for autonomous networks. The scope of this Recommendation </w:t>
            </w:r>
            <w:proofErr w:type="gramStart"/>
            <w:r>
              <w:rPr>
                <w:rFonts w:ascii="Verdana" w:eastAsia="Times New Roman" w:hAnsi="Verdana"/>
                <w:color w:val="000066"/>
                <w:sz w:val="18"/>
                <w:szCs w:val="18"/>
              </w:rPr>
              <w:t>includes:</w:t>
            </w:r>
            <w:proofErr w:type="gramEnd"/>
            <w:r>
              <w:rPr>
                <w:rFonts w:ascii="Verdana" w:eastAsia="Times New Roman" w:hAnsi="Verdana"/>
                <w:color w:val="000066"/>
                <w:sz w:val="18"/>
                <w:szCs w:val="18"/>
              </w:rPr>
              <w:t xml:space="preserve"> Requirements for the architecture; Description of the architecture and its components; Sequence diagrams explaining the interactions between the architecture components.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81CD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16C567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BFE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C94ECA" w14:textId="77777777" w:rsidR="00EB705F" w:rsidRPr="00144814" w:rsidRDefault="009A3DC3" w:rsidP="00C9333D">
            <w:pPr>
              <w:jc w:val="center"/>
              <w:rPr>
                <w:rFonts w:ascii="Verdana" w:eastAsia="Times New Roman" w:hAnsi="Verdana"/>
                <w:color w:val="000066"/>
                <w:sz w:val="18"/>
                <w:szCs w:val="18"/>
                <w:lang w:val="fr-FR"/>
              </w:rPr>
            </w:pPr>
            <w:hyperlink r:id="rId345" w:tooltip="See more details" w:history="1">
              <w:proofErr w:type="spellStart"/>
              <w:r w:rsidR="00EB705F" w:rsidRPr="00144814">
                <w:rPr>
                  <w:rStyle w:val="Hyperlink"/>
                  <w:rFonts w:ascii="Verdana" w:eastAsia="Times New Roman" w:hAnsi="Verdana"/>
                  <w:sz w:val="18"/>
                  <w:szCs w:val="18"/>
                  <w:lang w:val="fr-FR"/>
                </w:rPr>
                <w:t>Y.3091</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Y.DTN-CapLevel</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E06D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E709E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Digital twin network - Capability levels and evaluation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48C3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Digital twin network is a virtual representation of the physical network. It is useful for </w:t>
            </w:r>
            <w:proofErr w:type="spellStart"/>
            <w:r>
              <w:rPr>
                <w:rFonts w:ascii="Verdana" w:eastAsia="Times New Roman" w:hAnsi="Verdana"/>
                <w:color w:val="000066"/>
                <w:sz w:val="18"/>
                <w:szCs w:val="18"/>
              </w:rPr>
              <w:t>analyzing</w:t>
            </w:r>
            <w:proofErr w:type="spellEnd"/>
            <w:r>
              <w:rPr>
                <w:rFonts w:ascii="Verdana" w:eastAsia="Times New Roman" w:hAnsi="Verdana"/>
                <w:color w:val="000066"/>
                <w:sz w:val="18"/>
                <w:szCs w:val="18"/>
              </w:rPr>
              <w:t xml:space="preserve">, diagnosing, </w:t>
            </w:r>
            <w:proofErr w:type="gramStart"/>
            <w:r>
              <w:rPr>
                <w:rFonts w:ascii="Verdana" w:eastAsia="Times New Roman" w:hAnsi="Verdana"/>
                <w:color w:val="000066"/>
                <w:sz w:val="18"/>
                <w:szCs w:val="18"/>
              </w:rPr>
              <w:t>simulating</w:t>
            </w:r>
            <w:proofErr w:type="gramEnd"/>
            <w:r>
              <w:rPr>
                <w:rFonts w:ascii="Verdana" w:eastAsia="Times New Roman" w:hAnsi="Verdana"/>
                <w:color w:val="000066"/>
                <w:sz w:val="18"/>
                <w:szCs w:val="18"/>
              </w:rPr>
              <w:t xml:space="preserve"> and controlling the physical network, and can help the physical network achieve intelligent decision-making and predictive maintenance. This Recommendation specifies the capability levels and evaluation methods of DTN system to help the telecommunication industry reach a consensus on indicating DTN’s capability levels, as well as DTN’s technical maturity levels.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4AA0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9A60C9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3CFCD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CFBE8" w14:textId="77777777" w:rsidR="00EB705F" w:rsidRPr="00144814" w:rsidRDefault="009A3DC3" w:rsidP="00C9333D">
            <w:pPr>
              <w:jc w:val="center"/>
              <w:rPr>
                <w:rFonts w:ascii="Verdana" w:eastAsia="Times New Roman" w:hAnsi="Verdana"/>
                <w:color w:val="000066"/>
                <w:sz w:val="18"/>
                <w:szCs w:val="18"/>
                <w:lang w:val="fr-FR"/>
              </w:rPr>
            </w:pPr>
            <w:hyperlink r:id="rId346" w:tooltip="See more details" w:history="1">
              <w:proofErr w:type="spellStart"/>
              <w:r w:rsidR="00EB705F" w:rsidRPr="00144814">
                <w:rPr>
                  <w:rStyle w:val="Hyperlink"/>
                  <w:rFonts w:ascii="Verdana" w:eastAsia="Times New Roman" w:hAnsi="Verdana"/>
                  <w:sz w:val="18"/>
                  <w:szCs w:val="18"/>
                  <w:lang w:val="fr-FR"/>
                </w:rPr>
                <w:t>Y.3126</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Y.det-qos-rf-intwk-lan</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18BC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00ECC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QoS requirements and framework of interworking capability for supporting deterministic communication services in local area network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883FA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Interworking capability is an essential function to support QoS-guaranteed data transmission across heterogeneous networks. The data transmission of deterministic communication service in local network usually involves in multiple technology domains.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provide efficient QoS guarantee for deterministic communication services in heterogeneous technology domains, this Recommendation defines three types of interworking capability and specifies QoS assurance requirements, framework instances and operational procedures of interworking capabilities, based on the models defined in [ITU-T Y.3121].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F77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38E00C8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3EA6C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90B534"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"http://www.itu.int/itu-t/workprog/wp_item.aspx?isn=18114" \o "See more details"</w:instrText>
            </w:r>
            <w:r>
              <w:fldChar w:fldCharType="separate"/>
            </w:r>
            <w:r w:rsidR="00EB705F" w:rsidRPr="00144814">
              <w:rPr>
                <w:rStyle w:val="Hyperlink"/>
                <w:rFonts w:ascii="Verdana" w:eastAsia="Times New Roman" w:hAnsi="Verdana"/>
                <w:sz w:val="18"/>
                <w:szCs w:val="18"/>
                <w:lang w:val="fr-FR"/>
              </w:rPr>
              <w:t xml:space="preserve">Y.3127 (ex </w:t>
            </w:r>
            <w:proofErr w:type="gramStart"/>
            <w:r w:rsidR="00EB705F" w:rsidRPr="00144814">
              <w:rPr>
                <w:rStyle w:val="Hyperlink"/>
                <w:rFonts w:ascii="Verdana" w:eastAsia="Times New Roman" w:hAnsi="Verdana"/>
                <w:sz w:val="18"/>
                <w:szCs w:val="18"/>
                <w:lang w:val="fr-FR"/>
              </w:rPr>
              <w:t>Y.IMT</w:t>
            </w:r>
            <w:proofErr w:type="gramEnd"/>
            <w:r w:rsidR="00EB705F" w:rsidRPr="00144814">
              <w:rPr>
                <w:rStyle w:val="Hyperlink"/>
                <w:rFonts w:ascii="Verdana" w:eastAsia="Times New Roman" w:hAnsi="Verdana"/>
                <w:sz w:val="18"/>
                <w:szCs w:val="18"/>
                <w:lang w:val="fr-FR"/>
              </w:rPr>
              <w:t>2020-SOCN-req-frame)</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84330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A5802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Future networks including IMT-2020 - Requirements and framework for self-organizing core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273B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self-organizing core network is a core network constituted by a group of self-organized network entities cooperating to provide core network functions based on the available network capabilities and resources. It may reduce the Capital Expenditure and Operating Expense of core network by efficiently utilizing available network capabilities and resources. This Recommendation specifies overview, requirements, </w:t>
            </w:r>
            <w:proofErr w:type="gramStart"/>
            <w:r>
              <w:rPr>
                <w:rFonts w:ascii="Verdana" w:eastAsia="Times New Roman" w:hAnsi="Verdana"/>
                <w:color w:val="000066"/>
                <w:sz w:val="18"/>
                <w:szCs w:val="18"/>
              </w:rPr>
              <w:t>framework</w:t>
            </w:r>
            <w:proofErr w:type="gramEnd"/>
            <w:r>
              <w:rPr>
                <w:rFonts w:ascii="Verdana" w:eastAsia="Times New Roman" w:hAnsi="Verdana"/>
                <w:color w:val="000066"/>
                <w:sz w:val="18"/>
                <w:szCs w:val="18"/>
              </w:rPr>
              <w:t xml:space="preserve"> and general procedures of self-organizing core network, in the context of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8E36F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01E64C8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4E877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FBEF1"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"http://www.itu.int/itu-t/workprog/wp_item.aspx?isn=18432" \o "See more details"</w:instrText>
            </w:r>
            <w:r>
              <w:fldChar w:fldCharType="separate"/>
            </w:r>
            <w:r w:rsidR="00EB705F" w:rsidRPr="00144814">
              <w:rPr>
                <w:rStyle w:val="Hyperlink"/>
                <w:rFonts w:ascii="Verdana" w:eastAsia="Times New Roman" w:hAnsi="Verdana"/>
                <w:sz w:val="18"/>
                <w:szCs w:val="18"/>
                <w:lang w:val="fr-FR"/>
              </w:rPr>
              <w:t xml:space="preserve">Y.3128 (ex </w:t>
            </w:r>
            <w:proofErr w:type="gramStart"/>
            <w:r w:rsidR="00EB705F" w:rsidRPr="00144814">
              <w:rPr>
                <w:rStyle w:val="Hyperlink"/>
                <w:rFonts w:ascii="Verdana" w:eastAsia="Times New Roman" w:hAnsi="Verdana"/>
                <w:sz w:val="18"/>
                <w:szCs w:val="18"/>
                <w:lang w:val="fr-FR"/>
              </w:rPr>
              <w:t>Y.IMT</w:t>
            </w:r>
            <w:proofErr w:type="gramEnd"/>
            <w:r w:rsidR="00EB705F" w:rsidRPr="00144814">
              <w:rPr>
                <w:rStyle w:val="Hyperlink"/>
                <w:rFonts w:ascii="Verdana" w:eastAsia="Times New Roman" w:hAnsi="Verdana"/>
                <w:sz w:val="18"/>
                <w:szCs w:val="18"/>
                <w:lang w:val="fr-FR"/>
              </w:rPr>
              <w:t>2020-NFC-req)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3CEDC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7BD1E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network function communication between Public Networks and public network integrated Non-Public Networks in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04B2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requirements for network function communication between public networks (PNs) and public network integrated non-public networks (NPNs) in IMT-2020. These requirements build on the analysis of relevant use cases and related network problems. There are two types of NPN: public network integrated non-public network; and stand-alone non-public network. The requirements specified in this Recommendation concern the first type.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BF24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3B1465D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2E7C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53A0FB" w14:textId="77777777" w:rsidR="00EB705F" w:rsidRDefault="009A3DC3" w:rsidP="00C9333D">
            <w:pPr>
              <w:jc w:val="center"/>
              <w:rPr>
                <w:rFonts w:ascii="Verdana" w:eastAsia="Times New Roman" w:hAnsi="Verdana"/>
                <w:color w:val="000066"/>
                <w:sz w:val="18"/>
                <w:szCs w:val="18"/>
              </w:rPr>
            </w:pPr>
            <w:hyperlink r:id="rId347" w:tooltip="See more details" w:history="1">
              <w:r w:rsidR="00EB705F">
                <w:rPr>
                  <w:rStyle w:val="Hyperlink"/>
                  <w:rFonts w:ascii="Verdana" w:eastAsia="Times New Roman" w:hAnsi="Verdana"/>
                  <w:sz w:val="18"/>
                  <w:szCs w:val="18"/>
                </w:rPr>
                <w:t xml:space="preserve">Y.3141 (ex </w:t>
              </w:r>
              <w:proofErr w:type="gramStart"/>
              <w:r w:rsidR="00EB705F">
                <w:rPr>
                  <w:rStyle w:val="Hyperlink"/>
                  <w:rFonts w:ascii="Verdana" w:eastAsia="Times New Roman" w:hAnsi="Verdana"/>
                  <w:sz w:val="18"/>
                  <w:szCs w:val="18"/>
                </w:rPr>
                <w:t>Y.IMT</w:t>
              </w:r>
              <w:proofErr w:type="gramEnd"/>
              <w:r w:rsidR="00EB705F">
                <w:rPr>
                  <w:rStyle w:val="Hyperlink"/>
                  <w:rFonts w:ascii="Verdana" w:eastAsia="Times New Roman" w:hAnsi="Verdana"/>
                  <w:sz w:val="18"/>
                  <w:szCs w:val="18"/>
                </w:rPr>
                <w:t>2020-REEM)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5391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55CF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B4B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objective of this Recommendation is to provide AI-assisted intelligent energy efficiency management of virtual resources in IMT-2020 networks and beyond, including functional requirements, architectural model, reference points and service procedures. This Recommendation specifies AI-assisted energy efficiency management of virtual resources in IMT-2020 networks and beyond. This recommendation covers the following aspects: Functional requirements of energy efficiency management of virtual resources in IMT-2020 networks and beyond; Architectural model of energy efficiency management of virtual resources in IMT-2020 networks and beyond; Reference points of energy efficiency management of virtual resources in IMT-2020 networks and beyond; Procedures of 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D6E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EFE728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92CA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D1BC8"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"http://www.itu.int/itu-t/workprog/wp_item.aspx?isn=18124" \o "See more details"</w:instrText>
            </w:r>
            <w:r>
              <w:fldChar w:fldCharType="separate"/>
            </w:r>
            <w:r w:rsidR="00EB705F" w:rsidRPr="00144814">
              <w:rPr>
                <w:rStyle w:val="Hyperlink"/>
                <w:rFonts w:ascii="Verdana" w:eastAsia="Times New Roman" w:hAnsi="Verdana"/>
                <w:sz w:val="18"/>
                <w:szCs w:val="18"/>
                <w:lang w:val="fr-FR"/>
              </w:rPr>
              <w:t xml:space="preserve">Y.3161 (ex </w:t>
            </w:r>
            <w:proofErr w:type="gramStart"/>
            <w:r w:rsidR="00EB705F" w:rsidRPr="00144814">
              <w:rPr>
                <w:rStyle w:val="Hyperlink"/>
                <w:rFonts w:ascii="Verdana" w:eastAsia="Times New Roman" w:hAnsi="Verdana"/>
                <w:sz w:val="18"/>
                <w:szCs w:val="18"/>
                <w:lang w:val="fr-FR"/>
              </w:rPr>
              <w:t>Y.IMT</w:t>
            </w:r>
            <w:proofErr w:type="gramEnd"/>
            <w:r w:rsidR="00EB705F" w:rsidRPr="00144814">
              <w:rPr>
                <w:rStyle w:val="Hyperlink"/>
                <w:rFonts w:ascii="Verdana" w:eastAsia="Times New Roman" w:hAnsi="Verdana"/>
                <w:sz w:val="18"/>
                <w:szCs w:val="18"/>
                <w:lang w:val="fr-FR"/>
              </w:rPr>
              <w:t>2020-IBNMO)</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9FBA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D1CAF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Intent-based network management and orchestration for network slicing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64558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objective of this Recommendation is to specify </w:t>
            </w:r>
            <w:proofErr w:type="gramStart"/>
            <w:r>
              <w:rPr>
                <w:rFonts w:ascii="Verdana" w:eastAsia="Times New Roman" w:hAnsi="Verdana"/>
                <w:color w:val="000066"/>
                <w:sz w:val="18"/>
                <w:szCs w:val="18"/>
              </w:rPr>
              <w:t>a</w:t>
            </w:r>
            <w:proofErr w:type="gramEnd"/>
            <w:r>
              <w:rPr>
                <w:rFonts w:ascii="Verdana" w:eastAsia="Times New Roman" w:hAnsi="Verdana"/>
                <w:color w:val="000066"/>
                <w:sz w:val="18"/>
                <w:szCs w:val="18"/>
              </w:rPr>
              <w:t xml:space="preserve"> intent-based network management and orchestration for network slicing in IMT-2020 networks and beyond. This architecture guides the network slice deployment and management based on intent-based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1CFD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23C83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D34B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CDBE5" w14:textId="77777777" w:rsidR="00EB705F" w:rsidRDefault="009A3DC3" w:rsidP="00C9333D">
            <w:pPr>
              <w:jc w:val="center"/>
              <w:rPr>
                <w:rFonts w:ascii="Verdana" w:eastAsia="Times New Roman" w:hAnsi="Verdana"/>
                <w:color w:val="000066"/>
                <w:sz w:val="18"/>
                <w:szCs w:val="18"/>
              </w:rPr>
            </w:pPr>
            <w:hyperlink r:id="rId348" w:tooltip="See more details" w:history="1">
              <w:proofErr w:type="spellStart"/>
              <w:r w:rsidR="00EB705F">
                <w:rPr>
                  <w:rStyle w:val="Hyperlink"/>
                  <w:rFonts w:ascii="Verdana" w:eastAsia="Times New Roman" w:hAnsi="Verdana"/>
                  <w:sz w:val="18"/>
                  <w:szCs w:val="18"/>
                </w:rPr>
                <w:t>Y.3185</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Y.Arch</w:t>
              </w:r>
              <w:proofErr w:type="gramEnd"/>
              <w:r w:rsidR="00EB705F">
                <w:rPr>
                  <w:rStyle w:val="Hyperlink"/>
                  <w:rFonts w:ascii="Verdana" w:eastAsia="Times New Roman" w:hAnsi="Verdana"/>
                  <w:sz w:val="18"/>
                  <w:szCs w:val="18"/>
                </w:rPr>
                <w:t>-INRA</w:t>
              </w:r>
              <w:proofErr w:type="spell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CEA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EA22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intelligent awareness of network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1E9F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What the network can do is meeting various requirements. It is very important to make network operator or network service providers to be aware various network requirements timely and accurately based on artificial intelligence and machine learning related technologies. This Recommendation specifies the functional architecture of intelligent awareness of network requirements. The scope of this Recommendation includes the following aspects related to intelligent awareness of network requirement: introduction of intelligent awareness of network requirement; general functional architecture; network service data based functional architecture; crowd sourcing based functional architecture; functional architecture of requirement descriptor; functional architecture of requirement broker; functional architecture of requirement evaluator. Keywords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3B2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53B62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A6C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8FC20E"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"http://www.itu.int/itu-t/workprog/wp_item.aspx?isn=18158" \o "See more details"</w:instrText>
            </w:r>
            <w:r>
              <w:fldChar w:fldCharType="separate"/>
            </w:r>
            <w:proofErr w:type="spellStart"/>
            <w:r w:rsidR="00EB705F" w:rsidRPr="00144814">
              <w:rPr>
                <w:rStyle w:val="Hyperlink"/>
                <w:rFonts w:ascii="Verdana" w:eastAsia="Times New Roman" w:hAnsi="Verdana"/>
                <w:sz w:val="18"/>
                <w:szCs w:val="18"/>
                <w:lang w:val="fr-FR"/>
              </w:rPr>
              <w:t>Y.3205</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Y.FMSC</w:t>
            </w:r>
            <w:proofErr w:type="gramEnd"/>
            <w:r w:rsidR="00EB705F" w:rsidRPr="00144814">
              <w:rPr>
                <w:rStyle w:val="Hyperlink"/>
                <w:rFonts w:ascii="Verdana" w:eastAsia="Times New Roman" w:hAnsi="Verdana"/>
                <w:sz w:val="18"/>
                <w:szCs w:val="18"/>
                <w:lang w:val="fr-FR"/>
              </w:rPr>
              <w:t>-IUSU-req</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1467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01A9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Fixed, mobile and satellite convergence - Requirements of integrated user-centric service units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67EB6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An integrated user-centric service unit (IUSU) supports end users to define network and service capability profiles according to their own necessities. Fixed, mobile and satellite convergence (FMSC) is the capability of IUSU in supporting multiple access technologies used by various devices. This Recommendation specifies the scenarios, general characteristics, requirements, </w:t>
            </w:r>
            <w:proofErr w:type="gramStart"/>
            <w:r>
              <w:rPr>
                <w:rFonts w:ascii="Verdana" w:eastAsia="Times New Roman" w:hAnsi="Verdana"/>
                <w:color w:val="000066"/>
                <w:sz w:val="18"/>
                <w:szCs w:val="18"/>
              </w:rPr>
              <w:t>framework</w:t>
            </w:r>
            <w:proofErr w:type="gramEnd"/>
            <w:r>
              <w:rPr>
                <w:rFonts w:ascii="Verdana" w:eastAsia="Times New Roman" w:hAnsi="Verdana"/>
                <w:color w:val="000066"/>
                <w:sz w:val="18"/>
                <w:szCs w:val="18"/>
              </w:rPr>
              <w:t xml:space="preserve"> and security considerations of IUSU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BE367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38590B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2F21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181834"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"http://www.itu.int/itu-t/workprog/wp_item.aspx?isn=18133" \o "See more details"</w:instrText>
            </w:r>
            <w:r>
              <w:fldChar w:fldCharType="separate"/>
            </w:r>
            <w:r w:rsidR="00EB705F" w:rsidRPr="00144814">
              <w:rPr>
                <w:rStyle w:val="Hyperlink"/>
                <w:rFonts w:ascii="Verdana" w:eastAsia="Times New Roman" w:hAnsi="Verdana"/>
                <w:sz w:val="18"/>
                <w:szCs w:val="18"/>
                <w:lang w:val="fr-FR"/>
              </w:rPr>
              <w:t xml:space="preserve">Y.3206 (ex </w:t>
            </w:r>
            <w:proofErr w:type="gramStart"/>
            <w:r w:rsidR="00EB705F" w:rsidRPr="00144814">
              <w:rPr>
                <w:rStyle w:val="Hyperlink"/>
                <w:rFonts w:ascii="Verdana" w:eastAsia="Times New Roman" w:hAnsi="Verdana"/>
                <w:sz w:val="18"/>
                <w:szCs w:val="18"/>
                <w:lang w:val="fr-FR"/>
              </w:rPr>
              <w:t>Y.FMSC</w:t>
            </w:r>
            <w:proofErr w:type="gramEnd"/>
            <w:r w:rsidR="00EB705F" w:rsidRPr="00144814">
              <w:rPr>
                <w:rStyle w:val="Hyperlink"/>
                <w:rFonts w:ascii="Verdana" w:eastAsia="Times New Roman" w:hAnsi="Verdana"/>
                <w:sz w:val="18"/>
                <w:szCs w:val="18"/>
                <w:lang w:val="fr-FR"/>
              </w:rPr>
              <w:t>-CE)</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657BD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4C44F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Fixed, mobile and satellite convergence - Capability exposure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FD8B9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capability exposure provides functionalities for network functions to expose their capabilities to third parties (</w:t>
            </w:r>
            <w:proofErr w:type="gramStart"/>
            <w:r>
              <w:rPr>
                <w:rFonts w:ascii="Verdana" w:eastAsia="Times New Roman" w:hAnsi="Verdana"/>
                <w:color w:val="000066"/>
                <w:sz w:val="18"/>
                <w:szCs w:val="18"/>
              </w:rPr>
              <w:t>e.g.</w:t>
            </w:r>
            <w:proofErr w:type="gramEnd"/>
            <w:r>
              <w:rPr>
                <w:rFonts w:ascii="Verdana" w:eastAsia="Times New Roman" w:hAnsi="Verdana"/>
                <w:color w:val="000066"/>
                <w:sz w:val="18"/>
                <w:szCs w:val="18"/>
              </w:rPr>
              <w:t xml:space="preserve"> users or other operators). Fixed, mobile and satellite convergence (FMSC) is the capability that provides services and applications to end users regardless of the fixed, mobile or satellite access technologies. This Recommendation specifies the scenarios, requirements, reference points, network function enhancements, </w:t>
            </w:r>
            <w:proofErr w:type="gramStart"/>
            <w:r>
              <w:rPr>
                <w:rFonts w:ascii="Verdana" w:eastAsia="Times New Roman" w:hAnsi="Verdana"/>
                <w:color w:val="000066"/>
                <w:sz w:val="18"/>
                <w:szCs w:val="18"/>
              </w:rPr>
              <w:t>procedures</w:t>
            </w:r>
            <w:proofErr w:type="gramEnd"/>
            <w:r>
              <w:rPr>
                <w:rFonts w:ascii="Verdana" w:eastAsia="Times New Roman" w:hAnsi="Verdana"/>
                <w:color w:val="000066"/>
                <w:sz w:val="18"/>
                <w:szCs w:val="18"/>
              </w:rPr>
              <w:t xml:space="preserve"> and security considerations of capability exposure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223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4FFFC66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0EDE9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DC2E2"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"http://www.itu.int/itu-t/workprog/wp_item.aspx?isn=18152" \o "See more details"</w:instrText>
            </w:r>
            <w:r>
              <w:fldChar w:fldCharType="separate"/>
            </w:r>
            <w:r w:rsidR="00EB705F" w:rsidRPr="00144814">
              <w:rPr>
                <w:rStyle w:val="Hyperlink"/>
                <w:rFonts w:ascii="Verdana" w:eastAsia="Times New Roman" w:hAnsi="Verdana"/>
                <w:sz w:val="18"/>
                <w:szCs w:val="18"/>
                <w:lang w:val="fr-FR"/>
              </w:rPr>
              <w:t xml:space="preserve">Y.3400 (ex </w:t>
            </w:r>
            <w:proofErr w:type="gramStart"/>
            <w:r w:rsidR="00EB705F" w:rsidRPr="00144814">
              <w:rPr>
                <w:rStyle w:val="Hyperlink"/>
                <w:rFonts w:ascii="Verdana" w:eastAsia="Times New Roman" w:hAnsi="Verdana"/>
                <w:sz w:val="18"/>
                <w:szCs w:val="18"/>
                <w:lang w:val="fr-FR"/>
              </w:rPr>
              <w:t>Y.IMT</w:t>
            </w:r>
            <w:proofErr w:type="gramEnd"/>
            <w:r w:rsidR="00EB705F" w:rsidRPr="00144814">
              <w:rPr>
                <w:rStyle w:val="Hyperlink"/>
                <w:rFonts w:ascii="Verdana" w:eastAsia="Times New Roman" w:hAnsi="Verdana"/>
                <w:sz w:val="18"/>
                <w:szCs w:val="18"/>
                <w:lang w:val="fr-FR"/>
              </w:rPr>
              <w:t>2020-CNC-req)</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A40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6FC38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Coordination of networking and computing in IMT-2020 networks and beyond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ACB13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emergence of new services puts forward the need for the support of critical service requirements on computing, </w:t>
            </w:r>
            <w:proofErr w:type="gramStart"/>
            <w:r>
              <w:rPr>
                <w:rFonts w:ascii="Verdana" w:eastAsia="Times New Roman" w:hAnsi="Verdana"/>
                <w:color w:val="000066"/>
                <w:sz w:val="18"/>
                <w:szCs w:val="18"/>
              </w:rPr>
              <w:t>networking</w:t>
            </w:r>
            <w:proofErr w:type="gramEnd"/>
            <w:r>
              <w:rPr>
                <w:rFonts w:ascii="Verdana" w:eastAsia="Times New Roman" w:hAnsi="Verdana"/>
                <w:color w:val="000066"/>
                <w:sz w:val="18"/>
                <w:szCs w:val="18"/>
              </w:rPr>
              <w:t xml:space="preserve"> and storage resources at the same time. The coordination among resources of the same or different types (computing, </w:t>
            </w:r>
            <w:proofErr w:type="gramStart"/>
            <w:r>
              <w:rPr>
                <w:rFonts w:ascii="Verdana" w:eastAsia="Times New Roman" w:hAnsi="Verdana"/>
                <w:color w:val="000066"/>
                <w:sz w:val="18"/>
                <w:szCs w:val="18"/>
              </w:rPr>
              <w:t>networking</w:t>
            </w:r>
            <w:proofErr w:type="gramEnd"/>
            <w:r>
              <w:rPr>
                <w:rFonts w:ascii="Verdana" w:eastAsia="Times New Roman" w:hAnsi="Verdana"/>
                <w:color w:val="000066"/>
                <w:sz w:val="18"/>
                <w:szCs w:val="18"/>
              </w:rPr>
              <w:t xml:space="preserve"> and storage resource types) is necessary. By the application of the coordination of utilization, control and management of computing, storage, and networking resources for the purpose of provisioning and optimization, satisfaction of requirements of resources' users and improvement of resource utilization may be achieved. This Recommendation specifies the requirements for coordination of networking and computing in IMT-2020 networks and beyond (CNC).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1754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DE9A3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AE4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CB5F8D"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"http://www.itu.int/itu-t/workprog/wp_item.aspx?isn=18102" \o "See more details"</w:instrText>
            </w:r>
            <w:r>
              <w:fldChar w:fldCharType="separate"/>
            </w:r>
            <w:proofErr w:type="spellStart"/>
            <w:r w:rsidR="00EB705F" w:rsidRPr="00144814">
              <w:rPr>
                <w:rStyle w:val="Hyperlink"/>
                <w:rFonts w:ascii="Verdana" w:eastAsia="Times New Roman" w:hAnsi="Verdana"/>
                <w:sz w:val="18"/>
                <w:szCs w:val="18"/>
                <w:lang w:val="fr-FR"/>
              </w:rPr>
              <w:t>Y.3533</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Y.RaaS</w:t>
            </w:r>
            <w:proofErr w:type="gramEnd"/>
            <w:r w:rsidR="00EB705F" w:rsidRPr="00144814">
              <w:rPr>
                <w:rStyle w:val="Hyperlink"/>
                <w:rFonts w:ascii="Verdana" w:eastAsia="Times New Roman" w:hAnsi="Verdana"/>
                <w:sz w:val="18"/>
                <w:szCs w:val="18"/>
                <w:lang w:val="fr-FR"/>
              </w:rPr>
              <w:t>-reqts</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1D988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70AFD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Cloud computing - Functional requirements for robotics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165A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Robotics as a Service (RaaS) is a cloud service category aimed at supporting the development, operation, and management of robots in a cloud computing environment. This Recommendation provides overview of robotics, robotics as a service, and functional requirements through various use cases of robotics in cloud computing. Also, this Recommendation align with the cloud computing reference architecture of ITU-T Y.3502.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7C97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2FF1D6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228B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54B83A" w14:textId="77777777" w:rsidR="00EB705F" w:rsidRPr="00770357"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"http://www.itu.int/itu-t/workprog/wp_item.aspx?isn=18142" \o "See more details"</w:instrText>
            </w:r>
            <w:r>
              <w:fldChar w:fldCharType="separate"/>
            </w:r>
            <w:r w:rsidR="00EB705F" w:rsidRPr="00770357">
              <w:rPr>
                <w:rStyle w:val="Hyperlink"/>
                <w:rFonts w:ascii="Verdana" w:eastAsia="Times New Roman" w:hAnsi="Verdana"/>
                <w:sz w:val="18"/>
                <w:szCs w:val="18"/>
                <w:lang w:val="fr-FR"/>
              </w:rPr>
              <w:t xml:space="preserve">Y.3550 (ex </w:t>
            </w:r>
            <w:proofErr w:type="gramStart"/>
            <w:r w:rsidR="00EB705F" w:rsidRPr="00770357">
              <w:rPr>
                <w:rStyle w:val="Hyperlink"/>
                <w:rFonts w:ascii="Verdana" w:eastAsia="Times New Roman" w:hAnsi="Verdana"/>
                <w:sz w:val="18"/>
                <w:szCs w:val="18"/>
                <w:lang w:val="fr-FR"/>
              </w:rPr>
              <w:t>Y.ccabom</w:t>
            </w:r>
            <w:proofErr w:type="gramEnd"/>
            <w:r w:rsidR="00EB705F" w:rsidRPr="00770357">
              <w:rPr>
                <w:rStyle w:val="Hyperlink"/>
                <w:rFonts w:ascii="Verdana" w:eastAsia="Times New Roman" w:hAnsi="Verdana"/>
                <w:sz w:val="18"/>
                <w:szCs w:val="18"/>
                <w:lang w:val="fr-FR"/>
              </w:rPr>
              <w:t>-reqts)</w:t>
            </w:r>
            <w:r>
              <w:rPr>
                <w:rStyle w:val="Hyperlink"/>
                <w:rFonts w:ascii="Verdana" w:eastAsia="Times New Roman" w:hAnsi="Verdana"/>
                <w:sz w:val="18"/>
                <w:szCs w:val="18"/>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2C36D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41225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Cloud computing - Requirements for AI based cloud service development and operation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D01A1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Y.3550 aims to provide the overview of AI based cloud service development and operation management based on Recommendation ITU-T Y.3525. It impacts four lifecycle stages of cloud service development and operation management with AI capabilities to improve software development and operation management efficiency. Additionally, this Recommendation also specifies the functional requirements of AI based cloud service development and operation management derived from the corresponding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673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0568F66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1723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CBEC89"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"http://www.itu.int/itu-t/workprog/wp_item.aspx?isn=18122" \o "See more details"</w:instrText>
            </w:r>
            <w:r>
              <w:fldChar w:fldCharType="separate"/>
            </w:r>
            <w:proofErr w:type="spellStart"/>
            <w:r w:rsidR="00EB705F" w:rsidRPr="00144814">
              <w:rPr>
                <w:rStyle w:val="Hyperlink"/>
                <w:rFonts w:ascii="Verdana" w:eastAsia="Times New Roman" w:hAnsi="Verdana"/>
                <w:sz w:val="18"/>
                <w:szCs w:val="18"/>
                <w:lang w:val="fr-FR"/>
              </w:rPr>
              <w:t>Y.3657</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Y.bDDN</w:t>
            </w:r>
            <w:proofErr w:type="gramEnd"/>
            <w:r w:rsidR="00EB705F" w:rsidRPr="00144814">
              <w:rPr>
                <w:rStyle w:val="Hyperlink"/>
                <w:rFonts w:ascii="Verdana" w:eastAsia="Times New Roman" w:hAnsi="Verdana"/>
                <w:sz w:val="18"/>
                <w:szCs w:val="18"/>
                <w:lang w:val="fr-FR"/>
              </w:rPr>
              <w:t>-NVReqCap</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3E1EE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33992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Big data driven networking- requirements and capabilities of network visibility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87009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requirements and capabilities of network visibility for big-data-driven networking (</w:t>
            </w:r>
            <w:proofErr w:type="spellStart"/>
            <w:r>
              <w:rPr>
                <w:rFonts w:ascii="Verdana" w:eastAsia="Times New Roman" w:hAnsi="Verdana"/>
                <w:color w:val="000066"/>
                <w:sz w:val="18"/>
                <w:szCs w:val="18"/>
              </w:rPr>
              <w:t>bDDN</w:t>
            </w:r>
            <w:proofErr w:type="spellEnd"/>
            <w:r>
              <w:rPr>
                <w:rFonts w:ascii="Verdana" w:eastAsia="Times New Roman" w:hAnsi="Verdana"/>
                <w:color w:val="000066"/>
                <w:sz w:val="18"/>
                <w:szCs w:val="18"/>
              </w:rPr>
              <w:t xml:space="preserve">). It focuses on the scenario where network infrastructure layer of </w:t>
            </w:r>
            <w:proofErr w:type="spellStart"/>
            <w:r>
              <w:rPr>
                <w:rFonts w:ascii="Verdana" w:eastAsia="Times New Roman" w:hAnsi="Verdana"/>
                <w:color w:val="000066"/>
                <w:sz w:val="18"/>
                <w:szCs w:val="18"/>
              </w:rPr>
              <w:t>bDDN</w:t>
            </w:r>
            <w:proofErr w:type="spellEnd"/>
            <w:r>
              <w:rPr>
                <w:rFonts w:ascii="Verdana" w:eastAsia="Times New Roman" w:hAnsi="Verdana"/>
                <w:color w:val="000066"/>
                <w:sz w:val="18"/>
                <w:szCs w:val="18"/>
              </w:rPr>
              <w:t xml:space="preserve"> corresponds to IP bearer network. The scope of this Recommendation includes the following aspects of network visibility of </w:t>
            </w:r>
            <w:proofErr w:type="spellStart"/>
            <w:r>
              <w:rPr>
                <w:rFonts w:ascii="Verdana" w:eastAsia="Times New Roman" w:hAnsi="Verdana"/>
                <w:color w:val="000066"/>
                <w:sz w:val="18"/>
                <w:szCs w:val="18"/>
              </w:rPr>
              <w:t>bDDN</w:t>
            </w:r>
            <w:proofErr w:type="spellEnd"/>
            <w:r>
              <w:rPr>
                <w:rFonts w:ascii="Verdana" w:eastAsia="Times New Roman" w:hAnsi="Verdana"/>
                <w:color w:val="000066"/>
                <w:sz w:val="18"/>
                <w:szCs w:val="18"/>
              </w:rPr>
              <w:t xml:space="preserve">: overview for network visibility of big-data-driven networking, </w:t>
            </w:r>
            <w:proofErr w:type="gramStart"/>
            <w:r>
              <w:rPr>
                <w:rFonts w:ascii="Verdana" w:eastAsia="Times New Roman" w:hAnsi="Verdana"/>
                <w:color w:val="000066"/>
                <w:sz w:val="18"/>
                <w:szCs w:val="18"/>
              </w:rPr>
              <w:t>requirements</w:t>
            </w:r>
            <w:proofErr w:type="gramEnd"/>
            <w:r>
              <w:rPr>
                <w:rFonts w:ascii="Verdana" w:eastAsia="Times New Roman" w:hAnsi="Verdana"/>
                <w:color w:val="000066"/>
                <w:sz w:val="18"/>
                <w:szCs w:val="18"/>
              </w:rPr>
              <w:t xml:space="preserve"> and capabilities for network visibility of control aspect, requirements and capabilities for network visibility of forwarding aspect, requirements and capabilities for network visibility of management aspect, interface requirements for network visibility and security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DE2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9F7BB9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C06F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8D1A42"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"http://www.itu.int/itu-t/workprog/wp_item.aspx?isn=18659" \o "See more details"</w:instrText>
            </w:r>
            <w:r>
              <w:fldChar w:fldCharType="separate"/>
            </w:r>
            <w:proofErr w:type="spellStart"/>
            <w:r w:rsidR="00EB705F" w:rsidRPr="00144814">
              <w:rPr>
                <w:rStyle w:val="Hyperlink"/>
                <w:rFonts w:ascii="Verdana" w:eastAsia="Times New Roman" w:hAnsi="Verdana"/>
                <w:sz w:val="18"/>
                <w:szCs w:val="18"/>
                <w:lang w:val="fr-FR"/>
              </w:rPr>
              <w:t>Y.3819</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Y.QKDN</w:t>
            </w:r>
            <w:proofErr w:type="gramEnd"/>
            <w:r w:rsidR="00EB705F" w:rsidRPr="00144814">
              <w:rPr>
                <w:rStyle w:val="Hyperlink"/>
                <w:rFonts w:ascii="Verdana" w:eastAsia="Times New Roman" w:hAnsi="Verdana"/>
                <w:sz w:val="18"/>
                <w:szCs w:val="18"/>
                <w:lang w:val="fr-FR"/>
              </w:rPr>
              <w:t>-amc</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351E3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D4B4F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Requirements and architectural model for autonomic management and control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3030A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 the number and diversity of devices and other resources that make up the individual QKDNs continue to grow, automating QKDN control and management tasks becomes ever-more important to avoid the untimely actions and improve the quality of service (QoS). To cope with the challenges of QKDN control and management, while minimizing human intervention towards full automation of QKDN services, this draft Recommendation specifies requirements and a possible architectural model for autonomic management and control (AMC)enabled QKDN (</w:t>
            </w:r>
            <w:proofErr w:type="spellStart"/>
            <w:r>
              <w:rPr>
                <w:rFonts w:ascii="Verdana" w:eastAsia="Times New Roman" w:hAnsi="Verdana"/>
                <w:color w:val="000066"/>
                <w:sz w:val="18"/>
                <w:szCs w:val="18"/>
              </w:rPr>
              <w:t>QKDNamc</w:t>
            </w:r>
            <w:proofErr w:type="spellEnd"/>
            <w:r>
              <w:rPr>
                <w:rFonts w:ascii="Verdana" w:eastAsia="Times New Roman" w:hAnsi="Verdana"/>
                <w:color w:val="000066"/>
                <w:sz w:val="18"/>
                <w:szCs w:val="18"/>
              </w:rPr>
              <w:t>) including an overview, requirements, considerations for cognition process, an architectural model, and example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C7D3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BA7CA2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E54A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671F5C" w14:textId="77777777" w:rsidR="00EB705F" w:rsidRDefault="009A3DC3" w:rsidP="00C9333D">
            <w:pPr>
              <w:jc w:val="center"/>
              <w:rPr>
                <w:rFonts w:ascii="Verdana" w:eastAsia="Times New Roman" w:hAnsi="Verdana"/>
                <w:color w:val="000066"/>
                <w:sz w:val="18"/>
                <w:szCs w:val="18"/>
              </w:rPr>
            </w:pPr>
            <w:hyperlink r:id="rId349" w:tooltip="See more details" w:history="1">
              <w:r w:rsidR="00EB705F">
                <w:rPr>
                  <w:rStyle w:val="Hyperlink"/>
                  <w:rFonts w:ascii="Verdana" w:eastAsia="Times New Roman" w:hAnsi="Verdana"/>
                  <w:sz w:val="18"/>
                  <w:szCs w:val="18"/>
                </w:rPr>
                <w:t>G.698.1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ADBA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383C6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Multichannel DWDM applications with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71120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G.698.1 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C96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429D000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02F80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F332C9" w14:textId="77777777" w:rsidR="00EB705F" w:rsidRDefault="009A3DC3" w:rsidP="00C9333D">
            <w:pPr>
              <w:jc w:val="center"/>
              <w:rPr>
                <w:rFonts w:ascii="Verdana" w:eastAsia="Times New Roman" w:hAnsi="Verdana"/>
                <w:color w:val="000066"/>
                <w:sz w:val="18"/>
                <w:szCs w:val="18"/>
              </w:rPr>
            </w:pPr>
            <w:hyperlink r:id="rId350" w:tooltip="See more details" w:history="1">
              <w:r w:rsidR="00EB705F">
                <w:rPr>
                  <w:rStyle w:val="Hyperlink"/>
                  <w:rFonts w:ascii="Verdana" w:eastAsia="Times New Roman" w:hAnsi="Verdana"/>
                  <w:sz w:val="18"/>
                  <w:szCs w:val="18"/>
                </w:rPr>
                <w:t>G.698.4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F0330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E307A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Multichannel bi-directional DWDM applications with port agnostic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9AFF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G.698.4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D175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D830DC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163E7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675118" w14:textId="77777777" w:rsidR="00EB705F" w:rsidRDefault="009A3DC3" w:rsidP="00C9333D">
            <w:pPr>
              <w:jc w:val="center"/>
              <w:rPr>
                <w:rFonts w:ascii="Verdana" w:eastAsia="Times New Roman" w:hAnsi="Verdana"/>
                <w:color w:val="000066"/>
                <w:sz w:val="18"/>
                <w:szCs w:val="18"/>
              </w:rPr>
            </w:pPr>
            <w:hyperlink r:id="rId351" w:tooltip="See more details" w:history="1">
              <w:r w:rsidR="00EB705F">
                <w:rPr>
                  <w:rStyle w:val="Hyperlink"/>
                  <w:rFonts w:ascii="Verdana" w:eastAsia="Times New Roman" w:hAnsi="Verdana"/>
                  <w:sz w:val="18"/>
                  <w:szCs w:val="18"/>
                </w:rPr>
                <w:t>G.8013/Y.1731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9ED4D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5835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Operation, </w:t>
            </w:r>
            <w:proofErr w:type="gramStart"/>
            <w:r>
              <w:rPr>
                <w:rFonts w:ascii="Verdana" w:eastAsia="Times New Roman" w:hAnsi="Verdana"/>
                <w:color w:val="000066"/>
                <w:sz w:val="18"/>
                <w:szCs w:val="18"/>
              </w:rPr>
              <w:t>administration</w:t>
            </w:r>
            <w:proofErr w:type="gramEnd"/>
            <w:r>
              <w:rPr>
                <w:rFonts w:ascii="Verdana" w:eastAsia="Times New Roman" w:hAnsi="Verdana"/>
                <w:color w:val="000066"/>
                <w:sz w:val="18"/>
                <w:szCs w:val="18"/>
              </w:rPr>
              <w:t xml:space="preserve"> and maintenance (OAM) functions and mechanisms for Ethernet-based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A80C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G.8013/Y.1731 provides mechanisms for user-plane OAM functionality in Ethernet networks according to the requirements and principles given in Recommendation ITU-T Y.1730. This Recommendation is designed specifically to support point-to-point connections and multipoint connectivity in the ETH layer as identified in Recommendation ITU-T G.8010/Y.1306. The OAM mechanisms defined in this Recommendation offer capabilities to operate and maintain network and service aspects of the ETH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2B84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3C9509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370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F52104" w14:textId="77777777" w:rsidR="00EB705F" w:rsidRDefault="009A3DC3" w:rsidP="00C9333D">
            <w:pPr>
              <w:jc w:val="center"/>
              <w:rPr>
                <w:rFonts w:ascii="Verdana" w:eastAsia="Times New Roman" w:hAnsi="Verdana"/>
                <w:color w:val="000066"/>
                <w:sz w:val="18"/>
                <w:szCs w:val="18"/>
              </w:rPr>
            </w:pPr>
            <w:hyperlink r:id="rId352" w:tooltip="See more details" w:history="1">
              <w:r w:rsidR="00EB705F">
                <w:rPr>
                  <w:rStyle w:val="Hyperlink"/>
                  <w:rFonts w:ascii="Verdana" w:eastAsia="Times New Roman" w:hAnsi="Verdana"/>
                  <w:sz w:val="18"/>
                  <w:szCs w:val="18"/>
                </w:rPr>
                <w:t>G.8051/Y.1345 (2020)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005D5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097FA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aspects of the Ethernet transport (ET) capable network element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72706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G.8051/Y.1345 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 The 2009 revision of this Recommendation added the management of additional transport functions that were introduced in the 2009 revision of Recommendation ITU-T G.8021/Y.1341. The 2013 revision of this Recommendation added the management of additional functions, including: client signal fail (CSF); proactive loss measurement using loss measurement message (LMM)/loss measurement reply (LMR); proactive delay measurement using delay measurement message (DMM)/delay measurement reply (DMR) and one-way delay measurement (1DM); synthetic loss measurement using synthetic loss message (SLM)/synthetic loss reply (SLR) and one-way synthetic loss measurement (1SL) (proactive and on-demand); performance management (PM) requirements on protocol data unit (PDU) generation type, message period, measurement interval, repetition period, start time, stop time and session duration; and PM data collection requirements. The 2015 revision of this Recommendation updated the management information (MI) signals for the </w:t>
            </w:r>
            <w:proofErr w:type="spellStart"/>
            <w:r>
              <w:rPr>
                <w:rFonts w:ascii="Verdana" w:eastAsia="Times New Roman" w:hAnsi="Verdana"/>
                <w:color w:val="000066"/>
                <w:sz w:val="18"/>
                <w:szCs w:val="18"/>
              </w:rPr>
              <w:t>ETHx_FT</w:t>
            </w:r>
            <w:proofErr w:type="spellEnd"/>
            <w:r>
              <w:rPr>
                <w:rFonts w:ascii="Verdana" w:eastAsia="Times New Roman" w:hAnsi="Verdana"/>
                <w:color w:val="000066"/>
                <w:sz w:val="18"/>
                <w:szCs w:val="18"/>
              </w:rPr>
              <w:t xml:space="preserve"> function in clause 8.5, the MI signals for the </w:t>
            </w:r>
            <w:proofErr w:type="spellStart"/>
            <w:r>
              <w:rPr>
                <w:rFonts w:ascii="Verdana" w:eastAsia="Times New Roman" w:hAnsi="Verdana"/>
                <w:color w:val="000066"/>
                <w:sz w:val="18"/>
                <w:szCs w:val="18"/>
              </w:rPr>
              <w:t>ETHx</w:t>
            </w:r>
            <w:proofErr w:type="spellEnd"/>
            <w:r>
              <w:rPr>
                <w:rFonts w:ascii="Verdana" w:eastAsia="Times New Roman" w:hAnsi="Verdana"/>
                <w:color w:val="000066"/>
                <w:sz w:val="18"/>
                <w:szCs w:val="18"/>
              </w:rPr>
              <w:t xml:space="preserve">/MCC function in clause 8.6, the one-way synthetic loss measurement (1SL) management information (MI) signal for the </w:t>
            </w:r>
            <w:proofErr w:type="spellStart"/>
            <w:r>
              <w:rPr>
                <w:rFonts w:ascii="Verdana" w:eastAsia="Times New Roman" w:hAnsi="Verdana"/>
                <w:color w:val="000066"/>
                <w:sz w:val="18"/>
                <w:szCs w:val="18"/>
              </w:rPr>
              <w:t>ETHDe_FT_Sk</w:t>
            </w:r>
            <w:proofErr w:type="spellEnd"/>
            <w:r>
              <w:rPr>
                <w:rFonts w:ascii="Verdana" w:eastAsia="Times New Roman" w:hAnsi="Verdana"/>
                <w:color w:val="000066"/>
                <w:sz w:val="18"/>
                <w:szCs w:val="18"/>
              </w:rPr>
              <w:t xml:space="preserve"> function in clause 8.8 and the on-demand and proactive loss measurement requirements in clause 10.2. The 2018 revision of this Recommendation updated the fault cause persistency function at the ETH connection (ETH-C) function for ring protection, the configuration management for protection switching and connection functions. Finally, in alignment with Recommendation </w:t>
            </w:r>
            <w:r>
              <w:rPr>
                <w:rFonts w:ascii="Verdana" w:eastAsia="Times New Roman" w:hAnsi="Verdana"/>
                <w:color w:val="000066"/>
                <w:sz w:val="18"/>
                <w:szCs w:val="18"/>
              </w:rPr>
              <w:lastRenderedPageBreak/>
              <w:t xml:space="preserve">ITU-T G.8021/Y.1341, this revision removed both fault management functions and the management information (MI) signals that are related to </w:t>
            </w:r>
            <w:proofErr w:type="spellStart"/>
            <w:r>
              <w:rPr>
                <w:rFonts w:ascii="Verdana" w:eastAsia="Times New Roman" w:hAnsi="Verdana"/>
                <w:color w:val="000066"/>
                <w:sz w:val="18"/>
                <w:szCs w:val="18"/>
              </w:rPr>
              <w:t>ETYn_TT</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ODUkP</w:t>
            </w:r>
            <w:proofErr w:type="spellEnd"/>
            <w:r>
              <w:rPr>
                <w:rFonts w:ascii="Verdana" w:eastAsia="Times New Roman" w:hAnsi="Verdana"/>
                <w:color w:val="000066"/>
                <w:sz w:val="18"/>
                <w:szCs w:val="18"/>
              </w:rPr>
              <w:t>-X-L/</w:t>
            </w:r>
            <w:proofErr w:type="spellStart"/>
            <w:r>
              <w:rPr>
                <w:rFonts w:ascii="Verdana" w:eastAsia="Times New Roman" w:hAnsi="Verdana"/>
                <w:color w:val="000066"/>
                <w:sz w:val="18"/>
                <w:szCs w:val="18"/>
              </w:rPr>
              <w:t>MT_A</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ETYn</w:t>
            </w:r>
            <w:proofErr w:type="spellEnd"/>
            <w:r>
              <w:rPr>
                <w:rFonts w:ascii="Verdana" w:eastAsia="Times New Roman" w:hAnsi="Verdana"/>
                <w:color w:val="000066"/>
                <w:sz w:val="18"/>
                <w:szCs w:val="18"/>
              </w:rPr>
              <w:t>/</w:t>
            </w:r>
            <w:proofErr w:type="spellStart"/>
            <w:r>
              <w:rPr>
                <w:rFonts w:ascii="Verdana" w:eastAsia="Times New Roman" w:hAnsi="Verdana"/>
                <w:color w:val="000066"/>
                <w:sz w:val="18"/>
                <w:szCs w:val="18"/>
              </w:rPr>
              <w:t>ETH_A</w:t>
            </w:r>
            <w:proofErr w:type="spellEnd"/>
            <w:r>
              <w:rPr>
                <w:rFonts w:ascii="Verdana" w:eastAsia="Times New Roman" w:hAnsi="Verdana"/>
                <w:color w:val="000066"/>
                <w:sz w:val="18"/>
                <w:szCs w:val="18"/>
              </w:rPr>
              <w:t xml:space="preserve">. This revision also removed the MI signals to activate processes in adaptation functions (i.e., </w:t>
            </w:r>
            <w:proofErr w:type="spellStart"/>
            <w:r>
              <w:rPr>
                <w:rFonts w:ascii="Verdana" w:eastAsia="Times New Roman" w:hAnsi="Verdana"/>
                <w:color w:val="000066"/>
                <w:sz w:val="18"/>
                <w:szCs w:val="18"/>
              </w:rPr>
              <w:t>MI_Active</w:t>
            </w:r>
            <w:proofErr w:type="spellEnd"/>
            <w:r>
              <w:rPr>
                <w:rFonts w:ascii="Verdana" w:eastAsia="Times New Roman" w:hAnsi="Verdana"/>
                <w:color w:val="000066"/>
                <w:sz w:val="18"/>
                <w:szCs w:val="18"/>
              </w:rPr>
              <w:t xml:space="preserve">). The 2020 revision of this Recommendation has updated clause 6 to clause 8 by referring to Recommendation ITU-T G.7710/Y.1701; the fault cause persistency function, and the provisioning and reporting for adaptation functions for </w:t>
            </w:r>
            <w:proofErr w:type="spellStart"/>
            <w:r>
              <w:rPr>
                <w:rFonts w:ascii="Verdana" w:eastAsia="Times New Roman" w:hAnsi="Verdana"/>
                <w:color w:val="000066"/>
                <w:sz w:val="18"/>
                <w:szCs w:val="18"/>
              </w:rPr>
              <w:t>FlexE</w:t>
            </w:r>
            <w:proofErr w:type="spellEnd"/>
            <w:r>
              <w:rPr>
                <w:rFonts w:ascii="Verdana" w:eastAsia="Times New Roman" w:hAnsi="Verdana"/>
                <w:color w:val="000066"/>
                <w:sz w:val="18"/>
                <w:szCs w:val="18"/>
              </w:rPr>
              <w:t xml:space="preserve"> related functions as defined in Recommendation ITU-T G.8023; and transferring ODU related adaptation functions in some tables to Recommendation ITU-T G.874. The 2023 amendment 1 of this Recommendation has updated the Fault cause persistency function; Alarm reporting control function; Operational state function in clause 7; the provisioning and reporting for flow termination and adaptation functions in clause 8 in alignment with ITU-T G.8021 and G.8023. </w:t>
            </w:r>
            <w:proofErr w:type="gramStart"/>
            <w:r>
              <w:rPr>
                <w:rFonts w:ascii="Verdana" w:eastAsia="Times New Roman" w:hAnsi="Verdana"/>
                <w:color w:val="000066"/>
                <w:sz w:val="18"/>
                <w:szCs w:val="18"/>
              </w:rPr>
              <w:t>Also</w:t>
            </w:r>
            <w:proofErr w:type="gramEnd"/>
            <w:r>
              <w:rPr>
                <w:rFonts w:ascii="Verdana" w:eastAsia="Times New Roman" w:hAnsi="Verdana"/>
                <w:color w:val="000066"/>
                <w:sz w:val="18"/>
                <w:szCs w:val="18"/>
              </w:rPr>
              <w:t xml:space="preserve"> this amendment created clause 8.14 "Administrative state” in alignment with G.7710.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4FC1C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2023-06-13</w:t>
            </w:r>
          </w:p>
        </w:tc>
      </w:tr>
      <w:tr w:rsidR="00EB705F" w14:paraId="569163B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E1EB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24B70" w14:textId="77777777" w:rsidR="00EB705F" w:rsidRDefault="009A3DC3" w:rsidP="00C9333D">
            <w:pPr>
              <w:jc w:val="center"/>
              <w:rPr>
                <w:rFonts w:ascii="Verdana" w:eastAsia="Times New Roman" w:hAnsi="Verdana"/>
                <w:color w:val="000066"/>
                <w:sz w:val="18"/>
                <w:szCs w:val="18"/>
              </w:rPr>
            </w:pPr>
            <w:hyperlink r:id="rId353" w:tooltip="See more details" w:history="1">
              <w:r w:rsidR="00EB705F">
                <w:rPr>
                  <w:rStyle w:val="Hyperlink"/>
                  <w:rFonts w:ascii="Verdana" w:eastAsia="Times New Roman" w:hAnsi="Verdana"/>
                  <w:sz w:val="18"/>
                  <w:szCs w:val="18"/>
                </w:rPr>
                <w:t>G.8271.1/Y.1366.1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B4CC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50E0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Network limits for time synchronization in packet networks with full timing support from the network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C90F9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1 to Recommendation G.8271.1 provides the following updates: Clarifications and improvements in clause XI, Measurement of maximum relative time error limits. Editorial changes replacing the term calibration with compensation that better reflect what is meant throughout this document. Enhanced network limits at reference point C have been added as clause 7.3.3, then for clarity old clause 7.3 text is moved into new clause 7.3.1 and old clause 7.5 is moved to new clause 7.3.2. Change non-inclusive language in line with IEEE1588g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8124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605E0E7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BAE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50C12E" w14:textId="77777777" w:rsidR="00EB705F" w:rsidRDefault="009A3DC3" w:rsidP="00C9333D">
            <w:pPr>
              <w:jc w:val="center"/>
              <w:rPr>
                <w:rFonts w:ascii="Verdana" w:eastAsia="Times New Roman" w:hAnsi="Verdana"/>
                <w:color w:val="000066"/>
                <w:sz w:val="18"/>
                <w:szCs w:val="18"/>
              </w:rPr>
            </w:pPr>
            <w:hyperlink r:id="rId354" w:tooltip="See more details" w:history="1">
              <w:r w:rsidR="00EB705F">
                <w:rPr>
                  <w:rStyle w:val="Hyperlink"/>
                  <w:rFonts w:ascii="Verdana" w:eastAsia="Times New Roman" w:hAnsi="Verdana"/>
                  <w:sz w:val="18"/>
                  <w:szCs w:val="18"/>
                </w:rPr>
                <w:t>G.8273.2/Y.1368.2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FD32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2490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Timing characteristics of telecom boundary clocks and telecom time synchronous clocks for use with full timing support from the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C3B3D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G.8273.2/Y.1368.2 specifies minimum requirements for time and phase for telecom boundary clocks and telecom time synchronous clocks used in synchronization network equipment that operates in the network architecture as defined in Recommendations ITU-T G.8271, ITU-T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D696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4E72A23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5E7D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EEF7B8" w14:textId="77777777" w:rsidR="00EB705F" w:rsidRDefault="009A3DC3" w:rsidP="00C9333D">
            <w:pPr>
              <w:jc w:val="center"/>
              <w:rPr>
                <w:rFonts w:ascii="Verdana" w:eastAsia="Times New Roman" w:hAnsi="Verdana"/>
                <w:color w:val="000066"/>
                <w:sz w:val="18"/>
                <w:szCs w:val="18"/>
              </w:rPr>
            </w:pPr>
            <w:hyperlink r:id="rId355" w:tooltip="See more details" w:history="1">
              <w:r w:rsidR="00EB705F">
                <w:rPr>
                  <w:rStyle w:val="Hyperlink"/>
                  <w:rFonts w:ascii="Verdana" w:eastAsia="Times New Roman" w:hAnsi="Verdana"/>
                  <w:sz w:val="18"/>
                  <w:szCs w:val="18"/>
                </w:rPr>
                <w:t>G.8273/Y.1368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A20B9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A346B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phase and time clocks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DCB4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G.8273/Y.1368 is a framework Recommendation for phase and time clocks for devices used in synchronizing network equipment that operate in the network architecture defined in Recommendations ITU-T G.8271, ITU-T G.8275 and the ITU-T G.8271.x-series of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CC3DF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8DD5A0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AFF73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B4B1F" w14:textId="77777777" w:rsidR="00EB705F" w:rsidRDefault="009A3DC3" w:rsidP="00C9333D">
            <w:pPr>
              <w:jc w:val="center"/>
              <w:rPr>
                <w:rFonts w:ascii="Verdana" w:eastAsia="Times New Roman" w:hAnsi="Verdana"/>
                <w:color w:val="000066"/>
                <w:sz w:val="18"/>
                <w:szCs w:val="18"/>
              </w:rPr>
            </w:pPr>
            <w:hyperlink r:id="rId356" w:tooltip="See more details" w:history="1">
              <w:r w:rsidR="00EB705F">
                <w:rPr>
                  <w:rStyle w:val="Hyperlink"/>
                  <w:rFonts w:ascii="Verdana" w:eastAsia="Times New Roman" w:hAnsi="Verdana"/>
                  <w:sz w:val="18"/>
                  <w:szCs w:val="18"/>
                </w:rPr>
                <w:t>G.9805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6DDE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F105D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Coexistence of Passive Optical Network Systems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79EA5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G.9805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 Amendment 1 includes additional 3-gen PON systems coexistence methods, and Crosstalk analysis between PON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20C2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5B8E45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D4BE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993DCE" w14:textId="77777777" w:rsidR="00EB705F" w:rsidRDefault="009A3DC3" w:rsidP="00C9333D">
            <w:pPr>
              <w:jc w:val="center"/>
              <w:rPr>
                <w:rFonts w:ascii="Verdana" w:eastAsia="Times New Roman" w:hAnsi="Verdana"/>
                <w:color w:val="000066"/>
                <w:sz w:val="18"/>
                <w:szCs w:val="18"/>
              </w:rPr>
            </w:pPr>
            <w:hyperlink r:id="rId357" w:tooltip="See more details" w:history="1">
              <w:r w:rsidR="00EB705F">
                <w:rPr>
                  <w:rStyle w:val="Hyperlink"/>
                  <w:rFonts w:ascii="Verdana" w:eastAsia="Times New Roman" w:hAnsi="Verdana"/>
                  <w:sz w:val="18"/>
                  <w:szCs w:val="18"/>
                </w:rPr>
                <w:t>G.987.2 (2023)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4A6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DF212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10-Gigabit-capable passive optical networks (XG-PON): Physical media dependent (PMD)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086FA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G.987.2 describes the physical layer requirements and specifications for the XG-PON physical media dependent (PMD) layer. Wavelength enhancement bands are described in Recommendation ITU-T G.987.1. The transmission convergence (TC) layer is described in Recommendation ITU-T G.987.3. The ONU management and control interface (OMCI) specifications are described in Recommendation ITU-T G.988. Recommendation ITU-T G.987.2 describes a flexible optical fibre access network capable of supporting the bandwidth requirements of business and residential services. The G.987 series of standards allows for multiple upstream and downstream line rates. This Recommendation currently defines one type of 10-Gigabit-capable passive optical network (XG-PON) system with asymmetric nominal line rate of 9.95328 Gbit/s in the downstream direction and 2.48832 Gbit/s in the upstream direction. This Recommendation describes a system that represents an evolutionary development from the systems described in the ITU-T G.984 series. To the greatest extent possible, this Recommendation maintains the requirements of Recommendation ITU-T G.984.1 to ensure maximal continuity with existing systems and optical fibre infrastructure. Amendment 2 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 This revision adds a new Annex specifying out of band noise limits on XG-PON ONUs to reduce the impact on other systems coexisting on the same PON. Amendment 1 restores the X/S figure (Figure 10-1).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B004E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ECF62C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1CAFF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6EF05" w14:textId="77777777" w:rsidR="00EB705F" w:rsidRDefault="009A3DC3" w:rsidP="00C9333D">
            <w:pPr>
              <w:jc w:val="center"/>
              <w:rPr>
                <w:rFonts w:ascii="Verdana" w:eastAsia="Times New Roman" w:hAnsi="Verdana"/>
                <w:color w:val="000066"/>
                <w:sz w:val="18"/>
                <w:szCs w:val="18"/>
              </w:rPr>
            </w:pPr>
            <w:hyperlink r:id="rId358" w:tooltip="See more details" w:history="1">
              <w:r w:rsidR="00EB705F">
                <w:rPr>
                  <w:rStyle w:val="Hyperlink"/>
                  <w:rFonts w:ascii="Verdana" w:eastAsia="Times New Roman" w:hAnsi="Verdana"/>
                  <w:sz w:val="18"/>
                  <w:szCs w:val="18"/>
                </w:rPr>
                <w:t>G.989.3 (2021)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C62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348C8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40-Gigabit-capable passive optical networks (NG-PON2): Transmission convergence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00CF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Amendment 1 to ITU-T Recommendation G.989.3 Rev 2 (2021) incorporates regular maintenance items, supplying new Appendix XI describing the </w:t>
            </w:r>
            <w:proofErr w:type="spellStart"/>
            <w:r>
              <w:rPr>
                <w:rFonts w:ascii="Verdana" w:eastAsia="Times New Roman" w:hAnsi="Verdana"/>
                <w:color w:val="000066"/>
                <w:sz w:val="18"/>
                <w:szCs w:val="18"/>
              </w:rPr>
              <w:t>behavior</w:t>
            </w:r>
            <w:proofErr w:type="spellEnd"/>
            <w:r>
              <w:rPr>
                <w:rFonts w:ascii="Verdana" w:eastAsia="Times New Roman" w:hAnsi="Verdana"/>
                <w:color w:val="000066"/>
                <w:sz w:val="18"/>
                <w:szCs w:val="18"/>
              </w:rPr>
              <w:t xml:space="preserve"> of an NG-</w:t>
            </w:r>
            <w:proofErr w:type="spellStart"/>
            <w:r>
              <w:rPr>
                <w:rFonts w:ascii="Verdana" w:eastAsia="Times New Roman" w:hAnsi="Verdana"/>
                <w:color w:val="000066"/>
                <w:sz w:val="18"/>
                <w:szCs w:val="18"/>
              </w:rPr>
              <w:t>PON2</w:t>
            </w:r>
            <w:proofErr w:type="spellEnd"/>
            <w:r>
              <w:rPr>
                <w:rFonts w:ascii="Verdana" w:eastAsia="Times New Roman" w:hAnsi="Verdana"/>
                <w:color w:val="000066"/>
                <w:sz w:val="18"/>
                <w:szCs w:val="18"/>
              </w:rPr>
              <w:t xml:space="preserve"> ONU in the </w:t>
            </w:r>
            <w:proofErr w:type="spellStart"/>
            <w:r>
              <w:rPr>
                <w:rFonts w:ascii="Verdana" w:eastAsia="Times New Roman" w:hAnsi="Verdana"/>
                <w:color w:val="000066"/>
                <w:sz w:val="18"/>
                <w:szCs w:val="18"/>
              </w:rPr>
              <w:t>Emeregency</w:t>
            </w:r>
            <w:proofErr w:type="spellEnd"/>
            <w:r>
              <w:rPr>
                <w:rFonts w:ascii="Verdana" w:eastAsia="Times New Roman" w:hAnsi="Verdana"/>
                <w:color w:val="000066"/>
                <w:sz w:val="18"/>
                <w:szCs w:val="18"/>
              </w:rPr>
              <w:t xml:space="preserve"> Stop state, introducing the deactivation reason code reported downstream for offline troubleshooting purposes, and fixing the inconsistency in handling of the Forgotten ONU timer TO6.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335E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8D90FA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0E455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86DF8B" w14:textId="77777777" w:rsidR="00EB705F" w:rsidRDefault="009A3DC3" w:rsidP="00C9333D">
            <w:pPr>
              <w:jc w:val="center"/>
              <w:rPr>
                <w:rFonts w:ascii="Verdana" w:eastAsia="Times New Roman" w:hAnsi="Verdana"/>
                <w:color w:val="000066"/>
                <w:sz w:val="18"/>
                <w:szCs w:val="18"/>
              </w:rPr>
            </w:pPr>
            <w:hyperlink r:id="rId359" w:tooltip="See more details" w:history="1">
              <w:r w:rsidR="00EB705F">
                <w:rPr>
                  <w:rStyle w:val="Hyperlink"/>
                  <w:rFonts w:ascii="Verdana" w:eastAsia="Times New Roman" w:hAnsi="Verdana"/>
                  <w:sz w:val="18"/>
                  <w:szCs w:val="18"/>
                </w:rPr>
                <w:t>G.9960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3A8F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933CE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System architecture and physical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93A94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G.9960 belongs to the family of ITU-T G.996x Recommendations. Recommendation ITU-T G.9960 specifies the system architecture and physical (PHY) layer for wireline-based home networking transceivers which </w:t>
            </w:r>
            <w:proofErr w:type="gramStart"/>
            <w:r>
              <w:rPr>
                <w:rFonts w:ascii="Verdana" w:eastAsia="Times New Roman" w:hAnsi="Verdana"/>
                <w:color w:val="000066"/>
                <w:sz w:val="18"/>
                <w:szCs w:val="18"/>
              </w:rPr>
              <w:t>are capable of operating</w:t>
            </w:r>
            <w:proofErr w:type="gramEnd"/>
            <w:r>
              <w:rPr>
                <w:rFonts w:ascii="Verdana" w:eastAsia="Times New Roman" w:hAnsi="Verdana"/>
                <w:color w:val="000066"/>
                <w:sz w:val="18"/>
                <w:szCs w:val="18"/>
              </w:rPr>
              <w:t xml:space="preserve"> over premises' wiring, including inside telephone wiring, coaxial cable, and power-line wiring. It complements the data link layer (DLL) specification in Recommendation ITU-T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D105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432B9E1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A1C4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5BF336" w14:textId="77777777" w:rsidR="00EB705F" w:rsidRDefault="009A3DC3" w:rsidP="00C9333D">
            <w:pPr>
              <w:jc w:val="center"/>
              <w:rPr>
                <w:rFonts w:ascii="Verdana" w:eastAsia="Times New Roman" w:hAnsi="Verdana"/>
                <w:color w:val="000066"/>
                <w:sz w:val="18"/>
                <w:szCs w:val="18"/>
              </w:rPr>
            </w:pPr>
            <w:hyperlink r:id="rId360" w:tooltip="See more details" w:history="1">
              <w:r w:rsidR="00EB705F">
                <w:rPr>
                  <w:rStyle w:val="Hyperlink"/>
                  <w:rFonts w:ascii="Verdana" w:eastAsia="Times New Roman" w:hAnsi="Verdana"/>
                  <w:sz w:val="18"/>
                  <w:szCs w:val="18"/>
                </w:rPr>
                <w:t>G.9963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8E3E8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0187B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Multiple input/multiple output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FC2E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G.9963 belongs to the family of ITU-T G.996x Recommendations. Recommendation ITU-T G.9963 specifies the additions and modifications to Recommendations ITU-T G.9960 and ITU-T G.9961 that are needed for a multiple input multiple output (MIMO) home networking transceiver capable of operating over premises power-line wiring. MIMO transceivers </w:t>
            </w:r>
            <w:proofErr w:type="gramStart"/>
            <w:r>
              <w:rPr>
                <w:rFonts w:ascii="Verdana" w:eastAsia="Times New Roman" w:hAnsi="Verdana"/>
                <w:color w:val="000066"/>
                <w:sz w:val="18"/>
                <w:szCs w:val="18"/>
              </w:rPr>
              <w:t>are able to</w:t>
            </w:r>
            <w:proofErr w:type="gramEnd"/>
            <w:r>
              <w:rPr>
                <w:rFonts w:ascii="Verdana" w:eastAsia="Times New Roman" w:hAnsi="Verdana"/>
                <w:color w:val="000066"/>
                <w:sz w:val="18"/>
                <w:szCs w:val="18"/>
              </w:rPr>
              <w:t xml:space="preserve"> transmit and receive over three power-line conductors (phase, neutral and ground). This Recommendation also specifies </w:t>
            </w:r>
            <w:proofErr w:type="gramStart"/>
            <w:r>
              <w:rPr>
                <w:rFonts w:ascii="Verdana" w:eastAsia="Times New Roman" w:hAnsi="Verdana"/>
                <w:color w:val="000066"/>
                <w:sz w:val="18"/>
                <w:szCs w:val="18"/>
              </w:rPr>
              <w:t>the means by which</w:t>
            </w:r>
            <w:proofErr w:type="gramEnd"/>
            <w:r>
              <w:rPr>
                <w:rFonts w:ascii="Verdana" w:eastAsia="Times New Roman" w:hAnsi="Verdana"/>
                <w:color w:val="000066"/>
                <w:sz w:val="18"/>
                <w:szCs w:val="18"/>
              </w:rPr>
              <w:t xml:space="preserve"> transceivers that comply with ITU-T G.9960, ITU-T G.9961 and ITU-T G.9963 interoperate when used on the same wires.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41E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96904B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D50B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EF682F" w14:textId="77777777" w:rsidR="00EB705F" w:rsidRDefault="009A3DC3" w:rsidP="00C9333D">
            <w:pPr>
              <w:jc w:val="center"/>
              <w:rPr>
                <w:rFonts w:ascii="Verdana" w:eastAsia="Times New Roman" w:hAnsi="Verdana"/>
                <w:color w:val="000066"/>
                <w:sz w:val="18"/>
                <w:szCs w:val="18"/>
              </w:rPr>
            </w:pPr>
            <w:hyperlink r:id="rId361" w:tooltip="See more details" w:history="1">
              <w:r w:rsidR="00EB705F">
                <w:rPr>
                  <w:rStyle w:val="Hyperlink"/>
                  <w:rFonts w:ascii="Verdana" w:eastAsia="Times New Roman" w:hAnsi="Verdana"/>
                  <w:sz w:val="18"/>
                  <w:szCs w:val="18"/>
                </w:rPr>
                <w:t>L.340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7CA0E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6736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Maintenance of telecommunication underground facilities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F4E41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w:t>
            </w:r>
            <w:proofErr w:type="gramStart"/>
            <w:r>
              <w:rPr>
                <w:rFonts w:ascii="Verdana" w:eastAsia="Times New Roman" w:hAnsi="Verdana"/>
                <w:color w:val="000066"/>
                <w:sz w:val="18"/>
                <w:szCs w:val="18"/>
              </w:rPr>
              <w:t>technologies</w:t>
            </w:r>
            <w:proofErr w:type="gramEnd"/>
            <w:r>
              <w:rPr>
                <w:rFonts w:ascii="Verdana" w:eastAsia="Times New Roman" w:hAnsi="Verdana"/>
                <w:color w:val="000066"/>
                <w:sz w:val="18"/>
                <w:szCs w:val="18"/>
              </w:rPr>
              <w:t xml:space="preserve"> and countermeasures for maintenance of underground facilities defined in L.330.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DF4BB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2FBFBC6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E6109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17F263" w14:textId="77777777" w:rsidR="00EB705F" w:rsidRPr="00144814" w:rsidRDefault="009A3DC3" w:rsidP="00C9333D">
            <w:pPr>
              <w:jc w:val="center"/>
              <w:rPr>
                <w:rFonts w:ascii="Verdana" w:eastAsia="Times New Roman" w:hAnsi="Verdana"/>
                <w:color w:val="000066"/>
                <w:sz w:val="18"/>
                <w:szCs w:val="18"/>
                <w:lang w:val="fr-FR"/>
              </w:rPr>
            </w:pPr>
            <w:hyperlink r:id="rId362" w:tooltip="See more details" w:history="1">
              <w:proofErr w:type="spellStart"/>
              <w:r w:rsidR="00EB705F" w:rsidRPr="00144814">
                <w:rPr>
                  <w:rStyle w:val="Hyperlink"/>
                  <w:rFonts w:ascii="Verdana" w:eastAsia="Times New Roman" w:hAnsi="Verdana"/>
                  <w:sz w:val="18"/>
                  <w:szCs w:val="18"/>
                  <w:lang w:val="fr-FR"/>
                </w:rPr>
                <w:t>G.9802.2</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G.WDMPON.pmd&amp;tc</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A7EE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353F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Wavelength division multiplexed passive optical networks (WDM PON): physical media dependent (PMD) layer and transmission convergence (TC)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D7E6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w:t>
            </w:r>
            <w:proofErr w:type="gramStart"/>
            <w:r>
              <w:rPr>
                <w:rFonts w:ascii="Verdana" w:eastAsia="Times New Roman" w:hAnsi="Verdana"/>
                <w:color w:val="000066"/>
                <w:sz w:val="18"/>
                <w:szCs w:val="18"/>
              </w:rPr>
              <w:t>transmitter</w:t>
            </w:r>
            <w:proofErr w:type="gramEnd"/>
            <w:r>
              <w:rPr>
                <w:rFonts w:ascii="Verdana" w:eastAsia="Times New Roman" w:hAnsi="Verdana"/>
                <w:color w:val="000066"/>
                <w:sz w:val="18"/>
                <w:szCs w:val="18"/>
              </w:rPr>
              <w:t xml:space="preserve">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C0B3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2023-07-22</w:t>
            </w:r>
          </w:p>
        </w:tc>
      </w:tr>
      <w:tr w:rsidR="00EB705F" w14:paraId="2E11FF6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BCD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EFF5E9" w14:textId="77777777" w:rsidR="00EB705F" w:rsidRDefault="009A3DC3" w:rsidP="00C9333D">
            <w:pPr>
              <w:jc w:val="center"/>
              <w:rPr>
                <w:rFonts w:ascii="Verdana" w:eastAsia="Times New Roman" w:hAnsi="Verdana"/>
                <w:color w:val="000066"/>
                <w:sz w:val="18"/>
                <w:szCs w:val="18"/>
              </w:rPr>
            </w:pPr>
            <w:hyperlink r:id="rId363" w:tooltip="See more details" w:history="1">
              <w:r w:rsidR="00EB705F">
                <w:rPr>
                  <w:rStyle w:val="Hyperlink"/>
                  <w:rFonts w:ascii="Verdana" w:eastAsia="Times New Roman" w:hAnsi="Verdana"/>
                  <w:sz w:val="18"/>
                  <w:szCs w:val="18"/>
                </w:rPr>
                <w:t>G.709.1/Y.1331 (2018) Amd.4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B9DDE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830DA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short-reach interfaces - Amendment 4</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AEDF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Amendment 4 adds definitions for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frames using 800 Gb/s physical interfaces, including mapping of Ethernet directly to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(without defining an associated FEC frame), modifications related to 100 Gb/s per lane signalling for FlexO-1 and FlexO-4, (i.e., FOIC1.1, FOIC4.4), editorial clarifications related to renaming Pad overhead as Extended overhead, reorganization of the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frame description to enable potential use of different types of FEC frames for beyond 400G interfaces, and additional overhead to support new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F830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2023-08-22</w:t>
            </w:r>
          </w:p>
        </w:tc>
      </w:tr>
      <w:tr w:rsidR="00EB705F" w14:paraId="03EE9F0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80E3A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B069E" w14:textId="77777777" w:rsidR="00EB705F" w:rsidRDefault="009A3DC3" w:rsidP="00C9333D">
            <w:pPr>
              <w:jc w:val="center"/>
              <w:rPr>
                <w:rFonts w:ascii="Verdana" w:eastAsia="Times New Roman" w:hAnsi="Verdana"/>
                <w:color w:val="000066"/>
                <w:sz w:val="18"/>
                <w:szCs w:val="18"/>
              </w:rPr>
            </w:pPr>
            <w:hyperlink r:id="rId364" w:tooltip="See more details" w:history="1">
              <w:r w:rsidR="00EB705F">
                <w:rPr>
                  <w:rStyle w:val="Hyperlink"/>
                  <w:rFonts w:ascii="Verdana" w:eastAsia="Times New Roman" w:hAnsi="Verdana"/>
                  <w:sz w:val="18"/>
                  <w:szCs w:val="18"/>
                </w:rPr>
                <w:t>G.798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2999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F8E66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Characteristics of optical transport network hierarchy equipment functional blocks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ACC21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G.798 specifies both the components and the methodology that should be used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w:t>
            </w:r>
            <w:proofErr w:type="spellStart"/>
            <w:r>
              <w:rPr>
                <w:rFonts w:ascii="Verdana" w:eastAsia="Times New Roman" w:hAnsi="Verdana"/>
                <w:color w:val="000066"/>
                <w:sz w:val="18"/>
                <w:szCs w:val="18"/>
              </w:rPr>
              <w:t>ODUkP</w:t>
            </w:r>
            <w:proofErr w:type="spellEnd"/>
            <w:r>
              <w:rPr>
                <w:rFonts w:ascii="Verdana" w:eastAsia="Times New Roman" w:hAnsi="Verdana"/>
                <w:color w:val="000066"/>
                <w:sz w:val="18"/>
                <w:szCs w:val="18"/>
              </w:rPr>
              <w:t xml:space="preserve"> to ETH adaptation function using Idle Mapping Procedure (IMP) and </w:t>
            </w:r>
            <w:proofErr w:type="gramStart"/>
            <w:r>
              <w:rPr>
                <w:rFonts w:ascii="Verdana" w:eastAsia="Times New Roman" w:hAnsi="Verdana"/>
                <w:color w:val="000066"/>
                <w:sz w:val="18"/>
                <w:szCs w:val="18"/>
              </w:rPr>
              <w:t>a number of</w:t>
            </w:r>
            <w:proofErr w:type="gramEnd"/>
            <w:r>
              <w:rPr>
                <w:rFonts w:ascii="Verdana" w:eastAsia="Times New Roman" w:hAnsi="Verdana"/>
                <w:color w:val="000066"/>
                <w:sz w:val="18"/>
                <w:szCs w:val="18"/>
              </w:rPr>
              <w:t xml:space="preserve"> editorial enhancements.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E7B5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2023-09-06</w:t>
            </w:r>
          </w:p>
        </w:tc>
      </w:tr>
      <w:tr w:rsidR="00EB705F" w14:paraId="1310298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57DB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873003" w14:textId="77777777" w:rsidR="00EB705F" w:rsidRDefault="009A3DC3" w:rsidP="00C9333D">
            <w:pPr>
              <w:jc w:val="center"/>
              <w:rPr>
                <w:rFonts w:ascii="Verdana" w:eastAsia="Times New Roman" w:hAnsi="Verdana"/>
                <w:color w:val="000066"/>
                <w:sz w:val="18"/>
                <w:szCs w:val="18"/>
              </w:rPr>
            </w:pPr>
            <w:hyperlink r:id="rId365" w:tooltip="See more details" w:history="1">
              <w:proofErr w:type="spellStart"/>
              <w:r w:rsidR="00EB705F">
                <w:rPr>
                  <w:rStyle w:val="Hyperlink"/>
                  <w:rFonts w:ascii="Verdana" w:eastAsia="Times New Roman" w:hAnsi="Verdana"/>
                  <w:sz w:val="18"/>
                  <w:szCs w:val="18"/>
                </w:rPr>
                <w:t>G.9940</w:t>
              </w:r>
              <w:proofErr w:type="spellEnd"/>
              <w:r w:rsidR="00EB705F">
                <w:rPr>
                  <w:rStyle w:val="Hyperlink"/>
                  <w:rFonts w:ascii="Verdana" w:eastAsia="Times New Roman" w:hAnsi="Verdana"/>
                  <w:sz w:val="18"/>
                  <w:szCs w:val="18"/>
                </w:rPr>
                <w:t xml:space="preserve"> (ex </w:t>
              </w:r>
              <w:proofErr w:type="spellStart"/>
              <w:r w:rsidR="00EB705F">
                <w:rPr>
                  <w:rStyle w:val="Hyperlink"/>
                  <w:rFonts w:ascii="Verdana" w:eastAsia="Times New Roman" w:hAnsi="Verdana"/>
                  <w:sz w:val="18"/>
                  <w:szCs w:val="18"/>
                </w:rPr>
                <w:t>G.fin</w:t>
              </w:r>
              <w:proofErr w:type="spellEnd"/>
              <w:r w:rsidR="00EB705F">
                <w:rPr>
                  <w:rStyle w:val="Hyperlink"/>
                  <w:rFonts w:ascii="Verdana" w:eastAsia="Times New Roman" w:hAnsi="Verdana"/>
                  <w:sz w:val="18"/>
                  <w:szCs w:val="18"/>
                </w:rPr>
                <w:t>-SA)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49C9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D5F1A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 speed fibre-based in-premises transceivers - system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A392B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w:t>
            </w:r>
            <w:proofErr w:type="spellStart"/>
            <w:r>
              <w:rPr>
                <w:rFonts w:ascii="Verdana" w:eastAsia="Times New Roman" w:hAnsi="Verdana"/>
                <w:color w:val="000066"/>
                <w:sz w:val="18"/>
                <w:szCs w:val="18"/>
              </w:rPr>
              <w:t>G.fin</w:t>
            </w:r>
            <w:proofErr w:type="spellEnd"/>
            <w:r>
              <w:rPr>
                <w:rFonts w:ascii="Verdana" w:eastAsia="Times New Roman" w:hAnsi="Verdana"/>
                <w:color w:val="000066"/>
                <w:sz w:val="18"/>
                <w:szCs w:val="18"/>
              </w:rPr>
              <w:t xml:space="preserve">-SA belongs to the family of ITU-T </w:t>
            </w:r>
            <w:proofErr w:type="spellStart"/>
            <w:r>
              <w:rPr>
                <w:rFonts w:ascii="Verdana" w:eastAsia="Times New Roman" w:hAnsi="Verdana"/>
                <w:color w:val="000066"/>
                <w:sz w:val="18"/>
                <w:szCs w:val="18"/>
              </w:rPr>
              <w:t>G.fin</w:t>
            </w:r>
            <w:proofErr w:type="spellEnd"/>
            <w:r>
              <w:rPr>
                <w:rFonts w:ascii="Verdana" w:eastAsia="Times New Roman" w:hAnsi="Verdana"/>
                <w:color w:val="000066"/>
                <w:sz w:val="18"/>
                <w:szCs w:val="18"/>
              </w:rPr>
              <w:t xml:space="preserve"> Recommendations. Recommendation </w:t>
            </w:r>
            <w:proofErr w:type="spellStart"/>
            <w:r>
              <w:rPr>
                <w:rFonts w:ascii="Verdana" w:eastAsia="Times New Roman" w:hAnsi="Verdana"/>
                <w:color w:val="000066"/>
                <w:sz w:val="18"/>
                <w:szCs w:val="18"/>
              </w:rPr>
              <w:t>G.fin</w:t>
            </w:r>
            <w:proofErr w:type="spellEnd"/>
            <w:r>
              <w:rPr>
                <w:rFonts w:ascii="Verdana" w:eastAsia="Times New Roman" w:hAnsi="Verdana"/>
                <w:color w:val="000066"/>
                <w:sz w:val="18"/>
                <w:szCs w:val="18"/>
              </w:rPr>
              <w:t xml:space="preserve">-SA specifies the system architecture and requirements for </w:t>
            </w:r>
            <w:proofErr w:type="gramStart"/>
            <w:r>
              <w:rPr>
                <w:rFonts w:ascii="Verdana" w:eastAsia="Times New Roman" w:hAnsi="Verdana"/>
                <w:color w:val="000066"/>
                <w:sz w:val="18"/>
                <w:szCs w:val="18"/>
              </w:rPr>
              <w:t>high speed</w:t>
            </w:r>
            <w:proofErr w:type="gramEnd"/>
            <w:r>
              <w:rPr>
                <w:rFonts w:ascii="Verdana" w:eastAsia="Times New Roman" w:hAnsi="Verdana"/>
                <w:color w:val="000066"/>
                <w:sz w:val="18"/>
                <w:szCs w:val="18"/>
              </w:rPr>
              <w:t xml:space="preserve"> fibre-based in-premises transceivers.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0768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2023-12-02</w:t>
            </w:r>
          </w:p>
        </w:tc>
      </w:tr>
      <w:tr w:rsidR="00EB705F" w14:paraId="461AD37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151B7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CCA49D" w14:textId="77777777" w:rsidR="00EB705F" w:rsidRDefault="009A3DC3" w:rsidP="00C9333D">
            <w:pPr>
              <w:jc w:val="center"/>
              <w:rPr>
                <w:rFonts w:ascii="Verdana" w:eastAsia="Times New Roman" w:hAnsi="Verdana"/>
                <w:color w:val="000066"/>
                <w:sz w:val="18"/>
                <w:szCs w:val="18"/>
              </w:rPr>
            </w:pPr>
            <w:hyperlink r:id="rId366" w:tooltip="See more details" w:history="1">
              <w:r w:rsidR="00EB705F">
                <w:rPr>
                  <w:rStyle w:val="Hyperlink"/>
                  <w:rFonts w:ascii="Verdana" w:eastAsia="Times New Roman" w:hAnsi="Verdana"/>
                  <w:sz w:val="18"/>
                  <w:szCs w:val="18"/>
                </w:rPr>
                <w:t>G.9961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D3EDF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D92F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Data link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B22C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331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2023-12-02</w:t>
            </w:r>
          </w:p>
        </w:tc>
      </w:tr>
      <w:tr w:rsidR="00EB705F" w14:paraId="561A7D6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E3086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76B3341C" w14:textId="77777777" w:rsidR="00EB705F" w:rsidRDefault="009A3DC3" w:rsidP="00C9333D">
            <w:pPr>
              <w:jc w:val="center"/>
              <w:rPr>
                <w:rFonts w:ascii="Verdana" w:eastAsia="Times New Roman" w:hAnsi="Verdana"/>
                <w:color w:val="000066"/>
                <w:sz w:val="18"/>
                <w:szCs w:val="18"/>
              </w:rPr>
            </w:pPr>
            <w:hyperlink r:id="rId367" w:tooltip="See more details" w:history="1">
              <w:r w:rsidR="00EB705F">
                <w:rPr>
                  <w:rStyle w:val="Hyperlink"/>
                  <w:rFonts w:ascii="Verdana" w:eastAsia="Times New Roman" w:hAnsi="Verdana"/>
                  <w:sz w:val="18"/>
                  <w:szCs w:val="18"/>
                </w:rPr>
                <w:t>G.9964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53E3163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49D872E1" w14:textId="77777777" w:rsidR="00EB705F" w:rsidRDefault="00EB705F" w:rsidP="00C9333D">
            <w:pPr>
              <w:rPr>
                <w:rFonts w:ascii="Verdana" w:eastAsia="Times New Roman" w:hAnsi="Verdana"/>
                <w:color w:val="000066"/>
                <w:sz w:val="18"/>
                <w:szCs w:val="18"/>
              </w:rPr>
            </w:pPr>
            <w:r w:rsidRPr="00110DED">
              <w:rPr>
                <w:rFonts w:ascii="Verdana" w:eastAsia="Times New Roman" w:hAnsi="Verdana"/>
                <w:color w:val="000066"/>
                <w:sz w:val="18"/>
                <w:szCs w:val="18"/>
              </w:rPr>
              <w:t>Unified high-speed wireline-based home networking transceivers – Power spectral density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FBC0A57" w14:textId="77777777" w:rsidR="00EB705F" w:rsidRPr="00110DED" w:rsidRDefault="00EB705F" w:rsidP="00C9333D">
            <w:pPr>
              <w:rPr>
                <w:rFonts w:ascii="Verdana" w:eastAsia="Times New Roman" w:hAnsi="Verdana"/>
                <w:color w:val="000066"/>
                <w:sz w:val="18"/>
                <w:szCs w:val="18"/>
              </w:rPr>
            </w:pPr>
            <w:r w:rsidRPr="00110DED">
              <w:rPr>
                <w:rFonts w:ascii="Verdana" w:eastAsia="Times New Roman" w:hAnsi="Verdana"/>
                <w:color w:val="000066"/>
                <w:sz w:val="18"/>
                <w:szCs w:val="18"/>
              </w:rPr>
              <w:t>Recommendation ITU-T G.9964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 T G.9960, and the data link layer (DLL) specification in Recommendation ITU-T G.9961, as well as the modifications and additions to these Recommendations specifying the multiple input/multiple output (MIMO) home networking transceiver in Recommendation ITU-T G.9963.</w:t>
            </w:r>
          </w:p>
          <w:p w14:paraId="3BE574F6" w14:textId="77777777" w:rsidR="00EB705F" w:rsidRDefault="00EB705F" w:rsidP="00C9333D">
            <w:pPr>
              <w:rPr>
                <w:rFonts w:ascii="Verdana" w:eastAsia="Times New Roman" w:hAnsi="Verdana"/>
                <w:color w:val="000066"/>
                <w:sz w:val="18"/>
                <w:szCs w:val="18"/>
              </w:rPr>
            </w:pPr>
            <w:r w:rsidRPr="00110DED">
              <w:rPr>
                <w:rFonts w:ascii="Verdana" w:eastAsia="Times New Roman" w:hAnsi="Verdana"/>
                <w:color w:val="000066"/>
                <w:sz w:val="18"/>
                <w:szCs w:val="18"/>
              </w:rPr>
              <w:t>This revision comprises ITU-T G.9964 (2011) plus its Amendments 1, 2 and 3, along with the addition of a narrower subcarrier spacing (12.20703125 kHz) for scenarios where the channel is very narrow (e.g., power line communication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6CC4D489" w14:textId="77777777" w:rsidR="00EB705F" w:rsidRDefault="00EB705F" w:rsidP="00C9333D">
            <w:pPr>
              <w:jc w:val="center"/>
              <w:rPr>
                <w:rFonts w:ascii="Verdana" w:eastAsia="Times New Roman" w:hAnsi="Verdana"/>
                <w:color w:val="000066"/>
                <w:sz w:val="18"/>
                <w:szCs w:val="18"/>
              </w:rPr>
            </w:pPr>
          </w:p>
        </w:tc>
      </w:tr>
      <w:tr w:rsidR="00EB705F" w14:paraId="120614C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AFA4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70E976"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"http://www.itu.int/itu-t/workprog/wp_item.aspx?isn=17496" \o "See more details"</w:instrText>
            </w:r>
            <w:r>
              <w:fldChar w:fldCharType="separate"/>
            </w:r>
            <w:r w:rsidR="00EB705F" w:rsidRPr="00144814">
              <w:rPr>
                <w:rStyle w:val="Hyperlink"/>
                <w:rFonts w:ascii="Verdana" w:eastAsia="Times New Roman" w:hAnsi="Verdana"/>
                <w:sz w:val="18"/>
                <w:szCs w:val="18"/>
                <w:lang w:val="fr-FR"/>
              </w:rPr>
              <w:t xml:space="preserve">F.749.16 (ex </w:t>
            </w:r>
            <w:proofErr w:type="gramStart"/>
            <w:r w:rsidR="00EB705F" w:rsidRPr="00144814">
              <w:rPr>
                <w:rStyle w:val="Hyperlink"/>
                <w:rFonts w:ascii="Verdana" w:eastAsia="Times New Roman" w:hAnsi="Verdana"/>
                <w:sz w:val="18"/>
                <w:szCs w:val="18"/>
                <w:lang w:val="fr-FR"/>
              </w:rPr>
              <w:t>F.CUAV</w:t>
            </w:r>
            <w:proofErr w:type="gramEnd"/>
            <w:r w:rsidR="00EB705F" w:rsidRPr="00144814">
              <w:rPr>
                <w:rStyle w:val="Hyperlink"/>
                <w:rFonts w:ascii="Verdana" w:eastAsia="Times New Roman" w:hAnsi="Verdana"/>
                <w:sz w:val="18"/>
                <w:szCs w:val="18"/>
                <w:lang w:val="fr-FR"/>
              </w:rPr>
              <w:t>-LX)</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B922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5ADE9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logistics express delivery based on civilian unmanned aerial vehicles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1A8A0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2EA89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2023-07-10</w:t>
            </w:r>
          </w:p>
        </w:tc>
      </w:tr>
      <w:tr w:rsidR="00EB705F" w14:paraId="0EF9E5F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57D60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BC707" w14:textId="77777777" w:rsidR="00EB705F" w:rsidRPr="00144814" w:rsidRDefault="009A3DC3" w:rsidP="00C9333D">
            <w:pPr>
              <w:jc w:val="center"/>
              <w:rPr>
                <w:rFonts w:ascii="Verdana" w:eastAsia="Times New Roman" w:hAnsi="Verdana"/>
                <w:color w:val="000066"/>
                <w:sz w:val="18"/>
                <w:szCs w:val="18"/>
                <w:lang w:val="fr-FR"/>
              </w:rPr>
            </w:pPr>
            <w:hyperlink r:id="rId368" w:tooltip="See more details" w:history="1">
              <w:r w:rsidR="00EB705F" w:rsidRPr="00144814">
                <w:rPr>
                  <w:rStyle w:val="Hyperlink"/>
                  <w:rFonts w:ascii="Verdana" w:eastAsia="Times New Roman" w:hAnsi="Verdana"/>
                  <w:sz w:val="18"/>
                  <w:szCs w:val="18"/>
                  <w:lang w:val="fr-FR"/>
                </w:rPr>
                <w:t>F.751.8 (ex H.DLT-TFR)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CF3F9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C875B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Technical framework for DLT to cope with regulation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8440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defines the technical framework for DLT to cope with regulation, including the regulatory challenges and the technical capacities. The design of the technical framework of DLT in this Recommendation is closely related to the DLT properties including decentralization, </w:t>
            </w:r>
            <w:proofErr w:type="gramStart"/>
            <w:r>
              <w:rPr>
                <w:rFonts w:ascii="Verdana" w:eastAsia="Times New Roman" w:hAnsi="Verdana"/>
                <w:color w:val="000066"/>
                <w:sz w:val="18"/>
                <w:szCs w:val="18"/>
              </w:rPr>
              <w:t>immutability</w:t>
            </w:r>
            <w:proofErr w:type="gramEnd"/>
            <w:r>
              <w:rPr>
                <w:rFonts w:ascii="Verdana" w:eastAsia="Times New Roman" w:hAnsi="Verdana"/>
                <w:color w:val="000066"/>
                <w:sz w:val="18"/>
                <w:szCs w:val="18"/>
              </w:rPr>
              <w:t xml:space="preserve"> and openness. This Recommendation can be used as a guidance of DLT system when facing regulation for DLT service providers and DLT system developers.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3749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2023-07-10</w:t>
            </w:r>
          </w:p>
        </w:tc>
      </w:tr>
      <w:tr w:rsidR="00EB705F" w14:paraId="1FB650B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80C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0BEBF1" w14:textId="77777777" w:rsidR="00EB705F" w:rsidRDefault="009A3DC3" w:rsidP="00C9333D">
            <w:pPr>
              <w:jc w:val="center"/>
              <w:rPr>
                <w:rFonts w:ascii="Verdana" w:eastAsia="Times New Roman" w:hAnsi="Verdana"/>
                <w:color w:val="000066"/>
                <w:sz w:val="18"/>
                <w:szCs w:val="18"/>
              </w:rPr>
            </w:pPr>
            <w:hyperlink r:id="rId369" w:tooltip="See more details" w:history="1">
              <w:r w:rsidR="00EB705F">
                <w:rPr>
                  <w:rStyle w:val="Hyperlink"/>
                  <w:rFonts w:ascii="Verdana" w:eastAsia="Times New Roman" w:hAnsi="Verdana"/>
                  <w:sz w:val="18"/>
                  <w:szCs w:val="18"/>
                </w:rPr>
                <w:t>FSTP-ACC-Rural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7703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9BF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Use cases of accessibility to multimedia systems in rural and out-of-home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FE9A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document describes the use cases of Interactive Mobile Digital Unit in rural and out of home environments, especially in developing countries. The purpose of this Technical Paper is to describe the architecture and use cases of such a unit, which is to be used for overcoming the barriers that are a common denominator in developing countries, such as lack of infrastructures, </w:t>
            </w:r>
            <w:proofErr w:type="gramStart"/>
            <w:r>
              <w:rPr>
                <w:rFonts w:ascii="Verdana" w:eastAsia="Times New Roman" w:hAnsi="Verdana"/>
                <w:color w:val="000066"/>
                <w:sz w:val="18"/>
                <w:szCs w:val="18"/>
              </w:rPr>
              <w:t>connectivity</w:t>
            </w:r>
            <w:proofErr w:type="gramEnd"/>
            <w:r>
              <w:rPr>
                <w:rFonts w:ascii="Verdana" w:eastAsia="Times New Roman" w:hAnsi="Verdana"/>
                <w:color w:val="000066"/>
                <w:sz w:val="18"/>
                <w:szCs w:val="18"/>
              </w:rPr>
              <w:t xml:space="preserve"> and electricity. Such a unit is expected to provide inclusion of persons with disabilities, with auditory processing disorder and visual impairment, while promoting faster comprehension of the content delivered.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F4218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65B580A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5390E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EADE29" w14:textId="77777777" w:rsidR="00EB705F" w:rsidRDefault="009A3DC3" w:rsidP="00C9333D">
            <w:pPr>
              <w:jc w:val="center"/>
              <w:rPr>
                <w:rFonts w:ascii="Verdana" w:eastAsia="Times New Roman" w:hAnsi="Verdana"/>
                <w:color w:val="000066"/>
                <w:sz w:val="18"/>
                <w:szCs w:val="18"/>
              </w:rPr>
            </w:pPr>
            <w:hyperlink r:id="rId370" w:tooltip="See more details" w:history="1">
              <w:r w:rsidR="00EB705F">
                <w:rPr>
                  <w:rStyle w:val="Hyperlink"/>
                  <w:rFonts w:ascii="Verdana" w:eastAsia="Times New Roman" w:hAnsi="Verdana"/>
                  <w:sz w:val="18"/>
                  <w:szCs w:val="18"/>
                </w:rPr>
                <w:t>T.801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9A87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A14B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technology - JPEG 2000 image coding system: Extensions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DA5F0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 ITU-T T.801 | ISO/IEC 15444-2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The 2nd edition has addressed these shortcomings without modifying its scope. This 3rd edition introduces an additional entry into the </w:t>
            </w:r>
            <w:proofErr w:type="spellStart"/>
            <w:r>
              <w:rPr>
                <w:rFonts w:ascii="Verdana" w:eastAsia="Times New Roman" w:hAnsi="Verdana"/>
                <w:color w:val="000066"/>
                <w:sz w:val="18"/>
                <w:szCs w:val="18"/>
              </w:rPr>
              <w:t>SGcod</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Ppoc</w:t>
            </w:r>
            <w:proofErr w:type="spellEnd"/>
            <w:r>
              <w:rPr>
                <w:rFonts w:ascii="Verdana" w:eastAsia="Times New Roman" w:hAnsi="Verdana"/>
                <w:color w:val="000066"/>
                <w:sz w:val="18"/>
                <w:szCs w:val="18"/>
              </w:rPr>
              <w:t xml:space="preserve"> parameters for supporting a new progression order. In comparison with the second edition of this Recommendation | International Standard, this edition introduces the following changes: – Support for progression order extensions This third edition cancels and replaces the second edition (ITU-T T.801 (2021) | ISO/IEC 15444-2:2021), which has been technically revised. This Recommendation was developed jointly with ISO/IEC JTC 1/SC 29/WG 1 (JPEG</w:t>
            </w:r>
            <w:proofErr w:type="gramStart"/>
            <w:r>
              <w:rPr>
                <w:rFonts w:ascii="Verdana" w:eastAsia="Times New Roman" w:hAnsi="Verdana"/>
                <w:color w:val="000066"/>
                <w:sz w:val="18"/>
                <w:szCs w:val="18"/>
              </w:rPr>
              <w:t>), and</w:t>
            </w:r>
            <w:proofErr w:type="gramEnd"/>
            <w:r>
              <w:rPr>
                <w:rFonts w:ascii="Verdana" w:eastAsia="Times New Roman" w:hAnsi="Verdana"/>
                <w:color w:val="000066"/>
                <w:sz w:val="18"/>
                <w:szCs w:val="18"/>
              </w:rPr>
              <w:t xml:space="preserve"> is common text with ISO/IEC 15444-2.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BFD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2023-08-29</w:t>
            </w:r>
          </w:p>
        </w:tc>
      </w:tr>
      <w:tr w:rsidR="00EB705F" w14:paraId="07FD0FC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1498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266654" w14:textId="77777777" w:rsidR="00EB705F" w:rsidRDefault="009A3DC3" w:rsidP="00C9333D">
            <w:pPr>
              <w:jc w:val="center"/>
              <w:rPr>
                <w:rFonts w:ascii="Verdana" w:eastAsia="Times New Roman" w:hAnsi="Verdana"/>
                <w:color w:val="000066"/>
                <w:sz w:val="18"/>
                <w:szCs w:val="18"/>
              </w:rPr>
            </w:pPr>
            <w:hyperlink r:id="rId371" w:tooltip="See more details" w:history="1">
              <w:proofErr w:type="spellStart"/>
              <w:r w:rsidR="00EB705F">
                <w:rPr>
                  <w:rStyle w:val="Hyperlink"/>
                  <w:rFonts w:ascii="Verdana" w:eastAsia="Times New Roman" w:hAnsi="Verdana"/>
                  <w:sz w:val="18"/>
                  <w:szCs w:val="18"/>
                </w:rPr>
                <w:t>F.740.3</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F.ARMSMeta</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07B0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EDC06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FBBE2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Augmented reality cultural service system (ARCSS) is a kind of digital interpretation system based on augmented reality (AR), it </w:t>
            </w:r>
            <w:proofErr w:type="gramStart"/>
            <w:r>
              <w:rPr>
                <w:rFonts w:ascii="Verdana" w:eastAsia="Times New Roman" w:hAnsi="Verdana"/>
                <w:color w:val="000066"/>
                <w:sz w:val="18"/>
                <w:szCs w:val="18"/>
              </w:rPr>
              <w:t>is able to</w:t>
            </w:r>
            <w:proofErr w:type="gramEnd"/>
            <w:r>
              <w:rPr>
                <w:rFonts w:ascii="Verdana" w:eastAsia="Times New Roman" w:hAnsi="Verdana"/>
                <w:color w:val="000066"/>
                <w:sz w:val="18"/>
                <w:szCs w:val="18"/>
              </w:rPr>
              <w:t xml:space="preserve"> present a story or history behind the cultural relics/artworks in a dynamic and actual fusion way. This Recommendation describes the information flows of Augmented reality cultural service, including AR content creation information flow and AR content display information flow. Based on the information flows, this Recommendation specifies the 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BA02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BD0A7C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5243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22834"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"http://www.itu.int/itu-t/workprog/wp_item.aspx?isn=17606" \o "See more details"</w:instrText>
            </w:r>
            <w:r>
              <w:fldChar w:fldCharType="separate"/>
            </w:r>
            <w:r w:rsidR="00EB705F" w:rsidRPr="00144814">
              <w:rPr>
                <w:rStyle w:val="Hyperlink"/>
                <w:rFonts w:ascii="Verdana" w:eastAsia="Times New Roman" w:hAnsi="Verdana"/>
                <w:sz w:val="18"/>
                <w:szCs w:val="18"/>
                <w:lang w:val="fr-FR"/>
              </w:rPr>
              <w:t>F.740.4 (</w:t>
            </w:r>
            <w:proofErr w:type="gramStart"/>
            <w:r w:rsidR="00EB705F" w:rsidRPr="00144814">
              <w:rPr>
                <w:rStyle w:val="Hyperlink"/>
                <w:rFonts w:ascii="Verdana" w:eastAsia="Times New Roman" w:hAnsi="Verdana"/>
                <w:sz w:val="18"/>
                <w:szCs w:val="18"/>
                <w:lang w:val="fr-FR"/>
              </w:rPr>
              <w:t>ex F</w:t>
            </w:r>
            <w:proofErr w:type="gramEnd"/>
            <w:r w:rsidR="00EB705F" w:rsidRPr="00144814">
              <w:rPr>
                <w:rStyle w:val="Hyperlink"/>
                <w:rFonts w:ascii="Verdana" w:eastAsia="Times New Roman" w:hAnsi="Verdana"/>
                <w:sz w:val="18"/>
                <w:szCs w:val="18"/>
                <w:lang w:val="fr-FR"/>
              </w:rPr>
              <w:t>.DC-IAA-Meta)</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FD512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1ED4D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Metadata for image aesthetics assessment with aesthetic attributes in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D7A1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Image aesthetics assessment (IAA) aims to evaluate whether an image conforms to the aesthetic preferences of a potential audience. This Recommendation defines metadata for image aesthetics assessment with aesthetic attributes in a mobile terminal computational photography system. The metadata is divided into three dimensions according to the key roles: photographer, </w:t>
            </w:r>
            <w:proofErr w:type="gramStart"/>
            <w:r>
              <w:rPr>
                <w:rFonts w:ascii="Verdana" w:eastAsia="Times New Roman" w:hAnsi="Verdana"/>
                <w:color w:val="000066"/>
                <w:sz w:val="18"/>
                <w:szCs w:val="18"/>
              </w:rPr>
              <w:t>camera</w:t>
            </w:r>
            <w:proofErr w:type="gramEnd"/>
            <w:r>
              <w:rPr>
                <w:rFonts w:ascii="Verdana" w:eastAsia="Times New Roman" w:hAnsi="Verdana"/>
                <w:color w:val="000066"/>
                <w:sz w:val="18"/>
                <w:szCs w:val="18"/>
              </w:rPr>
              <w:t xml:space="preserve"> and viewer, and provides non-redundant, fundamental and representative aesthetic attributes of each dimension. The role-based metadata defined in this Recommendation can be used to guide the construction of IAA datasets, and to provide multiple aesthetic attributes evaluation for IAA. Moreover, sample collection requirements and qualifications for annotators are recommended to guide high quality data construction.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BBF8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B4F810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C1DE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773BD9"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"http://www.itu.int/itu-t/workprog/wp_item.aspx?isn=17605" \o "See more details"</w:instrText>
            </w:r>
            <w:r>
              <w:fldChar w:fldCharType="separate"/>
            </w:r>
            <w:r w:rsidR="00EB705F" w:rsidRPr="00144814">
              <w:rPr>
                <w:rStyle w:val="Hyperlink"/>
                <w:rFonts w:ascii="Verdana" w:eastAsia="Times New Roman" w:hAnsi="Verdana"/>
                <w:sz w:val="18"/>
                <w:szCs w:val="18"/>
                <w:lang w:val="fr-FR"/>
              </w:rPr>
              <w:t>F.740.5 (</w:t>
            </w:r>
            <w:proofErr w:type="gramStart"/>
            <w:r w:rsidR="00EB705F" w:rsidRPr="00144814">
              <w:rPr>
                <w:rStyle w:val="Hyperlink"/>
                <w:rFonts w:ascii="Verdana" w:eastAsia="Times New Roman" w:hAnsi="Verdana"/>
                <w:sz w:val="18"/>
                <w:szCs w:val="18"/>
                <w:lang w:val="fr-FR"/>
              </w:rPr>
              <w:t>ex F</w:t>
            </w:r>
            <w:proofErr w:type="gramEnd"/>
            <w:r w:rsidR="00EB705F" w:rsidRPr="00144814">
              <w:rPr>
                <w:rStyle w:val="Hyperlink"/>
                <w:rFonts w:ascii="Verdana" w:eastAsia="Times New Roman" w:hAnsi="Verdana"/>
                <w:sz w:val="18"/>
                <w:szCs w:val="18"/>
                <w:lang w:val="fr-FR"/>
              </w:rPr>
              <w:t>.DC-AWBE)</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3FD96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55CD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Data collection and annotation requirements for automatic white balance (AWB) enhancement in mobile terminal for digital 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7F5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collection procedure of data for automatic white balance (AWB) enhancement and describes the requirements for all steps, which includes the requirements for scene selecting, shooting setting, data capturing and illumination uniformity detecting. The requirements of data annotation are also described in this Recommendation, including the illumination colour, illumination indicator and device. The goal of this Recommendation is to improve the user experience during image data transmission, which is the most popular cultural behaviour.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ABCFC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A65328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16B5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3FB64B"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"http://www.itu.int/itu-t/workprog/wp_item.aspx?isn=17581" \o "See more details"</w:instrText>
            </w:r>
            <w:r>
              <w:fldChar w:fldCharType="separate"/>
            </w:r>
            <w:r w:rsidR="00EB705F" w:rsidRPr="00144814">
              <w:rPr>
                <w:rStyle w:val="Hyperlink"/>
                <w:rFonts w:ascii="Verdana" w:eastAsia="Times New Roman" w:hAnsi="Verdana"/>
                <w:sz w:val="18"/>
                <w:szCs w:val="18"/>
                <w:lang w:val="fr-FR"/>
              </w:rPr>
              <w:t>F.740.6 (</w:t>
            </w:r>
            <w:proofErr w:type="gramStart"/>
            <w:r w:rsidR="00EB705F" w:rsidRPr="00144814">
              <w:rPr>
                <w:rStyle w:val="Hyperlink"/>
                <w:rFonts w:ascii="Verdana" w:eastAsia="Times New Roman" w:hAnsi="Verdana"/>
                <w:sz w:val="18"/>
                <w:szCs w:val="18"/>
                <w:lang w:val="fr-FR"/>
              </w:rPr>
              <w:t>ex F</w:t>
            </w:r>
            <w:proofErr w:type="gramEnd"/>
            <w:r w:rsidR="00EB705F" w:rsidRPr="00144814">
              <w:rPr>
                <w:rStyle w:val="Hyperlink"/>
                <w:rFonts w:ascii="Verdana" w:eastAsia="Times New Roman" w:hAnsi="Verdana"/>
                <w:sz w:val="18"/>
                <w:szCs w:val="18"/>
                <w:lang w:val="fr-FR"/>
              </w:rPr>
              <w:t>.DC-EMES-RAS)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412D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7EEB9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framework and requirements for Internet protocol multimedia subsystem early media and extension service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211C3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Since 2017, traditional audio ring tone services have gradually entered the end of their life cycle, and the global market space including the Chinese and Korean markets has been declining year by year. From 2017 to 2019, China Mobile and Huawei, EASTCOM-BUPT, ZTE and other platform vendors, as well as Samsung, Qualcomm, OPPO, vivo and other chip and terminal manufacturers, have comprehensively innovated the video ring tone service. At present, the video ring tone has been applied in the Chinese market (including China Mobile, China Unicom, China Telecom), and the cumulative number of users has exceeded 200 million. In addition, other European and Asian countries are also introducing and deploying video ring tone services. However, we also encountered some industry obstacles, including obstacles on UEs, contents, and networks. We need to consider the solution on some key industry obstacles in this work item. The scope of Specifying the technical requirements and extended application scenarios of the Early Media is the primary task of standardization based on which this proposal proposes the application scenarios and requirements of Early Media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4E07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5829F65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50CE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0EE5E4"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"http://www.itu.int/itu-t/workprog/wp_item.aspx?isn=17545" \o "See more details"</w:instrText>
            </w:r>
            <w:r>
              <w:fldChar w:fldCharType="separate"/>
            </w:r>
            <w:r w:rsidR="00EB705F" w:rsidRPr="00144814">
              <w:rPr>
                <w:rStyle w:val="Hyperlink"/>
                <w:rFonts w:ascii="Verdana" w:eastAsia="Times New Roman" w:hAnsi="Verdana"/>
                <w:sz w:val="18"/>
                <w:szCs w:val="18"/>
                <w:lang w:val="fr-FR"/>
              </w:rPr>
              <w:t>F.740.7 (</w:t>
            </w:r>
            <w:proofErr w:type="gramStart"/>
            <w:r w:rsidR="00EB705F" w:rsidRPr="00144814">
              <w:rPr>
                <w:rStyle w:val="Hyperlink"/>
                <w:rFonts w:ascii="Verdana" w:eastAsia="Times New Roman" w:hAnsi="Verdana"/>
                <w:sz w:val="18"/>
                <w:szCs w:val="18"/>
                <w:lang w:val="fr-FR"/>
              </w:rPr>
              <w:t>ex F</w:t>
            </w:r>
            <w:proofErr w:type="gramEnd"/>
            <w:r w:rsidR="00EB705F" w:rsidRPr="00144814">
              <w:rPr>
                <w:rStyle w:val="Hyperlink"/>
                <w:rFonts w:ascii="Verdana" w:eastAsia="Times New Roman" w:hAnsi="Verdana"/>
                <w:sz w:val="18"/>
                <w:szCs w:val="18"/>
                <w:lang w:val="fr-FR"/>
              </w:rPr>
              <w:t>.DC-MTCPS)</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961C4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73EA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architecture and requirements for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BAB63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a reference architecture for mobile terminal computational photography system, which includes three functional blocks, namely optical imaging block, image processing block and application block. This recommendation also describes requirements for the mobile terminal computational photography system. This Recommendation can facilitate cooperation between manufactures, and enhance developing efficiency, </w:t>
            </w:r>
            <w:proofErr w:type="gramStart"/>
            <w:r>
              <w:rPr>
                <w:rFonts w:ascii="Verdana" w:eastAsia="Times New Roman" w:hAnsi="Verdana"/>
                <w:color w:val="000066"/>
                <w:sz w:val="18"/>
                <w:szCs w:val="18"/>
              </w:rPr>
              <w:t>so as to</w:t>
            </w:r>
            <w:proofErr w:type="gramEnd"/>
            <w:r>
              <w:rPr>
                <w:rFonts w:ascii="Verdana" w:eastAsia="Times New Roman" w:hAnsi="Verdana"/>
                <w:color w:val="000066"/>
                <w:sz w:val="18"/>
                <w:szCs w:val="18"/>
              </w:rPr>
              <w:t xml:space="preserve"> provide end users better photography experiences. The aim is to define the reference architecture and requirements for the mobile terminal photography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CB6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13712E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DD1D3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B7D8BF" w14:textId="77777777" w:rsidR="00EB705F" w:rsidRDefault="009A3DC3" w:rsidP="00C9333D">
            <w:pPr>
              <w:jc w:val="center"/>
              <w:rPr>
                <w:rFonts w:ascii="Verdana" w:eastAsia="Times New Roman" w:hAnsi="Verdana"/>
                <w:color w:val="000066"/>
                <w:sz w:val="18"/>
                <w:szCs w:val="18"/>
              </w:rPr>
            </w:pPr>
            <w:hyperlink r:id="rId372" w:tooltip="See more details" w:history="1">
              <w:r w:rsidR="00EB705F">
                <w:rPr>
                  <w:rStyle w:val="Hyperlink"/>
                  <w:rFonts w:ascii="Verdana" w:eastAsia="Times New Roman" w:hAnsi="Verdana"/>
                  <w:sz w:val="18"/>
                  <w:szCs w:val="18"/>
                </w:rPr>
                <w:t>F.744.5 (ex F.CDN-P2P)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02EF9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DD2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content delivery networks based on P2P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74ABD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the requirement for a peer-to-peer content delivery network (P2P CDN). It specifies the overall functional architecture, domains and functional role relationships, functional blocks and their mutual relationships, service provision requirement, availability requirement, scalability requirement and security considerations. P2P CDN provides a scalable and elastic CDN function pool of shareable terminal devices computing resources, storage resources and uplink bandwidth to save loads of current CDN and improve user experience.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F05D4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4504E1C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DE1F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753383" w14:textId="77777777" w:rsidR="00EB705F" w:rsidRDefault="009A3DC3" w:rsidP="00C9333D">
            <w:pPr>
              <w:jc w:val="center"/>
              <w:rPr>
                <w:rFonts w:ascii="Verdana" w:eastAsia="Times New Roman" w:hAnsi="Verdana"/>
                <w:color w:val="000066"/>
                <w:sz w:val="18"/>
                <w:szCs w:val="18"/>
              </w:rPr>
            </w:pPr>
            <w:hyperlink r:id="rId373" w:tooltip="See more details" w:history="1">
              <w:r w:rsidR="00EB705F">
                <w:rPr>
                  <w:rStyle w:val="Hyperlink"/>
                  <w:rFonts w:ascii="Verdana" w:eastAsia="Times New Roman" w:hAnsi="Verdana"/>
                  <w:sz w:val="18"/>
                  <w:szCs w:val="18"/>
                </w:rPr>
                <w:t>F.747.13 (ex F.CEC)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4600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9BAA5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reference framework of cloud-edge collaboration in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E2FB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requirements and reference framework of cloud-edge collaboration in industrial machine vision </w:t>
            </w:r>
            <w:proofErr w:type="gramStart"/>
            <w:r>
              <w:rPr>
                <w:rFonts w:ascii="Verdana" w:eastAsia="Times New Roman" w:hAnsi="Verdana"/>
                <w:color w:val="000066"/>
                <w:sz w:val="18"/>
                <w:szCs w:val="18"/>
              </w:rPr>
              <w:t>systems, and</w:t>
            </w:r>
            <w:proofErr w:type="gramEnd"/>
            <w:r>
              <w:rPr>
                <w:rFonts w:ascii="Verdana" w:eastAsia="Times New Roman" w:hAnsi="Verdana"/>
                <w:color w:val="000066"/>
                <w:sz w:val="18"/>
                <w:szCs w:val="18"/>
              </w:rPr>
              <w:t xml:space="preserve"> provides use cases. The cloud-edge collaboration is a process (or method) that coordinates cloud computing and edge computing, dynamically allocates required computing, algorithm models, data, or other resources, and jointly completes the same tasks (or objectives) agreed in advance. In industrial machine vision systems, the cloud-edge collaboration includes resource collaboration (computing, network, and storage), service collaboration (data, intelligence, and task), and application collaboration (capability and management). This Recommendation is intended to guide the design and development of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8A37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617F3F3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57FC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14E1BE" w14:textId="77777777" w:rsidR="00EB705F" w:rsidRDefault="009A3DC3" w:rsidP="00C9333D">
            <w:pPr>
              <w:jc w:val="center"/>
              <w:rPr>
                <w:rFonts w:ascii="Verdana" w:eastAsia="Times New Roman" w:hAnsi="Verdana"/>
                <w:color w:val="000066"/>
                <w:sz w:val="18"/>
                <w:szCs w:val="18"/>
              </w:rPr>
            </w:pPr>
            <w:hyperlink r:id="rId374" w:tooltip="See more details" w:history="1">
              <w:proofErr w:type="spellStart"/>
              <w:r w:rsidR="00EB705F">
                <w:rPr>
                  <w:rStyle w:val="Hyperlink"/>
                  <w:rFonts w:ascii="Verdana" w:eastAsia="Times New Roman" w:hAnsi="Verdana"/>
                  <w:sz w:val="18"/>
                  <w:szCs w:val="18"/>
                </w:rPr>
                <w:t>F.748.22</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H.FDISarch</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2523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E41D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F10E8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the architecture, the functional entities, and the reference points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C826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6955854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9E2F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44B4F" w14:textId="77777777" w:rsidR="00EB705F" w:rsidRDefault="009A3DC3" w:rsidP="00C9333D">
            <w:pPr>
              <w:jc w:val="center"/>
              <w:rPr>
                <w:rFonts w:ascii="Verdana" w:eastAsia="Times New Roman" w:hAnsi="Verdana"/>
                <w:color w:val="000066"/>
                <w:sz w:val="18"/>
                <w:szCs w:val="18"/>
              </w:rPr>
            </w:pPr>
            <w:hyperlink r:id="rId375" w:tooltip="See more details" w:history="1">
              <w:r w:rsidR="00EB705F">
                <w:rPr>
                  <w:rStyle w:val="Hyperlink"/>
                  <w:rFonts w:ascii="Verdana" w:eastAsia="Times New Roman" w:hAnsi="Verdana"/>
                  <w:sz w:val="18"/>
                  <w:szCs w:val="18"/>
                </w:rPr>
                <w:t>F.748.25 (ex F.AI-SCS)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9F7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6C5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speech interaction of intelligent customer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E1DF4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describes the scenarios, high-layer level architecture, functional </w:t>
            </w:r>
            <w:proofErr w:type="gramStart"/>
            <w:r>
              <w:rPr>
                <w:rFonts w:ascii="Verdana" w:eastAsia="Times New Roman" w:hAnsi="Verdana"/>
                <w:color w:val="000066"/>
                <w:sz w:val="18"/>
                <w:szCs w:val="18"/>
              </w:rPr>
              <w:t>requirements</w:t>
            </w:r>
            <w:proofErr w:type="gramEnd"/>
            <w:r>
              <w:rPr>
                <w:rFonts w:ascii="Verdana" w:eastAsia="Times New Roman" w:hAnsi="Verdana"/>
                <w:color w:val="000066"/>
                <w:sz w:val="18"/>
                <w:szCs w:val="18"/>
              </w:rPr>
              <w:t xml:space="preserve"> and performance requirements for speech interaction of intelligent customer service. Some detailed use cases and reference process of the creation of the knowledge base are described in the appendix.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400D9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5C69D40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632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289C2A" w14:textId="77777777" w:rsidR="00EB705F" w:rsidRPr="00144814" w:rsidRDefault="009A3DC3" w:rsidP="00C9333D">
            <w:pPr>
              <w:jc w:val="center"/>
              <w:rPr>
                <w:rFonts w:ascii="Verdana" w:eastAsia="Times New Roman" w:hAnsi="Verdana"/>
                <w:color w:val="000066"/>
                <w:sz w:val="18"/>
                <w:szCs w:val="18"/>
                <w:lang w:val="fr-FR"/>
              </w:rPr>
            </w:pPr>
            <w:hyperlink r:id="rId376" w:tooltip="See more details" w:history="1">
              <w:r w:rsidR="00EB705F" w:rsidRPr="00144814">
                <w:rPr>
                  <w:rStyle w:val="Hyperlink"/>
                  <w:rFonts w:ascii="Verdana" w:eastAsia="Times New Roman" w:hAnsi="Verdana"/>
                  <w:sz w:val="18"/>
                  <w:szCs w:val="18"/>
                  <w:lang w:val="fr-FR"/>
                </w:rPr>
                <w:t>F.751.10 (ex H.DLT-DCS)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FBF6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1A9E0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and requirements for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2C1A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DLT-based digital collection services are provided by DLT system to perform different operations towards digital collections, including issuance, sale, purchase, auction, transaction, transfer etc. This Recommendation specifies framework and requirements for DLT-based digital collection services, and it may be used to guide the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54D0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166306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F7BE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41CFD5" w14:textId="77777777" w:rsidR="00EB705F" w:rsidRPr="00144814" w:rsidRDefault="009A3DC3" w:rsidP="00C9333D">
            <w:pPr>
              <w:jc w:val="center"/>
              <w:rPr>
                <w:rFonts w:ascii="Verdana" w:eastAsia="Times New Roman" w:hAnsi="Verdana"/>
                <w:color w:val="000066"/>
                <w:sz w:val="18"/>
                <w:szCs w:val="18"/>
                <w:lang w:val="fr-FR"/>
              </w:rPr>
            </w:pPr>
            <w:hyperlink r:id="rId377" w:tooltip="See more details" w:history="1">
              <w:r w:rsidR="00EB705F" w:rsidRPr="00144814">
                <w:rPr>
                  <w:rStyle w:val="Hyperlink"/>
                  <w:rFonts w:ascii="Verdana" w:eastAsia="Times New Roman" w:hAnsi="Verdana"/>
                  <w:sz w:val="18"/>
                  <w:szCs w:val="18"/>
                  <w:lang w:val="fr-FR"/>
                </w:rPr>
                <w:t>F.751.11 (ex H.DLT-PTS)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F0E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DE77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Performance test suite for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560C4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a performance test suite for DLT system based on assessment criteria proposed in ITU-T F.751.1 and ITU-T F.751.6. This Recommendation specifies the basic principles and main dimensions of the performance testing for DLT system, and provides a suit of test cases, which can help users quantitatively and objectively analyses the performance of DLT system with different test environment </w:t>
            </w:r>
            <w:proofErr w:type="gramStart"/>
            <w:r>
              <w:rPr>
                <w:rFonts w:ascii="Verdana" w:eastAsia="Times New Roman" w:hAnsi="Verdana"/>
                <w:color w:val="000066"/>
                <w:sz w:val="18"/>
                <w:szCs w:val="18"/>
              </w:rPr>
              <w:t>comprehensively, and</w:t>
            </w:r>
            <w:proofErr w:type="gramEnd"/>
            <w:r>
              <w:rPr>
                <w:rFonts w:ascii="Verdana" w:eastAsia="Times New Roman" w:hAnsi="Verdana"/>
                <w:color w:val="000066"/>
                <w:sz w:val="18"/>
                <w:szCs w:val="18"/>
              </w:rPr>
              <w:t xml:space="preserve"> find the most suitable path to improve the performance.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2131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5D60F3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AC2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F673BE" w14:textId="77777777" w:rsidR="00EB705F" w:rsidRPr="00144814" w:rsidRDefault="009A3DC3" w:rsidP="00C9333D">
            <w:pPr>
              <w:jc w:val="center"/>
              <w:rPr>
                <w:rFonts w:ascii="Verdana" w:eastAsia="Times New Roman" w:hAnsi="Verdana"/>
                <w:color w:val="000066"/>
                <w:sz w:val="18"/>
                <w:szCs w:val="18"/>
                <w:lang w:val="fr-FR"/>
              </w:rPr>
            </w:pPr>
            <w:hyperlink r:id="rId378" w:tooltip="See more details" w:history="1">
              <w:r w:rsidR="00EB705F" w:rsidRPr="00144814">
                <w:rPr>
                  <w:rStyle w:val="Hyperlink"/>
                  <w:rFonts w:ascii="Verdana" w:eastAsia="Times New Roman" w:hAnsi="Verdana"/>
                  <w:sz w:val="18"/>
                  <w:szCs w:val="18"/>
                  <w:lang w:val="fr-FR"/>
                </w:rPr>
                <w:t>F.751.12 (ex H.DLT-VERI)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C328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F76B9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Formal verification framework for smart contract on distributed ledger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E817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Smart contracts can be used to reduce complex business contracts by directly enforcing the contract's payment methods and paybacks, and by automating the process of contract execution and verification into the network, without the intervention and cost of the person checking the contract's performance. However, smart contracts are a series of program codes generated on distributed ledger technology (DLT) and problems may occur in the process of executing the smart contract. As a method to solve problems that occur in the program execution environment, there is a formal verification. This Recommendation specifies formal verification framework for smart contract on distributed ledger technology (DLT), its overview, </w:t>
            </w:r>
            <w:proofErr w:type="gramStart"/>
            <w:r>
              <w:rPr>
                <w:rFonts w:ascii="Verdana" w:eastAsia="Times New Roman" w:hAnsi="Verdana"/>
                <w:color w:val="000066"/>
                <w:sz w:val="18"/>
                <w:szCs w:val="18"/>
              </w:rPr>
              <w:t>requirement</w:t>
            </w:r>
            <w:proofErr w:type="gramEnd"/>
            <w:r>
              <w:rPr>
                <w:rFonts w:ascii="Verdana" w:eastAsia="Times New Roman" w:hAnsi="Verdana"/>
                <w:color w:val="000066"/>
                <w:sz w:val="18"/>
                <w:szCs w:val="18"/>
              </w:rPr>
              <w:t xml:space="preserve"> and architecture in its framework, as well as the main technical direction of its formal method component. This Recommendation can be used as a guideline for smart contract developer to build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CB8C6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900026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130C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9EBD8" w14:textId="77777777" w:rsidR="00EB705F" w:rsidRPr="00144814" w:rsidRDefault="009A3DC3" w:rsidP="00C9333D">
            <w:pPr>
              <w:jc w:val="center"/>
              <w:rPr>
                <w:rFonts w:ascii="Verdana" w:eastAsia="Times New Roman" w:hAnsi="Verdana"/>
                <w:color w:val="000066"/>
                <w:sz w:val="18"/>
                <w:szCs w:val="18"/>
                <w:lang w:val="fr-FR"/>
              </w:rPr>
            </w:pPr>
            <w:hyperlink r:id="rId379" w:tooltip="See more details" w:history="1">
              <w:r w:rsidR="00EB705F" w:rsidRPr="00144814">
                <w:rPr>
                  <w:rStyle w:val="Hyperlink"/>
                  <w:rFonts w:ascii="Verdana" w:eastAsia="Times New Roman" w:hAnsi="Verdana"/>
                  <w:sz w:val="18"/>
                  <w:szCs w:val="18"/>
                  <w:lang w:val="fr-FR"/>
                </w:rPr>
                <w:t>F.751.13 (ex F.DLT-DPT)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396A4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EF11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and requirements for distributed ledger technology-based distributed power trading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6414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document proposes a distributed power transaction reference architecture based on DLT, so that the distributed power DLT can be built on the framework of common technology, so that it can be developed and expanded in a sustainable manner and reduce the cost of enterprise access. This document divides the roles and activities of participating subjects, clarify the responsibilities and obligations of each participating subject, and avoid unclear rights and responsibilities. This document provides contract templates for different transaction modes, standardize contract objects and data structures, and avoid repeated design and development. This Recommendation specifies the framework and requirements for the distributed power trading (DPT) system based on distributed ledger technology (DLT). The framework includes the infrastructure layer, the interface layer, and the application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779E4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4357771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9FA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B6E223" w14:textId="77777777" w:rsidR="00EB705F" w:rsidRDefault="009A3DC3" w:rsidP="00C9333D">
            <w:pPr>
              <w:jc w:val="center"/>
              <w:rPr>
                <w:rFonts w:ascii="Verdana" w:eastAsia="Times New Roman" w:hAnsi="Verdana"/>
                <w:color w:val="000066"/>
                <w:sz w:val="18"/>
                <w:szCs w:val="18"/>
              </w:rPr>
            </w:pPr>
            <w:hyperlink r:id="rId380" w:tooltip="See more details" w:history="1">
              <w:r w:rsidR="00EB705F">
                <w:rPr>
                  <w:rStyle w:val="Hyperlink"/>
                  <w:rFonts w:ascii="Verdana" w:eastAsia="Times New Roman" w:hAnsi="Verdana"/>
                  <w:sz w:val="18"/>
                  <w:szCs w:val="18"/>
                </w:rPr>
                <w:t>F.751.9 (ex H.DLT-TEE)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0E011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4D18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Trusted execution environment based confidential computing on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B6148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a trusted execution environment based confidential computing on distributed ledger technology system: decomposes user’s confidentiality demand into concrete requirements of each step during DLT service utilization; analyses detailed security requirements and technical requirements of trusted execution environment based confidential computing to guarantee the confidentiality in the life cycle of a transaction from end to end; addresses the framework of trusted execution environment based confidential computing, as well as detailed procedures to realize security requirements and technical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3E628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6A1267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08C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8FF22D" w14:textId="77777777" w:rsidR="00EB705F" w:rsidRDefault="009A3DC3" w:rsidP="00C9333D">
            <w:pPr>
              <w:jc w:val="center"/>
              <w:rPr>
                <w:rFonts w:ascii="Verdana" w:eastAsia="Times New Roman" w:hAnsi="Verdana"/>
                <w:color w:val="000066"/>
                <w:sz w:val="18"/>
                <w:szCs w:val="18"/>
              </w:rPr>
            </w:pPr>
            <w:hyperlink r:id="rId381" w:tooltip="See more details" w:history="1">
              <w:r w:rsidR="00EB705F">
                <w:rPr>
                  <w:rStyle w:val="Hyperlink"/>
                  <w:rFonts w:ascii="Verdana" w:eastAsia="Times New Roman" w:hAnsi="Verdana"/>
                  <w:sz w:val="18"/>
                  <w:szCs w:val="18"/>
                </w:rPr>
                <w:t xml:space="preserve">F.780.4 (ex </w:t>
              </w:r>
              <w:proofErr w:type="gramStart"/>
              <w:r w:rsidR="00EB705F">
                <w:rPr>
                  <w:rStyle w:val="Hyperlink"/>
                  <w:rFonts w:ascii="Verdana" w:eastAsia="Times New Roman" w:hAnsi="Verdana"/>
                  <w:sz w:val="18"/>
                  <w:szCs w:val="18"/>
                </w:rPr>
                <w:t>F.TELM</w:t>
              </w:r>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4A53C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7DED2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Reference framework, </w:t>
            </w:r>
            <w:proofErr w:type="gramStart"/>
            <w:r>
              <w:rPr>
                <w:rFonts w:ascii="Verdana" w:eastAsia="Times New Roman" w:hAnsi="Verdana"/>
                <w:color w:val="000066"/>
                <w:sz w:val="18"/>
                <w:szCs w:val="18"/>
              </w:rPr>
              <w:t>requirements</w:t>
            </w:r>
            <w:proofErr w:type="gramEnd"/>
            <w:r>
              <w:rPr>
                <w:rFonts w:ascii="Verdana" w:eastAsia="Times New Roman" w:hAnsi="Verdana"/>
                <w:color w:val="000066"/>
                <w:sz w:val="18"/>
                <w:szCs w:val="18"/>
              </w:rPr>
              <w:t xml:space="preserve"> and scenarios for telemedicine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02A3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describes the reference framework, </w:t>
            </w:r>
            <w:proofErr w:type="gramStart"/>
            <w:r>
              <w:rPr>
                <w:rFonts w:ascii="Verdana" w:eastAsia="Times New Roman" w:hAnsi="Verdana"/>
                <w:color w:val="000066"/>
                <w:sz w:val="18"/>
                <w:szCs w:val="18"/>
              </w:rPr>
              <w:t>requirements</w:t>
            </w:r>
            <w:proofErr w:type="gramEnd"/>
            <w:r>
              <w:rPr>
                <w:rFonts w:ascii="Verdana" w:eastAsia="Times New Roman" w:hAnsi="Verdana"/>
                <w:color w:val="000066"/>
                <w:sz w:val="18"/>
                <w:szCs w:val="18"/>
              </w:rPr>
              <w:t xml:space="preserve"> and scenarios of telemedicine system. Telemedicine system is an important application of ICT in medical field, under the background of unbalanced medical resources, which can realize the optimal allocation of medical resources and benefit people in areas with less developed medical resources. It recommends the framework, functional requirements, and scenarios of telemedicine system which are the necessary hardware and software foundations for telemedicine. The Recommendation is suitable for the development, </w:t>
            </w:r>
            <w:proofErr w:type="gramStart"/>
            <w:r>
              <w:rPr>
                <w:rFonts w:ascii="Verdana" w:eastAsia="Times New Roman" w:hAnsi="Verdana"/>
                <w:color w:val="000066"/>
                <w:sz w:val="18"/>
                <w:szCs w:val="18"/>
              </w:rPr>
              <w:t>construction</w:t>
            </w:r>
            <w:proofErr w:type="gramEnd"/>
            <w:r>
              <w:rPr>
                <w:rFonts w:ascii="Verdana" w:eastAsia="Times New Roman" w:hAnsi="Verdana"/>
                <w:color w:val="000066"/>
                <w:sz w:val="18"/>
                <w:szCs w:val="18"/>
              </w:rPr>
              <w:t xml:space="preserve"> and evaluation of telemedicine system in different countries and regions.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6159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2B67D4E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4DF4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A41F53" w14:textId="77777777" w:rsidR="00EB705F" w:rsidRDefault="009A3DC3" w:rsidP="00C9333D">
            <w:pPr>
              <w:jc w:val="center"/>
              <w:rPr>
                <w:rFonts w:ascii="Verdana" w:eastAsia="Times New Roman" w:hAnsi="Verdana"/>
                <w:color w:val="000066"/>
                <w:sz w:val="18"/>
                <w:szCs w:val="18"/>
              </w:rPr>
            </w:pPr>
            <w:hyperlink r:id="rId382" w:tooltip="See more details" w:history="1">
              <w:r w:rsidR="00EB705F">
                <w:rPr>
                  <w:rStyle w:val="Hyperlink"/>
                  <w:rFonts w:ascii="Verdana" w:eastAsia="Times New Roman" w:hAnsi="Verdana"/>
                  <w:sz w:val="18"/>
                  <w:szCs w:val="18"/>
                </w:rPr>
                <w:t>H.265 (V9)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528BF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CF7F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 efficiency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64FB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H.265 | International Standard ISO/IEC 23008-2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w:t>
            </w:r>
            <w:proofErr w:type="gramStart"/>
            <w:r>
              <w:rPr>
                <w:rFonts w:ascii="Verdana" w:eastAsia="Times New Roman" w:hAnsi="Verdana"/>
                <w:color w:val="000066"/>
                <w:sz w:val="18"/>
                <w:szCs w:val="18"/>
              </w:rPr>
              <w:t>transmitted</w:t>
            </w:r>
            <w:proofErr w:type="gramEnd"/>
            <w:r>
              <w:rPr>
                <w:rFonts w:ascii="Verdana" w:eastAsia="Times New Roman" w:hAnsi="Verdana"/>
                <w:color w:val="000066"/>
                <w:sz w:val="18"/>
                <w:szCs w:val="18"/>
              </w:rPr>
              <w:t xml:space="preserve"> and received over existing and future networks and distributed on existing and future broadcasting channels. This revision adds the specification of additional levels (levels 6.3, 7, 7.1, and 7.2), the specification of level 8.5 for the video profiles, </w:t>
            </w:r>
            <w:proofErr w:type="gramStart"/>
            <w:r>
              <w:rPr>
                <w:rFonts w:ascii="Verdana" w:eastAsia="Times New Roman" w:hAnsi="Verdana"/>
                <w:color w:val="000066"/>
                <w:sz w:val="18"/>
                <w:szCs w:val="18"/>
              </w:rPr>
              <w:t>and also</w:t>
            </w:r>
            <w:proofErr w:type="gramEnd"/>
            <w:r>
              <w:rPr>
                <w:rFonts w:ascii="Verdana" w:eastAsia="Times New Roman" w:hAnsi="Verdana"/>
                <w:color w:val="000066"/>
                <w:sz w:val="18"/>
                <w:szCs w:val="18"/>
              </w:rPr>
              <w:t xml:space="preserve"> includes corrections to various minor defects in the prior content of the Specification. This Recommendation | International Standard was developed jointly with ISO/IEC JTC 1/SC 29 and corresponds in a technically aligned manner to ISO/IEC 23008-2.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1E09B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68E3B9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5F5B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44AAE3" w14:textId="77777777" w:rsidR="00EB705F" w:rsidRDefault="009A3DC3" w:rsidP="00C9333D">
            <w:pPr>
              <w:jc w:val="center"/>
              <w:rPr>
                <w:rFonts w:ascii="Verdana" w:eastAsia="Times New Roman" w:hAnsi="Verdana"/>
                <w:color w:val="000066"/>
                <w:sz w:val="18"/>
                <w:szCs w:val="18"/>
              </w:rPr>
            </w:pPr>
            <w:hyperlink r:id="rId383" w:tooltip="See more details" w:history="1">
              <w:r w:rsidR="00EB705F">
                <w:rPr>
                  <w:rStyle w:val="Hyperlink"/>
                  <w:rFonts w:ascii="Verdana" w:eastAsia="Times New Roman" w:hAnsi="Verdana"/>
                  <w:sz w:val="18"/>
                  <w:szCs w:val="18"/>
                </w:rPr>
                <w:t>H.266.1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CAB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52EF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Conformance specification for ITU-T H.266 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8CE0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H.266.1 "Conformance specification for ITU-T H.266 versatile video coding" specifies tests for (non-exhaustive) testing to verify whether bitstreams and decoders meet the normative requirements specified in ITU?T H.266 | ISO/IEC 23090-3 versatile video coding (VVC). The bitstreams provided with this document correspond to the 04/2022 (V2) edition of Rec. ITU-T H.266. Relative to the previous edition, this version adds bitstreams for the 12-bit and 16-bit profiles that were added in the second edition of Rec. ITU-T H.266. This draft new Recommendation was developed collaboratively with ISO/IEC JTC 1/SC </w:t>
            </w:r>
            <w:proofErr w:type="gramStart"/>
            <w:r>
              <w:rPr>
                <w:rFonts w:ascii="Verdana" w:eastAsia="Times New Roman" w:hAnsi="Verdana"/>
                <w:color w:val="000066"/>
                <w:sz w:val="18"/>
                <w:szCs w:val="18"/>
              </w:rPr>
              <w:t>29, and</w:t>
            </w:r>
            <w:proofErr w:type="gramEnd"/>
            <w:r>
              <w:rPr>
                <w:rFonts w:ascii="Verdana" w:eastAsia="Times New Roman" w:hAnsi="Verdana"/>
                <w:color w:val="000066"/>
                <w:sz w:val="18"/>
                <w:szCs w:val="18"/>
              </w:rPr>
              <w:t xml:space="preserve"> corresponds with ISO/IEC 23090-15 as technically aligned twin text. The conformance bitstreams needed for this Recommendation are available at the following link: https://www.itu.int/wftp3/av-arch/jvet-site/bitstream_exchange/VVC2ndEd/FDIS.zip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55AE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63355A4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9210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8E6692" w14:textId="77777777" w:rsidR="00EB705F" w:rsidRDefault="009A3DC3" w:rsidP="00C9333D">
            <w:pPr>
              <w:jc w:val="center"/>
              <w:rPr>
                <w:rFonts w:ascii="Verdana" w:eastAsia="Times New Roman" w:hAnsi="Verdana"/>
                <w:color w:val="000066"/>
                <w:sz w:val="18"/>
                <w:szCs w:val="18"/>
              </w:rPr>
            </w:pPr>
            <w:hyperlink r:id="rId384" w:tooltip="See more details" w:history="1">
              <w:r w:rsidR="00EB705F">
                <w:rPr>
                  <w:rStyle w:val="Hyperlink"/>
                  <w:rFonts w:ascii="Verdana" w:eastAsia="Times New Roman" w:hAnsi="Verdana"/>
                  <w:sz w:val="18"/>
                  <w:szCs w:val="18"/>
                </w:rPr>
                <w:t>H.430.3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1B1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0359C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Service scenario of immersive live experience (ILE)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754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H.430.3 identifies service scenarios by analysing several use cases on immersive live experience (ILE) services,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classify ILE services and to clarify a reference model of ILE. The new edition of Recommendation H.430.3 appended service scenarios and use cases of interactive immersive services (IIS) as the part of ILE. This Recommendation also summarises several use cases and identifies candidate technologies for implementing ILE, including standards gap analysis related to ILE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9730B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68063F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D49E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D14607" w14:textId="77777777" w:rsidR="00EB705F" w:rsidRPr="00144814" w:rsidRDefault="009A3DC3" w:rsidP="00C9333D">
            <w:pPr>
              <w:jc w:val="center"/>
              <w:rPr>
                <w:rFonts w:ascii="Verdana" w:eastAsia="Times New Roman" w:hAnsi="Verdana"/>
                <w:color w:val="000066"/>
                <w:sz w:val="18"/>
                <w:szCs w:val="18"/>
                <w:lang w:val="fr-FR"/>
              </w:rPr>
            </w:pPr>
            <w:hyperlink r:id="rId385" w:tooltip="See more details" w:history="1">
              <w:proofErr w:type="spellStart"/>
              <w:r w:rsidR="00EB705F" w:rsidRPr="00144814">
                <w:rPr>
                  <w:rStyle w:val="Hyperlink"/>
                  <w:rFonts w:ascii="Verdana" w:eastAsia="Times New Roman" w:hAnsi="Verdana"/>
                  <w:sz w:val="18"/>
                  <w:szCs w:val="18"/>
                  <w:lang w:val="fr-FR"/>
                </w:rPr>
                <w:t>H.430.6</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H.ILE-Haptic</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7856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A8E1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Media transport protocols, signalling information of haptic transmission for immersive live experience (ILE)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CCCE3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ILE systems may handle haptic information, such as vibrotactile and kinaesthetic actions, for increasing more </w:t>
            </w:r>
            <w:proofErr w:type="spellStart"/>
            <w:r>
              <w:rPr>
                <w:rFonts w:ascii="Verdana" w:eastAsia="Times New Roman" w:hAnsi="Verdana"/>
                <w:color w:val="000066"/>
                <w:sz w:val="18"/>
                <w:szCs w:val="18"/>
              </w:rPr>
              <w:t>immersiveness</w:t>
            </w:r>
            <w:proofErr w:type="spellEnd"/>
            <w:r>
              <w:rPr>
                <w:rFonts w:ascii="Verdana" w:eastAsia="Times New Roman" w:hAnsi="Verdana"/>
                <w:color w:val="000066"/>
                <w:sz w:val="18"/>
                <w:szCs w:val="18"/>
              </w:rPr>
              <w:t xml:space="preserve"> in addition to audio and video. Haptic information should be transmitted synchronously with audio, </w:t>
            </w:r>
            <w:proofErr w:type="gramStart"/>
            <w:r>
              <w:rPr>
                <w:rFonts w:ascii="Verdana" w:eastAsia="Times New Roman" w:hAnsi="Verdana"/>
                <w:color w:val="000066"/>
                <w:sz w:val="18"/>
                <w:szCs w:val="18"/>
              </w:rPr>
              <w:t>video</w:t>
            </w:r>
            <w:proofErr w:type="gramEnd"/>
            <w:r>
              <w:rPr>
                <w:rFonts w:ascii="Verdana" w:eastAsia="Times New Roman" w:hAnsi="Verdana"/>
                <w:color w:val="000066"/>
                <w:sz w:val="18"/>
                <w:szCs w:val="18"/>
              </w:rPr>
              <w:t xml:space="preserve"> and lighting information. This draft Recommendation identifies media transport protocol and signalling information of haptic transmission for immersive live experience (ILE) systems,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transmit haptic information synchronously for provide ILE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FC83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3120C3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878B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014CE" w14:textId="77777777" w:rsidR="00EB705F" w:rsidRPr="00144814" w:rsidRDefault="009A3DC3" w:rsidP="00C9333D">
            <w:pPr>
              <w:jc w:val="center"/>
              <w:rPr>
                <w:rFonts w:ascii="Verdana" w:eastAsia="Times New Roman" w:hAnsi="Verdana"/>
                <w:color w:val="000066"/>
                <w:sz w:val="18"/>
                <w:szCs w:val="18"/>
                <w:lang w:val="fr-FR"/>
              </w:rPr>
            </w:pPr>
            <w:hyperlink r:id="rId386" w:tooltip="See more details" w:history="1">
              <w:proofErr w:type="spellStart"/>
              <w:r w:rsidR="00EB705F" w:rsidRPr="00144814">
                <w:rPr>
                  <w:rStyle w:val="Hyperlink"/>
                  <w:rFonts w:ascii="Verdana" w:eastAsia="Times New Roman" w:hAnsi="Verdana"/>
                  <w:sz w:val="18"/>
                  <w:szCs w:val="18"/>
                  <w:lang w:val="fr-FR"/>
                </w:rPr>
                <w:t>H.430.7</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H.IIS-reqts</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AF21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96FC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interactive immersive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B572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the definition and requirements of interactive immersive services (IIS). Based on the overview of IIS, the requirements which include interactive capabilities, synchronous transmission of concurrent streams, intelligent distribution of massive multimedia data, media processing for immersive interactive information, and network status awareness with </w:t>
            </w:r>
            <w:proofErr w:type="spellStart"/>
            <w:r>
              <w:rPr>
                <w:rFonts w:ascii="Verdana" w:eastAsia="Times New Roman" w:hAnsi="Verdana"/>
                <w:color w:val="000066"/>
                <w:sz w:val="18"/>
                <w:szCs w:val="18"/>
              </w:rPr>
              <w:t>QoE</w:t>
            </w:r>
            <w:proofErr w:type="spellEnd"/>
            <w:r>
              <w:rPr>
                <w:rFonts w:ascii="Verdana" w:eastAsia="Times New Roman" w:hAnsi="Verdana"/>
                <w:color w:val="000066"/>
                <w:sz w:val="18"/>
                <w:szCs w:val="18"/>
              </w:rPr>
              <w:t xml:space="preserve"> scheduling, are specified in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A3D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8322FD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B0F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499D9D" w14:textId="77777777" w:rsidR="00EB705F" w:rsidRDefault="009A3DC3" w:rsidP="00C9333D">
            <w:pPr>
              <w:jc w:val="center"/>
              <w:rPr>
                <w:rFonts w:ascii="Verdana" w:eastAsia="Times New Roman" w:hAnsi="Verdana"/>
                <w:color w:val="000066"/>
                <w:sz w:val="18"/>
                <w:szCs w:val="18"/>
              </w:rPr>
            </w:pPr>
            <w:hyperlink r:id="rId387" w:tooltip="See more details" w:history="1">
              <w:proofErr w:type="spellStart"/>
              <w:r w:rsidR="00EB705F">
                <w:rPr>
                  <w:rStyle w:val="Hyperlink"/>
                  <w:rFonts w:ascii="Verdana" w:eastAsia="Times New Roman" w:hAnsi="Verdana"/>
                  <w:sz w:val="18"/>
                  <w:szCs w:val="18"/>
                </w:rPr>
                <w:t>H.644.6</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H.VDSSArch</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3069B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4C84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for video distribution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9539F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the architecture for video distribution systems. The video distribution system described in this Recommendation is an over-the-top video application system, which has the capabilities of video access, distribution, transcoding, processing, management, and presentation, and can provide the live video streaming service, video on demand service, and other related value-added services to users on the Internet. Users can directly use the video distribution functions through the system without complex system development, </w:t>
            </w:r>
            <w:proofErr w:type="gramStart"/>
            <w:r>
              <w:rPr>
                <w:rFonts w:ascii="Verdana" w:eastAsia="Times New Roman" w:hAnsi="Verdana"/>
                <w:color w:val="000066"/>
                <w:sz w:val="18"/>
                <w:szCs w:val="18"/>
              </w:rPr>
              <w:t>deployment</w:t>
            </w:r>
            <w:proofErr w:type="gramEnd"/>
            <w:r>
              <w:rPr>
                <w:rFonts w:ascii="Verdana" w:eastAsia="Times New Roman" w:hAnsi="Verdana"/>
                <w:color w:val="000066"/>
                <w:sz w:val="18"/>
                <w:szCs w:val="18"/>
              </w:rPr>
              <w:t xml:space="preserve"> and maintenance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DDAC9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EBC9E2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1F39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9DED0" w14:textId="77777777" w:rsidR="00EB705F" w:rsidRDefault="009A3DC3" w:rsidP="00C9333D">
            <w:pPr>
              <w:jc w:val="center"/>
              <w:rPr>
                <w:rFonts w:ascii="Verdana" w:eastAsia="Times New Roman" w:hAnsi="Verdana"/>
                <w:color w:val="000066"/>
                <w:sz w:val="18"/>
                <w:szCs w:val="18"/>
              </w:rPr>
            </w:pPr>
            <w:hyperlink r:id="rId388" w:tooltip="See more details" w:history="1">
              <w:proofErr w:type="spellStart"/>
              <w:r w:rsidR="00EB705F">
                <w:rPr>
                  <w:rStyle w:val="Hyperlink"/>
                  <w:rFonts w:ascii="Verdana" w:eastAsia="Times New Roman" w:hAnsi="Verdana"/>
                  <w:sz w:val="18"/>
                  <w:szCs w:val="18"/>
                </w:rPr>
                <w:t>H.644.7</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H.MPSArch</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5A2F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88EB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media processing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876E1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the functional architecture for the media processing services. In particular, the scope of this Recommendation includes domains and functional roles relationship, functional </w:t>
            </w:r>
            <w:proofErr w:type="gramStart"/>
            <w:r>
              <w:rPr>
                <w:rFonts w:ascii="Verdana" w:eastAsia="Times New Roman" w:hAnsi="Verdana"/>
                <w:color w:val="000066"/>
                <w:sz w:val="18"/>
                <w:szCs w:val="18"/>
              </w:rPr>
              <w:t>architecture</w:t>
            </w:r>
            <w:proofErr w:type="gramEnd"/>
            <w:r>
              <w:rPr>
                <w:rFonts w:ascii="Verdana" w:eastAsia="Times New Roman" w:hAnsi="Verdana"/>
                <w:color w:val="000066"/>
                <w:sz w:val="18"/>
                <w:szCs w:val="18"/>
              </w:rPr>
              <w:t xml:space="preserve"> and reference points. Media processing services utilize a set of techniques including cloud computing, computing resource virtualization, and job queue processing to dynamically control and manage all kinds of computing resources, which improves scalability, flexibility, and availability.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97A5B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5874167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0C9E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37ED9D"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"http://www.itu.int/itu-t/workprog/wp_item.aspx?isn=17477" \o "See more details"</w:instrText>
            </w:r>
            <w:r>
              <w:fldChar w:fldCharType="separate"/>
            </w:r>
            <w:r w:rsidR="00EB705F" w:rsidRPr="00144814">
              <w:rPr>
                <w:rStyle w:val="Hyperlink"/>
                <w:rFonts w:ascii="Verdana" w:eastAsia="Times New Roman" w:hAnsi="Verdana"/>
                <w:sz w:val="18"/>
                <w:szCs w:val="18"/>
                <w:lang w:val="fr-FR"/>
              </w:rPr>
              <w:t xml:space="preserve">H.705.1 (ex </w:t>
            </w:r>
            <w:proofErr w:type="gramStart"/>
            <w:r w:rsidR="00EB705F" w:rsidRPr="00144814">
              <w:rPr>
                <w:rStyle w:val="Hyperlink"/>
                <w:rFonts w:ascii="Verdana" w:eastAsia="Times New Roman" w:hAnsi="Verdana"/>
                <w:sz w:val="18"/>
                <w:szCs w:val="18"/>
                <w:lang w:val="fr-FR"/>
              </w:rPr>
              <w:t>H.IPTV</w:t>
            </w:r>
            <w:proofErr w:type="gramEnd"/>
            <w:r w:rsidR="00EB705F" w:rsidRPr="00144814">
              <w:rPr>
                <w:rStyle w:val="Hyperlink"/>
                <w:rFonts w:ascii="Verdana" w:eastAsia="Times New Roman" w:hAnsi="Verdana"/>
                <w:sz w:val="18"/>
                <w:szCs w:val="18"/>
                <w:lang w:val="fr-FR"/>
              </w:rPr>
              <w:t>-LSFA)</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A36BA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65309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Layered specification for the IPTV service platform functional architecture based on open service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07068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a layered architecture of IPTV service platform intended to provide open service capabilities for diversified IPTV services. In comparison with the high-level IPTV functional architecture defined in Recommendation ITU-T Y.1910, the layered architecture decouples service logic from data resource and decompose the functions of IPTV service platform into more granular modules. This recommendation specifies the fine-grained functional modules and reference points, by considering the aspects of service offering and operational management. It also defines typical procedural flows on content preparation, service presentation and content consumption in appendices. This recommendation provides reference for IPTV service providers to construct the open platform of IPTV services and enables automatic deployment and fast iteration of multimedia applications in the platform. It’s of benefit to promote service capability of IPTV and further enhance user experience on using diversified IPTV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216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5780DD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8EA12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C951C7"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"http://www.itu.int/itu-t/workprog/wp_item.aspx?isn=17591" \o "See more details"</w:instrText>
            </w:r>
            <w:r>
              <w:fldChar w:fldCharType="separate"/>
            </w:r>
            <w:proofErr w:type="spellStart"/>
            <w:r w:rsidR="00EB705F" w:rsidRPr="00144814">
              <w:rPr>
                <w:rStyle w:val="Hyperlink"/>
                <w:rFonts w:ascii="Verdana" w:eastAsia="Times New Roman" w:hAnsi="Verdana"/>
                <w:sz w:val="18"/>
                <w:szCs w:val="18"/>
                <w:lang w:val="fr-FR"/>
              </w:rPr>
              <w:t>H.705.2</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H.IPTV</w:t>
            </w:r>
            <w:proofErr w:type="gramEnd"/>
            <w:r w:rsidR="00EB705F" w:rsidRPr="00144814">
              <w:rPr>
                <w:rStyle w:val="Hyperlink"/>
                <w:rFonts w:ascii="Verdana" w:eastAsia="Times New Roman" w:hAnsi="Verdana"/>
                <w:sz w:val="18"/>
                <w:szCs w:val="18"/>
                <w:lang w:val="fr-FR"/>
              </w:rPr>
              <w:t>-QUICReq</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52F5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9FBC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live streaming systems based on QUIC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127E9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of a live streaming system to utilize QUIC transport protocol to improve its delivery performance and security. It also describes the procedures and framework for QUIC-based live streaming system to provide unicast or multicast service encapsulating in QUIC protocol. With this Recommendation, a live streaming service provider can gain understanding of how to utilize QUIC protocol to provide unicast or multicast live streaming media service. With QUIC transport protocol, the services will have lower connection establishment and delivery delay, enhanced delivery performance, and security insurance.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9028C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390A4E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B6CA0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70DE82" w14:textId="77777777" w:rsidR="00EB705F" w:rsidRDefault="009A3DC3" w:rsidP="00C9333D">
            <w:pPr>
              <w:jc w:val="center"/>
              <w:rPr>
                <w:rFonts w:ascii="Verdana" w:eastAsia="Times New Roman" w:hAnsi="Verdana"/>
                <w:color w:val="000066"/>
                <w:sz w:val="18"/>
                <w:szCs w:val="18"/>
              </w:rPr>
            </w:pPr>
            <w:hyperlink r:id="rId389" w:tooltip="See more details" w:history="1">
              <w:r w:rsidR="00EB705F">
                <w:rPr>
                  <w:rStyle w:val="Hyperlink"/>
                  <w:rFonts w:ascii="Verdana" w:eastAsia="Times New Roman" w:hAnsi="Verdana"/>
                  <w:sz w:val="18"/>
                  <w:szCs w:val="18"/>
                </w:rPr>
                <w:t>H.862.6 (ex F.CS-AEI)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5000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E44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requirements for counselling services based on artificial emotional intelligence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7F87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proposes service requirements and functional specifications for counselling services based on artificial emotional intelligence technologies. This Recommendation proposes a service model in counselling services using several scenarios. At a time when artificial intelligence (AI) technologies are widely proposed and used, the relevant standards can be an important opportunity to facilitate the development of the technology in the industry.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6B185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527D66C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41F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0EC6F8" w14:textId="77777777" w:rsidR="00EB705F" w:rsidRDefault="009A3DC3" w:rsidP="00C9333D">
            <w:pPr>
              <w:jc w:val="center"/>
              <w:rPr>
                <w:rFonts w:ascii="Verdana" w:eastAsia="Times New Roman" w:hAnsi="Verdana"/>
                <w:color w:val="000066"/>
                <w:sz w:val="18"/>
                <w:szCs w:val="18"/>
              </w:rPr>
            </w:pPr>
            <w:hyperlink r:id="rId390" w:tooltip="See more details" w:history="1">
              <w:r w:rsidR="00EB705F">
                <w:rPr>
                  <w:rStyle w:val="Hyperlink"/>
                  <w:rFonts w:ascii="Verdana" w:eastAsia="Times New Roman" w:hAnsi="Verdana"/>
                  <w:sz w:val="18"/>
                  <w:szCs w:val="18"/>
                </w:rPr>
                <w:t>T.873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F4039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B90F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technology - Digital compression and coding of continuous-tone still images: Reference software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3592B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w:t>
            </w:r>
            <w:proofErr w:type="gramStart"/>
            <w:r>
              <w:rPr>
                <w:rFonts w:ascii="Verdana" w:eastAsia="Times New Roman" w:hAnsi="Verdana"/>
                <w:color w:val="000066"/>
                <w:sz w:val="18"/>
                <w:szCs w:val="18"/>
              </w:rPr>
              <w:t>), and</w:t>
            </w:r>
            <w:proofErr w:type="gramEnd"/>
            <w:r>
              <w:rPr>
                <w:rFonts w:ascii="Verdana" w:eastAsia="Times New Roman" w:hAnsi="Verdana"/>
                <w:color w:val="000066"/>
                <w:sz w:val="18"/>
                <w:szCs w:val="18"/>
              </w:rPr>
              <w:t xml:space="preserve"> corresponds as common text with ISO/IEC 10918-7. This third edition cancels and replaces the second edition, which has been technically revised. The main changes compared to the previous edition are as follows: This second edition updates Reference Software A to release 1.65, and Reference Software B to release 3.0.0. This version of Reference Software A corrects implementation errors and improves the overall stability of the software. This version of Reference Software B now also includes support for 8-bit and 12</w:t>
            </w:r>
            <w:r>
              <w:rPr>
                <w:rFonts w:ascii="Verdana" w:eastAsia="Times New Roman" w:hAnsi="Verdana"/>
                <w:color w:val="000066"/>
                <w:sz w:val="18"/>
                <w:szCs w:val="18"/>
              </w:rPr>
              <w:softHyphen/>
              <w:t xml:space="preserve">-bit </w:t>
            </w:r>
            <w:proofErr w:type="spellStart"/>
            <w:r>
              <w:rPr>
                <w:rFonts w:ascii="Verdana" w:eastAsia="Times New Roman" w:hAnsi="Verdana"/>
                <w:color w:val="000066"/>
                <w:sz w:val="18"/>
                <w:szCs w:val="18"/>
              </w:rPr>
              <w:t>codestreams</w:t>
            </w:r>
            <w:proofErr w:type="spellEnd"/>
            <w:r>
              <w:rPr>
                <w:rFonts w:ascii="Verdana" w:eastAsia="Times New Roman" w:hAnsi="Verdana"/>
                <w:color w:val="000066"/>
                <w:sz w:val="18"/>
                <w:szCs w:val="18"/>
              </w:rPr>
              <w:t xml:space="preserve"> in one single integrated code.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4A9D3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C5F749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DC8B1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04D3E" w14:textId="77777777" w:rsidR="00EB705F" w:rsidRDefault="009A3DC3" w:rsidP="00C9333D">
            <w:pPr>
              <w:jc w:val="center"/>
              <w:rPr>
                <w:rFonts w:ascii="Verdana" w:eastAsia="Times New Roman" w:hAnsi="Verdana"/>
                <w:color w:val="000066"/>
                <w:sz w:val="18"/>
                <w:szCs w:val="18"/>
              </w:rPr>
            </w:pPr>
            <w:hyperlink r:id="rId391" w:tooltip="See more details" w:history="1">
              <w:r w:rsidR="00EB705F">
                <w:rPr>
                  <w:rStyle w:val="Hyperlink"/>
                  <w:rFonts w:ascii="Verdana" w:eastAsia="Times New Roman" w:hAnsi="Verdana"/>
                  <w:sz w:val="18"/>
                  <w:szCs w:val="18"/>
                </w:rPr>
                <w:t>H.266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3008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B8AE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1B9EB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H.266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w:t>
            </w:r>
            <w:proofErr w:type="spellStart"/>
            <w:r>
              <w:rPr>
                <w:rFonts w:ascii="Verdana" w:eastAsia="Times New Roman" w:hAnsi="Verdana"/>
                <w:color w:val="000066"/>
                <w:sz w:val="18"/>
                <w:szCs w:val="18"/>
              </w:rPr>
              <w:t>cubemap</w:t>
            </w:r>
            <w:proofErr w:type="spellEnd"/>
            <w:r>
              <w:rPr>
                <w:rFonts w:ascii="Verdana" w:eastAsia="Times New Roman" w:hAnsi="Verdana"/>
                <w:color w:val="000066"/>
                <w:sz w:val="18"/>
                <w:szCs w:val="18"/>
              </w:rPr>
              <w:t xml:space="preserve"> projection formats, in addition to the applications that have commonly been addressed by prior video coding standards.</w:t>
            </w:r>
            <w:r>
              <w:rPr>
                <w:rFonts w:ascii="Verdana" w:eastAsia="Times New Roman" w:hAnsi="Verdana"/>
                <w:color w:val="000066"/>
                <w:sz w:val="18"/>
                <w:szCs w:val="18"/>
              </w:rPr>
              <w:br/>
            </w:r>
            <w:r>
              <w:rPr>
                <w:rFonts w:ascii="Verdana" w:eastAsia="Times New Roman" w:hAnsi="Verdana"/>
                <w:color w:val="000066"/>
                <w:sz w:val="18"/>
                <w:szCs w:val="18"/>
              </w:rPr>
              <w:br/>
              <w:t>This revision adds the specification of a new level (level 15.5) for the video profiles to provide a suitable label for bitstreams that can exceed the limits of all other specified levels, additional supplement enhancement information, and corrections to various minor defects in the prior content of the Recommendation.</w:t>
            </w:r>
            <w:r>
              <w:rPr>
                <w:rFonts w:ascii="Verdana" w:eastAsia="Times New Roman" w:hAnsi="Verdana"/>
                <w:color w:val="000066"/>
                <w:sz w:val="18"/>
                <w:szCs w:val="18"/>
              </w:rPr>
              <w:br/>
            </w:r>
            <w:r>
              <w:rPr>
                <w:rFonts w:ascii="Verdana" w:eastAsia="Times New Roman" w:hAnsi="Verdana"/>
                <w:color w:val="000066"/>
                <w:sz w:val="18"/>
                <w:szCs w:val="18"/>
              </w:rPr>
              <w:br/>
              <w:t>This Recommendation was developed collaboratively with ISO/IEC JTC 1/SC 29, and corresponds with ISO/IEC 23090?3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51D3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375F155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7BC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D6CAC5" w14:textId="77777777" w:rsidR="00EB705F" w:rsidRDefault="009A3DC3" w:rsidP="00C9333D">
            <w:pPr>
              <w:jc w:val="center"/>
              <w:rPr>
                <w:rFonts w:ascii="Verdana" w:eastAsia="Times New Roman" w:hAnsi="Verdana"/>
                <w:color w:val="000066"/>
                <w:sz w:val="18"/>
                <w:szCs w:val="18"/>
              </w:rPr>
            </w:pPr>
            <w:hyperlink r:id="rId392" w:tooltip="See more details" w:history="1">
              <w:r w:rsidR="00EB705F">
                <w:rPr>
                  <w:rStyle w:val="Hyperlink"/>
                  <w:rFonts w:ascii="Verdana" w:eastAsia="Times New Roman" w:hAnsi="Verdana"/>
                  <w:sz w:val="18"/>
                  <w:szCs w:val="18"/>
                </w:rPr>
                <w:t>H.273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2DCCB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390E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Coding-independent code points for video signal type identification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ABA50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revised Rec. ITU-T H.273 adds the specification of code point identifiers for </w:t>
            </w:r>
            <w:proofErr w:type="spellStart"/>
            <w:r>
              <w:rPr>
                <w:rFonts w:ascii="Verdana" w:eastAsia="Times New Roman" w:hAnsi="Verdana"/>
                <w:color w:val="000066"/>
                <w:sz w:val="18"/>
                <w:szCs w:val="18"/>
              </w:rPr>
              <w:t>YCgCo</w:t>
            </w:r>
            <w:proofErr w:type="spellEnd"/>
            <w:r>
              <w:rPr>
                <w:rFonts w:ascii="Verdana" w:eastAsia="Times New Roman" w:hAnsi="Verdana"/>
                <w:color w:val="000066"/>
                <w:sz w:val="18"/>
                <w:szCs w:val="18"/>
              </w:rPr>
              <w:t xml:space="preserve">-R colour representation with equal luma and chroma bit depths and for the colour representation specified in SMPTE ST 2128. The new code points for </w:t>
            </w:r>
            <w:proofErr w:type="spellStart"/>
            <w:r>
              <w:rPr>
                <w:rFonts w:ascii="Verdana" w:eastAsia="Times New Roman" w:hAnsi="Verdana"/>
                <w:color w:val="000066"/>
                <w:sz w:val="18"/>
                <w:szCs w:val="18"/>
              </w:rPr>
              <w:t>YCgCo</w:t>
            </w:r>
            <w:proofErr w:type="spellEnd"/>
            <w:r>
              <w:rPr>
                <w:rFonts w:ascii="Verdana" w:eastAsia="Times New Roman" w:hAnsi="Verdana"/>
                <w:color w:val="000066"/>
                <w:sz w:val="18"/>
                <w:szCs w:val="18"/>
              </w:rPr>
              <w:t xml:space="preserve">-R are referred to as </w:t>
            </w:r>
            <w:proofErr w:type="spellStart"/>
            <w:r>
              <w:rPr>
                <w:rFonts w:ascii="Verdana" w:eastAsia="Times New Roman" w:hAnsi="Verdana"/>
                <w:color w:val="000066"/>
                <w:sz w:val="18"/>
                <w:szCs w:val="18"/>
              </w:rPr>
              <w:t>YCgCo</w:t>
            </w:r>
            <w:proofErr w:type="spellEnd"/>
            <w:r>
              <w:rPr>
                <w:rFonts w:ascii="Verdana" w:eastAsia="Times New Roman" w:hAnsi="Verdana"/>
                <w:color w:val="000066"/>
                <w:sz w:val="18"/>
                <w:szCs w:val="18"/>
              </w:rPr>
              <w:t xml:space="preserve">-Re and </w:t>
            </w:r>
            <w:proofErr w:type="spellStart"/>
            <w:r>
              <w:rPr>
                <w:rFonts w:ascii="Verdana" w:eastAsia="Times New Roman" w:hAnsi="Verdana"/>
                <w:color w:val="000066"/>
                <w:sz w:val="18"/>
                <w:szCs w:val="18"/>
              </w:rPr>
              <w:t>YCgCo</w:t>
            </w:r>
            <w:proofErr w:type="spellEnd"/>
            <w:r>
              <w:rPr>
                <w:rFonts w:ascii="Verdana" w:eastAsia="Times New Roman" w:hAnsi="Verdana"/>
                <w:color w:val="000066"/>
                <w:sz w:val="18"/>
                <w:szCs w:val="18"/>
              </w:rPr>
              <w:t>-Ro, where the number of bits added to a source RGB bit depth is 2 (i.e., even) and 1 (i.e., odd), respectively. SMPTE ST 2128 specifies a colour representation referred to as IPT-PQ-C2 This Recommendation was developed jointly with ISO/IEC JTC 1, Information technology, Subcommittee SC 29, Coding of audio, picture, multimedia and hypermedia information, and Rec. ITU-T H.273 is maintained as technically aligned twin text with ISO/IEC 23091-2. The changes specified in this version correspond to the technical content of a not-yet-published future (third) edition of ISO/IEC 23091-2.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E6913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2B5CB64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C1D92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B4C2BB" w14:textId="77777777" w:rsidR="00EB705F" w:rsidRDefault="009A3DC3" w:rsidP="00C9333D">
            <w:pPr>
              <w:jc w:val="center"/>
              <w:rPr>
                <w:rFonts w:ascii="Verdana" w:eastAsia="Times New Roman" w:hAnsi="Verdana"/>
                <w:color w:val="000066"/>
                <w:sz w:val="18"/>
                <w:szCs w:val="18"/>
              </w:rPr>
            </w:pPr>
            <w:hyperlink r:id="rId393" w:tooltip="See more details" w:history="1">
              <w:r w:rsidR="00EB705F">
                <w:rPr>
                  <w:rStyle w:val="Hyperlink"/>
                  <w:rFonts w:ascii="Verdana" w:eastAsia="Times New Roman" w:hAnsi="Verdana"/>
                  <w:sz w:val="18"/>
                  <w:szCs w:val="18"/>
                </w:rPr>
                <w:t>H.274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9F225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4B24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Versatile supplemental enhancement information messages for coded video bitstreams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69203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H.274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Pr>
                <w:rFonts w:ascii="Verdana" w:eastAsia="Times New Roman" w:hAnsi="Verdana"/>
                <w:color w:val="000066"/>
                <w:sz w:val="18"/>
                <w:szCs w:val="18"/>
              </w:rPr>
              <w:br/>
            </w:r>
            <w:r>
              <w:rPr>
                <w:rFonts w:ascii="Verdana" w:eastAsia="Times New Roman" w:hAnsi="Verdana"/>
                <w:color w:val="000066"/>
                <w:sz w:val="18"/>
                <w:szCs w:val="18"/>
              </w:rPr>
              <w:br/>
              <w:t>This revision adds four new versatile supplemental enhancement information (VSEI) messages for coded video bitstreams, and also includes corrections and editorial improvements to various minor defects in the prior content of this Recommendation. Changes are included as modifications to the sections of text that were previously present in H.274 V2.</w:t>
            </w:r>
            <w:r>
              <w:rPr>
                <w:rFonts w:ascii="Verdana" w:eastAsia="Times New Roman" w:hAnsi="Verdana"/>
                <w:color w:val="000066"/>
                <w:sz w:val="18"/>
                <w:szCs w:val="18"/>
              </w:rPr>
              <w:br/>
            </w:r>
            <w:r>
              <w:rPr>
                <w:rFonts w:ascii="Verdana" w:eastAsia="Times New Roman" w:hAnsi="Verdana"/>
                <w:color w:val="000066"/>
                <w:sz w:val="18"/>
                <w:szCs w:val="18"/>
              </w:rPr>
              <w:br/>
              <w:t>This Recommendation was developed collaboratively with ISO/IEC JTC 1/SC 29 and corresponds with ISO/IEC 23002 7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06D6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70C4104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CA12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63A48" w14:textId="77777777" w:rsidR="00EB705F" w:rsidRDefault="009A3DC3" w:rsidP="00C9333D">
            <w:pPr>
              <w:jc w:val="center"/>
              <w:rPr>
                <w:rFonts w:ascii="Verdana" w:eastAsia="Times New Roman" w:hAnsi="Verdana"/>
                <w:color w:val="000066"/>
                <w:sz w:val="18"/>
                <w:szCs w:val="18"/>
              </w:rPr>
            </w:pPr>
            <w:hyperlink r:id="rId394" w:tooltip="See more details" w:history="1">
              <w:proofErr w:type="spellStart"/>
              <w:r w:rsidR="00EB705F">
                <w:rPr>
                  <w:rStyle w:val="Hyperlink"/>
                  <w:rFonts w:ascii="Verdana" w:eastAsia="Times New Roman" w:hAnsi="Verdana"/>
                  <w:sz w:val="18"/>
                  <w:szCs w:val="18"/>
                </w:rPr>
                <w:t>F.743.23</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F.VSSReqs</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66C98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F07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requirements for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E1AA8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premises unit (PU) device security classification, functional requirements, typical use case and scenario for video surveillance systems. The Recommendation specifies the functional requirements, including PU access security requirements, transmission security requirements, platform security requirements, application security requirements, network security and security management centre in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8C6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20B7F2F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B0CC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A3505B" w14:textId="77777777" w:rsidR="00EB705F" w:rsidRDefault="009A3DC3" w:rsidP="00C9333D">
            <w:pPr>
              <w:jc w:val="center"/>
              <w:rPr>
                <w:rFonts w:ascii="Verdana" w:eastAsia="Times New Roman" w:hAnsi="Verdana"/>
                <w:color w:val="000066"/>
                <w:sz w:val="18"/>
                <w:szCs w:val="18"/>
              </w:rPr>
            </w:pPr>
            <w:hyperlink r:id="rId395" w:tooltip="See more details" w:history="1">
              <w:r w:rsidR="00EB705F">
                <w:rPr>
                  <w:rStyle w:val="Hyperlink"/>
                  <w:rFonts w:ascii="Verdana" w:eastAsia="Times New Roman" w:hAnsi="Verdana"/>
                  <w:sz w:val="18"/>
                  <w:szCs w:val="18"/>
                </w:rPr>
                <w:t>X.1051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4E69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30826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Information security, </w:t>
            </w:r>
            <w:proofErr w:type="gramStart"/>
            <w:r>
              <w:rPr>
                <w:rFonts w:ascii="Verdana" w:eastAsia="Times New Roman" w:hAnsi="Verdana"/>
                <w:color w:val="000066"/>
                <w:sz w:val="18"/>
                <w:szCs w:val="18"/>
              </w:rPr>
              <w:t>cybersecurity</w:t>
            </w:r>
            <w:proofErr w:type="gramEnd"/>
            <w:r>
              <w:rPr>
                <w:rFonts w:ascii="Verdana" w:eastAsia="Times New Roman" w:hAnsi="Verdana"/>
                <w:color w:val="000066"/>
                <w:sz w:val="18"/>
                <w:szCs w:val="18"/>
              </w:rPr>
              <w:t xml:space="preserve"> and privacy protection - Information security controls based on ISO/IEC 27002 for telecommunications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07552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is to establishes guidelines and general principles for initiating, implementing, </w:t>
            </w:r>
            <w:proofErr w:type="gramStart"/>
            <w:r>
              <w:rPr>
                <w:rFonts w:ascii="Verdana" w:eastAsia="Times New Roman" w:hAnsi="Verdana"/>
                <w:color w:val="000066"/>
                <w:sz w:val="18"/>
                <w:szCs w:val="18"/>
              </w:rPr>
              <w:t>maintaining</w:t>
            </w:r>
            <w:proofErr w:type="gramEnd"/>
            <w:r>
              <w:rPr>
                <w:rFonts w:ascii="Verdana" w:eastAsia="Times New Roman" w:hAnsi="Verdana"/>
                <w:color w:val="000066"/>
                <w:sz w:val="18"/>
                <w:szCs w:val="18"/>
              </w:rPr>
              <w:t xml:space="preserve"> and improving information security controls in telecommunications organizations based on ISO/IEC 27002. It also provides an implementation baseline of information security controls within telecommunications organizations to ensure the confidentiality, integrity and availability of telecommunications facilities, services and information handled, </w:t>
            </w:r>
            <w:proofErr w:type="gramStart"/>
            <w:r>
              <w:rPr>
                <w:rFonts w:ascii="Verdana" w:eastAsia="Times New Roman" w:hAnsi="Verdana"/>
                <w:color w:val="000066"/>
                <w:sz w:val="18"/>
                <w:szCs w:val="18"/>
              </w:rPr>
              <w:t>processed</w:t>
            </w:r>
            <w:proofErr w:type="gramEnd"/>
            <w:r>
              <w:rPr>
                <w:rFonts w:ascii="Verdana" w:eastAsia="Times New Roman" w:hAnsi="Verdana"/>
                <w:color w:val="000066"/>
                <w:sz w:val="18"/>
                <w:szCs w:val="18"/>
              </w:rPr>
              <w:t xml:space="preserve"> or stored by the facilities and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5B7C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2606638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FAF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20A1A6" w14:textId="77777777" w:rsidR="00EB705F" w:rsidRDefault="009A3DC3" w:rsidP="00C9333D">
            <w:pPr>
              <w:jc w:val="center"/>
              <w:rPr>
                <w:rFonts w:ascii="Verdana" w:eastAsia="Times New Roman" w:hAnsi="Verdana"/>
                <w:color w:val="000066"/>
                <w:sz w:val="18"/>
                <w:szCs w:val="18"/>
              </w:rPr>
            </w:pPr>
            <w:hyperlink r:id="rId396" w:tooltip="See more details" w:history="1">
              <w:r w:rsidR="00EB705F">
                <w:rPr>
                  <w:rStyle w:val="Hyperlink"/>
                  <w:rFonts w:ascii="Verdana" w:eastAsia="Times New Roman" w:hAnsi="Verdana"/>
                  <w:sz w:val="18"/>
                  <w:szCs w:val="18"/>
                </w:rPr>
                <w:t>TR.ba-</w:t>
              </w:r>
              <w:proofErr w:type="spellStart"/>
              <w:r w:rsidR="00EB705F">
                <w:rPr>
                  <w:rStyle w:val="Hyperlink"/>
                  <w:rFonts w:ascii="Verdana" w:eastAsia="Times New Roman" w:hAnsi="Verdana"/>
                  <w:sz w:val="18"/>
                  <w:szCs w:val="18"/>
                </w:rPr>
                <w:t>iot</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E635A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4DAB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Broadcast authentication scheme for Internet of Things (IoT)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66E4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To specify the broadcast authentication (BA) schemes for IoT system, this Technical Report provides a conceptual model of the target BA system and clarifies the security characteristics and requirements required therein. In addition, it specifies a Message Authentication Code (MAC)-based BA authentication scheme and a digital signature (DS)-based BA authentication scheme as methods to achieve the security requirements and show the convenience and usage of each method.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49F34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4DE8806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24F43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B957A4" w14:textId="77777777" w:rsidR="00EB705F" w:rsidRDefault="009A3DC3" w:rsidP="00C9333D">
            <w:pPr>
              <w:jc w:val="center"/>
              <w:rPr>
                <w:rFonts w:ascii="Verdana" w:eastAsia="Times New Roman" w:hAnsi="Verdana"/>
                <w:color w:val="000066"/>
                <w:sz w:val="18"/>
                <w:szCs w:val="18"/>
              </w:rPr>
            </w:pPr>
            <w:hyperlink r:id="rId397" w:tooltip="See more details" w:history="1">
              <w:proofErr w:type="spellStart"/>
              <w:r w:rsidR="00EB705F">
                <w:rPr>
                  <w:rStyle w:val="Hyperlink"/>
                  <w:rFonts w:ascii="Verdana" w:eastAsia="Times New Roman" w:hAnsi="Verdana"/>
                  <w:sz w:val="18"/>
                  <w:szCs w:val="18"/>
                </w:rPr>
                <w:t>TR.cpn</w:t>
              </w:r>
              <w:proofErr w:type="spellEnd"/>
              <w:r w:rsidR="00EB705F">
                <w:rPr>
                  <w:rStyle w:val="Hyperlink"/>
                  <w:rFonts w:ascii="Verdana" w:eastAsia="Times New Roman" w:hAnsi="Verdana"/>
                  <w:sz w:val="18"/>
                  <w:szCs w:val="18"/>
                </w:rPr>
                <w:t>-col-sec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6405D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4206F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considerations of collaboration of multiple computing power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1117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Computing power network (CPN) is one type of networks that realizes optimized computing resource allocation, networking, computing service dealmaking and provision, by distributing computing, storage, and network resources [ITU-T Y.2501]. CPN ecosystem is composed of a variety of business players which are distributed in different areas and in different security environments. A CPN usually includes a communication network and a transaction provider, and connects computing service consumers, computing service providers and computing resources providers. Multiple CPNs may include multiple communication networks and transaction providers provided by different operators. Therefore, there are many security issues of collaboration of multiple CPNs to be considered, such as that in CPN data transportation planes, in CPN control planes, in CPN transaction planes, in CPN service consumer parts, in CPN service provider parts, and when interacting among them, etc. This Technical Report analyses concept, business roles, use cases and security risks of collaboration of multiple computing power networks, as well as relevant general security characteristics and requirements, and specifies a security reference framework and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C356D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285EE4D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1DB2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9095A5" w14:textId="77777777" w:rsidR="00EB705F" w:rsidRDefault="009A3DC3" w:rsidP="00C9333D">
            <w:pPr>
              <w:jc w:val="center"/>
              <w:rPr>
                <w:rFonts w:ascii="Verdana" w:eastAsia="Times New Roman" w:hAnsi="Verdana"/>
                <w:color w:val="000066"/>
                <w:sz w:val="18"/>
                <w:szCs w:val="18"/>
              </w:rPr>
            </w:pPr>
            <w:hyperlink r:id="rId398" w:tooltip="See more details" w:history="1">
              <w:proofErr w:type="spellStart"/>
              <w:proofErr w:type="gramStart"/>
              <w:r w:rsidR="00EB705F">
                <w:rPr>
                  <w:rStyle w:val="Hyperlink"/>
                  <w:rFonts w:ascii="Verdana" w:eastAsia="Times New Roman" w:hAnsi="Verdana"/>
                  <w:sz w:val="18"/>
                  <w:szCs w:val="18"/>
                </w:rPr>
                <w:t>TR.qs</w:t>
              </w:r>
              <w:proofErr w:type="gramEnd"/>
              <w:r w:rsidR="00EB705F">
                <w:rPr>
                  <w:rStyle w:val="Hyperlink"/>
                  <w:rFonts w:ascii="Verdana" w:eastAsia="Times New Roman" w:hAnsi="Verdana"/>
                  <w:sz w:val="18"/>
                  <w:szCs w:val="18"/>
                </w:rPr>
                <w:t>-dlt</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C9C3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51158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Guidelines for Quantum-Safe DLT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B290E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accelerating development of quantum computing has a subversive impact on the field of traditional cryptography. Distributed ledger technology (DLT) systems will be greatly affected by quantum computing as cryptography is one of the core technologies used in DLT systems. This technical report assesses the security threats to DLT systems when large-scale quantum computers are available. The methods to construct a </w:t>
            </w:r>
            <w:proofErr w:type="gramStart"/>
            <w:r>
              <w:rPr>
                <w:rFonts w:ascii="Verdana" w:eastAsia="Times New Roman" w:hAnsi="Verdana"/>
                <w:color w:val="000066"/>
                <w:sz w:val="18"/>
                <w:szCs w:val="18"/>
              </w:rPr>
              <w:t>quantum-safe</w:t>
            </w:r>
            <w:proofErr w:type="gramEnd"/>
            <w:r>
              <w:rPr>
                <w:rFonts w:ascii="Verdana" w:eastAsia="Times New Roman" w:hAnsi="Verdana"/>
                <w:color w:val="000066"/>
                <w:sz w:val="18"/>
                <w:szCs w:val="18"/>
              </w:rPr>
              <w:t xml:space="preserve"> DLT system are presented. Moreover, the measures to transit from the current DLT system to the quantum-safe one </w:t>
            </w:r>
            <w:proofErr w:type="gramStart"/>
            <w:r>
              <w:rPr>
                <w:rFonts w:ascii="Verdana" w:eastAsia="Times New Roman" w:hAnsi="Verdana"/>
                <w:color w:val="000066"/>
                <w:sz w:val="18"/>
                <w:szCs w:val="18"/>
              </w:rPr>
              <w:t>are</w:t>
            </w:r>
            <w:proofErr w:type="gramEnd"/>
            <w:r>
              <w:rPr>
                <w:rFonts w:ascii="Verdana" w:eastAsia="Times New Roman" w:hAnsi="Verdana"/>
                <w:color w:val="000066"/>
                <w:sz w:val="18"/>
                <w:szCs w:val="18"/>
              </w:rPr>
              <w:t xml:space="preserve"> suggested.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E2A7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6F43B31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7D60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E04D6E" w14:textId="77777777" w:rsidR="00EB705F" w:rsidRDefault="009A3DC3" w:rsidP="00C9333D">
            <w:pPr>
              <w:jc w:val="center"/>
              <w:rPr>
                <w:rFonts w:ascii="Verdana" w:eastAsia="Times New Roman" w:hAnsi="Verdana"/>
                <w:color w:val="000066"/>
                <w:sz w:val="18"/>
                <w:szCs w:val="18"/>
              </w:rPr>
            </w:pPr>
            <w:hyperlink r:id="rId399" w:tooltip="See more details" w:history="1">
              <w:proofErr w:type="spellStart"/>
              <w:proofErr w:type="gramStart"/>
              <w:r w:rsidR="00EB705F">
                <w:rPr>
                  <w:rStyle w:val="Hyperlink"/>
                  <w:rFonts w:ascii="Verdana" w:eastAsia="Times New Roman" w:hAnsi="Verdana"/>
                  <w:sz w:val="18"/>
                  <w:szCs w:val="18"/>
                </w:rPr>
                <w:t>TR.sgfdm</w:t>
              </w:r>
              <w:proofErr w:type="spellEnd"/>
              <w:proofErr w:type="gramEnd"/>
              <w:r w:rsidR="00EB705F">
                <w:rPr>
                  <w:rStyle w:val="Hyperlink"/>
                  <w:rFonts w:ascii="Verdana" w:eastAsia="Times New Roman" w:hAnsi="Verdana"/>
                  <w:sz w:val="18"/>
                  <w:szCs w:val="18"/>
                </w:rPr>
                <w:t xml:space="preserve"> (ex </w:t>
              </w:r>
              <w:proofErr w:type="spellStart"/>
              <w:r w:rsidR="00EB705F">
                <w:rPr>
                  <w:rStyle w:val="Hyperlink"/>
                  <w:rFonts w:ascii="Verdana" w:eastAsia="Times New Roman" w:hAnsi="Verdana"/>
                  <w:sz w:val="18"/>
                  <w:szCs w:val="18"/>
                </w:rPr>
                <w:t>TR.sgfdcml</w:t>
              </w:r>
              <w:proofErr w:type="spell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076B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A28F6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Fully Homomorphic Encryption (FHE) - based data aggregation in machine learning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63B5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Technical Report provides a guideline for secure data aggregation in machine learning (ML) while protecting input data. It focuses how Fully Homomorphic Encryption (FHE) works on data aggregations in machine learning. It first describes a general workflow on secure aggregation in ML and explains how FHE-based data aggregation in ML could satisfy a certain requirement. A general workflow is then given on FHE-based ML supporting data aggregation between more than two parties.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DE9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1713B86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394CC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43FBD0" w14:textId="77777777" w:rsidR="00EB705F" w:rsidRDefault="009A3DC3" w:rsidP="00C9333D">
            <w:pPr>
              <w:jc w:val="center"/>
              <w:rPr>
                <w:rFonts w:ascii="Verdana" w:eastAsia="Times New Roman" w:hAnsi="Verdana"/>
                <w:color w:val="000066"/>
                <w:sz w:val="18"/>
                <w:szCs w:val="18"/>
              </w:rPr>
            </w:pPr>
            <w:hyperlink r:id="rId400" w:tooltip="See more details" w:history="1">
              <w:r w:rsidR="00EB705F">
                <w:rPr>
                  <w:rStyle w:val="Hyperlink"/>
                  <w:rFonts w:ascii="Verdana" w:eastAsia="Times New Roman" w:hAnsi="Verdana"/>
                  <w:sz w:val="18"/>
                  <w:szCs w:val="18"/>
                </w:rPr>
                <w:t>TR.x509ac4sc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01BE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DB2F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use case of X.509 Attribute Certificate for Supply 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B57A8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These have been several threats targeting supply chains. These threats can compromise security of supply chain and can affect quality and/or safety of the product. A framework for mitigating supply chain threats has been proposed where all organizations in the supply chain self-assess their compliance to regulations/requirements. The results of the assessment will be shared to other organizations. In this report, we propose the information sharing platform using X.509 attribute certificate [8] [X.509-1997] [9] [X509-2000] [10] [RFC5755]. The attribute certificate is issued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prove that a certain requirement is satisfied and share that among the supply chain. We can use established framework for issue, deployment, and revocation. Another benefit of using X.509 is that we can use existing software library for the implementation of the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95E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4241904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A5265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BD58D6" w14:textId="77777777" w:rsidR="00EB705F" w:rsidRDefault="009A3DC3" w:rsidP="00C9333D">
            <w:pPr>
              <w:jc w:val="center"/>
              <w:rPr>
                <w:rFonts w:ascii="Verdana" w:eastAsia="Times New Roman" w:hAnsi="Verdana"/>
                <w:color w:val="000066"/>
                <w:sz w:val="18"/>
                <w:szCs w:val="18"/>
              </w:rPr>
            </w:pPr>
            <w:hyperlink r:id="rId401" w:tooltip="See more details" w:history="1">
              <w:proofErr w:type="spellStart"/>
              <w:r w:rsidR="00EB705F">
                <w:rPr>
                  <w:rStyle w:val="Hyperlink"/>
                  <w:rFonts w:ascii="Verdana" w:eastAsia="Times New Roman" w:hAnsi="Verdana"/>
                  <w:sz w:val="18"/>
                  <w:szCs w:val="18"/>
                </w:rPr>
                <w:t>X.1454</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X.sles</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05D3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83191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measures for location enabled smart office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67A7C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smart office services combining multiple smart applications aim to improve the quality of official businesses and enhance efficiency management. Since information and communication technologies (ICTs) serve as the basis for technologies in smart office services, the telecommunication operator plays an important role among the stakeholders in smart office services. Typical smart office services include smart parking, smart driving, smart retail shop, smart office, smart meeting room management, smart water, smart energy consumption management, etc. Among these typical smart office services, the location data provided by the operator is one of the key elements in most smart office service implementations.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ensure the security of location enabled smart office services, security threats and relevant security requirements specific to location enabled services need to be </w:t>
            </w:r>
            <w:proofErr w:type="spellStart"/>
            <w:r>
              <w:rPr>
                <w:rFonts w:ascii="Verdana" w:eastAsia="Times New Roman" w:hAnsi="Verdana"/>
                <w:color w:val="000066"/>
                <w:sz w:val="18"/>
                <w:szCs w:val="18"/>
              </w:rPr>
              <w:t>analyzed</w:t>
            </w:r>
            <w:proofErr w:type="spellEnd"/>
            <w:r>
              <w:rPr>
                <w:rFonts w:ascii="Verdana" w:eastAsia="Times New Roman" w:hAnsi="Verdana"/>
                <w:color w:val="000066"/>
                <w:sz w:val="18"/>
                <w:szCs w:val="18"/>
              </w:rPr>
              <w:t xml:space="preserve"> and the overall security measures established. This Recommendation </w:t>
            </w:r>
            <w:proofErr w:type="spellStart"/>
            <w:r>
              <w:rPr>
                <w:rFonts w:ascii="Verdana" w:eastAsia="Times New Roman" w:hAnsi="Verdana"/>
                <w:color w:val="000066"/>
                <w:sz w:val="18"/>
                <w:szCs w:val="18"/>
              </w:rPr>
              <w:t>analyzes</w:t>
            </w:r>
            <w:proofErr w:type="spellEnd"/>
            <w:r>
              <w:rPr>
                <w:rFonts w:ascii="Verdana" w:eastAsia="Times New Roman" w:hAnsi="Verdana"/>
                <w:color w:val="000066"/>
                <w:sz w:val="18"/>
                <w:szCs w:val="18"/>
              </w:rPr>
              <w:t xml:space="preserve"> the typical application scenarios of location enabled smart office services, specifies their security threats and </w:t>
            </w:r>
            <w:proofErr w:type="gramStart"/>
            <w:r>
              <w:rPr>
                <w:rFonts w:ascii="Verdana" w:eastAsia="Times New Roman" w:hAnsi="Verdana"/>
                <w:color w:val="000066"/>
                <w:sz w:val="18"/>
                <w:szCs w:val="18"/>
              </w:rPr>
              <w:t>requirements</w:t>
            </w:r>
            <w:proofErr w:type="gramEnd"/>
            <w:r>
              <w:rPr>
                <w:rFonts w:ascii="Verdana" w:eastAsia="Times New Roman" w:hAnsi="Verdana"/>
                <w:color w:val="000066"/>
                <w:sz w:val="18"/>
                <w:szCs w:val="18"/>
              </w:rPr>
              <w:t xml:space="preserve"> and establishes security measures for the operator and key stakeholders in a smart office to safeguard location enabled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9D794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45C7F2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48A93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909060"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"http://www.itu.int/itu-t/workprog/wp_item.aspx?isn=17995" \o "See more details"</w:instrText>
            </w:r>
            <w:r>
              <w:fldChar w:fldCharType="separate"/>
            </w:r>
            <w:proofErr w:type="spellStart"/>
            <w:r w:rsidR="00EB705F" w:rsidRPr="00144814">
              <w:rPr>
                <w:rStyle w:val="Hyperlink"/>
                <w:rFonts w:ascii="Verdana" w:eastAsia="Times New Roman" w:hAnsi="Verdana"/>
                <w:sz w:val="18"/>
                <w:szCs w:val="18"/>
                <w:lang w:val="fr-FR"/>
              </w:rPr>
              <w:t>X.1645</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X.nssa</w:t>
            </w:r>
            <w:proofErr w:type="spellEnd"/>
            <w:proofErr w:type="gramEnd"/>
            <w:r w:rsidR="00EB705F" w:rsidRPr="00144814">
              <w:rPr>
                <w:rStyle w:val="Hyperlink"/>
                <w:rFonts w:ascii="Verdana" w:eastAsia="Times New Roman" w:hAnsi="Verdana"/>
                <w:sz w:val="18"/>
                <w:szCs w:val="18"/>
                <w:lang w:val="fr-FR"/>
              </w:rPr>
              <w:t>-cc)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FF943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58D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6780A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w:t>
            </w:r>
            <w:proofErr w:type="spellStart"/>
            <w:r>
              <w:rPr>
                <w:rFonts w:ascii="Verdana" w:eastAsia="Times New Roman" w:hAnsi="Verdana"/>
                <w:color w:val="000066"/>
                <w:sz w:val="18"/>
                <w:szCs w:val="18"/>
              </w:rPr>
              <w:t>analyze</w:t>
            </w:r>
            <w:proofErr w:type="spellEnd"/>
            <w:r>
              <w:rPr>
                <w:rFonts w:ascii="Verdana" w:eastAsia="Times New Roman" w:hAnsi="Verdana"/>
                <w:color w:val="000066"/>
                <w:sz w:val="18"/>
                <w:szCs w:val="18"/>
              </w:rPr>
              <w:t xml:space="preserve"> the advantages of NSSA coping with the security challenges of cloud computing, then aim to document the requirements for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BE47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64DB128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9BC1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4A8590" w14:textId="77777777" w:rsidR="00EB705F" w:rsidRPr="00144814" w:rsidRDefault="009A3DC3" w:rsidP="00C9333D">
            <w:pPr>
              <w:jc w:val="center"/>
              <w:rPr>
                <w:rFonts w:ascii="Verdana" w:eastAsia="Times New Roman" w:hAnsi="Verdana"/>
                <w:color w:val="000066"/>
                <w:sz w:val="18"/>
                <w:szCs w:val="18"/>
                <w:lang w:val="fr-FR"/>
              </w:rPr>
            </w:pPr>
            <w:hyperlink r:id="rId402" w:tooltip="See more details" w:history="1">
              <w:r w:rsidR="00EB705F" w:rsidRPr="00144814">
                <w:rPr>
                  <w:rStyle w:val="Hyperlink"/>
                  <w:rFonts w:ascii="Verdana" w:eastAsia="Times New Roman" w:hAnsi="Verdana"/>
                  <w:sz w:val="18"/>
                  <w:szCs w:val="18"/>
                  <w:lang w:val="fr-FR"/>
                </w:rPr>
                <w:t>X.1817 (ex X.5Gsec-message)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F2BDB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56F4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requirements for IMT-2020/5G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6B919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security requirements for 5G messaging service, including use security requirements, management security requirements and control security requirements for 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C7B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0E7A1FF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6298E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0201F"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"http://www.itu.int/itu-t/workprog/wp_item.aspx?isn=17979" \o "See more details"</w:instrText>
            </w:r>
            <w:r>
              <w:fldChar w:fldCharType="separate"/>
            </w:r>
            <w:proofErr w:type="spellStart"/>
            <w:r w:rsidR="00EB705F" w:rsidRPr="00144814">
              <w:rPr>
                <w:rStyle w:val="Hyperlink"/>
                <w:rFonts w:ascii="Verdana" w:eastAsia="Times New Roman" w:hAnsi="Verdana"/>
                <w:sz w:val="18"/>
                <w:szCs w:val="18"/>
                <w:lang w:val="fr-FR"/>
              </w:rPr>
              <w:t>X.suppl.39</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X.rdda</w:t>
            </w:r>
            <w:proofErr w:type="spellEnd"/>
            <w:proofErr w:type="gram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D0F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A7D5C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ITU-T X.1148 - Supplement on requirements for data de-identification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1A5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 Data risk assessment: Data composition, data distribution, possession of other data, Data use environment risk assessment: Confidence level of data recipient, impact during re-identification, inadvertent re-identification, Using and managing de-identification data: Security measures for de-identification data, monitoring of re-identification possibilities, compliance with de-identification data provision or consignment contracts. This Supplement defines data de-identification assurance. It also provides a set of requirements for managing data de-identification assurance, including data risk assessment, risk assessment of the data use environment, and using and managing de-identified data.</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E1BB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61780F8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F8F5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DA6F32" w14:textId="77777777" w:rsidR="00EB705F" w:rsidRDefault="009A3DC3" w:rsidP="00C9333D">
            <w:pPr>
              <w:jc w:val="center"/>
              <w:rPr>
                <w:rFonts w:ascii="Verdana" w:eastAsia="Times New Roman" w:hAnsi="Verdana"/>
                <w:color w:val="000066"/>
                <w:sz w:val="18"/>
                <w:szCs w:val="18"/>
              </w:rPr>
            </w:pPr>
            <w:hyperlink r:id="rId403" w:tooltip="See more details" w:history="1">
              <w:r w:rsidR="00EB705F">
                <w:rPr>
                  <w:rStyle w:val="Hyperlink"/>
                  <w:rFonts w:ascii="Verdana" w:eastAsia="Times New Roman" w:hAnsi="Verdana"/>
                  <w:sz w:val="18"/>
                  <w:szCs w:val="18"/>
                </w:rPr>
                <w:t>X.510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E8974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01190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Technology - Open systems Interconnection - The Directory - Protocol specifications for secure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2AC46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X.510 | ISO/IEC 9594-11 provides tools and specification for how to design of protocol specifications having built-in cybersecurity. It provides tools for cryptographic algorithms pluck-in features and for cryptographic algorithm migration; it provides formal specification for cryptographic algorithms not provided by other specifications; and it defines some specific protocols. Finally, it provides an annex giving guidance in cryptographic algorithm migration. Recommendation ITU-T X.510 | ISO/IEC 9594-11 includes tools for specifications for specifying secure protocols using a cryptographic algorithm pluck-in principle allowing communication protocols to be specified without "hard coding" the types of algorithms but allowing different areas to supplement Recommendation ITU-T X.510 | ISO/IEC 9594-11 with the types of cryptographic algorithms that are relevant for specific areas. The cryptographic algorithm pluck-in feature is dependent on at algorithms are specified as described in Recommendation ITU-T X.509 | ISO/IEC 9594-8, Recommendation ITU-T X.510 | ISO/IEC 9594-11 add formal algorithm specifications where they otherwise do not </w:t>
            </w:r>
            <w:proofErr w:type="gramStart"/>
            <w:r>
              <w:rPr>
                <w:rFonts w:ascii="Verdana" w:eastAsia="Times New Roman" w:hAnsi="Verdana"/>
                <w:color w:val="000066"/>
                <w:sz w:val="18"/>
                <w:szCs w:val="18"/>
              </w:rPr>
              <w:t>exist</w:t>
            </w:r>
            <w:proofErr w:type="gramEnd"/>
            <w:r>
              <w:rPr>
                <w:rFonts w:ascii="Verdana" w:eastAsia="Times New Roman" w:hAnsi="Verdana"/>
                <w:color w:val="000066"/>
                <w:sz w:val="18"/>
                <w:szCs w:val="18"/>
              </w:rPr>
              <w:t xml:space="preserve"> and it restructure existing formal specification where they rules established in Recommendation ITU-T X.509 | ISO/IEC 9594-8. Tools are provided for include cryptographic algorithm migration capabilities in communications protocols and an annex provides guidance in use of these tools. Recommendation ITU-T X.510 | ISO/IEC 9594-11 specifies a general protocol, called the wrapper protocol, that provides cybersecurity for protocols designed for its protection. The wrapper protocol provides authentication, integrity and optionally confidentiality (encryption). The wrapper protocol allows cybersecurity to be provided independently of the protected protocols, which means that security may be enhanced without affecting protected protocol specifications. The wrapper protocol makes use of all the capabilities for cryptographic algorithm pluck-in and migration capabilities. Recommendation ITU-T X.510 | ISO/IEC 9594-11 also specifies three protocols that make use of the wrapper protocol protection. This includes a protocol </w:t>
            </w:r>
            <w:r>
              <w:rPr>
                <w:rFonts w:ascii="Verdana" w:eastAsia="Times New Roman" w:hAnsi="Verdana"/>
                <w:color w:val="000066"/>
                <w:sz w:val="18"/>
                <w:szCs w:val="18"/>
              </w:rPr>
              <w:lastRenderedPageBreak/>
              <w:t>for maintenance of authorization and validation lists (AVLs), a protocol for subscribing of public-key certificate status and a protocol for accessing a trust broker.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BDF54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2023-10-29</w:t>
            </w:r>
          </w:p>
        </w:tc>
      </w:tr>
      <w:tr w:rsidR="00EB705F" w14:paraId="7A8459D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F9246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F68C9C" w14:textId="77777777" w:rsidR="00EB705F" w:rsidRDefault="009A3DC3" w:rsidP="00C9333D">
            <w:pPr>
              <w:jc w:val="center"/>
              <w:rPr>
                <w:rFonts w:ascii="Verdana" w:eastAsia="Times New Roman" w:hAnsi="Verdana"/>
                <w:color w:val="000066"/>
                <w:sz w:val="18"/>
                <w:szCs w:val="18"/>
              </w:rPr>
            </w:pPr>
            <w:hyperlink r:id="rId404" w:tooltip="See more details" w:history="1">
              <w:proofErr w:type="spellStart"/>
              <w:r w:rsidR="00EB705F">
                <w:rPr>
                  <w:rStyle w:val="Hyperlink"/>
                  <w:rFonts w:ascii="Verdana" w:eastAsia="Times New Roman" w:hAnsi="Verdana"/>
                  <w:sz w:val="18"/>
                  <w:szCs w:val="18"/>
                </w:rPr>
                <w:t>X.590</w:t>
              </w:r>
              <w:proofErr w:type="spellEnd"/>
              <w:r w:rsidR="00EB705F">
                <w:rPr>
                  <w:rStyle w:val="Hyperlink"/>
                  <w:rFonts w:ascii="Verdana" w:eastAsia="Times New Roman" w:hAnsi="Verdana"/>
                  <w:sz w:val="18"/>
                  <w:szCs w:val="18"/>
                </w:rPr>
                <w:t xml:space="preserve"> (ex </w:t>
              </w:r>
              <w:proofErr w:type="spellStart"/>
              <w:r w:rsidR="00EB705F">
                <w:rPr>
                  <w:rStyle w:val="Hyperlink"/>
                  <w:rFonts w:ascii="Verdana" w:eastAsia="Times New Roman" w:hAnsi="Verdana"/>
                  <w:sz w:val="18"/>
                  <w:szCs w:val="18"/>
                </w:rPr>
                <w:t>X.jss</w:t>
              </w:r>
              <w:proofErr w:type="spell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7D2CE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30EA9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JSON Signature Scheme (JSS)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49E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a method called JSON Signature Scheme (JSS) which enables JSON objects to be signed and/or countersigned while leaving the original JSON objects themselves in JSON format. This process enables a consistent data format that simplifies the use, documentation, debugging, and logging of the JSON data while still allowing it to be digitally signed. Further, with this method, signed JSON objects can be used and processed just like standard JSON objects which simplifies their use for application developers and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5290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1E0D51C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788C8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B3326B" w14:textId="77777777" w:rsidR="00EB705F" w:rsidRDefault="009A3DC3" w:rsidP="00C9333D">
            <w:pPr>
              <w:jc w:val="center"/>
              <w:rPr>
                <w:rFonts w:ascii="Verdana" w:eastAsia="Times New Roman" w:hAnsi="Verdana"/>
                <w:color w:val="000066"/>
                <w:sz w:val="18"/>
                <w:szCs w:val="18"/>
              </w:rPr>
            </w:pPr>
            <w:hyperlink r:id="rId405" w:tooltip="See more details" w:history="1">
              <w:r w:rsidR="00EB705F">
                <w:rPr>
                  <w:rStyle w:val="Hyperlink"/>
                  <w:rFonts w:ascii="Verdana" w:eastAsia="Times New Roman" w:hAnsi="Verdana"/>
                  <w:sz w:val="18"/>
                  <w:szCs w:val="18"/>
                </w:rPr>
                <w:t>Z.161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A1E88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2124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Testing and Test Control Notation version 3: TTCN-3 core language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631C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Z.161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the following three purposes: a) as a generalized text-based test language; b) as a standardized interchange format of TTCN test suites between TTCN tools; c) as the semantic basis (and where relevant, the syntactical basis) for the various presentation formats. The core language may be used independently of the presentation formats. However, neither the tabular format nor the graphical format can be used without the core language. Use and implementation of these presentation formats shall be done </w:t>
            </w:r>
            <w:proofErr w:type="gramStart"/>
            <w:r>
              <w:rPr>
                <w:rFonts w:ascii="Verdana" w:eastAsia="Times New Roman" w:hAnsi="Verdana"/>
                <w:color w:val="000066"/>
                <w:sz w:val="18"/>
                <w:szCs w:val="18"/>
              </w:rPr>
              <w:t>on the basis of</w:t>
            </w:r>
            <w:proofErr w:type="gramEnd"/>
            <w:r>
              <w:rPr>
                <w:rFonts w:ascii="Verdana" w:eastAsia="Times New Roman" w:hAnsi="Verdana"/>
                <w:color w:val="000066"/>
                <w:sz w:val="18"/>
                <w:szCs w:val="18"/>
              </w:rPr>
              <w:t xml:space="preserve"> the core language. This revision of the Recommendation contains amendments, clarifications, </w:t>
            </w:r>
            <w:proofErr w:type="gramStart"/>
            <w:r>
              <w:rPr>
                <w:rFonts w:ascii="Verdana" w:eastAsia="Times New Roman" w:hAnsi="Verdana"/>
                <w:color w:val="000066"/>
                <w:sz w:val="18"/>
                <w:szCs w:val="18"/>
              </w:rPr>
              <w:t>corrigenda</w:t>
            </w:r>
            <w:proofErr w:type="gramEnd"/>
            <w:r>
              <w:rPr>
                <w:rFonts w:ascii="Verdana" w:eastAsia="Times New Roman" w:hAnsi="Verdana"/>
                <w:color w:val="000066"/>
                <w:sz w:val="18"/>
                <w:szCs w:val="18"/>
              </w:rPr>
              <w:t xml:space="preserve">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4C59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688A701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07F9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FA3BD2" w14:textId="77777777" w:rsidR="00EB705F" w:rsidRDefault="009A3DC3" w:rsidP="00C9333D">
            <w:pPr>
              <w:jc w:val="center"/>
              <w:rPr>
                <w:rFonts w:ascii="Verdana" w:eastAsia="Times New Roman" w:hAnsi="Verdana"/>
                <w:color w:val="000066"/>
                <w:sz w:val="18"/>
                <w:szCs w:val="18"/>
              </w:rPr>
            </w:pPr>
            <w:hyperlink r:id="rId406" w:tooltip="See more details" w:history="1">
              <w:r w:rsidR="00EB705F">
                <w:rPr>
                  <w:rStyle w:val="Hyperlink"/>
                  <w:rFonts w:ascii="Verdana" w:eastAsia="Times New Roman" w:hAnsi="Verdana"/>
                  <w:sz w:val="18"/>
                  <w:szCs w:val="18"/>
                </w:rPr>
                <w:t>Z.166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5CF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B55F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Testing and Test Control Notation version 3: TTCN-3 control interface (TCI)</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9E78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Z.166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V4.9.1). The interface definition uses the Common Object Request Broker Architecture (CORBA) Interface Definition Language (IDL) to specify the TCI completely. Clauses 8, 9 and 9.7 of ETSI ES 201 873-6 V4.9.1 present language mappings for this abstract specification to the target languages Java and ANSI C. This revision of the Recommendation contains amendments, clarifications, </w:t>
            </w:r>
            <w:proofErr w:type="gramStart"/>
            <w:r>
              <w:rPr>
                <w:rFonts w:ascii="Verdana" w:eastAsia="Times New Roman" w:hAnsi="Verdana"/>
                <w:color w:val="000066"/>
                <w:sz w:val="18"/>
                <w:szCs w:val="18"/>
              </w:rPr>
              <w:t>corrigenda</w:t>
            </w:r>
            <w:proofErr w:type="gramEnd"/>
            <w:r>
              <w:rPr>
                <w:rFonts w:ascii="Verdana" w:eastAsia="Times New Roman" w:hAnsi="Verdana"/>
                <w:color w:val="000066"/>
                <w:sz w:val="18"/>
                <w:szCs w:val="18"/>
              </w:rPr>
              <w:t xml:space="preserve">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88F7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7F0138E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F9FBF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31622" w14:textId="77777777" w:rsidR="00EB705F" w:rsidRDefault="009A3DC3" w:rsidP="00C9333D">
            <w:pPr>
              <w:jc w:val="center"/>
              <w:rPr>
                <w:rFonts w:ascii="Verdana" w:eastAsia="Times New Roman" w:hAnsi="Verdana"/>
                <w:color w:val="000066"/>
                <w:sz w:val="18"/>
                <w:szCs w:val="18"/>
              </w:rPr>
            </w:pPr>
            <w:hyperlink r:id="rId407" w:tooltip="See more details" w:history="1">
              <w:r w:rsidR="00EB705F">
                <w:rPr>
                  <w:rStyle w:val="Hyperlink"/>
                  <w:rFonts w:ascii="Verdana" w:eastAsia="Times New Roman" w:hAnsi="Verdana"/>
                  <w:sz w:val="18"/>
                  <w:szCs w:val="18"/>
                </w:rPr>
                <w:t>Z.171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B4D8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1C3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Testing and Test Control Notation version 3: Using JSON with TTCN-3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371F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Z.171 specifies the rules to define schemas for JSON data structures in TTCN 3, to enable testing of JSON-based systems, interfaces and protocols, and the conversion rules between TTCN-3 and JSON to enable exchanging TTCN 3 data in JSON format between different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2534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6E742CA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0267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019B4B" w14:textId="77777777" w:rsidR="00EB705F" w:rsidRPr="00144814" w:rsidRDefault="009A3DC3" w:rsidP="00C9333D">
            <w:pPr>
              <w:jc w:val="center"/>
              <w:rPr>
                <w:rFonts w:ascii="Verdana" w:eastAsia="Times New Roman" w:hAnsi="Verdana"/>
                <w:color w:val="000066"/>
                <w:sz w:val="18"/>
                <w:szCs w:val="18"/>
                <w:lang w:val="fr-FR"/>
              </w:rPr>
            </w:pPr>
            <w:hyperlink r:id="rId408" w:tooltip="See more details" w:history="1">
              <w:proofErr w:type="spellStart"/>
              <w:r w:rsidR="00EB705F" w:rsidRPr="00144814">
                <w:rPr>
                  <w:rStyle w:val="Hyperlink"/>
                  <w:rFonts w:ascii="Verdana" w:eastAsia="Times New Roman" w:hAnsi="Verdana"/>
                  <w:sz w:val="18"/>
                  <w:szCs w:val="18"/>
                  <w:lang w:val="fr-FR"/>
                </w:rPr>
                <w:t>X.1095</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X.pet_auth</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AF7F4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B2003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Entity authentication service for pet animals using </w:t>
            </w:r>
            <w:proofErr w:type="spellStart"/>
            <w:r>
              <w:rPr>
                <w:rFonts w:ascii="Verdana" w:eastAsia="Times New Roman" w:hAnsi="Verdana"/>
                <w:color w:val="000066"/>
                <w:sz w:val="18"/>
                <w:szCs w:val="18"/>
              </w:rPr>
              <w:t>telebiometrics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EED6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defines an entity authentication infrastructure for pet animals using </w:t>
            </w:r>
            <w:proofErr w:type="spellStart"/>
            <w:r>
              <w:rPr>
                <w:rFonts w:ascii="Verdana" w:eastAsia="Times New Roman" w:hAnsi="Verdana"/>
                <w:color w:val="000066"/>
                <w:sz w:val="18"/>
                <w:szCs w:val="18"/>
              </w:rPr>
              <w:t>telebiometrics</w:t>
            </w:r>
            <w:proofErr w:type="spellEnd"/>
            <w:r>
              <w:rPr>
                <w:rFonts w:ascii="Verdana" w:eastAsia="Times New Roman" w:hAnsi="Verdana"/>
                <w:color w:val="000066"/>
                <w:sz w:val="18"/>
                <w:szCs w:val="18"/>
              </w:rPr>
              <w:t xml:space="preserve">. It specifies multimodal </w:t>
            </w:r>
            <w:proofErr w:type="spellStart"/>
            <w:r>
              <w:rPr>
                <w:rFonts w:ascii="Verdana" w:eastAsia="Times New Roman" w:hAnsi="Verdana"/>
                <w:color w:val="000066"/>
                <w:sz w:val="18"/>
                <w:szCs w:val="18"/>
              </w:rPr>
              <w:t>telebiometrics</w:t>
            </w:r>
            <w:proofErr w:type="spellEnd"/>
            <w:r>
              <w:rPr>
                <w:rFonts w:ascii="Verdana" w:eastAsia="Times New Roman" w:hAnsi="Verdana"/>
                <w:color w:val="000066"/>
                <w:sz w:val="18"/>
                <w:szCs w:val="18"/>
              </w:rPr>
              <w:t xml:space="preserve"> which uses nose patterns and faces of pet animals. This Recommendation is applicable in various pet animal services such as registration, insurance, and e-healthcare for pet animals. The entity authentication for pet animals is always performed in a non-cooperative environment, therefore it is necessary to define criteria for acquiring suitable multimodal </w:t>
            </w:r>
            <w:proofErr w:type="spellStart"/>
            <w:r>
              <w:rPr>
                <w:rFonts w:ascii="Verdana" w:eastAsia="Times New Roman" w:hAnsi="Verdana"/>
                <w:color w:val="000066"/>
                <w:sz w:val="18"/>
                <w:szCs w:val="18"/>
              </w:rPr>
              <w:t>telebiometrics</w:t>
            </w:r>
            <w:proofErr w:type="spellEnd"/>
            <w:r>
              <w:rPr>
                <w:rFonts w:ascii="Verdana" w:eastAsia="Times New Roman" w:hAnsi="Verdana"/>
                <w:color w:val="000066"/>
                <w:sz w:val="18"/>
                <w:szCs w:val="18"/>
              </w:rPr>
              <w:t xml:space="preserve"> for pet entity authentication. And there are requirements for devices that acquire multimodal </w:t>
            </w:r>
            <w:proofErr w:type="spellStart"/>
            <w:r>
              <w:rPr>
                <w:rFonts w:ascii="Verdana" w:eastAsia="Times New Roman" w:hAnsi="Verdana"/>
                <w:color w:val="000066"/>
                <w:sz w:val="18"/>
                <w:szCs w:val="18"/>
              </w:rPr>
              <w:t>telebiometrics</w:t>
            </w:r>
            <w:proofErr w:type="spellEnd"/>
            <w:r>
              <w:rPr>
                <w:rFonts w:ascii="Verdana" w:eastAsia="Times New Roman" w:hAnsi="Verdana"/>
                <w:color w:val="000066"/>
                <w:sz w:val="18"/>
                <w:szCs w:val="18"/>
              </w:rPr>
              <w:t xml:space="preserve">, and architecture in the operating platform for stable multimodal </w:t>
            </w:r>
            <w:proofErr w:type="spellStart"/>
            <w:r>
              <w:rPr>
                <w:rFonts w:ascii="Verdana" w:eastAsia="Times New Roman" w:hAnsi="Verdana"/>
                <w:color w:val="000066"/>
                <w:sz w:val="18"/>
                <w:szCs w:val="18"/>
              </w:rPr>
              <w:t>telebiometric</w:t>
            </w:r>
            <w:proofErr w:type="spellEnd"/>
            <w:r>
              <w:rPr>
                <w:rFonts w:ascii="Verdana" w:eastAsia="Times New Roman" w:hAnsi="Verdana"/>
                <w:color w:val="000066"/>
                <w:sz w:val="18"/>
                <w:szCs w:val="18"/>
              </w:rPr>
              <w:t xml:space="preserve"> applications for pet animals. This Recommendation specifies functional requirements on biometric capture devices and data acquisition of biometrics for pet entity authentication. A platform architecture, performance testing methodology, and privacy issues are also defined. The following topics are addressed in the scope of this Recommendation: Pet animals cover dogs and cats; Multimodal </w:t>
            </w:r>
            <w:proofErr w:type="spellStart"/>
            <w:r>
              <w:rPr>
                <w:rFonts w:ascii="Verdana" w:eastAsia="Times New Roman" w:hAnsi="Verdana"/>
                <w:color w:val="000066"/>
                <w:sz w:val="18"/>
                <w:szCs w:val="18"/>
              </w:rPr>
              <w:t>telebiometrics</w:t>
            </w:r>
            <w:proofErr w:type="spellEnd"/>
            <w:r>
              <w:rPr>
                <w:rFonts w:ascii="Verdana" w:eastAsia="Times New Roman" w:hAnsi="Verdana"/>
                <w:color w:val="000066"/>
                <w:sz w:val="18"/>
                <w:szCs w:val="18"/>
              </w:rPr>
              <w:t xml:space="preserve"> cover nose patterns and faces; Biometric capture devices cover digital cameras, mobile cameras, specific cameras such as infrared cameras, high-speed cameras, and optical scanners.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A6AE2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EB705F" w14:paraId="2C8EEE5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16F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901471" w14:textId="77777777" w:rsidR="00EB705F" w:rsidRDefault="009A3DC3" w:rsidP="00C9333D">
            <w:pPr>
              <w:jc w:val="center"/>
              <w:rPr>
                <w:rFonts w:ascii="Verdana" w:eastAsia="Times New Roman" w:hAnsi="Verdana"/>
                <w:color w:val="000066"/>
                <w:sz w:val="18"/>
                <w:szCs w:val="18"/>
              </w:rPr>
            </w:pPr>
            <w:hyperlink r:id="rId409" w:tooltip="See more details" w:history="1">
              <w:proofErr w:type="spellStart"/>
              <w:r w:rsidR="00EB705F">
                <w:rPr>
                  <w:rStyle w:val="Hyperlink"/>
                  <w:rFonts w:ascii="Verdana" w:eastAsia="Times New Roman" w:hAnsi="Verdana"/>
                  <w:sz w:val="18"/>
                  <w:szCs w:val="18"/>
                </w:rPr>
                <w:t>X.1220</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X.spmoh</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D0D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FD7F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framework for storage protection against malware attacks on hosts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2DA77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 framework for the protection of storage against malware attacks on hosts, which bypass network protection and endpoint protection. The framework also considers attacks caused by human errors or social engineering. The framework consists of a host and a storage protection server. The storage protection server works separately from the host, stores data in the storage, and provides a network drive to the host. When an application on the host requests data, the storage protection server provides real data or fake data depending on whether the application is listed or not in a pre-registered application list that is managed on the storage protection server with the objective of protecting data in the storage against malware attacks that encrypt, tamper, or steal data. The storage protection server allows pre-registered applications to create, modify or delete data in the storage while preventing other applications from performing those operations. It provides pre-registered applications with read-write access to real data from the storage, and non-registered applications with read-only access to fake data. In addition, there is synergy if the framework is applied together with network protection and endpoint protection, as they provide different types of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7DDC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EB705F" w14:paraId="1EE6CFD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595FB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B98B21"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"http://www.itu.int/itu-t/workprog/wp_item.aspx?isn=18346" \o "See more details"</w:instrText>
            </w:r>
            <w:r>
              <w:fldChar w:fldCharType="separate"/>
            </w:r>
            <w:proofErr w:type="spellStart"/>
            <w:r w:rsidR="00EB705F" w:rsidRPr="00144814">
              <w:rPr>
                <w:rStyle w:val="Hyperlink"/>
                <w:rFonts w:ascii="Verdana" w:eastAsia="Times New Roman" w:hAnsi="Verdana"/>
                <w:sz w:val="18"/>
                <w:szCs w:val="18"/>
                <w:lang w:val="fr-FR"/>
              </w:rPr>
              <w:t>X.1236</w:t>
            </w:r>
            <w:proofErr w:type="spellEnd"/>
            <w:r w:rsidR="00EB705F" w:rsidRPr="00144814">
              <w:rPr>
                <w:rStyle w:val="Hyperlink"/>
                <w:rFonts w:ascii="Verdana" w:eastAsia="Times New Roman" w:hAnsi="Verdana"/>
                <w:sz w:val="18"/>
                <w:szCs w:val="18"/>
                <w:lang w:val="fr-FR"/>
              </w:rPr>
              <w:t xml:space="preserve"> (</w:t>
            </w:r>
            <w:proofErr w:type="gramStart"/>
            <w:r w:rsidR="00EB705F" w:rsidRPr="00144814">
              <w:rPr>
                <w:rStyle w:val="Hyperlink"/>
                <w:rFonts w:ascii="Verdana" w:eastAsia="Times New Roman" w:hAnsi="Verdana"/>
                <w:sz w:val="18"/>
                <w:szCs w:val="18"/>
                <w:lang w:val="fr-FR"/>
              </w:rPr>
              <w:t>ex X</w:t>
            </w:r>
            <w:proofErr w:type="gramEnd"/>
            <w:r w:rsidR="00EB705F" w:rsidRPr="00144814">
              <w:rPr>
                <w:rStyle w:val="Hyperlink"/>
                <w:rFonts w:ascii="Verdana" w:eastAsia="Times New Roman" w:hAnsi="Verdana"/>
                <w:sz w:val="18"/>
                <w:szCs w:val="18"/>
                <w:lang w:val="fr-FR"/>
              </w:rPr>
              <w:t>.sr-</w:t>
            </w:r>
            <w:proofErr w:type="spellStart"/>
            <w:r w:rsidR="00EB705F" w:rsidRPr="00144814">
              <w:rPr>
                <w:rStyle w:val="Hyperlink"/>
                <w:rFonts w:ascii="Verdana" w:eastAsia="Times New Roman" w:hAnsi="Verdana"/>
                <w:sz w:val="18"/>
                <w:szCs w:val="18"/>
                <w:lang w:val="fr-FR"/>
              </w:rPr>
              <w:t>ctea</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1B4BC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37EE0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requirements and countermeasures for targeted email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B2AA3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Targeted email attacks are designed to damage or compromise target entities’ information assets by establishing a connection with the targets after gathering sufficient resources to conduct an attack and then enticing them to take certain actions that eventually create a security loophole. These targeted attacks used in inbound and outbound emails are evolving into more sophisticated and unknown types, such as using unknown malicious files or capitalising on the target’s social relationships. However, so far there are no security requirements proposed to effectively prevent or block them. This Recommendation specifies the requirements for security features to block inbound and outbound email attacks in the form of multilevel management that includes countermeasures against targeted email attacks. This approach is necessary to integrate or deploy a new framework to improve internet users’ defence against such attacks. This Recommendation will form a reference on the direction and objectives of designing an email security diagnostic framework or developing email security solutions with those security functional requirements for IT security managers, especially in those countries beginning to be actively engaged in IT development and implementation.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3860C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EB705F" w14:paraId="64893E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BF975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1D953C" w14:textId="77777777" w:rsidR="00EB705F" w:rsidRDefault="009A3DC3" w:rsidP="00C9333D">
            <w:pPr>
              <w:jc w:val="center"/>
              <w:rPr>
                <w:rFonts w:ascii="Verdana" w:eastAsia="Times New Roman" w:hAnsi="Verdana"/>
                <w:color w:val="000066"/>
                <w:sz w:val="18"/>
                <w:szCs w:val="18"/>
              </w:rPr>
            </w:pPr>
            <w:hyperlink r:id="rId410" w:tooltip="See more details" w:history="1">
              <w:proofErr w:type="spellStart"/>
              <w:r w:rsidR="00EB705F">
                <w:rPr>
                  <w:rStyle w:val="Hyperlink"/>
                  <w:rFonts w:ascii="Verdana" w:eastAsia="Times New Roman" w:hAnsi="Verdana"/>
                  <w:sz w:val="18"/>
                  <w:szCs w:val="18"/>
                </w:rPr>
                <w:t>X.1282</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X.scpa</w:t>
              </w:r>
              <w:proofErr w:type="spellEnd"/>
              <w:proofErr w:type="gramEnd"/>
              <w:r w:rsidR="00EB705F">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F2F4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8FBE8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measures for countering password related online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CB44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is intended to </w:t>
            </w:r>
            <w:proofErr w:type="spellStart"/>
            <w:r>
              <w:rPr>
                <w:rFonts w:ascii="Verdana" w:eastAsia="Times New Roman" w:hAnsi="Verdana"/>
                <w:color w:val="000066"/>
                <w:sz w:val="18"/>
                <w:szCs w:val="18"/>
              </w:rPr>
              <w:t>analyze</w:t>
            </w:r>
            <w:proofErr w:type="spellEnd"/>
            <w:r>
              <w:rPr>
                <w:rFonts w:ascii="Verdana" w:eastAsia="Times New Roman" w:hAnsi="Verdana"/>
                <w:color w:val="000066"/>
                <w:sz w:val="18"/>
                <w:szCs w:val="18"/>
              </w:rPr>
              <w:t xml:space="preserve"> the security risks of password related online attacks in service systems, and to provides security measures that could mitigate the security threats and challenges. Based on the features of password related online attacks, the security measures could include CAPTCHA, multi-factor certification, session control, log audit, security design of registration interface, security design of retrieving password interface, security design of login interface, security policy of login password, anomaly pattern analysis, data analysis, policy optimization, hierarchical services, risk early warning, user reminders and other related technical requirements This Recommendation provides security risks analysis and security considerations that will help mitigate password related security risks into each phase of the service life cycle, thus advancing the business application and security requirements together to ensure a balanced approach during the life cycle of service systems. It provides a baseline to all service systems that provide password login mechanisms, and additional filters for critical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EDF2D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EB705F" w14:paraId="1A04552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1C6C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78770D"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"http://www.itu.int/itu-t/workprog/wp_item.aspx?isn=17956" \o "See more details"</w:instrText>
            </w:r>
            <w:r>
              <w:fldChar w:fldCharType="separate"/>
            </w:r>
            <w:proofErr w:type="spellStart"/>
            <w:r w:rsidR="00EB705F" w:rsidRPr="00144814">
              <w:rPr>
                <w:rStyle w:val="Hyperlink"/>
                <w:rFonts w:ascii="Verdana" w:eastAsia="Times New Roman" w:hAnsi="Verdana"/>
                <w:sz w:val="18"/>
                <w:szCs w:val="18"/>
                <w:lang w:val="fr-FR"/>
              </w:rPr>
              <w:t>Y.4604</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Y.IoT</w:t>
            </w:r>
            <w:proofErr w:type="gramEnd"/>
            <w:r w:rsidR="00EB705F" w:rsidRPr="00144814">
              <w:rPr>
                <w:rStyle w:val="Hyperlink"/>
                <w:rFonts w:ascii="Verdana" w:eastAsia="Times New Roman" w:hAnsi="Verdana"/>
                <w:sz w:val="18"/>
                <w:szCs w:val="18"/>
                <w:lang w:val="fr-FR"/>
              </w:rPr>
              <w:t>-MCSI</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7C055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E4C34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Metadata for camera sensing information of autonomous mobile IoT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34B6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the case of low-cost and low-resolution Internet of things (IoT) camera sensor devices, it is not possible to support full-featured camera sensing information due to resource-limited IoT device capabilities. Traditional full-performance digital camera devices provide complex metadata such as camera settings (stimulus, sensitivity, shutter speed, etc.), time, location information, camera model, etc. There is no guidance for compliant and compromised IoT camera sensing metadata from different manufacturers. This causes problems related to interchangeable metadata. It is essential therefore to provide basic and minimal camera sensing metadata to enable interoperability between IoT applications and services. Recommendation ITU-T Y.4604 defines metadata for camera sensing information (MCSI) and describes characteristics and features of individual MCSI working on autonomous mobile IoT devices (AMIDs).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0FE65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12A54D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4264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286EB7" w14:textId="77777777" w:rsidR="00EB705F" w:rsidRDefault="009A3DC3" w:rsidP="00C9333D">
            <w:pPr>
              <w:jc w:val="center"/>
              <w:rPr>
                <w:rFonts w:ascii="Verdana" w:eastAsia="Times New Roman" w:hAnsi="Verdana"/>
                <w:color w:val="000066"/>
                <w:sz w:val="18"/>
                <w:szCs w:val="18"/>
              </w:rPr>
            </w:pPr>
            <w:hyperlink r:id="rId411" w:tooltip="See more details" w:history="1">
              <w:proofErr w:type="spellStart"/>
              <w:r w:rsidR="00EB705F">
                <w:rPr>
                  <w:rStyle w:val="Hyperlink"/>
                  <w:rFonts w:ascii="Verdana" w:eastAsia="Times New Roman" w:hAnsi="Verdana"/>
                  <w:sz w:val="18"/>
                  <w:szCs w:val="18"/>
                </w:rPr>
                <w:t>YSTP.AIoT</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2C16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BC94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Challenges of and Guidelines to Standardization on Artificial Intelligence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5E8E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Artificial Intelligence of Things (</w:t>
            </w:r>
            <w:proofErr w:type="spellStart"/>
            <w:r>
              <w:rPr>
                <w:rFonts w:ascii="Verdana" w:eastAsia="Times New Roman" w:hAnsi="Verdana"/>
                <w:color w:val="000066"/>
                <w:sz w:val="18"/>
                <w:szCs w:val="18"/>
              </w:rPr>
              <w:t>AIoT</w:t>
            </w:r>
            <w:proofErr w:type="spellEnd"/>
            <w:r>
              <w:rPr>
                <w:rFonts w:ascii="Verdana" w:eastAsia="Times New Roman" w:hAnsi="Verdana"/>
                <w:color w:val="000066"/>
                <w:sz w:val="18"/>
                <w:szCs w:val="18"/>
              </w:rPr>
              <w:t xml:space="preserve">) is the combination of artificial intelligence (AI) technologies with the Internet of Things (IoT) infrastructure to achieve more efficient IoT operations, improve human-machine interactions and enhance data management and analytics, but not limited to. From a comprehensive review of existing standardization efforts on AI and IoT, this Technical Paper describes concepts, characteristics, technical </w:t>
            </w:r>
            <w:proofErr w:type="gramStart"/>
            <w:r>
              <w:rPr>
                <w:rFonts w:ascii="Verdana" w:eastAsia="Times New Roman" w:hAnsi="Verdana"/>
                <w:color w:val="000066"/>
                <w:sz w:val="18"/>
                <w:szCs w:val="18"/>
              </w:rPr>
              <w:t>features</w:t>
            </w:r>
            <w:proofErr w:type="gramEnd"/>
            <w:r>
              <w:rPr>
                <w:rFonts w:ascii="Verdana" w:eastAsia="Times New Roman" w:hAnsi="Verdana"/>
                <w:color w:val="000066"/>
                <w:sz w:val="18"/>
                <w:szCs w:val="18"/>
              </w:rPr>
              <w:t xml:space="preserve"> and approaches of </w:t>
            </w:r>
            <w:proofErr w:type="spellStart"/>
            <w:r>
              <w:rPr>
                <w:rFonts w:ascii="Verdana" w:eastAsia="Times New Roman" w:hAnsi="Verdana"/>
                <w:color w:val="000066"/>
                <w:sz w:val="18"/>
                <w:szCs w:val="18"/>
              </w:rPr>
              <w:t>AIoT</w:t>
            </w:r>
            <w:proofErr w:type="spellEnd"/>
            <w:r>
              <w:rPr>
                <w:rFonts w:ascii="Verdana" w:eastAsia="Times New Roman" w:hAnsi="Verdana"/>
                <w:color w:val="000066"/>
                <w:sz w:val="18"/>
                <w:szCs w:val="18"/>
              </w:rPr>
              <w:t xml:space="preserve">. Then, it presents challenges and guidelines for standardization on </w:t>
            </w:r>
            <w:proofErr w:type="spellStart"/>
            <w:r>
              <w:rPr>
                <w:rFonts w:ascii="Verdana" w:eastAsia="Times New Roman" w:hAnsi="Verdana"/>
                <w:color w:val="000066"/>
                <w:sz w:val="18"/>
                <w:szCs w:val="18"/>
              </w:rPr>
              <w:t>AIoT</w:t>
            </w:r>
            <w:proofErr w:type="spellEnd"/>
            <w:r>
              <w:rPr>
                <w:rFonts w:ascii="Verdana" w:eastAsia="Times New Roman" w:hAnsi="Verdana"/>
                <w:color w:val="000066"/>
                <w:sz w:val="18"/>
                <w:szCs w:val="18"/>
              </w:rPr>
              <w:t xml:space="preserve">. It aims to provide technical insight and a clear direction for </w:t>
            </w:r>
            <w:proofErr w:type="spellStart"/>
            <w:r>
              <w:rPr>
                <w:rFonts w:ascii="Verdana" w:eastAsia="Times New Roman" w:hAnsi="Verdana"/>
                <w:color w:val="000066"/>
                <w:sz w:val="18"/>
                <w:szCs w:val="18"/>
              </w:rPr>
              <w:t>AIoT</w:t>
            </w:r>
            <w:proofErr w:type="spellEnd"/>
            <w:r>
              <w:rPr>
                <w:rFonts w:ascii="Verdana" w:eastAsia="Times New Roman" w:hAnsi="Verdana"/>
                <w:color w:val="000066"/>
                <w:sz w:val="18"/>
                <w:szCs w:val="18"/>
              </w:rPr>
              <w:t xml:space="preserve"> standardization from an ITU-T SG20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0501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2023-09-20</w:t>
            </w:r>
          </w:p>
        </w:tc>
      </w:tr>
      <w:tr w:rsidR="00EB705F" w14:paraId="503509E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04FD8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7F7DA2" w14:textId="77777777" w:rsidR="00EB705F" w:rsidRPr="00144814" w:rsidRDefault="009A3DC3" w:rsidP="00C9333D">
            <w:pPr>
              <w:jc w:val="center"/>
              <w:rPr>
                <w:rFonts w:ascii="Verdana" w:eastAsia="Times New Roman" w:hAnsi="Verdana"/>
                <w:color w:val="000066"/>
                <w:sz w:val="18"/>
                <w:szCs w:val="18"/>
                <w:lang w:val="fr-FR"/>
              </w:rPr>
            </w:pPr>
            <w:hyperlink r:id="rId412" w:tooltip="See more details" w:history="1">
              <w:proofErr w:type="spellStart"/>
              <w:r w:rsidR="00EB705F" w:rsidRPr="00144814">
                <w:rPr>
                  <w:rStyle w:val="Hyperlink"/>
                  <w:rFonts w:ascii="Verdana" w:eastAsia="Times New Roman" w:hAnsi="Verdana"/>
                  <w:sz w:val="18"/>
                  <w:szCs w:val="18"/>
                  <w:lang w:val="fr-FR"/>
                </w:rPr>
                <w:t>Y.4223</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Y.SCC-Reqts</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03A7B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6C91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Common requirements and capabilities of smart cities and communities from IoT and ICT perspectives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9E340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Smart cities and communities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standards developing organizations, related to aspects including, but not limited to, SC&amp;C framework, infrastructure, integrated sensing and management system, platform, data processing and services and applications (e.g., smart water management, smart buildings, smart residential community, smart </w:t>
            </w:r>
            <w:proofErr w:type="gramStart"/>
            <w:r>
              <w:rPr>
                <w:rFonts w:ascii="Verdana" w:eastAsia="Times New Roman" w:hAnsi="Verdana"/>
                <w:color w:val="000066"/>
                <w:sz w:val="18"/>
                <w:szCs w:val="18"/>
              </w:rPr>
              <w:t>tourism</w:t>
            </w:r>
            <w:proofErr w:type="gramEnd"/>
            <w:r>
              <w:rPr>
                <w:rFonts w:ascii="Verdana" w:eastAsia="Times New Roman" w:hAnsi="Verdana"/>
                <w:color w:val="000066"/>
                <w:sz w:val="18"/>
                <w:szCs w:val="18"/>
              </w:rPr>
              <w:t xml:space="preserve"> and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3DD58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10C388F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CA0B2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19E8DF" w14:textId="77777777" w:rsidR="00EB705F" w:rsidRPr="00770357"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"http://www.itu.int/itu-t/workprog/wp_item.aspx?isn=17912" \o "See more details"</w:instrText>
            </w:r>
            <w:r>
              <w:fldChar w:fldCharType="separate"/>
            </w:r>
            <w:r w:rsidR="00EB705F" w:rsidRPr="00770357">
              <w:rPr>
                <w:rStyle w:val="Hyperlink"/>
                <w:rFonts w:ascii="Verdana" w:eastAsia="Times New Roman" w:hAnsi="Verdana"/>
                <w:sz w:val="18"/>
                <w:szCs w:val="18"/>
                <w:lang w:val="fr-FR"/>
              </w:rPr>
              <w:t xml:space="preserve">Y.Suppl.76 (ex </w:t>
            </w:r>
            <w:proofErr w:type="gramStart"/>
            <w:r w:rsidR="00EB705F" w:rsidRPr="00770357">
              <w:rPr>
                <w:rStyle w:val="Hyperlink"/>
                <w:rFonts w:ascii="Verdana" w:eastAsia="Times New Roman" w:hAnsi="Verdana"/>
                <w:sz w:val="18"/>
                <w:szCs w:val="18"/>
                <w:lang w:val="fr-FR"/>
              </w:rPr>
              <w:t>Y.Sup.SmartAgri</w:t>
            </w:r>
            <w:proofErr w:type="gramEnd"/>
            <w:r w:rsidR="00EB705F" w:rsidRPr="00770357">
              <w:rPr>
                <w:rStyle w:val="Hyperlink"/>
                <w:rFonts w:ascii="Verdana" w:eastAsia="Times New Roman" w:hAnsi="Verdana"/>
                <w:sz w:val="18"/>
                <w:szCs w:val="18"/>
                <w:lang w:val="fr-FR"/>
              </w:rPr>
              <w:t>-usecases)</w:t>
            </w:r>
            <w:r>
              <w:rPr>
                <w:rStyle w:val="Hyperlink"/>
                <w:rFonts w:ascii="Verdana" w:eastAsia="Times New Roman" w:hAnsi="Verdana"/>
                <w:sz w:val="18"/>
                <w:szCs w:val="18"/>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07A4D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4B2F8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ITU-T Y.4000-series – Use cases of IoT based smart agriculture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C52E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Globally, difficulties in food supply and demand are expected due to problems such as climate change, water shortage, rapid urbanization, reduction of agricultural land, and an aging population. Smart agriculture is based on accurate data on the growth and environmental information of crops and </w:t>
            </w:r>
            <w:proofErr w:type="gramStart"/>
            <w:r>
              <w:rPr>
                <w:rFonts w:ascii="Verdana" w:eastAsia="Times New Roman" w:hAnsi="Verdana"/>
                <w:color w:val="000066"/>
                <w:sz w:val="18"/>
                <w:szCs w:val="18"/>
              </w:rPr>
              <w:t>livestock, and</w:t>
            </w:r>
            <w:proofErr w:type="gramEnd"/>
            <w:r>
              <w:rPr>
                <w:rFonts w:ascii="Verdana" w:eastAsia="Times New Roman" w:hAnsi="Verdana"/>
                <w:color w:val="000066"/>
                <w:sz w:val="18"/>
                <w:szCs w:val="18"/>
              </w:rPr>
              <w:t xml:space="preserve"> monitors the growth environment of crops and livestock anytime, anywhere, and prescribes them in a timely manner, even if less </w:t>
            </w:r>
            <w:proofErr w:type="spellStart"/>
            <w:r>
              <w:rPr>
                <w:rFonts w:ascii="Verdana" w:eastAsia="Times New Roman" w:hAnsi="Verdana"/>
                <w:color w:val="000066"/>
                <w:sz w:val="18"/>
                <w:szCs w:val="18"/>
              </w:rPr>
              <w:t>labor</w:t>
            </w:r>
            <w:proofErr w:type="spellEnd"/>
            <w:r>
              <w:rPr>
                <w:rFonts w:ascii="Verdana" w:eastAsia="Times New Roman" w:hAnsi="Verdana"/>
                <w:color w:val="000066"/>
                <w:sz w:val="18"/>
                <w:szCs w:val="18"/>
              </w:rPr>
              <w:t xml:space="preserve">, energy, and nutrients are introduced than before. It means agriculture that can greatly improve the quality and quantity of products. In general, smart agriculture can remotely or automatically perform the maintenance and management of the growth environment of crops and livestock by using IoT, big-data, AI, automation systems, and robot technologies in greenhouses, vertical plant farms, open field farms, or livestock barns. Because there are </w:t>
            </w:r>
            <w:proofErr w:type="gramStart"/>
            <w:r>
              <w:rPr>
                <w:rFonts w:ascii="Verdana" w:eastAsia="Times New Roman" w:hAnsi="Verdana"/>
                <w:color w:val="000066"/>
                <w:sz w:val="18"/>
                <w:szCs w:val="18"/>
              </w:rPr>
              <w:t>a number of</w:t>
            </w:r>
            <w:proofErr w:type="gramEnd"/>
            <w:r>
              <w:rPr>
                <w:rFonts w:ascii="Verdana" w:eastAsia="Times New Roman" w:hAnsi="Verdana"/>
                <w:color w:val="000066"/>
                <w:sz w:val="18"/>
                <w:szCs w:val="18"/>
              </w:rPr>
              <w:t xml:space="preserve"> IoT devices applied to smart agriculture, it is very important to know their interaction for interoperability. In this reason, it is necessary to survey existing smart agriculture technologies as well as forthcoming and then based on the survey results, meaningful standardization work items may be developed. This Supplement surveys use cases related to smart agriculture in the perspective of, but not limited </w:t>
            </w:r>
            <w:proofErr w:type="gramStart"/>
            <w:r>
              <w:rPr>
                <w:rFonts w:ascii="Verdana" w:eastAsia="Times New Roman" w:hAnsi="Verdana"/>
                <w:color w:val="000066"/>
                <w:sz w:val="18"/>
                <w:szCs w:val="18"/>
              </w:rPr>
              <w:t>to:</w:t>
            </w:r>
            <w:proofErr w:type="gramEnd"/>
            <w:r>
              <w:rPr>
                <w:rFonts w:ascii="Verdana" w:eastAsia="Times New Roman" w:hAnsi="Verdana"/>
                <w:color w:val="000066"/>
                <w:sz w:val="18"/>
                <w:szCs w:val="18"/>
              </w:rPr>
              <w:t xml:space="preserve"> 1) smart greenhouse, 2) smart open field, 3) smart hydroponics, 4) smart livestock barn, and 5) smart agriculture data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B5F6A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6AF5BB6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9EC4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95DDE" w14:textId="77777777" w:rsidR="00EB705F" w:rsidRPr="00770357"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"http://www.itu.int/itu-t/workprog/wp_item.aspx?isn=18472" \o "See more details"</w:instrText>
            </w:r>
            <w:r>
              <w:fldChar w:fldCharType="separate"/>
            </w:r>
            <w:r w:rsidR="00EB705F" w:rsidRPr="00770357">
              <w:rPr>
                <w:rStyle w:val="Hyperlink"/>
                <w:rFonts w:ascii="Verdana" w:eastAsia="Times New Roman" w:hAnsi="Verdana"/>
                <w:sz w:val="18"/>
                <w:szCs w:val="18"/>
                <w:lang w:val="fr-FR"/>
              </w:rPr>
              <w:t xml:space="preserve">Y.Suppl.77 (ex </w:t>
            </w:r>
            <w:proofErr w:type="gramStart"/>
            <w:r w:rsidR="00EB705F" w:rsidRPr="00770357">
              <w:rPr>
                <w:rStyle w:val="Hyperlink"/>
                <w:rFonts w:ascii="Verdana" w:eastAsia="Times New Roman" w:hAnsi="Verdana"/>
                <w:sz w:val="18"/>
                <w:szCs w:val="18"/>
                <w:lang w:val="fr-FR"/>
              </w:rPr>
              <w:t>Y.Sup.DT</w:t>
            </w:r>
            <w:proofErr w:type="gramEnd"/>
            <w:r w:rsidR="00EB705F" w:rsidRPr="00770357">
              <w:rPr>
                <w:rStyle w:val="Hyperlink"/>
                <w:rFonts w:ascii="Verdana" w:eastAsia="Times New Roman" w:hAnsi="Verdana"/>
                <w:sz w:val="18"/>
                <w:szCs w:val="18"/>
                <w:lang w:val="fr-FR"/>
              </w:rPr>
              <w:t>-definition)</w:t>
            </w:r>
            <w:r>
              <w:rPr>
                <w:rStyle w:val="Hyperlink"/>
                <w:rFonts w:ascii="Verdana" w:eastAsia="Times New Roman" w:hAnsi="Verdana"/>
                <w:sz w:val="18"/>
                <w:szCs w:val="18"/>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2E8D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9B35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Digital transformation for people-centred smart cities and communities: an analysis of definitions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6A090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supplement to the ITU-T Y.4051 aims to comprehend the multiple dimensional definitions of digital transformation for people-centred smart cities and communities from open literature. It used keywords and attributes analytical methodology to developing a new definition. The process for developing a new definition will not only give a clear definition of the term but also help in understanding the relevant works and tasks for digital transformation in people-centred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EA0C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02644CC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22C4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C7B63D"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"http://www.itu.int/itu-t/workprog/wp_item.aspx?isn=17910" \o "See more details"</w:instrText>
            </w:r>
            <w:r>
              <w:fldChar w:fldCharType="separate"/>
            </w:r>
            <w:proofErr w:type="spellStart"/>
            <w:r w:rsidR="00EB705F" w:rsidRPr="00144814">
              <w:rPr>
                <w:rStyle w:val="Hyperlink"/>
                <w:rFonts w:ascii="Verdana" w:eastAsia="Times New Roman" w:hAnsi="Verdana"/>
                <w:sz w:val="18"/>
                <w:szCs w:val="18"/>
                <w:lang w:val="fr-FR"/>
              </w:rPr>
              <w:t>Y.Suppl.78</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Y.Sup</w:t>
            </w:r>
            <w:proofErr w:type="spellEnd"/>
            <w:proofErr w:type="gramEnd"/>
            <w:r w:rsidR="00EB705F" w:rsidRPr="00144814">
              <w:rPr>
                <w:rStyle w:val="Hyperlink"/>
                <w:rFonts w:ascii="Verdana" w:eastAsia="Times New Roman" w:hAnsi="Verdana"/>
                <w:sz w:val="18"/>
                <w:szCs w:val="18"/>
                <w:lang w:val="fr-FR"/>
              </w:rPr>
              <w:t>-SSC-</w:t>
            </w:r>
            <w:proofErr w:type="spellStart"/>
            <w:r w:rsidR="00EB705F" w:rsidRPr="00144814">
              <w:rPr>
                <w:rStyle w:val="Hyperlink"/>
                <w:rFonts w:ascii="Verdana" w:eastAsia="Times New Roman" w:hAnsi="Verdana"/>
                <w:sz w:val="18"/>
                <w:szCs w:val="18"/>
                <w:lang w:val="fr-FR"/>
              </w:rPr>
              <w:t>UCE</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A6E6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FDA4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Use Cases on implemented or evaluated SSC solutions based on ITU-T Y.4900 Recommendation Series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C56AA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Supplement aims to collect use cases from ITU Members that have implemented or evaluated Smart Sustainable Cities (SSC) based on the ITU-T Y.4900 Recommendation series. The expected result is to provide information, identify challenges and opportunities on the implementation and evaluation of SSC solutions, based on the Y.4900 Recommendation series, across a wide spectrum of realities (such as varied infrastructure maturity, city size, financial conditions, among others). It is expected that the use cases collected in this Supplement will allow ITU members to evaluate scenarios </w:t>
            </w:r>
            <w:proofErr w:type="gramStart"/>
            <w:r>
              <w:rPr>
                <w:rFonts w:ascii="Verdana" w:eastAsia="Times New Roman" w:hAnsi="Verdana"/>
                <w:color w:val="000066"/>
                <w:sz w:val="18"/>
                <w:szCs w:val="18"/>
              </w:rPr>
              <w:t>similar to</w:t>
            </w:r>
            <w:proofErr w:type="gramEnd"/>
            <w:r>
              <w:rPr>
                <w:rFonts w:ascii="Verdana" w:eastAsia="Times New Roman" w:hAnsi="Verdana"/>
                <w:color w:val="000066"/>
                <w:sz w:val="18"/>
                <w:szCs w:val="18"/>
              </w:rPr>
              <w:t xml:space="preserve"> their own and, therefore, have a higher probability of success by avoiding improper practices, enriching the experience, optimizing investments and improving the scope and complexity of the solutions adopted.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9B29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050D681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E1472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28D9D" w14:textId="77777777" w:rsidR="00EB705F" w:rsidRDefault="009A3DC3" w:rsidP="00C9333D">
            <w:pPr>
              <w:jc w:val="center"/>
              <w:rPr>
                <w:rFonts w:ascii="Verdana" w:eastAsia="Times New Roman" w:hAnsi="Verdana"/>
                <w:color w:val="000066"/>
                <w:sz w:val="18"/>
                <w:szCs w:val="18"/>
              </w:rPr>
            </w:pPr>
            <w:hyperlink r:id="rId413" w:tooltip="See more details" w:history="1">
              <w:r w:rsidR="00EB705F">
                <w:rPr>
                  <w:rStyle w:val="Hyperlink"/>
                  <w:rFonts w:ascii="Verdana" w:eastAsia="Times New Roman" w:hAnsi="Verdana"/>
                  <w:sz w:val="18"/>
                  <w:szCs w:val="18"/>
                </w:rPr>
                <w:t>YSTR.HTSA-overview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F9B9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F1151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Overview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C2413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lot of information and communication technologies have been widely used in the traffic field, especially in the highway industry, and have made remarkable achievements. There is no scientific and effective index system for evaluating ICT-based highway traffic safety. In other words, there is a lack of uniform capability methodologies for ICT based highway traffic safety assessment. This Technical report presents an overview and covers the process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D71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6F51BF0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5DEC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C52AD" w14:textId="77777777" w:rsidR="00EB705F" w:rsidRPr="00144814" w:rsidRDefault="009A3DC3" w:rsidP="00C9333D">
            <w:pPr>
              <w:jc w:val="center"/>
              <w:rPr>
                <w:rFonts w:ascii="Verdana" w:eastAsia="Times New Roman" w:hAnsi="Verdana"/>
                <w:color w:val="000066"/>
                <w:sz w:val="18"/>
                <w:szCs w:val="18"/>
                <w:lang w:val="fr-FR"/>
              </w:rPr>
            </w:pPr>
            <w:hyperlink r:id="rId414" w:tooltip="See more details" w:history="1">
              <w:proofErr w:type="spellStart"/>
              <w:r w:rsidR="00EB705F" w:rsidRPr="00144814">
                <w:rPr>
                  <w:rStyle w:val="Hyperlink"/>
                  <w:rFonts w:ascii="Verdana" w:eastAsia="Times New Roman" w:hAnsi="Verdana"/>
                  <w:sz w:val="18"/>
                  <w:szCs w:val="18"/>
                  <w:lang w:val="fr-FR"/>
                </w:rPr>
                <w:t>Y.4224</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Y.dtf-reqts</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3C760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82F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8D5F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 digital twin is the digital representation of an object of interest with data connections that enable convergence between the physical and digital states at an appropriate rate of synchronization. Also, a digital twin has the capabilities of connection, integration, analysis, simulation, visualization, optimization and provides an integrated view throughout the </w:t>
            </w:r>
            <w:proofErr w:type="gramStart"/>
            <w:r>
              <w:rPr>
                <w:rFonts w:ascii="Verdana" w:eastAsia="Times New Roman" w:hAnsi="Verdana"/>
                <w:color w:val="000066"/>
                <w:sz w:val="18"/>
                <w:szCs w:val="18"/>
              </w:rPr>
              <w:t>life-cycle</w:t>
            </w:r>
            <w:proofErr w:type="gramEnd"/>
            <w:r>
              <w:rPr>
                <w:rFonts w:ascii="Verdana" w:eastAsia="Times New Roman" w:hAnsi="Verdana"/>
                <w:color w:val="000066"/>
                <w:sz w:val="18"/>
                <w:szCs w:val="18"/>
              </w:rPr>
              <w:t xml:space="preserve"> of the objects of interest. The digital twin can provide real-time monitoring and proactive control, predictive maintenance by data analytics, </w:t>
            </w:r>
            <w:proofErr w:type="gramStart"/>
            <w:r>
              <w:rPr>
                <w:rFonts w:ascii="Verdana" w:eastAsia="Times New Roman" w:hAnsi="Verdana"/>
                <w:color w:val="000066"/>
                <w:sz w:val="18"/>
                <w:szCs w:val="18"/>
              </w:rPr>
              <w:t>cost</w:t>
            </w:r>
            <w:proofErr w:type="gramEnd"/>
            <w:r>
              <w:rPr>
                <w:rFonts w:ascii="Verdana" w:eastAsia="Times New Roman" w:hAnsi="Verdana"/>
                <w:color w:val="000066"/>
                <w:sz w:val="18"/>
                <w:szCs w:val="18"/>
              </w:rPr>
              <w:t xml:space="preserve"> and downtime reduction, and so on. Due to these benefits, various industries have adopted the digital twin technology. The smart cities and communities may have many kinds of cross domain problems, such as manufacturing, transportation, </w:t>
            </w:r>
            <w:proofErr w:type="gramStart"/>
            <w:r>
              <w:rPr>
                <w:rFonts w:ascii="Verdana" w:eastAsia="Times New Roman" w:hAnsi="Verdana"/>
                <w:color w:val="000066"/>
                <w:sz w:val="18"/>
                <w:szCs w:val="18"/>
              </w:rPr>
              <w:t>energy</w:t>
            </w:r>
            <w:proofErr w:type="gramEnd"/>
            <w:r>
              <w:rPr>
                <w:rFonts w:ascii="Verdana" w:eastAsia="Times New Roman" w:hAnsi="Verdana"/>
                <w:color w:val="000066"/>
                <w:sz w:val="18"/>
                <w:szCs w:val="18"/>
              </w:rPr>
              <w:t xml:space="preserve"> and safety, and it is difficult to resolve these problems by individual digital twin. To solve them, the digital twins in various domains can be federated. The federated digital twins collect and analyse the information from various domains, provide the solution for the problems, and simulate the effects. For this, some components and functions are needed to support for digital twin federation. First, registration of information for each digital twin is performed. And the discovery, connection, and utilization for the adequate digital twins are carried out for digital twin federation. This Recommendation defines the requirements for digital twin federation.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5606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21FC3DA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1A1D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E0F299" w14:textId="77777777" w:rsidR="00EB705F" w:rsidRPr="00144814" w:rsidRDefault="009A3DC3" w:rsidP="00C9333D">
            <w:pPr>
              <w:jc w:val="center"/>
              <w:rPr>
                <w:rFonts w:ascii="Verdana" w:eastAsia="Times New Roman" w:hAnsi="Verdana"/>
                <w:color w:val="000066"/>
                <w:sz w:val="18"/>
                <w:szCs w:val="18"/>
                <w:lang w:val="fr-FR"/>
              </w:rPr>
            </w:pPr>
            <w:hyperlink r:id="rId415" w:tooltip="See more details" w:history="1">
              <w:proofErr w:type="spellStart"/>
              <w:r w:rsidR="00EB705F" w:rsidRPr="00144814">
                <w:rPr>
                  <w:rStyle w:val="Hyperlink"/>
                  <w:rFonts w:ascii="Verdana" w:eastAsia="Times New Roman" w:hAnsi="Verdana"/>
                  <w:sz w:val="18"/>
                  <w:szCs w:val="18"/>
                  <w:lang w:val="fr-FR"/>
                </w:rPr>
                <w:t>Y.4489</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Y.dtf-rach</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C7A2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C386D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architecture of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9C1C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 the digital representation of an object of interest with data connections that enable convergence between the physical and digital states at an appropriate rate of synchronization. Digital twin federation is operations among one or more digital twin initiated to solve the problem crossing the boundaries of multiple domains. Recommendation ITU-T Y.4224 defines the requirements for digital twin federation. Based on the requirements, this Recommendation addresses the reference architecture of digital twin federation. This Recommendation defines the functionalities of each entity and the interfaces among the entities. In addition, this Recommendation also addresses operational flows of digital twin federation in different scenarios.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2B9B9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5C08E16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D615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F23DFC"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"http://www.itu.int/itu-t/workprog/wp_item.aspx?isn=17907" \o "See more details"</w:instrText>
            </w:r>
            <w:r>
              <w:fldChar w:fldCharType="separate"/>
            </w:r>
            <w:proofErr w:type="spellStart"/>
            <w:r w:rsidR="00EB705F" w:rsidRPr="00144814">
              <w:rPr>
                <w:rStyle w:val="Hyperlink"/>
                <w:rFonts w:ascii="Verdana" w:eastAsia="Times New Roman" w:hAnsi="Verdana"/>
                <w:sz w:val="18"/>
                <w:szCs w:val="18"/>
                <w:lang w:val="fr-FR"/>
              </w:rPr>
              <w:t>Y.4490</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Y.water</w:t>
            </w:r>
            <w:proofErr w:type="spellEnd"/>
            <w:proofErr w:type="gramEnd"/>
            <w:r w:rsidR="00EB705F" w:rsidRPr="00144814">
              <w:rPr>
                <w:rStyle w:val="Hyperlink"/>
                <w:rFonts w:ascii="Verdana" w:eastAsia="Times New Roman" w:hAnsi="Verdana"/>
                <w:sz w:val="18"/>
                <w:szCs w:val="18"/>
                <w:lang w:val="fr-FR"/>
              </w:rPr>
              <w:t>-SFP)</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0B11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D73A5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monitoring of water system for smart fire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E6EEC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Smart fire protection is important in smart cities. It ensures the safety of people's life and property. Water supply system is the </w:t>
            </w:r>
            <w:proofErr w:type="gramStart"/>
            <w:r>
              <w:rPr>
                <w:rFonts w:ascii="Verdana" w:eastAsia="Times New Roman" w:hAnsi="Verdana"/>
                <w:color w:val="000066"/>
                <w:sz w:val="18"/>
                <w:szCs w:val="18"/>
              </w:rPr>
              <w:t>most commonly used</w:t>
            </w:r>
            <w:proofErr w:type="gramEnd"/>
            <w:r>
              <w:rPr>
                <w:rFonts w:ascii="Verdana" w:eastAsia="Times New Roman" w:hAnsi="Verdana"/>
                <w:color w:val="000066"/>
                <w:sz w:val="18"/>
                <w:szCs w:val="18"/>
              </w:rPr>
              <w:t xml:space="preserve"> in firefighting systems. The smart fire protection facilities based on IoT technologies are developed to monitor the water supply status in real time. It is required to accurately obtain the key data of natural water sources, municipal water supplies and fire pools. They will realize the digital management of fire extinguishing water sources, providing reliable information for firefighting and rescue operations. They will also enhance the availability of fire control </w:t>
            </w:r>
            <w:proofErr w:type="gramStart"/>
            <w:r>
              <w:rPr>
                <w:rFonts w:ascii="Verdana" w:eastAsia="Times New Roman" w:hAnsi="Verdana"/>
                <w:color w:val="000066"/>
                <w:sz w:val="18"/>
                <w:szCs w:val="18"/>
              </w:rPr>
              <w:t>information, and</w:t>
            </w:r>
            <w:proofErr w:type="gramEnd"/>
            <w:r>
              <w:rPr>
                <w:rFonts w:ascii="Verdana" w:eastAsia="Times New Roman" w:hAnsi="Verdana"/>
                <w:color w:val="000066"/>
                <w:sz w:val="18"/>
                <w:szCs w:val="18"/>
              </w:rPr>
              <w:t xml:space="preserve"> enable the on-site fire brigade to quickly develop targeted water supply plans. This Recommendation addresses the monitoring of water system (MWS) for smart fire protection. It specifies the reference model of MWS, as well as requirements and framework of MWS.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439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5CE3E9F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BB23A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546ABB" w14:textId="77777777" w:rsidR="00EB705F" w:rsidRDefault="009A3DC3" w:rsidP="00C9333D">
            <w:pPr>
              <w:jc w:val="center"/>
              <w:rPr>
                <w:rFonts w:ascii="Verdana" w:eastAsia="Times New Roman" w:hAnsi="Verdana"/>
                <w:color w:val="000066"/>
                <w:sz w:val="18"/>
                <w:szCs w:val="18"/>
              </w:rPr>
            </w:pPr>
            <w:hyperlink r:id="rId416" w:tooltip="See more details" w:history="1">
              <w:r w:rsidR="00EB705F">
                <w:rPr>
                  <w:rStyle w:val="Hyperlink"/>
                  <w:rFonts w:ascii="Verdana" w:eastAsia="Times New Roman" w:hAnsi="Verdana"/>
                  <w:sz w:val="18"/>
                  <w:szCs w:val="18"/>
                </w:rPr>
                <w:t xml:space="preserve">Y.4491 (ex </w:t>
              </w:r>
              <w:proofErr w:type="gramStart"/>
              <w:r w:rsidR="00EB705F">
                <w:rPr>
                  <w:rStyle w:val="Hyperlink"/>
                  <w:rFonts w:ascii="Verdana" w:eastAsia="Times New Roman" w:hAnsi="Verdana"/>
                  <w:sz w:val="18"/>
                  <w:szCs w:val="18"/>
                </w:rPr>
                <w:t>Y.BC</w:t>
              </w:r>
              <w:proofErr w:type="gramEnd"/>
              <w:r w:rsidR="00EB705F">
                <w:rPr>
                  <w:rStyle w:val="Hyperlink"/>
                  <w:rFonts w:ascii="Verdana" w:eastAsia="Times New Roman" w:hAnsi="Verdana"/>
                  <w:sz w:val="18"/>
                  <w:szCs w:val="18"/>
                </w:rPr>
                <w:t>-SON)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8F5B5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F85B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blockchain-based self-organization networking in IoT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A9ECB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Self-organization networking (SON) is responsible for automatically planning, configuring, managing, optimizing, and remedying networking. When building SON in IoT environment, an IoT device moves frequently, and IoT service requirements change from time to time. In such an environment, it is difficult to manage IoT services and devices in a centralized manner. Blockchain supports dynamic trusted SON management and secure network resource sharing by using smart contract and consensus protocols. This Recommendation describes a framework for the support of SON in IoT environment using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EBFA0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3C0DB68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9443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47F71" w14:textId="77777777" w:rsidR="00EB705F" w:rsidRPr="00144814" w:rsidRDefault="009A3DC3" w:rsidP="00C9333D">
            <w:pPr>
              <w:jc w:val="center"/>
              <w:rPr>
                <w:rFonts w:ascii="Verdana" w:eastAsia="Times New Roman" w:hAnsi="Verdana"/>
                <w:color w:val="000066"/>
                <w:sz w:val="18"/>
                <w:szCs w:val="18"/>
                <w:lang w:val="fr-FR"/>
              </w:rPr>
            </w:pPr>
            <w:hyperlink r:id="rId417" w:tooltip="See more details" w:history="1">
              <w:proofErr w:type="spellStart"/>
              <w:r w:rsidR="00EB705F" w:rsidRPr="00144814">
                <w:rPr>
                  <w:rStyle w:val="Hyperlink"/>
                  <w:rFonts w:ascii="Verdana" w:eastAsia="Times New Roman" w:hAnsi="Verdana"/>
                  <w:sz w:val="18"/>
                  <w:szCs w:val="18"/>
                  <w:lang w:val="fr-FR"/>
                </w:rPr>
                <w:t>Y.4492</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Y.dec</w:t>
              </w:r>
              <w:proofErr w:type="spellEnd"/>
              <w:r w:rsidR="00EB705F" w:rsidRPr="00144814">
                <w:rPr>
                  <w:rStyle w:val="Hyperlink"/>
                  <w:rFonts w:ascii="Verdana" w:eastAsia="Times New Roman" w:hAnsi="Verdana"/>
                  <w:sz w:val="18"/>
                  <w:szCs w:val="18"/>
                  <w:lang w:val="fr-FR"/>
                </w:rPr>
                <w:t>-IoT-</w:t>
              </w:r>
              <w:proofErr w:type="spellStart"/>
              <w:r w:rsidR="00EB705F" w:rsidRPr="00144814">
                <w:rPr>
                  <w:rStyle w:val="Hyperlink"/>
                  <w:rFonts w:ascii="Verdana" w:eastAsia="Times New Roman" w:hAnsi="Verdana"/>
                  <w:sz w:val="18"/>
                  <w:szCs w:val="18"/>
                  <w:lang w:val="fr-FR"/>
                </w:rPr>
                <w:t>arch</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C9CB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9A32F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Decentralized IoT communication architecture based on information centric networking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A2A3C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Y.4492 introduces the overview of the decentralized IoT communication, and the decentralized IoT communication requirements. It also includes the functional architecture of the decentralized IoT communication based on ICN and blockchain and the implementation view of the decentralized IoT communication architecture based on ICN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290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2129A18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20A85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E80EFF"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"http://www.itu.int/itu-t/workprog/wp_item.aspx?isn=17901" \o "See more details"</w:instrText>
            </w:r>
            <w:r>
              <w:fldChar w:fldCharType="separate"/>
            </w:r>
            <w:proofErr w:type="spellStart"/>
            <w:r w:rsidR="00EB705F" w:rsidRPr="00144814">
              <w:rPr>
                <w:rStyle w:val="Hyperlink"/>
                <w:rFonts w:ascii="Verdana" w:eastAsia="Times New Roman" w:hAnsi="Verdana"/>
                <w:sz w:val="18"/>
                <w:szCs w:val="18"/>
                <w:lang w:val="fr-FR"/>
              </w:rPr>
              <w:t>Y.4493</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Y.IoT</w:t>
            </w:r>
            <w:proofErr w:type="spellEnd"/>
            <w:proofErr w:type="gramEnd"/>
            <w:r w:rsidR="00EB705F" w:rsidRPr="00144814">
              <w:rPr>
                <w:rStyle w:val="Hyperlink"/>
                <w:rFonts w:ascii="Verdana" w:eastAsia="Times New Roman" w:hAnsi="Verdana"/>
                <w:sz w:val="18"/>
                <w:szCs w:val="18"/>
                <w:lang w:val="fr-FR"/>
              </w:rPr>
              <w:t>-AOS-</w:t>
            </w:r>
            <w:proofErr w:type="spellStart"/>
            <w:r w:rsidR="00EB705F" w:rsidRPr="00144814">
              <w:rPr>
                <w:rStyle w:val="Hyperlink"/>
                <w:rFonts w:ascii="Verdana" w:eastAsia="Times New Roman" w:hAnsi="Verdana"/>
                <w:sz w:val="18"/>
                <w:szCs w:val="18"/>
                <w:lang w:val="fr-FR"/>
              </w:rPr>
              <w:t>prot</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93EF0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45C7B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Autonomic operations support protocols </w:t>
            </w:r>
            <w:proofErr w:type="gramStart"/>
            <w:r>
              <w:rPr>
                <w:rFonts w:ascii="Verdana" w:eastAsia="Times New Roman" w:hAnsi="Verdana"/>
                <w:color w:val="000066"/>
                <w:sz w:val="18"/>
                <w:szCs w:val="18"/>
              </w:rPr>
              <w:t>in</w:t>
            </w:r>
            <w:proofErr w:type="gramEnd"/>
            <w:r>
              <w:rPr>
                <w:rFonts w:ascii="Verdana" w:eastAsia="Times New Roman" w:hAnsi="Verdana"/>
                <w:color w:val="000066"/>
                <w:sz w:val="18"/>
                <w:szCs w:val="18"/>
              </w:rPr>
              <w:t xml:space="preserve"> the Internet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0AC90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a description of the autonomic operations support protocols </w:t>
            </w:r>
            <w:proofErr w:type="gramStart"/>
            <w:r>
              <w:rPr>
                <w:rFonts w:ascii="Verdana" w:eastAsia="Times New Roman" w:hAnsi="Verdana"/>
                <w:color w:val="000066"/>
                <w:sz w:val="18"/>
                <w:szCs w:val="18"/>
              </w:rPr>
              <w:t>in</w:t>
            </w:r>
            <w:proofErr w:type="gramEnd"/>
            <w:r>
              <w:rPr>
                <w:rFonts w:ascii="Verdana" w:eastAsia="Times New Roman" w:hAnsi="Verdana"/>
                <w:color w:val="000066"/>
                <w:sz w:val="18"/>
                <w:szCs w:val="18"/>
              </w:rPr>
              <w:t xml:space="preserve"> the Internet of things (IoT) based on the architecture of the IoT specified in Recommendation ITU-T Y.4416, in order to support provisioning of autonomic operation capabilities specified in Recommendation ITU-T Y.4401. It describes architecture of autonomic operations support protocols in the IoT, autonomic event management support protocol, autonomic control support protocol, and autonomic policy management support protocol in the IoT. Possible deployment and relevant use cases of these autonomic operations support protocols in the IoT are described.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422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34DD566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262C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862BC1"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"http://www.itu.int/itu-t/workprog/wp_item.aspx?isn=17938" \o "See more details"</w:instrText>
            </w:r>
            <w:r>
              <w:fldChar w:fldCharType="separate"/>
            </w:r>
            <w:r w:rsidR="00EB705F" w:rsidRPr="00144814">
              <w:rPr>
                <w:rStyle w:val="Hyperlink"/>
                <w:rFonts w:ascii="Verdana" w:eastAsia="Times New Roman" w:hAnsi="Verdana"/>
                <w:sz w:val="18"/>
                <w:szCs w:val="18"/>
                <w:lang w:val="fr-FR"/>
              </w:rPr>
              <w:t xml:space="preserve">Y.4494 (ex </w:t>
            </w:r>
            <w:proofErr w:type="gramStart"/>
            <w:r w:rsidR="00EB705F" w:rsidRPr="00144814">
              <w:rPr>
                <w:rStyle w:val="Hyperlink"/>
                <w:rFonts w:ascii="Verdana" w:eastAsia="Times New Roman" w:hAnsi="Verdana"/>
                <w:sz w:val="18"/>
                <w:szCs w:val="18"/>
                <w:lang w:val="fr-FR"/>
              </w:rPr>
              <w:t>Y.CDML</w:t>
            </w:r>
            <w:proofErr w:type="gramEnd"/>
            <w:r w:rsidR="00EB705F" w:rsidRPr="00144814">
              <w:rPr>
                <w:rStyle w:val="Hyperlink"/>
                <w:rFonts w:ascii="Verdana" w:eastAsia="Times New Roman" w:hAnsi="Verdana"/>
                <w:sz w:val="18"/>
                <w:szCs w:val="18"/>
                <w:lang w:val="fr-FR"/>
              </w:rPr>
              <w:t>-arc)</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94B4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D8C2A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architecture of collaborative decentralized machine learning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113F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 collaborative decentralized machine learning (CDML) architecture can support ML model distributed training and inference across highly heterogeneous and </w:t>
            </w:r>
            <w:proofErr w:type="gramStart"/>
            <w:r>
              <w:rPr>
                <w:rFonts w:ascii="Verdana" w:eastAsia="Times New Roman" w:hAnsi="Verdana"/>
                <w:color w:val="000066"/>
                <w:sz w:val="18"/>
                <w:szCs w:val="18"/>
              </w:rPr>
              <w:t>resource-constrained</w:t>
            </w:r>
            <w:proofErr w:type="gramEnd"/>
            <w:r>
              <w:rPr>
                <w:rFonts w:ascii="Verdana" w:eastAsia="Times New Roman" w:hAnsi="Verdana"/>
                <w:color w:val="000066"/>
                <w:sz w:val="18"/>
                <w:szCs w:val="18"/>
              </w:rPr>
              <w:t xml:space="preserve"> IoT devices, which results in less latency, higher reliability, lower energy consumption, and saving bandwidth resources. With using CDML, spare resources across decentralized IoT devices can be fully used to perform computation-intensive ML tasks collaboratively with high performance. This Recommendation introduces collaborative decentralized machine learning (CDML) for intelligent IoT </w:t>
            </w:r>
            <w:proofErr w:type="gramStart"/>
            <w:r>
              <w:rPr>
                <w:rFonts w:ascii="Verdana" w:eastAsia="Times New Roman" w:hAnsi="Verdana"/>
                <w:color w:val="000066"/>
                <w:sz w:val="18"/>
                <w:szCs w:val="18"/>
              </w:rPr>
              <w:t>services, and</w:t>
            </w:r>
            <w:proofErr w:type="gramEnd"/>
            <w:r>
              <w:rPr>
                <w:rFonts w:ascii="Verdana" w:eastAsia="Times New Roman" w:hAnsi="Verdana"/>
                <w:color w:val="000066"/>
                <w:sz w:val="18"/>
                <w:szCs w:val="18"/>
              </w:rPr>
              <w:t xml:space="preserve"> provides the characteristics and reference architecture of CDML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75E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701F3FB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48D5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4118FC"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"http://www.itu.int/itu-t/workprog/wp_item.aspx?isn=17957" \o "See more details"</w:instrText>
            </w:r>
            <w:r>
              <w:fldChar w:fldCharType="separate"/>
            </w:r>
            <w:proofErr w:type="spellStart"/>
            <w:r w:rsidR="00EB705F" w:rsidRPr="00144814">
              <w:rPr>
                <w:rStyle w:val="Hyperlink"/>
                <w:rFonts w:ascii="Verdana" w:eastAsia="Times New Roman" w:hAnsi="Verdana"/>
                <w:sz w:val="18"/>
                <w:szCs w:val="18"/>
                <w:lang w:val="fr-FR"/>
              </w:rPr>
              <w:t>Y.4495</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Y.DSGS</w:t>
            </w:r>
            <w:proofErr w:type="gramEnd"/>
            <w:r w:rsidR="00EB705F" w:rsidRPr="00144814">
              <w:rPr>
                <w:rStyle w:val="Hyperlink"/>
                <w:rFonts w:ascii="Verdana" w:eastAsia="Times New Roman" w:hAnsi="Verdana"/>
                <w:sz w:val="18"/>
                <w:szCs w:val="18"/>
                <w:lang w:val="fr-FR"/>
              </w:rPr>
              <w:t>-reqts</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8610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E149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48CBA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Smart greenhouses have improved productivity by controlling the growing environment of crops. The demand for data-based smart greenhouse services has been increasing, as the importance of converged agricultural services (autonomous farm control, pest control, etc.) based on big data is emphasized. Accordingly, the data generated and consumed by IoT devices in the smart greenhouse have been increasing continuously.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efficiently manage and </w:t>
            </w:r>
            <w:proofErr w:type="spellStart"/>
            <w:r>
              <w:rPr>
                <w:rFonts w:ascii="Verdana" w:eastAsia="Times New Roman" w:hAnsi="Verdana"/>
                <w:color w:val="000066"/>
                <w:sz w:val="18"/>
                <w:szCs w:val="18"/>
              </w:rPr>
              <w:t>analyze</w:t>
            </w:r>
            <w:proofErr w:type="spellEnd"/>
            <w:r>
              <w:rPr>
                <w:rFonts w:ascii="Verdana" w:eastAsia="Times New Roman" w:hAnsi="Verdana"/>
                <w:color w:val="000066"/>
                <w:sz w:val="18"/>
                <w:szCs w:val="18"/>
              </w:rPr>
              <w:t xml:space="preserve"> vast amounts of data and to create various services based on the </w:t>
            </w:r>
            <w:proofErr w:type="spellStart"/>
            <w:r>
              <w:rPr>
                <w:rFonts w:ascii="Verdana" w:eastAsia="Times New Roman" w:hAnsi="Verdana"/>
                <w:color w:val="000066"/>
                <w:sz w:val="18"/>
                <w:szCs w:val="18"/>
              </w:rPr>
              <w:t>analyzed</w:t>
            </w:r>
            <w:proofErr w:type="spellEnd"/>
            <w:r>
              <w:rPr>
                <w:rFonts w:ascii="Verdana" w:eastAsia="Times New Roman" w:hAnsi="Verdana"/>
                <w:color w:val="000066"/>
                <w:sz w:val="18"/>
                <w:szCs w:val="18"/>
              </w:rPr>
              <w:t xml:space="preserve"> data, a standardized data model for data collection and management system is required. </w:t>
            </w:r>
            <w:proofErr w:type="gramStart"/>
            <w:r>
              <w:rPr>
                <w:rFonts w:ascii="Verdana" w:eastAsia="Times New Roman" w:hAnsi="Verdana"/>
                <w:color w:val="000066"/>
                <w:sz w:val="18"/>
                <w:szCs w:val="18"/>
              </w:rPr>
              <w:t>In particular, compatibility</w:t>
            </w:r>
            <w:proofErr w:type="gramEnd"/>
            <w:r>
              <w:rPr>
                <w:rFonts w:ascii="Verdana" w:eastAsia="Times New Roman" w:hAnsi="Verdana"/>
                <w:color w:val="000066"/>
                <w:sz w:val="18"/>
                <w:szCs w:val="18"/>
              </w:rPr>
              <w:t xml:space="preserve"> of data generated and consumed by heterogeneous devices must be guaranteed to ensure interoperability between devices of heterogeneous vendors. For data interoperability, this Recommendation defines 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B9CD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44936A1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DC382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6326EF" w14:textId="77777777" w:rsidR="00EB705F" w:rsidRPr="00144814" w:rsidRDefault="009A3DC3" w:rsidP="00C9333D">
            <w:pPr>
              <w:jc w:val="center"/>
              <w:rPr>
                <w:rFonts w:ascii="Verdana" w:eastAsia="Times New Roman" w:hAnsi="Verdana"/>
                <w:color w:val="000066"/>
                <w:sz w:val="18"/>
                <w:szCs w:val="18"/>
                <w:lang w:val="fr-FR"/>
              </w:rPr>
            </w:pPr>
            <w:hyperlink r:id="rId418" w:tooltip="See more details" w:history="1">
              <w:proofErr w:type="spellStart"/>
              <w:r w:rsidR="00EB705F" w:rsidRPr="00144814">
                <w:rPr>
                  <w:rStyle w:val="Hyperlink"/>
                  <w:rFonts w:ascii="Verdana" w:eastAsia="Times New Roman" w:hAnsi="Verdana"/>
                  <w:sz w:val="18"/>
                  <w:szCs w:val="18"/>
                  <w:lang w:val="fr-FR"/>
                </w:rPr>
                <w:t>Y.4605</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Y.dtf-infoex</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D94E8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A76C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EB55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 digital twin is the digital representation of an object of interest with data connection that enables convergence between the physical state and digital state at an appropriate rate of synchronization. The digital twin has been applied in various industry domains including manufacturing, transportation, energy, firefighting, medical and safety. Digital twin federation is the act of sharing data and functions among two or more digital twins to solve the problems related to multiple domains. The Recommendation ITU-T Y.4489 defines the reference architecture of digital twin federation. The information exchange model among the components, which are the digital twins, the </w:t>
            </w:r>
            <w:proofErr w:type="gramStart"/>
            <w:r>
              <w:rPr>
                <w:rFonts w:ascii="Verdana" w:eastAsia="Times New Roman" w:hAnsi="Verdana"/>
                <w:color w:val="000066"/>
                <w:sz w:val="18"/>
                <w:szCs w:val="18"/>
              </w:rPr>
              <w:t>registry</w:t>
            </w:r>
            <w:proofErr w:type="gramEnd"/>
            <w:r>
              <w:rPr>
                <w:rFonts w:ascii="Verdana" w:eastAsia="Times New Roman" w:hAnsi="Verdana"/>
                <w:color w:val="000066"/>
                <w:sz w:val="18"/>
                <w:szCs w:val="18"/>
              </w:rPr>
              <w:t xml:space="preserve"> and the communication adaptor, is required to define for digital twin federation based on the reference architecture. The exchangeable information is the data and functions used for digital twin federation. The information exchange model provides the overview and defines the message structure with actions and objects. Actions are performed on objects through information exchange among the components. This Recommendation addresses 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4754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0D1E3D9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5AA0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DE1A0B" w14:textId="77777777" w:rsidR="00EB705F" w:rsidRPr="00144814"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"http://www.itu.int/itu-t/workprog/wp_item.aspx?isn=18464" \o "See more details"</w:instrText>
            </w:r>
            <w:r>
              <w:fldChar w:fldCharType="separate"/>
            </w:r>
            <w:proofErr w:type="spellStart"/>
            <w:r w:rsidR="00EB705F" w:rsidRPr="00144814">
              <w:rPr>
                <w:rStyle w:val="Hyperlink"/>
                <w:rFonts w:ascii="Verdana" w:eastAsia="Times New Roman" w:hAnsi="Verdana"/>
                <w:sz w:val="18"/>
                <w:szCs w:val="18"/>
                <w:lang w:val="fr-FR"/>
              </w:rPr>
              <w:t>Y.4606</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Y.DSGS</w:t>
            </w:r>
            <w:proofErr w:type="gramEnd"/>
            <w:r w:rsidR="00EB705F" w:rsidRPr="00144814">
              <w:rPr>
                <w:rStyle w:val="Hyperlink"/>
                <w:rFonts w:ascii="Verdana" w:eastAsia="Times New Roman" w:hAnsi="Verdana"/>
                <w:sz w:val="18"/>
                <w:szCs w:val="18"/>
                <w:lang w:val="fr-FR"/>
              </w:rPr>
              <w:t>-dms</w:t>
            </w:r>
            <w:proofErr w:type="spellEnd"/>
            <w:r w:rsidR="00EB705F" w:rsidRPr="00144814">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99EA9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C89CF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functional model of data management system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3A4C8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data analysis technologies can evolve IoT-based smart greenhouse services more intelligently. To enable those service, a huge size of data related to environmental condition as well as farm configuration is required to be </w:t>
            </w:r>
            <w:proofErr w:type="spellStart"/>
            <w:r>
              <w:rPr>
                <w:rFonts w:ascii="Verdana" w:eastAsia="Times New Roman" w:hAnsi="Verdana"/>
                <w:color w:val="000066"/>
                <w:sz w:val="18"/>
                <w:szCs w:val="18"/>
              </w:rPr>
              <w:t>analyzed</w:t>
            </w:r>
            <w:proofErr w:type="spellEnd"/>
            <w:r>
              <w:rPr>
                <w:rFonts w:ascii="Verdana" w:eastAsia="Times New Roman" w:hAnsi="Verdana"/>
                <w:color w:val="000066"/>
                <w:sz w:val="18"/>
                <w:szCs w:val="18"/>
              </w:rPr>
              <w:t xml:space="preserve">; to enable the data to be well </w:t>
            </w:r>
            <w:proofErr w:type="spellStart"/>
            <w:r>
              <w:rPr>
                <w:rFonts w:ascii="Verdana" w:eastAsia="Times New Roman" w:hAnsi="Verdana"/>
                <w:color w:val="000066"/>
                <w:sz w:val="18"/>
                <w:szCs w:val="18"/>
              </w:rPr>
              <w:t>analyzed</w:t>
            </w:r>
            <w:proofErr w:type="spellEnd"/>
            <w:r>
              <w:rPr>
                <w:rFonts w:ascii="Verdana" w:eastAsia="Times New Roman" w:hAnsi="Verdana"/>
                <w:color w:val="000066"/>
                <w:sz w:val="18"/>
                <w:szCs w:val="18"/>
              </w:rPr>
              <w:t>, a well-defined data management system that has functionalities of data collection, data storage, data disposal, data process, and data use is required. This Recommendation defines requirements and functional model of data management system in the perspective of smart greenhouse service. The general requirements and functional model of the data management system are not under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95C11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bl>
    <w:p w14:paraId="5C2EA658" w14:textId="77777777" w:rsidR="00EB705F" w:rsidRDefault="00EB705F" w:rsidP="00EB705F">
      <w:pPr>
        <w:pStyle w:val="Note"/>
      </w:pPr>
    </w:p>
    <w:p w14:paraId="04B076E8" w14:textId="77777777" w:rsidR="00EB705F" w:rsidRDefault="00EB705F" w:rsidP="00EB705F">
      <w:pPr>
        <w:spacing w:before="0"/>
        <w:rPr>
          <w:rFonts w:eastAsia="Times New Roman"/>
          <w:szCs w:val="20"/>
          <w:lang w:eastAsia="en-US"/>
        </w:rPr>
      </w:pPr>
      <w:r>
        <w:br w:type="page"/>
      </w:r>
    </w:p>
    <w:p w14:paraId="00CE5C34" w14:textId="0A59BADE" w:rsidR="00EB705F" w:rsidRPr="003465DC" w:rsidRDefault="00EB705F" w:rsidP="00EB705F">
      <w:pPr>
        <w:pStyle w:val="Note"/>
        <w:jc w:val="center"/>
        <w:rPr>
          <w:b/>
          <w:bCs/>
        </w:rPr>
      </w:pPr>
      <w:r w:rsidRPr="003465DC">
        <w:rPr>
          <w:b/>
          <w:bCs/>
        </w:rPr>
        <w:lastRenderedPageBreak/>
        <w:t>List of texts under approval process</w:t>
      </w:r>
      <w:r w:rsidR="00D7403C">
        <w:rPr>
          <w:b/>
          <w:bCs/>
        </w:rPr>
        <w:t>, as of 18 December 2023</w:t>
      </w:r>
    </w:p>
    <w:p w14:paraId="07B3FA08" w14:textId="77777777" w:rsidR="00EB705F" w:rsidRDefault="00EB705F" w:rsidP="00EB705F"/>
    <w:tbl>
      <w:tblPr>
        <w:tblW w:w="5000" w:type="pct"/>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1853"/>
        <w:gridCol w:w="1018"/>
        <w:gridCol w:w="1825"/>
        <w:gridCol w:w="3162"/>
        <w:gridCol w:w="1057"/>
      </w:tblGrid>
      <w:tr w:rsidR="00EB705F" w14:paraId="34152C7D" w14:textId="77777777" w:rsidTr="008E25B5">
        <w:trPr>
          <w:cantSplit/>
          <w:tblHeader/>
        </w:trPr>
        <w:tc>
          <w:tcPr>
            <w:tcW w:w="36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E8BAECB"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Study group</w:t>
            </w:r>
          </w:p>
        </w:tc>
        <w:tc>
          <w:tcPr>
            <w:tcW w:w="96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FBD7553"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Work item</w:t>
            </w:r>
          </w:p>
        </w:tc>
        <w:tc>
          <w:tcPr>
            <w:tcW w:w="52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24AF5F6"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94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20CAC9E4"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164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EAFFC68"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Summary</w:t>
            </w:r>
          </w:p>
        </w:tc>
        <w:tc>
          <w:tcPr>
            <w:tcW w:w="5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072EDAF"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Consent/</w:t>
            </w:r>
            <w:r>
              <w:rPr>
                <w:rFonts w:ascii="Verdana" w:eastAsia="Times New Roman" w:hAnsi="Verdana"/>
                <w:b/>
                <w:bCs/>
                <w:sz w:val="18"/>
                <w:szCs w:val="18"/>
              </w:rPr>
              <w:br/>
            </w:r>
            <w:proofErr w:type="spellStart"/>
            <w:r>
              <w:rPr>
                <w:rFonts w:ascii="Verdana" w:eastAsia="Times New Roman" w:hAnsi="Verdana"/>
                <w:b/>
                <w:bCs/>
                <w:sz w:val="18"/>
                <w:szCs w:val="18"/>
              </w:rPr>
              <w:t>Determ</w:t>
            </w:r>
            <w:proofErr w:type="spellEnd"/>
            <w:r>
              <w:rPr>
                <w:rFonts w:ascii="Verdana" w:eastAsia="Times New Roman" w:hAnsi="Verdana"/>
                <w:b/>
                <w:bCs/>
                <w:sz w:val="18"/>
                <w:szCs w:val="18"/>
              </w:rPr>
              <w:t>. date</w:t>
            </w:r>
          </w:p>
        </w:tc>
      </w:tr>
      <w:tr w:rsidR="00EB705F" w14:paraId="1403EF1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58900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9B17FD" w14:textId="77777777" w:rsidR="00EB705F" w:rsidRDefault="009A3DC3" w:rsidP="00C9333D">
            <w:pPr>
              <w:jc w:val="center"/>
              <w:rPr>
                <w:rFonts w:ascii="Verdana" w:eastAsia="Times New Roman" w:hAnsi="Verdana"/>
                <w:color w:val="000066"/>
                <w:sz w:val="18"/>
                <w:szCs w:val="18"/>
              </w:rPr>
            </w:pPr>
            <w:hyperlink r:id="rId419" w:tooltip="See more details" w:history="1">
              <w:r w:rsidR="00EB705F">
                <w:rPr>
                  <w:rStyle w:val="Hyperlink"/>
                  <w:rFonts w:ascii="Verdana" w:eastAsia="Times New Roman" w:hAnsi="Verdana"/>
                  <w:sz w:val="18"/>
                  <w:szCs w:val="18"/>
                </w:rPr>
                <w:t>D.700R (ex D7_R_OTT)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F439D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5D0EA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Draft new regional Recommendation ITU-T D.700R “Principles for dealing with OTTs”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090DF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scope of this Recommendation are over-the-top (OTT) services that can be regarded as potentially competing with or substituting for traditional telecommunications and audio-visual services such as voice telephony, SMS, and video calling. This Recommendation seeks to provide guidance to Arab States in relation to the global growth of OTTs in view of ensuring fair competition, consumer protection, dynamic innovation, sustainable investment and infrastructure development, </w:t>
            </w:r>
            <w:proofErr w:type="gramStart"/>
            <w:r>
              <w:rPr>
                <w:rFonts w:ascii="Verdana" w:eastAsia="Times New Roman" w:hAnsi="Verdana"/>
                <w:color w:val="000066"/>
                <w:sz w:val="18"/>
                <w:szCs w:val="18"/>
              </w:rPr>
              <w:t>accessibility</w:t>
            </w:r>
            <w:proofErr w:type="gramEnd"/>
            <w:r>
              <w:rPr>
                <w:rFonts w:ascii="Verdana" w:eastAsia="Times New Roman" w:hAnsi="Verdana"/>
                <w:color w:val="000066"/>
                <w:sz w:val="18"/>
                <w:szCs w:val="18"/>
              </w:rPr>
              <w:t xml:space="preserve"> and affordability of services to the largest part of population.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A88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2023-06-20</w:t>
            </w:r>
          </w:p>
        </w:tc>
      </w:tr>
      <w:tr w:rsidR="00EB705F" w14:paraId="4DEB4F0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930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4DB2E" w14:textId="77777777" w:rsidR="00EB705F" w:rsidRDefault="009A3DC3" w:rsidP="00C9333D">
            <w:pPr>
              <w:jc w:val="center"/>
              <w:rPr>
                <w:rFonts w:ascii="Verdana" w:eastAsia="Times New Roman" w:hAnsi="Verdana"/>
                <w:color w:val="000066"/>
                <w:sz w:val="18"/>
                <w:szCs w:val="18"/>
              </w:rPr>
            </w:pPr>
            <w:hyperlink r:id="rId420" w:tooltip="See more details" w:history="1">
              <w:r w:rsidR="00EB705F">
                <w:rPr>
                  <w:rStyle w:val="Hyperlink"/>
                  <w:rFonts w:ascii="Verdana" w:eastAsia="Times New Roman" w:hAnsi="Verdana"/>
                  <w:sz w:val="18"/>
                  <w:szCs w:val="18"/>
                </w:rPr>
                <w:t>D.212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197C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85B0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Charging and Accounting Principles for The Use of Signalling System No. 7</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5859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charging and accounting principles for the use of Signalling System No. 7.</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B70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2023-11-10</w:t>
            </w:r>
          </w:p>
        </w:tc>
      </w:tr>
      <w:tr w:rsidR="00EB705F" w14:paraId="5016615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42BF5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B34E9D" w14:textId="77777777" w:rsidR="00EB705F" w:rsidRDefault="009A3DC3" w:rsidP="00C9333D">
            <w:pPr>
              <w:jc w:val="center"/>
              <w:rPr>
                <w:rFonts w:ascii="Verdana" w:eastAsia="Times New Roman" w:hAnsi="Verdana"/>
                <w:color w:val="000066"/>
                <w:sz w:val="18"/>
                <w:szCs w:val="18"/>
              </w:rPr>
            </w:pPr>
            <w:hyperlink r:id="rId421" w:tooltip="See more details" w:history="1">
              <w:proofErr w:type="spellStart"/>
              <w:r w:rsidR="00EB705F">
                <w:rPr>
                  <w:rStyle w:val="Hyperlink"/>
                  <w:rFonts w:ascii="Verdana" w:eastAsia="Times New Roman" w:hAnsi="Verdana"/>
                  <w:sz w:val="18"/>
                  <w:szCs w:val="18"/>
                </w:rPr>
                <w:t>K.154</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K.lp</w:t>
              </w:r>
              <w:proofErr w:type="spellEnd"/>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BA6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A21C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Operating telecommunication facilities using lightning strikes data obtained from Lightning Location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2AD1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mainly include how to use data of Lightning Location System (LLS), which commonly uses to determine the cause of the malfunctions, damages in maintenance stage of telecommunication facilities, and is meaningful to promote the research and formulation of guidance for operating telecommunication facilities using data related to lightning strikes. Lightning strikes data obtained by other systems (typically refer to Lightning Monitoring System in telecommunication facilities (LMS)) are also introduced in Appendix IV. The data usage strategy can also refer to this Recommendation.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462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00B94AA0"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15A4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11A340" w14:textId="77777777" w:rsidR="00EB705F" w:rsidRDefault="009A3DC3" w:rsidP="00C9333D">
            <w:pPr>
              <w:jc w:val="center"/>
              <w:rPr>
                <w:rFonts w:ascii="Verdana" w:eastAsia="Times New Roman" w:hAnsi="Verdana"/>
                <w:color w:val="000066"/>
                <w:sz w:val="18"/>
                <w:szCs w:val="18"/>
              </w:rPr>
            </w:pPr>
            <w:hyperlink r:id="rId422" w:tooltip="See more details" w:history="1">
              <w:r w:rsidR="00EB705F">
                <w:rPr>
                  <w:rStyle w:val="Hyperlink"/>
                  <w:rFonts w:ascii="Verdana" w:eastAsia="Times New Roman" w:hAnsi="Verdana"/>
                  <w:sz w:val="18"/>
                  <w:szCs w:val="18"/>
                </w:rPr>
                <w:t>K.37</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B083F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3CA5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Low and high frequency EMC mitigation techniques for telecommunication installations and systems - Basic EMC Recommendation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3722A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defines mitigation techniques which the telecommunication operators may use to avoid disturbances, interference and damages caused by power and electrified railway plants, radio transmitters, both intentional and unintentional, and electrostatic discharges. This Recommendation contains guidance for the telecommunications system normal operation: – use of telecommunications equipment fulfilling relevant EMC requirements; – proper installation practices such as well-controlled earthing and bonding networks and </w:t>
            </w:r>
            <w:proofErr w:type="spellStart"/>
            <w:r>
              <w:rPr>
                <w:rFonts w:ascii="Verdana" w:eastAsia="Times New Roman" w:hAnsi="Verdana"/>
                <w:color w:val="000066"/>
                <w:sz w:val="18"/>
                <w:szCs w:val="18"/>
              </w:rPr>
              <w:t>a.c.</w:t>
            </w:r>
            <w:proofErr w:type="spellEnd"/>
            <w:r>
              <w:rPr>
                <w:rFonts w:ascii="Verdana" w:eastAsia="Times New Roman" w:hAnsi="Verdana"/>
                <w:color w:val="000066"/>
                <w:sz w:val="18"/>
                <w:szCs w:val="18"/>
              </w:rPr>
              <w:t xml:space="preserve"> power distribution networks in buildings, avoidance of disturbing equipment close to telecommunications equipment, environmental control and </w:t>
            </w:r>
            <w:proofErr w:type="spellStart"/>
            <w:r>
              <w:rPr>
                <w:rFonts w:ascii="Verdana" w:eastAsia="Times New Roman" w:hAnsi="Verdana"/>
                <w:color w:val="000066"/>
                <w:sz w:val="18"/>
                <w:szCs w:val="18"/>
              </w:rPr>
              <w:t>well?designed</w:t>
            </w:r>
            <w:proofErr w:type="spellEnd"/>
            <w:r>
              <w:rPr>
                <w:rFonts w:ascii="Verdana" w:eastAsia="Times New Roman" w:hAnsi="Verdana"/>
                <w:color w:val="000066"/>
                <w:sz w:val="18"/>
                <w:szCs w:val="18"/>
              </w:rPr>
              <w:t xml:space="preserve"> cabling; – proper working practices such as avoiding use of hand-held radios close to telecommunications equipment and applying special precautions when handling electrostatic discharge sensitive devices; – proper working practices in areas subject to high levels of low-frequency induction. Special mitigation methods like shielding and filtering are discussed for cases where EMC problems arise. This Recommendation does not include circuit or equipment design rules or guidelines for manufacturing – it is noted that this information is already widely available.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387A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765557D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088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F2441" w14:textId="77777777" w:rsidR="00EB705F" w:rsidRDefault="009A3DC3" w:rsidP="00C9333D">
            <w:pPr>
              <w:jc w:val="center"/>
              <w:rPr>
                <w:rFonts w:ascii="Verdana" w:eastAsia="Times New Roman" w:hAnsi="Verdana"/>
                <w:color w:val="000066"/>
                <w:sz w:val="18"/>
                <w:szCs w:val="18"/>
              </w:rPr>
            </w:pPr>
            <w:hyperlink r:id="rId423" w:tooltip="See more details" w:history="1">
              <w:r w:rsidR="00EB705F">
                <w:rPr>
                  <w:rStyle w:val="Hyperlink"/>
                  <w:rFonts w:ascii="Verdana" w:eastAsia="Times New Roman" w:hAnsi="Verdana"/>
                  <w:sz w:val="18"/>
                  <w:szCs w:val="18"/>
                </w:rPr>
                <w:t>K.38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ED01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61F39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Radiated emission test procedure for physically large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A137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technical requirements for the radiated emission measurement procedure for physically large systems used within the public telecommunication network. A minimum representative system is defined, which is used for compliance testing of physically large telecommunication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5A68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0A0D6E9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17AC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47122D" w14:textId="77777777" w:rsidR="00EB705F" w:rsidRDefault="009A3DC3" w:rsidP="00C9333D">
            <w:pPr>
              <w:jc w:val="center"/>
              <w:rPr>
                <w:rFonts w:ascii="Verdana" w:eastAsia="Times New Roman" w:hAnsi="Verdana"/>
                <w:color w:val="000066"/>
                <w:sz w:val="18"/>
                <w:szCs w:val="18"/>
              </w:rPr>
            </w:pPr>
            <w:hyperlink r:id="rId424" w:tooltip="See more details" w:history="1">
              <w:r w:rsidR="00EB705F">
                <w:rPr>
                  <w:rStyle w:val="Hyperlink"/>
                  <w:rFonts w:ascii="Verdana" w:eastAsia="Times New Roman" w:hAnsi="Verdana"/>
                  <w:sz w:val="18"/>
                  <w:szCs w:val="18"/>
                </w:rPr>
                <w:t>K.83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9139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4BD5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Monitoring of electromagnetic field levels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4C90B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K.83 gives guidance on how to make long-term measurements for the monitoring of electromagnetic fields (EMF) in the selected areas that are under public concern,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show that EMFs are under control and under the limits. The purpose of this Recommendation is to provide the </w:t>
            </w:r>
            <w:proofErr w:type="gramStart"/>
            <w:r>
              <w:rPr>
                <w:rFonts w:ascii="Verdana" w:eastAsia="Times New Roman" w:hAnsi="Verdana"/>
                <w:color w:val="000066"/>
                <w:sz w:val="18"/>
                <w:szCs w:val="18"/>
              </w:rPr>
              <w:t>general public</w:t>
            </w:r>
            <w:proofErr w:type="gramEnd"/>
            <w:r>
              <w:rPr>
                <w:rFonts w:ascii="Verdana" w:eastAsia="Times New Roman" w:hAnsi="Verdana"/>
                <w:color w:val="000066"/>
                <w:sz w:val="18"/>
                <w:szCs w:val="18"/>
              </w:rPr>
              <w:t>, clear and easily available data concerning electromagnetic field levels in the form of results of continuous measurement.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9689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0CFFD5E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7C6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65542B" w14:textId="77777777" w:rsidR="00EB705F" w:rsidRDefault="009A3DC3" w:rsidP="00C9333D">
            <w:pPr>
              <w:jc w:val="center"/>
              <w:rPr>
                <w:rFonts w:ascii="Verdana" w:eastAsia="Times New Roman" w:hAnsi="Verdana"/>
                <w:color w:val="000066"/>
                <w:sz w:val="18"/>
                <w:szCs w:val="18"/>
              </w:rPr>
            </w:pPr>
            <w:hyperlink r:id="rId425" w:tooltip="See more details" w:history="1">
              <w:r w:rsidR="00EB705F">
                <w:rPr>
                  <w:rStyle w:val="Hyperlink"/>
                  <w:rFonts w:ascii="Verdana" w:eastAsia="Times New Roman" w:hAnsi="Verdana"/>
                  <w:sz w:val="18"/>
                  <w:szCs w:val="18"/>
                </w:rPr>
                <w:t>K.91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5AAB0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0B26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Guidance for assessment, evaluation and monitoring of human exposure to radio frequency electromagnetic fields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A89EA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DB52A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5AEA161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D1A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21516" w14:textId="77777777" w:rsidR="00EB705F" w:rsidRDefault="009A3DC3" w:rsidP="00C9333D">
            <w:pPr>
              <w:jc w:val="center"/>
              <w:rPr>
                <w:rFonts w:ascii="Verdana" w:eastAsia="Times New Roman" w:hAnsi="Verdana"/>
                <w:color w:val="000066"/>
                <w:sz w:val="18"/>
                <w:szCs w:val="18"/>
              </w:rPr>
            </w:pPr>
            <w:hyperlink r:id="rId426" w:tooltip="See more details" w:history="1">
              <w:r w:rsidR="00EB705F">
                <w:rPr>
                  <w:rStyle w:val="Hyperlink"/>
                  <w:rFonts w:ascii="Verdana" w:eastAsia="Times New Roman" w:hAnsi="Verdana"/>
                  <w:sz w:val="18"/>
                  <w:szCs w:val="18"/>
                </w:rPr>
                <w:t>L.1031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FE25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6A9B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Guideline for the development of an e-waste management system and achieving the e-waste targets of the Connect 2030 Agenda</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DFB8F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L.1031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for example: national authorities in charge of ICTs and communications, e-waste and waste management authorities, ministries of the environment, local authorities and entities involved in e-waste management, to take their first step in addressing Target 3.2 of the Connect 2030 Agenda that is to increase the global </w:t>
            </w:r>
            <w:proofErr w:type="spellStart"/>
            <w:r>
              <w:rPr>
                <w:rFonts w:ascii="Verdana" w:eastAsia="Times New Roman" w:hAnsi="Verdana"/>
                <w:color w:val="000066"/>
                <w:sz w:val="18"/>
                <w:szCs w:val="18"/>
              </w:rPr>
              <w:t>e?waste</w:t>
            </w:r>
            <w:proofErr w:type="spellEnd"/>
            <w:r>
              <w:rPr>
                <w:rFonts w:ascii="Verdana" w:eastAsia="Times New Roman" w:hAnsi="Verdana"/>
                <w:color w:val="000066"/>
                <w:sz w:val="18"/>
                <w:szCs w:val="18"/>
              </w:rPr>
              <w:t xml:space="preserve"> recycling rate to 30% and Target 3.3 that is to raise the percentage of countries with e-waste legislation to 50%.</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C880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1EE9CF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5E3EB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99659F" w14:textId="77777777" w:rsidR="00EB705F" w:rsidRDefault="009A3DC3" w:rsidP="00C9333D">
            <w:pPr>
              <w:jc w:val="center"/>
              <w:rPr>
                <w:rFonts w:ascii="Verdana" w:eastAsia="Times New Roman" w:hAnsi="Verdana"/>
                <w:color w:val="000066"/>
                <w:sz w:val="18"/>
                <w:szCs w:val="18"/>
              </w:rPr>
            </w:pPr>
            <w:hyperlink r:id="rId427" w:tooltip="See more details" w:history="1">
              <w:r w:rsidR="00EB705F">
                <w:rPr>
                  <w:rStyle w:val="Hyperlink"/>
                  <w:rFonts w:ascii="Verdana" w:eastAsia="Times New Roman" w:hAnsi="Verdana"/>
                  <w:sz w:val="18"/>
                  <w:szCs w:val="18"/>
                </w:rPr>
                <w:t xml:space="preserve">L.1307 (ex </w:t>
              </w:r>
              <w:proofErr w:type="gramStart"/>
              <w:r w:rsidR="00EB705F">
                <w:rPr>
                  <w:rStyle w:val="Hyperlink"/>
                  <w:rFonts w:ascii="Verdana" w:eastAsia="Times New Roman" w:hAnsi="Verdana"/>
                  <w:sz w:val="18"/>
                  <w:szCs w:val="18"/>
                </w:rPr>
                <w:t>L.EEMDC</w:t>
              </w:r>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DC6E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95CF8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Energy Efficiency in Micro Data Centre for Edge Computing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48481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With the advent of the Artificial Intelligence era, the demands for edge computing to provide ultra-low latency for various services that require high computation power continue to grow. The demand for micro data centres, an essential equipment for delivering edge computing services near users, is also growing. This Recommendation presents considerations on micro data centres for edge computing services in energy efficiency aspects. In addition, it presents the management information needed to manage micro data centres' energy efficiently and provides a metric for evaluating the energy performance of micro data centres. Finally, it presents the energy efficiency issues in the operation of edge computing services and methods to solve them.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0160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1A0E470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C02C0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66E736" w14:textId="77777777" w:rsidR="00EB705F" w:rsidRDefault="009A3DC3" w:rsidP="00C9333D">
            <w:pPr>
              <w:jc w:val="center"/>
              <w:rPr>
                <w:rFonts w:ascii="Verdana" w:eastAsia="Times New Roman" w:hAnsi="Verdana"/>
                <w:color w:val="000066"/>
                <w:sz w:val="18"/>
                <w:szCs w:val="18"/>
              </w:rPr>
            </w:pPr>
            <w:hyperlink r:id="rId428" w:tooltip="See more details" w:history="1">
              <w:r w:rsidR="00EB705F">
                <w:rPr>
                  <w:rStyle w:val="Hyperlink"/>
                  <w:rFonts w:ascii="Verdana" w:eastAsia="Times New Roman" w:hAnsi="Verdana"/>
                  <w:sz w:val="18"/>
                  <w:szCs w:val="18"/>
                </w:rPr>
                <w:t>L.1362 (ex L.GAL_3)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C0B91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89833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Power management capabilities of the future energy telecommunication network nodes. Enhanced interface for power management in Network Function Virtualization (NFV)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7BC95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L.1362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E812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63C621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89D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E56C5" w14:textId="77777777" w:rsidR="00EB705F" w:rsidRDefault="009A3DC3" w:rsidP="00C9333D">
            <w:pPr>
              <w:jc w:val="center"/>
              <w:rPr>
                <w:rFonts w:ascii="Verdana" w:eastAsia="Times New Roman" w:hAnsi="Verdana"/>
                <w:color w:val="000066"/>
                <w:sz w:val="18"/>
                <w:szCs w:val="18"/>
              </w:rPr>
            </w:pPr>
            <w:hyperlink r:id="rId429" w:tooltip="See more details" w:history="1">
              <w:r w:rsidR="00EB705F">
                <w:rPr>
                  <w:rStyle w:val="Hyperlink"/>
                  <w:rFonts w:ascii="Verdana" w:eastAsia="Times New Roman" w:hAnsi="Verdana"/>
                  <w:sz w:val="18"/>
                  <w:szCs w:val="18"/>
                </w:rPr>
                <w:t>L.1391 (ex L.5G_sharing)</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38A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BD716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Specification of 5G network sharing and co-construction adapting to climate change mitigation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5716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Mobile Network Operators (MNOs) around the world are facing unprecedented difficulties in 5G deployment. Restricted by the expensive spectrum resources, high investment, and high energy consumption of 5G, the profit gap between operators and equipment manufacturers is growing, and </w:t>
            </w:r>
            <w:proofErr w:type="gramStart"/>
            <w:r>
              <w:rPr>
                <w:rFonts w:ascii="Verdana" w:eastAsia="Times New Roman" w:hAnsi="Verdana"/>
                <w:color w:val="000066"/>
                <w:sz w:val="18"/>
                <w:szCs w:val="18"/>
              </w:rPr>
              <w:t>a large number of</w:t>
            </w:r>
            <w:proofErr w:type="gramEnd"/>
            <w:r>
              <w:rPr>
                <w:rFonts w:ascii="Verdana" w:eastAsia="Times New Roman" w:hAnsi="Verdana"/>
                <w:color w:val="000066"/>
                <w:sz w:val="18"/>
                <w:szCs w:val="18"/>
              </w:rPr>
              <w:t xml:space="preserve"> “business increment with no revenue increasing” problems are arising. How to reduce the cost of network construction and operation and how to adapt to climate change mitigation and enable the rapid benefits of 5G especially in the underdeveloped communications regions, imposes a major challenge to the global industry and operators. This Recommendation identifies the specification of 5G network sharing and co-construction and the contribution of 5G network sharing and co-construction to climate change mitigation, provides the key technologies of 5G network sharing and co-construction and explain how to make assessment of these technologies to adapt to the climate change. It also addresses the cost-benefit analysis and best practice of 5G network sharing and co-construction.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CCAAE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7D43C2B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03490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4E9E7" w14:textId="77777777" w:rsidR="00EB705F" w:rsidRDefault="009A3DC3" w:rsidP="00C9333D">
            <w:pPr>
              <w:jc w:val="center"/>
              <w:rPr>
                <w:rFonts w:ascii="Verdana" w:eastAsia="Times New Roman" w:hAnsi="Verdana"/>
                <w:color w:val="000066"/>
                <w:sz w:val="18"/>
                <w:szCs w:val="18"/>
              </w:rPr>
            </w:pPr>
            <w:hyperlink r:id="rId430" w:tooltip="See more details" w:history="1">
              <w:proofErr w:type="spellStart"/>
              <w:r w:rsidR="00EB705F">
                <w:rPr>
                  <w:rStyle w:val="Hyperlink"/>
                  <w:rFonts w:ascii="Verdana" w:eastAsia="Times New Roman" w:hAnsi="Verdana"/>
                  <w:sz w:val="18"/>
                  <w:szCs w:val="18"/>
                </w:rPr>
                <w:t>L.1508</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L.CAcoast</w:t>
              </w:r>
              <w:proofErr w:type="spellEnd"/>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5E3F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C073E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for climate change adaptation in coastal cities using ICT and digital technologies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2B45F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Coastal cities and areas are particularly vulnerable to the impacts of climate change, including flooding, rising sea level, storm surge, precipitation, and more. The frequency and intensity of these impacts continue to deepen, </w:t>
            </w:r>
            <w:proofErr w:type="gramStart"/>
            <w:r>
              <w:rPr>
                <w:rFonts w:ascii="Verdana" w:eastAsia="Times New Roman" w:hAnsi="Verdana"/>
                <w:color w:val="000066"/>
                <w:sz w:val="18"/>
                <w:szCs w:val="18"/>
              </w:rPr>
              <w:t>as a result of</w:t>
            </w:r>
            <w:proofErr w:type="gramEnd"/>
            <w:r>
              <w:rPr>
                <w:rFonts w:ascii="Verdana" w:eastAsia="Times New Roman" w:hAnsi="Verdana"/>
                <w:color w:val="000066"/>
                <w:sz w:val="18"/>
                <w:szCs w:val="18"/>
              </w:rPr>
              <w:t xml:space="preserve"> climate change. It is, therefore, imperative that coastal cities and areas are proactively taking climate adaptation actions to minimize these impacts. Information and Communication Technologies, as well as digital transformation, are providing innovative solutions for accelerating climate adaptation. The objective of this Recommendation is to support coastal cities and areas to adopt these technologies and enhance climate resilience.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275DB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02A0E15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9118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735C80" w14:textId="77777777" w:rsidR="00EB705F" w:rsidRDefault="009A3DC3" w:rsidP="00C9333D">
            <w:pPr>
              <w:jc w:val="center"/>
              <w:rPr>
                <w:rFonts w:ascii="Verdana" w:eastAsia="Times New Roman" w:hAnsi="Verdana"/>
                <w:color w:val="000066"/>
                <w:sz w:val="18"/>
                <w:szCs w:val="18"/>
              </w:rPr>
            </w:pPr>
            <w:hyperlink r:id="rId431" w:tooltip="See more details" w:history="1">
              <w:r w:rsidR="00EB705F">
                <w:rPr>
                  <w:rStyle w:val="Hyperlink"/>
                  <w:rFonts w:ascii="Verdana" w:eastAsia="Times New Roman" w:hAnsi="Verdana"/>
                  <w:sz w:val="18"/>
                  <w:szCs w:val="18"/>
                </w:rPr>
                <w:t>L.1640 (ex L.DMA)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B09D9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9BD82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Methodology for dynamic monitoring and analysis of greenhouse gas emissions in city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0C9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In 2015, the UN approved the 2030 Agenda for Sustainable Development, which contains global sustainable development goals (SDGs), including sustainable cities and communities (SDG11) and climate action (SDG13). In the era of economic globalization, cities consume a large </w:t>
            </w:r>
            <w:proofErr w:type="gramStart"/>
            <w:r>
              <w:rPr>
                <w:rFonts w:ascii="Verdana" w:eastAsia="Times New Roman" w:hAnsi="Verdana"/>
                <w:color w:val="000066"/>
                <w:sz w:val="18"/>
                <w:szCs w:val="18"/>
              </w:rPr>
              <w:t>amount</w:t>
            </w:r>
            <w:proofErr w:type="gramEnd"/>
            <w:r>
              <w:rPr>
                <w:rFonts w:ascii="Verdana" w:eastAsia="Times New Roman" w:hAnsi="Verdana"/>
                <w:color w:val="000066"/>
                <w:sz w:val="18"/>
                <w:szCs w:val="18"/>
              </w:rPr>
              <w:t xml:space="preserve"> of raw materials and energy, resulting in negative environmental effects such as greenhouse effect and ozone depletion. Therefore, low-carbon development and analysis of greenhouse gas (GHG) emissions have gradually become an important factor for strategy and policy making. This document proposes a methodology for dynamic monitoring and analysis for low-carbon development of cities through multivariate data, data collection, data processing, data fusion and application methods. This Recommendation presents the necessary conditions for implementing near-real-time greenhouse gas monitoring in cities, to support the sustainable development strategy and planning of the city. Compared to existing research or standards, near-real-time greenhouse gas data in cities can present high temporal resolution characteristics of urban emissions (hourly or daily), enabling better identification of spatial and temporal hotspots. This can help city managers formulate more effective emission reduction policies. Recommendation ITU-T L.1640 presents the general principles on data collection, data processing, data fusion, and monitoring and </w:t>
            </w:r>
            <w:proofErr w:type="spellStart"/>
            <w:r>
              <w:rPr>
                <w:rFonts w:ascii="Verdana" w:eastAsia="Times New Roman" w:hAnsi="Verdana"/>
                <w:color w:val="000066"/>
                <w:sz w:val="18"/>
                <w:szCs w:val="18"/>
              </w:rPr>
              <w:t>analyzing</w:t>
            </w:r>
            <w:proofErr w:type="spellEnd"/>
            <w:r>
              <w:rPr>
                <w:rFonts w:ascii="Verdana" w:eastAsia="Times New Roman" w:hAnsi="Verdana"/>
                <w:color w:val="000066"/>
                <w:sz w:val="18"/>
                <w:szCs w:val="18"/>
              </w:rPr>
              <w:t xml:space="preserve"> GHG emissions of cities and outlines the different methodologies that are being developed: – Sources for near-real-time city data collection, and its processing and fusing. – Key steps for city near-real-time GHG calculation and attribution analysis. – Optimization strategy for city sustainable planning.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08CCA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5C71ED9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18D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DF0707" w14:textId="77777777" w:rsidR="00EB705F" w:rsidRDefault="009A3DC3" w:rsidP="00C9333D">
            <w:pPr>
              <w:jc w:val="center"/>
              <w:rPr>
                <w:rFonts w:ascii="Verdana" w:eastAsia="Times New Roman" w:hAnsi="Verdana"/>
                <w:color w:val="000066"/>
                <w:sz w:val="18"/>
                <w:szCs w:val="18"/>
              </w:rPr>
            </w:pPr>
            <w:hyperlink r:id="rId432" w:tooltip="See more details" w:history="1">
              <w:r w:rsidR="00EB705F">
                <w:rPr>
                  <w:rStyle w:val="Hyperlink"/>
                  <w:rFonts w:ascii="Verdana" w:eastAsia="Times New Roman" w:hAnsi="Verdana"/>
                  <w:sz w:val="18"/>
                  <w:szCs w:val="18"/>
                </w:rPr>
                <w:t>J.1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D9C6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0584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Terms, definitions and acronyms for television and sound transmission and integrated broadband cable networks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A3A0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J.1 compiles all the definitions related to television and sound transmission, and integrated broadband cable networks, and which are in force in J-series and N-series Recommendations developed under the responsibility of SG9. The Recommendation is regularly updated to reflect </w:t>
            </w:r>
            <w:proofErr w:type="gramStart"/>
            <w:r>
              <w:rPr>
                <w:rFonts w:ascii="Verdana" w:eastAsia="Times New Roman" w:hAnsi="Verdana"/>
                <w:color w:val="000066"/>
                <w:sz w:val="18"/>
                <w:szCs w:val="18"/>
              </w:rPr>
              <w:t>newly-approved</w:t>
            </w:r>
            <w:proofErr w:type="gramEnd"/>
            <w:r>
              <w:rPr>
                <w:rFonts w:ascii="Verdana" w:eastAsia="Times New Roman" w:hAnsi="Verdana"/>
                <w:color w:val="000066"/>
                <w:sz w:val="18"/>
                <w:szCs w:val="18"/>
              </w:rPr>
              <w:t xml:space="preserve"> terms and definitions.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8020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721515E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B5109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4AADC0"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"http://www.itu.int/itu-t/workprog/wp_item.aspx?isn=18898" \o "See more details"</w:instrText>
            </w:r>
            <w:r>
              <w:fldChar w:fldCharType="separate"/>
            </w:r>
            <w:proofErr w:type="spellStart"/>
            <w:r w:rsidR="00EB705F" w:rsidRPr="002A010F">
              <w:rPr>
                <w:rStyle w:val="Hyperlink"/>
                <w:rFonts w:ascii="Verdana" w:eastAsia="Times New Roman" w:hAnsi="Verdana"/>
                <w:sz w:val="18"/>
                <w:szCs w:val="18"/>
                <w:lang w:val="fr-FR"/>
              </w:rPr>
              <w:t>J.1206</w:t>
            </w:r>
            <w:proofErr w:type="spellEnd"/>
            <w:r w:rsidR="00EB705F" w:rsidRPr="002A010F">
              <w:rPr>
                <w:rStyle w:val="Hyperlink"/>
                <w:rFonts w:ascii="Verdana" w:eastAsia="Times New Roman" w:hAnsi="Verdana"/>
                <w:sz w:val="18"/>
                <w:szCs w:val="18"/>
                <w:lang w:val="fr-FR"/>
              </w:rPr>
              <w:t xml:space="preserve"> (ex </w:t>
            </w:r>
            <w:proofErr w:type="spellStart"/>
            <w:proofErr w:type="gramStart"/>
            <w:r w:rsidR="00EB705F" w:rsidRPr="002A010F">
              <w:rPr>
                <w:rStyle w:val="Hyperlink"/>
                <w:rFonts w:ascii="Verdana" w:eastAsia="Times New Roman" w:hAnsi="Verdana"/>
                <w:sz w:val="18"/>
                <w:szCs w:val="18"/>
                <w:lang w:val="fr-FR"/>
              </w:rPr>
              <w:t>J.stvos</w:t>
            </w:r>
            <w:proofErr w:type="spellEnd"/>
            <w:proofErr w:type="gramEnd"/>
            <w:r w:rsidR="00EB705F" w:rsidRPr="002A010F">
              <w:rPr>
                <w:rStyle w:val="Hyperlink"/>
                <w:rFonts w:ascii="Verdana" w:eastAsia="Times New Roman" w:hAnsi="Verdana"/>
                <w:sz w:val="18"/>
                <w:szCs w:val="18"/>
                <w:lang w:val="fr-FR"/>
              </w:rPr>
              <w:t>-api)</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875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BB701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application programming interface of smart TV operating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C7ED2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J.1206 specifies the application programming interface of a smart TV operating system over integrated broadcast and broadband cable networks. A smart TV operating system is intended to be installed in an integrated broadcast and broadband (IBB</w:t>
            </w:r>
            <w:proofErr w:type="gramStart"/>
            <w:r>
              <w:rPr>
                <w:rFonts w:ascii="Verdana" w:eastAsia="Times New Roman" w:hAnsi="Verdana"/>
                <w:color w:val="000066"/>
                <w:sz w:val="18"/>
                <w:szCs w:val="18"/>
              </w:rPr>
              <w:t>)?capable</w:t>
            </w:r>
            <w:proofErr w:type="gramEnd"/>
            <w:r>
              <w:rPr>
                <w:rFonts w:ascii="Verdana" w:eastAsia="Times New Roman" w:hAnsi="Verdana"/>
                <w:color w:val="000066"/>
                <w:sz w:val="18"/>
                <w:szCs w:val="18"/>
              </w:rPr>
              <w:t xml:space="preserve"> cable set-top box (STB) and TV and to enable broadcasting and IP-based interactive services provided by cable television operators and </w:t>
            </w:r>
            <w:proofErr w:type="spellStart"/>
            <w:r>
              <w:rPr>
                <w:rFonts w:ascii="Verdana" w:eastAsia="Times New Roman" w:hAnsi="Verdana"/>
                <w:color w:val="000066"/>
                <w:sz w:val="18"/>
                <w:szCs w:val="18"/>
              </w:rPr>
              <w:t>third?party</w:t>
            </w:r>
            <w:proofErr w:type="spellEnd"/>
            <w:r>
              <w:rPr>
                <w:rFonts w:ascii="Verdana" w:eastAsia="Times New Roman" w:hAnsi="Verdana"/>
                <w:color w:val="000066"/>
                <w:sz w:val="18"/>
                <w:szCs w:val="18"/>
              </w:rPr>
              <w:t xml:space="preserve"> providers. By running a smart TV operating system, the IBB-capable cable STB and TV will be able to intelligently provide subscribers with advanced and personalized services by downloading and installing advanced and personalized apps from cable operators' platforms and </w:t>
            </w:r>
            <w:proofErr w:type="spellStart"/>
            <w:proofErr w:type="gramStart"/>
            <w:r>
              <w:rPr>
                <w:rFonts w:ascii="Verdana" w:eastAsia="Times New Roman" w:hAnsi="Verdana"/>
                <w:color w:val="000066"/>
                <w:sz w:val="18"/>
                <w:szCs w:val="18"/>
              </w:rPr>
              <w:t>third?party</w:t>
            </w:r>
            <w:proofErr w:type="spellEnd"/>
            <w:proofErr w:type="gramEnd"/>
            <w:r>
              <w:rPr>
                <w:rFonts w:ascii="Verdana" w:eastAsia="Times New Roman" w:hAnsi="Verdana"/>
                <w:color w:val="000066"/>
                <w:sz w:val="18"/>
                <w:szCs w:val="18"/>
              </w:rPr>
              <w:t xml:space="preserve"> platforms, which are interconnected with the related cable operators' platforms. Recommendation ITU-T J.1206 intends to specify the application programming interface of a smart TV operating system over integrated broadcast and broadband cable networks, including Java application programming interface and Web application programming interface, and conforms to the requirements of [ITU-T J.1201] and [ITU-T J.1202]. More information can be found in the Recommendations about the specification [b-ITU-T J.1203], security framework [b-ITU-T J.1204] and HAL interface [b-ITU-T J.1205] of smart TV operating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E115F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12C8FC1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F6F3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742CB"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"http://www.itu.int/itu-t/workprog/wp_item.aspx?isn=18508" \o "See more details"</w:instrText>
            </w:r>
            <w:r>
              <w:fldChar w:fldCharType="separate"/>
            </w:r>
            <w:r w:rsidR="00EB705F" w:rsidRPr="002A010F">
              <w:rPr>
                <w:rStyle w:val="Hyperlink"/>
                <w:rFonts w:ascii="Verdana" w:eastAsia="Times New Roman" w:hAnsi="Verdana"/>
                <w:sz w:val="18"/>
                <w:szCs w:val="18"/>
                <w:lang w:val="fr-FR"/>
              </w:rPr>
              <w:t xml:space="preserve">J.198.2 (ex </w:t>
            </w:r>
            <w:proofErr w:type="gramStart"/>
            <w:r w:rsidR="00EB705F" w:rsidRPr="002A010F">
              <w:rPr>
                <w:rStyle w:val="Hyperlink"/>
                <w:rFonts w:ascii="Verdana" w:eastAsia="Times New Roman" w:hAnsi="Verdana"/>
                <w:sz w:val="18"/>
                <w:szCs w:val="18"/>
                <w:lang w:val="fr-FR"/>
              </w:rPr>
              <w:t>J.HiNoC</w:t>
            </w:r>
            <w:proofErr w:type="gramEnd"/>
            <w:r w:rsidR="00EB705F" w:rsidRPr="002A010F">
              <w:rPr>
                <w:rStyle w:val="Hyperlink"/>
                <w:rFonts w:ascii="Verdana" w:eastAsia="Times New Roman" w:hAnsi="Verdana"/>
                <w:sz w:val="18"/>
                <w:szCs w:val="18"/>
                <w:lang w:val="fr-FR"/>
              </w:rPr>
              <w:t>3-PHY)</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FA5D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EC9B3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Physical layer specification for </w:t>
            </w:r>
            <w:proofErr w:type="gramStart"/>
            <w:r>
              <w:rPr>
                <w:rFonts w:ascii="Verdana" w:eastAsia="Times New Roman" w:hAnsi="Verdana"/>
                <w:color w:val="000066"/>
                <w:sz w:val="18"/>
                <w:szCs w:val="18"/>
              </w:rPr>
              <w:t>third-generation</w:t>
            </w:r>
            <w:proofErr w:type="gram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HiNoC</w:t>
            </w:r>
            <w:proofErr w:type="spellEnd"/>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AA95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aims to define the physical (PHY) layer specification of third generation high performance network over coax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which provides 10 Gbit/s data transmission over coaxial networks in the cable industry. The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network consists of a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bridge (HB) and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modems (HMs). The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protocol stack includes Media Access Control (MAC) layer and Physical (PHY) layer. This Recommendation contains descriptions for the signal transmission mechanism of the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PHY layer, including frame structure, channel coding and modulation techniques. The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protocol supports channel bonding which refers to the scheduling of the MAC layer frames over multiple PHY layer channels.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0EBF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36ACB36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BB08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12C3F"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"http://www.itu.int/itu-t/workprog/wp_item.aspx?isn=18516" \o "See more details"</w:instrText>
            </w:r>
            <w:r>
              <w:fldChar w:fldCharType="separate"/>
            </w:r>
            <w:r w:rsidR="00EB705F" w:rsidRPr="002A010F">
              <w:rPr>
                <w:rStyle w:val="Hyperlink"/>
                <w:rFonts w:ascii="Verdana" w:eastAsia="Times New Roman" w:hAnsi="Verdana"/>
                <w:sz w:val="18"/>
                <w:szCs w:val="18"/>
                <w:lang w:val="fr-FR"/>
              </w:rPr>
              <w:t xml:space="preserve">J.198.3 (ex </w:t>
            </w:r>
            <w:proofErr w:type="gramStart"/>
            <w:r w:rsidR="00EB705F" w:rsidRPr="002A010F">
              <w:rPr>
                <w:rStyle w:val="Hyperlink"/>
                <w:rFonts w:ascii="Verdana" w:eastAsia="Times New Roman" w:hAnsi="Verdana"/>
                <w:sz w:val="18"/>
                <w:szCs w:val="18"/>
                <w:lang w:val="fr-FR"/>
              </w:rPr>
              <w:t>J.HiNoC</w:t>
            </w:r>
            <w:proofErr w:type="gramEnd"/>
            <w:r w:rsidR="00EB705F" w:rsidRPr="002A010F">
              <w:rPr>
                <w:rStyle w:val="Hyperlink"/>
                <w:rFonts w:ascii="Verdana" w:eastAsia="Times New Roman" w:hAnsi="Verdana"/>
                <w:sz w:val="18"/>
                <w:szCs w:val="18"/>
                <w:lang w:val="fr-FR"/>
              </w:rPr>
              <w:t>3-MAC)</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B65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03C9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MAC layer specification for </w:t>
            </w:r>
            <w:proofErr w:type="gramStart"/>
            <w:r>
              <w:rPr>
                <w:rFonts w:ascii="Verdana" w:eastAsia="Times New Roman" w:hAnsi="Verdana"/>
                <w:color w:val="000066"/>
                <w:sz w:val="18"/>
                <w:szCs w:val="18"/>
              </w:rPr>
              <w:t>third-generation</w:t>
            </w:r>
            <w:proofErr w:type="gram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HiNoC</w:t>
            </w:r>
            <w:proofErr w:type="spellEnd"/>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4EE35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draft new Recommendation aims to define the MAC layer specification of third generation high performance network over coax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which provides 10 Gbit/s data transmission over coaxial networks in the cable industry.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consists of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Bridge (HB) and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Modem (HM) in terms of architectural functional entity and is layered as Media Access Control (MAC) layer and Physical (PHY) layer.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MAC layer selects the Time Division Duplexing (TDD) mode to adjust the bandwidth for upstream and downstream feasibly.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MAC layer adopts Time Division Multiple Access (TDMA) and optional Orthogonal Frequency Division Multiple Access (OFDMA).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MAC layer supports channel bonding mechanism. The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MAC layer is composed of the Convergence Sublayer (CS), the Common Part Sublayer (CPS) and the optional Security Sublayer (SS). This draft new Recommendation contains descriptions for </w:t>
            </w:r>
            <w:proofErr w:type="spellStart"/>
            <w:r>
              <w:rPr>
                <w:rFonts w:ascii="Verdana" w:eastAsia="Times New Roman" w:hAnsi="Verdana"/>
                <w:color w:val="000066"/>
                <w:sz w:val="18"/>
                <w:szCs w:val="18"/>
              </w:rPr>
              <w:t>HiNoC</w:t>
            </w:r>
            <w:proofErr w:type="spellEnd"/>
            <w:r>
              <w:rPr>
                <w:rFonts w:ascii="Verdana" w:eastAsia="Times New Roman" w:hAnsi="Verdana"/>
                <w:color w:val="000066"/>
                <w:sz w:val="18"/>
                <w:szCs w:val="18"/>
              </w:rPr>
              <w:t xml:space="preserve"> 3.0 MAC frame types, functions and mechanisms of CS and CPS.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391C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595DEF8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C03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310D2" w14:textId="77777777" w:rsidR="00EB705F" w:rsidRDefault="009A3DC3" w:rsidP="00C9333D">
            <w:pPr>
              <w:jc w:val="center"/>
              <w:rPr>
                <w:rFonts w:ascii="Verdana" w:eastAsia="Times New Roman" w:hAnsi="Verdana"/>
                <w:color w:val="000066"/>
                <w:sz w:val="18"/>
                <w:szCs w:val="18"/>
              </w:rPr>
            </w:pPr>
            <w:hyperlink r:id="rId433" w:tooltip="See more details" w:history="1">
              <w:proofErr w:type="spellStart"/>
              <w:r w:rsidR="00EB705F">
                <w:rPr>
                  <w:rStyle w:val="Hyperlink"/>
                  <w:rFonts w:ascii="Verdana" w:eastAsia="Times New Roman" w:hAnsi="Verdana"/>
                  <w:sz w:val="18"/>
                  <w:szCs w:val="18"/>
                </w:rPr>
                <w:t>Y.2086</w:t>
              </w:r>
              <w:proofErr w:type="spellEnd"/>
              <w:r w:rsidR="00EB705F">
                <w:rPr>
                  <w:rStyle w:val="Hyperlink"/>
                  <w:rFonts w:ascii="Verdana" w:eastAsia="Times New Roman" w:hAnsi="Verdana"/>
                  <w:sz w:val="18"/>
                  <w:szCs w:val="18"/>
                </w:rPr>
                <w:t xml:space="preserve"> (ex </w:t>
              </w:r>
              <w:proofErr w:type="spellStart"/>
              <w:r w:rsidR="00EB705F">
                <w:rPr>
                  <w:rStyle w:val="Hyperlink"/>
                  <w:rFonts w:ascii="Verdana" w:eastAsia="Times New Roman" w:hAnsi="Verdana"/>
                  <w:sz w:val="18"/>
                  <w:szCs w:val="18"/>
                </w:rPr>
                <w:t>Y.DNI-fr</w:t>
              </w:r>
              <w:proofErr w:type="spell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90D9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3B811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and Requirements of Decentralized Trustworthy Network Infrastructure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45FB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framework and requirements of Decentralized Network Infrastructure. The Decentralized Network Infrastructure is expected to enhance the trustworthiness of the network infrastructure via a universal basic framework for different kinds of high-level network services. This Recommendation includes the framework, requirements, and use cases of the Decentralized Network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9D6B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2021-07-16</w:t>
            </w:r>
          </w:p>
        </w:tc>
      </w:tr>
      <w:tr w:rsidR="00EB705F" w14:paraId="2FDF9C4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BB2D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C18326" w14:textId="77777777" w:rsidR="00EB705F" w:rsidRPr="002A010F" w:rsidRDefault="009A3DC3" w:rsidP="00C9333D">
            <w:pPr>
              <w:jc w:val="center"/>
              <w:rPr>
                <w:rFonts w:ascii="Verdana" w:eastAsia="Times New Roman" w:hAnsi="Verdana"/>
                <w:color w:val="000066"/>
                <w:sz w:val="18"/>
                <w:szCs w:val="18"/>
                <w:lang w:val="fr-FR"/>
              </w:rPr>
            </w:pPr>
            <w:hyperlink r:id="rId434" w:tooltip="See more details" w:history="1">
              <w:proofErr w:type="spellStart"/>
              <w:r w:rsidR="00EB705F" w:rsidRPr="002A010F">
                <w:rPr>
                  <w:rStyle w:val="Hyperlink"/>
                  <w:rFonts w:ascii="Verdana" w:eastAsia="Times New Roman" w:hAnsi="Verdana"/>
                  <w:sz w:val="18"/>
                  <w:szCs w:val="18"/>
                  <w:lang w:val="fr-FR"/>
                </w:rPr>
                <w:t>Y.2344</w:t>
              </w:r>
              <w:proofErr w:type="spellEnd"/>
              <w:r w:rsidR="00EB705F" w:rsidRPr="002A010F">
                <w:rPr>
                  <w:rStyle w:val="Hyperlink"/>
                  <w:rFonts w:ascii="Verdana" w:eastAsia="Times New Roman" w:hAnsi="Verdana"/>
                  <w:sz w:val="18"/>
                  <w:szCs w:val="18"/>
                  <w:lang w:val="fr-FR"/>
                </w:rPr>
                <w:t xml:space="preserve"> (ex </w:t>
              </w:r>
              <w:proofErr w:type="spellStart"/>
              <w:r w:rsidR="00EB705F" w:rsidRPr="002A010F">
                <w:rPr>
                  <w:rStyle w:val="Hyperlink"/>
                  <w:rFonts w:ascii="Verdana" w:eastAsia="Times New Roman" w:hAnsi="Verdana"/>
                  <w:sz w:val="18"/>
                  <w:szCs w:val="18"/>
                  <w:lang w:val="fr-FR"/>
                </w:rPr>
                <w:t>Y.IBN-reqts</w:t>
              </w:r>
              <w:proofErr w:type="spellEnd"/>
              <w:r w:rsidR="00EB705F" w:rsidRPr="002A010F">
                <w:rPr>
                  <w:rStyle w:val="Hyperlink"/>
                  <w:rFonts w:ascii="Verdana" w:eastAsia="Times New Roman" w:hAnsi="Verdana"/>
                  <w:sz w:val="18"/>
                  <w:szCs w:val="18"/>
                  <w:lang w:val="fr-FR"/>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D114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001E9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Scenarios and requirements of Intent-Based Network for network evolution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A1BC8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aims to provide the scenarios and requirements of Intent-Based Network for network evolution. The scope of this Recommendation </w:t>
            </w:r>
            <w:proofErr w:type="gramStart"/>
            <w:r>
              <w:rPr>
                <w:rFonts w:ascii="Verdana" w:eastAsia="Times New Roman" w:hAnsi="Verdana"/>
                <w:color w:val="000066"/>
                <w:sz w:val="18"/>
                <w:szCs w:val="18"/>
              </w:rPr>
              <w:t>includes:</w:t>
            </w:r>
            <w:proofErr w:type="gramEnd"/>
            <w:r>
              <w:rPr>
                <w:rFonts w:ascii="Verdana" w:eastAsia="Times New Roman" w:hAnsi="Verdana"/>
                <w:color w:val="000066"/>
                <w:sz w:val="18"/>
                <w:szCs w:val="18"/>
              </w:rPr>
              <w:t xml:space="preserve"> Scenarios and workflow of Intent-Based Network for network evolution. Capability requirements of Intent-Based Network for network evolution. General framework of Intent-Based Network for network evolution.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CA59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2022-07-15</w:t>
            </w:r>
          </w:p>
        </w:tc>
      </w:tr>
      <w:tr w:rsidR="00EB705F" w14:paraId="4DDBE2E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7AA2B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C00670" w14:textId="77777777" w:rsidR="00EB705F" w:rsidRDefault="009A3DC3" w:rsidP="00C9333D">
            <w:pPr>
              <w:jc w:val="center"/>
              <w:rPr>
                <w:rFonts w:ascii="Verdana" w:eastAsia="Times New Roman" w:hAnsi="Verdana"/>
                <w:color w:val="000066"/>
                <w:sz w:val="18"/>
                <w:szCs w:val="18"/>
              </w:rPr>
            </w:pPr>
            <w:hyperlink r:id="rId435" w:tooltip="See more details" w:history="1">
              <w:proofErr w:type="spellStart"/>
              <w:r w:rsidR="00EB705F">
                <w:rPr>
                  <w:rStyle w:val="Hyperlink"/>
                  <w:rFonts w:ascii="Verdana" w:eastAsia="Times New Roman" w:hAnsi="Verdana"/>
                  <w:sz w:val="18"/>
                  <w:szCs w:val="18"/>
                </w:rPr>
                <w:t>Y.3059</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Y.Trust</w:t>
              </w:r>
              <w:proofErr w:type="spellEnd"/>
              <w:proofErr w:type="gramEnd"/>
              <w:r w:rsidR="00EB705F">
                <w:rPr>
                  <w:rStyle w:val="Hyperlink"/>
                  <w:rFonts w:ascii="Verdana" w:eastAsia="Times New Roman" w:hAnsi="Verdana"/>
                  <w:sz w:val="18"/>
                  <w:szCs w:val="18"/>
                </w:rPr>
                <w:t>-Registry)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3E1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C15E9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Trust Registry for Devices: requirements, architectural framework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56526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The world is witnessing a massive proliferation of connected devices and services that affect every walk of life. The security threats from this vast, distributed and often unregulated emerging ecosystem of providers of devices and applications are also clear to the world. This recommendation defines the requirements that is required to be fulfilled by a trust registry that, when supported by the various stakeholders, is likely to create an environment for sustainable and orderly proliferation of secure devices. Requirements, an architectural framework for a hierarchy of registries, functional architecture and flows for the registration, </w:t>
            </w:r>
            <w:proofErr w:type="gramStart"/>
            <w:r>
              <w:rPr>
                <w:rFonts w:ascii="Verdana" w:eastAsia="Times New Roman" w:hAnsi="Verdana"/>
                <w:color w:val="000066"/>
                <w:sz w:val="18"/>
                <w:szCs w:val="18"/>
              </w:rPr>
              <w:t>interrogation</w:t>
            </w:r>
            <w:proofErr w:type="gramEnd"/>
            <w:r>
              <w:rPr>
                <w:rFonts w:ascii="Verdana" w:eastAsia="Times New Roman" w:hAnsi="Verdana"/>
                <w:color w:val="000066"/>
                <w:sz w:val="18"/>
                <w:szCs w:val="18"/>
              </w:rPr>
              <w:t xml:space="preserve"> and notification throughout the lifecycle of devices is proposed, with the objective that the trustworthiness of a device can be established at any point in time.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A3C5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74C0CEC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9C0B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65F96C" w14:textId="77777777" w:rsidR="00EB705F" w:rsidRDefault="009A3DC3" w:rsidP="00C9333D">
            <w:pPr>
              <w:jc w:val="center"/>
              <w:rPr>
                <w:rFonts w:ascii="Verdana" w:eastAsia="Times New Roman" w:hAnsi="Verdana"/>
                <w:color w:val="000066"/>
                <w:sz w:val="18"/>
                <w:szCs w:val="18"/>
              </w:rPr>
            </w:pPr>
            <w:hyperlink r:id="rId436" w:tooltip="See more details" w:history="1">
              <w:r w:rsidR="00EB705F">
                <w:rPr>
                  <w:rStyle w:val="Hyperlink"/>
                  <w:rFonts w:ascii="Verdana" w:eastAsia="Times New Roman" w:hAnsi="Verdana"/>
                  <w:sz w:val="18"/>
                  <w:szCs w:val="18"/>
                </w:rPr>
                <w:t>G.650.1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1E54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EF83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Definitions and test methods for linear, deterministic attributes of single-mode fibre and cable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A5695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G.650.1 contains definitions of the linear, deterministic parameters of </w:t>
            </w:r>
            <w:proofErr w:type="spellStart"/>
            <w:proofErr w:type="gramStart"/>
            <w:r>
              <w:rPr>
                <w:rFonts w:ascii="Verdana" w:eastAsia="Times New Roman" w:hAnsi="Verdana"/>
                <w:color w:val="000066"/>
                <w:sz w:val="18"/>
                <w:szCs w:val="18"/>
              </w:rPr>
              <w:t>single?mode</w:t>
            </w:r>
            <w:proofErr w:type="spellEnd"/>
            <w:proofErr w:type="gramEnd"/>
            <w:r>
              <w:rPr>
                <w:rFonts w:ascii="Verdana" w:eastAsia="Times New Roman" w:hAnsi="Verdana"/>
                <w:color w:val="000066"/>
                <w:sz w:val="18"/>
                <w:szCs w:val="18"/>
              </w:rPr>
              <w:t xml:space="preserv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 The history of this Recommendation is as follows: 1993 Definitions and test methods were removed from single mode fibre Recommendations such as Recommendation ITU-T G.652 and used to create the initial version of Recommendation ITU T G.650. 1997 The second version of Recommendation ITU-T G.650 added definitions and test methods for polarization mode dispersion and appendices I, II and III. The improved determination of cut-off wavelength (clause 5.3.1.3.4) was also added. 2000 The third version established reference and alternative test methods for polarization mode dispersion, modified the definitions and test methods for core concentricity error (clauses 3.4 and 5.2), and added clause 5.1.4 and appendices IV, V and VI. 2002 In order to facilitate maintenance, Recommendation ITU-T G.650 was divided into smaller Recommendations. Recommendation ITU-T G.650.2 contains definitions and test methods for statistical and non-linear attributes of single-mode fibre and cable. 2004 The second version of Recommendation ITU-T G.650.1 added a third alternative test method "Spectral attenuation modelling" (clause 5.4.4) and new Appendix III "Example of a matrix model". This material has been moved from the single-mode fibre Recommendations into this Recommendation ITU-T G.650.1. In addition, chromatic dispersion fitting procedures have been added (Annex A). 2010 The third version of Recommendation ITU-T G.650.1 added the test method </w:t>
            </w:r>
            <w:r>
              <w:rPr>
                <w:rFonts w:ascii="Verdana" w:eastAsia="Times New Roman" w:hAnsi="Verdana"/>
                <w:color w:val="000066"/>
                <w:sz w:val="18"/>
                <w:szCs w:val="18"/>
              </w:rPr>
              <w:lastRenderedPageBreak/>
              <w:t xml:space="preserve">"Test methods for the </w:t>
            </w:r>
            <w:proofErr w:type="spellStart"/>
            <w:r>
              <w:rPr>
                <w:rFonts w:ascii="Verdana" w:eastAsia="Times New Roman" w:hAnsi="Verdana"/>
                <w:color w:val="000066"/>
                <w:sz w:val="18"/>
                <w:szCs w:val="18"/>
              </w:rPr>
              <w:t>macrobend</w:t>
            </w:r>
            <w:proofErr w:type="spellEnd"/>
            <w:r>
              <w:rPr>
                <w:rFonts w:ascii="Verdana" w:eastAsia="Times New Roman" w:hAnsi="Verdana"/>
                <w:color w:val="000066"/>
                <w:sz w:val="18"/>
                <w:szCs w:val="18"/>
              </w:rPr>
              <w:t xml:space="preserve"> loss" (clause 5.6). Jumper cut-off wavelength has been deleted from clause 5.3. An additional description has been added in cut-off wavelength test method (clause 5.3.1.3.2). Equation 5-1 has been corrected. A detailed description has been added in proof test method (clause 5.7). Appendix II has been updated. 2018 The fourth version of Recommendation ITU-T G.650.1 added Appendix IV (from Amendment 1 published in 2012) to provide measurement procedures for coherent multipath interference (MPI). The interferometric technique for chromatic dispersion measurement has been deleted from clause 6.5 and moved to Appendix V. The description of measurement details for ITU-T G.657 fibre on MFD, cut-off wavelength and spectral attenuation tests has been improved. The RTM and ATM of cable cut-off wavelength measurement has been modified. An example of the interpolation method has been added in clause I.3. Equation 6 1 has been corrected. 2020 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ITU-T G.652 fibre was replaced with a new matrix using four predictor </w:t>
            </w:r>
            <w:proofErr w:type="gramStart"/>
            <w:r>
              <w:rPr>
                <w:rFonts w:ascii="Verdana" w:eastAsia="Times New Roman" w:hAnsi="Verdana"/>
                <w:color w:val="000066"/>
                <w:sz w:val="18"/>
                <w:szCs w:val="18"/>
              </w:rPr>
              <w:t>wavelengths, and</w:t>
            </w:r>
            <w:proofErr w:type="gramEnd"/>
            <w:r>
              <w:rPr>
                <w:rFonts w:ascii="Verdana" w:eastAsia="Times New Roman" w:hAnsi="Verdana"/>
                <w:color w:val="000066"/>
                <w:sz w:val="18"/>
                <w:szCs w:val="18"/>
              </w:rPr>
              <w:t xml:space="preserve"> added a new matrix for ITU-T G.654.E fibre using three predictor wavelengths. Wavelength dependence of modelling error as a function of the number of predictor wavelengths was explained. 2023 The sixth version of Recommendation ITU-T G.650.1 revised reference test method "The far-field scan" (clause 6.1.1). The resolution factor K has been introduced as the relation between the active area of the detector and the distance from fibre end. The minimum dynamic range has been generalized. The description of the detector for the far-field scan </w:t>
            </w:r>
            <w:r>
              <w:rPr>
                <w:rFonts w:ascii="Verdana" w:eastAsia="Times New Roman" w:hAnsi="Verdana"/>
                <w:color w:val="000066"/>
                <w:sz w:val="18"/>
                <w:szCs w:val="18"/>
              </w:rPr>
              <w:lastRenderedPageBreak/>
              <w:t>has been modified. In addition, a maximum numerical aperture of 0.4 is recommended for ITU-T G.655 and G.656 fibres in addition to ITU-T G.653 fibre in first alternative test method "The variable aperture technique" (clause 6.1.2).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C7F9A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2023-12-01</w:t>
            </w:r>
          </w:p>
        </w:tc>
      </w:tr>
      <w:tr w:rsidR="00EB705F" w14:paraId="7A16CB5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C9D6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33F289" w14:textId="77777777" w:rsidR="00EB705F" w:rsidRDefault="009A3DC3" w:rsidP="00C9333D">
            <w:pPr>
              <w:jc w:val="center"/>
              <w:rPr>
                <w:rFonts w:ascii="Verdana" w:eastAsia="Times New Roman" w:hAnsi="Verdana"/>
                <w:color w:val="000066"/>
                <w:sz w:val="18"/>
                <w:szCs w:val="18"/>
              </w:rPr>
            </w:pPr>
            <w:hyperlink r:id="rId437" w:tooltip="See more details" w:history="1">
              <w:proofErr w:type="spellStart"/>
              <w:r w:rsidR="00EB705F">
                <w:rPr>
                  <w:rStyle w:val="Hyperlink"/>
                  <w:rFonts w:ascii="Verdana" w:eastAsia="Times New Roman" w:hAnsi="Verdana"/>
                  <w:sz w:val="18"/>
                  <w:szCs w:val="18"/>
                </w:rPr>
                <w:t>G.698.5</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G.owdm</w:t>
              </w:r>
              <w:proofErr w:type="spellEnd"/>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C2A9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29CA6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Multichannel DWDM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5AC9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G.698.5 provides optical parameter values for physical layer interfaces of dense wavelength division multiplexing (DWDM) systems primarily intended for mobile fronthaul and metro applications in the O-band, optimized for 10-km and 20-km transmission distances. Applications are defined using optical interface parameters and values for single-channel interfaces of multichannel wavelength division multiplexing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is used in the black link to connect the HEE to the TEE. This version of the Recommendation includes bidirectional single-fibre WDM applications at 25 Gbit/s per channel with a nominal optical channel frequency spacing of 800 GHz.</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FA6C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3FB382E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8342A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A22670" w14:textId="77777777" w:rsidR="00EB705F" w:rsidRDefault="009A3DC3" w:rsidP="00C9333D">
            <w:pPr>
              <w:jc w:val="center"/>
              <w:rPr>
                <w:rFonts w:ascii="Verdana" w:eastAsia="Times New Roman" w:hAnsi="Verdana"/>
                <w:color w:val="000066"/>
                <w:sz w:val="18"/>
                <w:szCs w:val="18"/>
              </w:rPr>
            </w:pPr>
            <w:hyperlink r:id="rId438" w:tooltip="See more details" w:history="1">
              <w:r w:rsidR="00EB705F">
                <w:rPr>
                  <w:rStyle w:val="Hyperlink"/>
                  <w:rFonts w:ascii="Verdana" w:eastAsia="Times New Roman" w:hAnsi="Verdana"/>
                  <w:sz w:val="18"/>
                  <w:szCs w:val="18"/>
                </w:rPr>
                <w:t xml:space="preserve">G.698.6 (ex </w:t>
              </w:r>
              <w:proofErr w:type="gramStart"/>
              <w:r w:rsidR="00EB705F">
                <w:rPr>
                  <w:rStyle w:val="Hyperlink"/>
                  <w:rFonts w:ascii="Verdana" w:eastAsia="Times New Roman" w:hAnsi="Verdana"/>
                  <w:sz w:val="18"/>
                  <w:szCs w:val="18"/>
                </w:rPr>
                <w:t>G.owdm</w:t>
              </w:r>
              <w:proofErr w:type="gramEnd"/>
              <w:r w:rsidR="00EB705F">
                <w:rPr>
                  <w:rStyle w:val="Hyperlink"/>
                  <w:rFonts w:ascii="Verdana" w:eastAsia="Times New Roman" w:hAnsi="Verdana"/>
                  <w:sz w:val="18"/>
                  <w:szCs w:val="18"/>
                </w:rPr>
                <w:t>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A981F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EC7E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Multichannel 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C0F26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G.698.6 provides optical parameter values for physical layer interfaces of wavelength division multiplexing (WDM) systems primarily intended for mobile fronthaul and metro applications in the O-band, optimized for 5-km transmission distances. Applications are defined using optical interface parameters and values for single-channel interfaces of multichannel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or a pair of unidirectional transmission fibres is used in the black link to connect the HEE to the TEE. This version of the Recommendation includes unidirectional and bidirectional WDM applications at 25 Gbit/s per channel with alternating channel wavelength spacing of 7 nm and 13 nm in the O-band.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FE5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1879A3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B12B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D2A4E1" w14:textId="77777777" w:rsidR="00EB705F" w:rsidRDefault="009A3DC3" w:rsidP="00C9333D">
            <w:pPr>
              <w:jc w:val="center"/>
              <w:rPr>
                <w:rFonts w:ascii="Verdana" w:eastAsia="Times New Roman" w:hAnsi="Verdana"/>
                <w:color w:val="000066"/>
                <w:sz w:val="18"/>
                <w:szCs w:val="18"/>
              </w:rPr>
            </w:pPr>
            <w:hyperlink r:id="rId439" w:tooltip="See more details" w:history="1">
              <w:r w:rsidR="00EB705F">
                <w:rPr>
                  <w:rStyle w:val="Hyperlink"/>
                  <w:rFonts w:ascii="Verdana" w:eastAsia="Times New Roman" w:hAnsi="Verdana"/>
                  <w:sz w:val="18"/>
                  <w:szCs w:val="18"/>
                </w:rPr>
                <w:t>G.709.1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0C40C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1DE1A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common elements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66382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G.709.1 specifies common elements and signal structures used by various types of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interfaces. Edition 3.0 removes short-reach interfaces which are moved to [ITU-T G.709.5]. This Recommendation is renamed and focuses on common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424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D4014A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52BF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5C223" w14:textId="77777777" w:rsidR="00EB705F" w:rsidRDefault="009A3DC3" w:rsidP="00C9333D">
            <w:pPr>
              <w:jc w:val="center"/>
              <w:rPr>
                <w:rFonts w:ascii="Verdana" w:eastAsia="Times New Roman" w:hAnsi="Verdana"/>
                <w:color w:val="000066"/>
                <w:sz w:val="18"/>
                <w:szCs w:val="18"/>
              </w:rPr>
            </w:pPr>
            <w:hyperlink r:id="rId440" w:tooltip="See more details" w:history="1">
              <w:r w:rsidR="00EB705F">
                <w:rPr>
                  <w:rStyle w:val="Hyperlink"/>
                  <w:rFonts w:ascii="Verdana" w:eastAsia="Times New Roman" w:hAnsi="Verdana"/>
                  <w:sz w:val="18"/>
                  <w:szCs w:val="18"/>
                </w:rPr>
                <w:t>G.709.20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556C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3B647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Overview of fine grain OTN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88FB7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an overview of functions provided by the fine grain </w:t>
            </w:r>
            <w:proofErr w:type="spellStart"/>
            <w:r>
              <w:rPr>
                <w:rFonts w:ascii="Verdana" w:eastAsia="Times New Roman" w:hAnsi="Verdana"/>
                <w:color w:val="000066"/>
                <w:sz w:val="18"/>
                <w:szCs w:val="18"/>
              </w:rPr>
              <w:t>OTN</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fgOTN</w:t>
            </w:r>
            <w:proofErr w:type="spellEnd"/>
            <w:r>
              <w:rPr>
                <w:rFonts w:ascii="Verdana" w:eastAsia="Times New Roman" w:hAnsi="Verdana"/>
                <w:color w:val="000066"/>
                <w:sz w:val="18"/>
                <w:szCs w:val="18"/>
              </w:rPr>
              <w:t>) layer network and identifies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2422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ABA4B3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65319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2D6A44" w14:textId="77777777" w:rsidR="00EB705F" w:rsidRDefault="009A3DC3" w:rsidP="00C9333D">
            <w:pPr>
              <w:jc w:val="center"/>
              <w:rPr>
                <w:rFonts w:ascii="Verdana" w:eastAsia="Times New Roman" w:hAnsi="Verdana"/>
                <w:color w:val="000066"/>
                <w:sz w:val="18"/>
                <w:szCs w:val="18"/>
              </w:rPr>
            </w:pPr>
            <w:hyperlink r:id="rId441" w:tooltip="See more details" w:history="1">
              <w:r w:rsidR="00EB705F">
                <w:rPr>
                  <w:rStyle w:val="Hyperlink"/>
                  <w:rFonts w:ascii="Verdana" w:eastAsia="Times New Roman" w:hAnsi="Verdana"/>
                  <w:sz w:val="18"/>
                  <w:szCs w:val="18"/>
                </w:rPr>
                <w:t>G.709.3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5293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00357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B100G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110E4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G.709.3 specifies 100G, </w:t>
            </w:r>
            <w:proofErr w:type="spellStart"/>
            <w:r>
              <w:rPr>
                <w:rFonts w:ascii="Verdana" w:eastAsia="Times New Roman" w:hAnsi="Verdana"/>
                <w:color w:val="000066"/>
                <w:sz w:val="18"/>
                <w:szCs w:val="18"/>
              </w:rPr>
              <w:t>200G</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400G</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Beyond </w:t>
            </w:r>
            <w:proofErr w:type="spellStart"/>
            <w:r>
              <w:rPr>
                <w:rFonts w:ascii="Verdana" w:eastAsia="Times New Roman" w:hAnsi="Verdana"/>
                <w:color w:val="000066"/>
                <w:sz w:val="18"/>
                <w:szCs w:val="18"/>
              </w:rPr>
              <w:t>100G</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B100G</w:t>
            </w:r>
            <w:proofErr w:type="spellEnd"/>
            <w:r>
              <w:rPr>
                <w:rFonts w:ascii="Verdana" w:eastAsia="Times New Roman" w:hAnsi="Verdana"/>
                <w:color w:val="000066"/>
                <w:sz w:val="18"/>
                <w:szCs w:val="18"/>
              </w:rPr>
              <w:t xml:space="preserve">) long-reach interfaces. The Recommendation specifies the structure using forward error correction codes with a higher coding gain suitable for longer reach </w:t>
            </w:r>
            <w:proofErr w:type="gramStart"/>
            <w:r>
              <w:rPr>
                <w:rFonts w:ascii="Verdana" w:eastAsia="Times New Roman" w:hAnsi="Verdana"/>
                <w:color w:val="000066"/>
                <w:sz w:val="18"/>
                <w:szCs w:val="18"/>
              </w:rPr>
              <w:t>applications, and</w:t>
            </w:r>
            <w:proofErr w:type="gramEnd"/>
            <w:r>
              <w:rPr>
                <w:rFonts w:ascii="Verdana" w:eastAsia="Times New Roman" w:hAnsi="Verdana"/>
                <w:color w:val="000066"/>
                <w:sz w:val="18"/>
                <w:szCs w:val="18"/>
              </w:rPr>
              <w:t xml:space="preserve"> references common elements from [ITU-T G.709.1] and FEC structures from [ITU-T G.709.2]. Edition 3 contains the following extensions to Edition 2.1: – Removal of FlexO-1-SC and FOIC1.k-SC interface – Move of </w:t>
            </w:r>
            <w:proofErr w:type="spellStart"/>
            <w:r>
              <w:rPr>
                <w:rFonts w:ascii="Verdana" w:eastAsia="Times New Roman" w:hAnsi="Verdana"/>
                <w:color w:val="000066"/>
                <w:sz w:val="18"/>
                <w:szCs w:val="18"/>
              </w:rPr>
              <w:t>OTUCn</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GMP</w:t>
            </w:r>
            <w:proofErr w:type="spellEnd"/>
            <w:r>
              <w:rPr>
                <w:rFonts w:ascii="Verdana" w:eastAsia="Times New Roman" w:hAnsi="Verdana"/>
                <w:color w:val="000066"/>
                <w:sz w:val="18"/>
                <w:szCs w:val="18"/>
              </w:rPr>
              <w:t xml:space="preserve"> mapping procedure to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5E464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AE62B4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42C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889129" w14:textId="77777777" w:rsidR="00EB705F" w:rsidRDefault="009A3DC3" w:rsidP="00C9333D">
            <w:pPr>
              <w:jc w:val="center"/>
              <w:rPr>
                <w:rFonts w:ascii="Verdana" w:eastAsia="Times New Roman" w:hAnsi="Verdana"/>
                <w:color w:val="000066"/>
                <w:sz w:val="18"/>
                <w:szCs w:val="18"/>
              </w:rPr>
            </w:pPr>
            <w:hyperlink r:id="rId442" w:tooltip="See more details" w:history="1">
              <w:r w:rsidR="00EB705F">
                <w:rPr>
                  <w:rStyle w:val="Hyperlink"/>
                  <w:rFonts w:ascii="Verdana" w:eastAsia="Times New Roman" w:hAnsi="Verdana"/>
                  <w:sz w:val="18"/>
                  <w:szCs w:val="18"/>
                </w:rPr>
                <w:t>G.709.5 (ex G.709.sr)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35A3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3AAE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short-reach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1834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G.709.5 specifies 100G, 200G, </w:t>
            </w:r>
            <w:proofErr w:type="spellStart"/>
            <w:r>
              <w:rPr>
                <w:rFonts w:ascii="Verdana" w:eastAsia="Times New Roman" w:hAnsi="Verdana"/>
                <w:color w:val="000066"/>
                <w:sz w:val="18"/>
                <w:szCs w:val="18"/>
              </w:rPr>
              <w:t>400G</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800G</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short-reach interfaces. The Recommendation specifies the structure using forward error correction code with a coding gain suitable for short-reach </w:t>
            </w:r>
            <w:proofErr w:type="gramStart"/>
            <w:r>
              <w:rPr>
                <w:rFonts w:ascii="Verdana" w:eastAsia="Times New Roman" w:hAnsi="Verdana"/>
                <w:color w:val="000066"/>
                <w:sz w:val="18"/>
                <w:szCs w:val="18"/>
              </w:rPr>
              <w:t>applications, and</w:t>
            </w:r>
            <w:proofErr w:type="gramEnd"/>
            <w:r>
              <w:rPr>
                <w:rFonts w:ascii="Verdana" w:eastAsia="Times New Roman" w:hAnsi="Verdana"/>
                <w:color w:val="000066"/>
                <w:sz w:val="18"/>
                <w:szCs w:val="18"/>
              </w:rPr>
              <w:t xml:space="preserve"> references common elements from [ITU-T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A0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9D8458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1711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173704" w14:textId="77777777" w:rsidR="00EB705F" w:rsidRDefault="009A3DC3" w:rsidP="00C9333D">
            <w:pPr>
              <w:jc w:val="center"/>
              <w:rPr>
                <w:rFonts w:ascii="Verdana" w:eastAsia="Times New Roman" w:hAnsi="Verdana"/>
                <w:color w:val="000066"/>
                <w:sz w:val="18"/>
                <w:szCs w:val="18"/>
              </w:rPr>
            </w:pPr>
            <w:hyperlink r:id="rId443" w:tooltip="See more details" w:history="1">
              <w:r w:rsidR="00EB705F">
                <w:rPr>
                  <w:rStyle w:val="Hyperlink"/>
                  <w:rFonts w:ascii="Verdana" w:eastAsia="Times New Roman" w:hAnsi="Verdana"/>
                  <w:sz w:val="18"/>
                  <w:szCs w:val="18"/>
                </w:rPr>
                <w:t>G.709.6 (ex G.709.b400glr)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67BC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76DB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B400G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8D8F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G.709.6 specifies </w:t>
            </w:r>
            <w:proofErr w:type="spellStart"/>
            <w:r>
              <w:rPr>
                <w:rFonts w:ascii="Verdana" w:eastAsia="Times New Roman" w:hAnsi="Verdana"/>
                <w:color w:val="000066"/>
                <w:sz w:val="18"/>
                <w:szCs w:val="18"/>
              </w:rPr>
              <w:t>400G</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800G</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Beyond </w:t>
            </w:r>
            <w:proofErr w:type="spellStart"/>
            <w:r>
              <w:rPr>
                <w:rFonts w:ascii="Verdana" w:eastAsia="Times New Roman" w:hAnsi="Verdana"/>
                <w:color w:val="000066"/>
                <w:sz w:val="18"/>
                <w:szCs w:val="18"/>
              </w:rPr>
              <w:t>400G</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B400G</w:t>
            </w:r>
            <w:proofErr w:type="spellEnd"/>
            <w:r>
              <w:rPr>
                <w:rFonts w:ascii="Verdana" w:eastAsia="Times New Roman" w:hAnsi="Verdana"/>
                <w:color w:val="000066"/>
                <w:sz w:val="18"/>
                <w:szCs w:val="18"/>
              </w:rPr>
              <w:t>) long-reach interfaces. The Recommendation specifies the structure using forward error correction codes with a higher coding gain suitable for longer reach applications, and references common elements from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G.709.1] and FEC structures from [ITU-T G.709.3].</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57C9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00C74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F106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A51C48" w14:textId="77777777" w:rsidR="00EB705F" w:rsidRDefault="009A3DC3" w:rsidP="00C9333D">
            <w:pPr>
              <w:jc w:val="center"/>
              <w:rPr>
                <w:rFonts w:ascii="Verdana" w:eastAsia="Times New Roman" w:hAnsi="Verdana"/>
                <w:color w:val="000066"/>
                <w:sz w:val="18"/>
                <w:szCs w:val="18"/>
              </w:rPr>
            </w:pPr>
            <w:hyperlink r:id="rId444" w:tooltip="See more details" w:history="1">
              <w:r w:rsidR="00EB705F">
                <w:rPr>
                  <w:rStyle w:val="Hyperlink"/>
                  <w:rFonts w:ascii="Verdana" w:eastAsia="Times New Roman" w:hAnsi="Verdana"/>
                  <w:sz w:val="18"/>
                  <w:szCs w:val="18"/>
                </w:rPr>
                <w:t>G.709/Y.1331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3AB4D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9AA2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Interfaces for the optical transport network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406E2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G.709/Y.1331 defines the requirements for the optical transport network (OTN) interface signals of the optical transport network, in terms of: – OTN hierarchy – functionality of the overhead in support of multi-wavelength optical networks – frame structures – bit rates – formats for mapping client signals. Edition 6.5 (Amendment 3) of this Recommendation adds mapping of 800GBASE-R clients, clarifications to the description of GMP, and a new fine-grained path layer and tributary slot 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CDE6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3B373E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11A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D487B1" w14:textId="77777777" w:rsidR="00EB705F" w:rsidRDefault="009A3DC3" w:rsidP="00C9333D">
            <w:pPr>
              <w:jc w:val="center"/>
              <w:rPr>
                <w:rFonts w:ascii="Verdana" w:eastAsia="Times New Roman" w:hAnsi="Verdana"/>
                <w:color w:val="000066"/>
                <w:sz w:val="18"/>
                <w:szCs w:val="18"/>
              </w:rPr>
            </w:pPr>
            <w:hyperlink r:id="rId445" w:tooltip="See more details" w:history="1">
              <w:r w:rsidR="00EB705F">
                <w:rPr>
                  <w:rStyle w:val="Hyperlink"/>
                  <w:rFonts w:ascii="Verdana" w:eastAsia="Times New Roman" w:hAnsi="Verdana"/>
                  <w:sz w:val="18"/>
                  <w:szCs w:val="18"/>
                </w:rPr>
                <w:t>G.781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672A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4888E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Synchronization layer functions for frequency synchronization based on the physical layer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B87D1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G.781 defines the atomic functions that are part of the two synchronization layers, the synchronization distribution (SD) layer and the network synchronization (NS) layer. It also defines some atomic functions, part of the transport layer, which are related to synchronization. These functions describe the synchronization of SDH, Ethernet, and OTN NEs and how these NEs are involved in network synchronization. The specifications in this Recommendation are the superset of functionality of three regional standards bodies. Care should be taken when selecting from this Recommendation. Not every atomic function defined in this Recommendation is required for every application. Different subsets of atomic functions may be assembled in different ways according to the combination rules given in Recommendations ITU-T G.783, ITU-T G.705, ITU-T G.8021, ITU-T G.8121, and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G.798 to provide a variety of different capabilities. Network operators and equipment suppliers may choose which functions must be implemented for each application.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A3319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90BA3E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73632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AEB186" w14:textId="77777777" w:rsidR="00EB705F" w:rsidRDefault="009A3DC3" w:rsidP="00C9333D">
            <w:pPr>
              <w:jc w:val="center"/>
              <w:rPr>
                <w:rFonts w:ascii="Verdana" w:eastAsia="Times New Roman" w:hAnsi="Verdana"/>
                <w:color w:val="000066"/>
                <w:sz w:val="18"/>
                <w:szCs w:val="18"/>
              </w:rPr>
            </w:pPr>
            <w:hyperlink r:id="rId446" w:tooltip="See more details" w:history="1">
              <w:r w:rsidR="00EB705F">
                <w:rPr>
                  <w:rStyle w:val="Hyperlink"/>
                  <w:rFonts w:ascii="Verdana" w:eastAsia="Times New Roman" w:hAnsi="Verdana"/>
                  <w:sz w:val="18"/>
                  <w:szCs w:val="18"/>
                </w:rPr>
                <w:t>G.798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DD0E8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847C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Characteristics of optical transport network hierarchy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AC4AE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G.798 specifies both the components and the methodology that should be used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specify the optical transport network (OTN) functionality of network elements; it does not specify individual optical transport network equipment. Amendment 1 to Recommendation ITU-T G.798 (2023) includes changes to align with the restructuring of the Recommendation ITU-T G.709.x series.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2538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A2076A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E20CF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1765E5" w14:textId="77777777" w:rsidR="00EB705F" w:rsidRDefault="009A3DC3" w:rsidP="00C9333D">
            <w:pPr>
              <w:jc w:val="center"/>
              <w:rPr>
                <w:rFonts w:ascii="Verdana" w:eastAsia="Times New Roman" w:hAnsi="Verdana"/>
                <w:color w:val="000066"/>
                <w:sz w:val="18"/>
                <w:szCs w:val="18"/>
              </w:rPr>
            </w:pPr>
            <w:hyperlink r:id="rId447" w:tooltip="See more details" w:history="1">
              <w:r w:rsidR="00EB705F">
                <w:rPr>
                  <w:rStyle w:val="Hyperlink"/>
                  <w:rFonts w:ascii="Verdana" w:eastAsia="Times New Roman" w:hAnsi="Verdana"/>
                  <w:sz w:val="18"/>
                  <w:szCs w:val="18"/>
                </w:rPr>
                <w:t>G.8021/Y.1341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ACF50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4205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Characteristics of Ethernet transport network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D83E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G.8021/Y.1341 specifies both the functional components and the methodology that should be used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Recommendation ITU-T G.8001/Y.1354 (04/2016). Amendment 1 to Recommendation ITU-T G.8021/Y.1341 (2022) updates clause 11.1, specifying support for the </w:t>
            </w:r>
            <w:proofErr w:type="spellStart"/>
            <w:r>
              <w:rPr>
                <w:rFonts w:ascii="Verdana" w:eastAsia="Times New Roman" w:hAnsi="Verdana"/>
                <w:color w:val="000066"/>
                <w:sz w:val="18"/>
                <w:szCs w:val="18"/>
              </w:rPr>
              <w:t>ODUflexP</w:t>
            </w:r>
            <w:proofErr w:type="spellEnd"/>
            <w:r>
              <w:rPr>
                <w:rFonts w:ascii="Verdana" w:eastAsia="Times New Roman" w:hAnsi="Verdana"/>
                <w:color w:val="000066"/>
                <w:sz w:val="18"/>
                <w:szCs w:val="18"/>
              </w:rPr>
              <w:t xml:space="preserve"> to ETH adaptation function using IMP by reference to Recommendation ITU-T G.798 (2023), and incorporates Implementer's guide 1 for G.8021/Y.1341 (2022).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E2D5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36E7D4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75AA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BFB85" w14:textId="77777777" w:rsidR="00EB705F" w:rsidRDefault="009A3DC3" w:rsidP="00C9333D">
            <w:pPr>
              <w:jc w:val="center"/>
              <w:rPr>
                <w:rFonts w:ascii="Verdana" w:eastAsia="Times New Roman" w:hAnsi="Verdana"/>
                <w:color w:val="000066"/>
                <w:sz w:val="18"/>
                <w:szCs w:val="18"/>
              </w:rPr>
            </w:pPr>
            <w:hyperlink r:id="rId448" w:tooltip="See more details" w:history="1">
              <w:r w:rsidR="00EB705F">
                <w:rPr>
                  <w:rStyle w:val="Hyperlink"/>
                  <w:rFonts w:ascii="Verdana" w:eastAsia="Times New Roman" w:hAnsi="Verdana"/>
                  <w:sz w:val="18"/>
                  <w:szCs w:val="18"/>
                </w:rPr>
                <w:t>G.8023 (2018)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8D0E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362D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Characteristics of equipment functional blocks supporting Ethernet physical layer and Flex Ethernet interfaces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4315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G.8023 specifies both the functional components and the methodology that should be used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specify the Ethernet physical layer and Flex Ethernet interfaces. Amendment 2 contains text modifications to clauses 2, 3, and 6.3: – to update references to align with 802.3-2022; – to add 800G PHYs from 802.3df.</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04CE6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6974A46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68D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E6E4F" w14:textId="77777777" w:rsidR="00EB705F" w:rsidRDefault="009A3DC3" w:rsidP="00C9333D">
            <w:pPr>
              <w:jc w:val="center"/>
              <w:rPr>
                <w:rFonts w:ascii="Verdana" w:eastAsia="Times New Roman" w:hAnsi="Verdana"/>
                <w:color w:val="000066"/>
                <w:sz w:val="18"/>
                <w:szCs w:val="18"/>
              </w:rPr>
            </w:pPr>
            <w:hyperlink r:id="rId449" w:tooltip="See more details" w:history="1">
              <w:r w:rsidR="00EB705F">
                <w:rPr>
                  <w:rStyle w:val="Hyperlink"/>
                  <w:rFonts w:ascii="Verdana" w:eastAsia="Times New Roman" w:hAnsi="Verdana"/>
                  <w:sz w:val="18"/>
                  <w:szCs w:val="18"/>
                </w:rPr>
                <w:t>G.8052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1AC2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987E1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Protocol-neutral management information model for the Ethernet transport capable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29D2F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G.8052 contains the protocol neutral UML information model for Ethernet transport network (NE) management. The model is based on the Ethernet equipment functions specified in Recommendation ITU-T G.8021, generic management requirements in Recommendation ITU-T G.7710, and Ethernet specific management requirements in Recommendation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G.8051. The 2016 revision of this Recommendation changes the UML modelling tool from RSA to </w:t>
            </w:r>
            <w:proofErr w:type="gramStart"/>
            <w:r>
              <w:rPr>
                <w:rFonts w:ascii="Verdana" w:eastAsia="Times New Roman" w:hAnsi="Verdana"/>
                <w:color w:val="000066"/>
                <w:sz w:val="18"/>
                <w:szCs w:val="18"/>
              </w:rPr>
              <w:t>open source</w:t>
            </w:r>
            <w:proofErr w:type="gramEnd"/>
            <w:r>
              <w:rPr>
                <w:rFonts w:ascii="Verdana" w:eastAsia="Times New Roman" w:hAnsi="Verdana"/>
                <w:color w:val="000066"/>
                <w:sz w:val="18"/>
                <w:szCs w:val="18"/>
              </w:rPr>
              <w:t xml:space="preserve"> Papyrus tool, updates the Recommendation ITU-T G.8052 information model to align it with the Recommendation ITU-T G.7711 v2.0 Core information model, drops subclassing of the TP classes from Recommendation ITU-T M.3160, and supports the additional management requirements in Recommendation ITU-T G.8051. The 2018 revision of this Recommendation up-versions the UML model tool to Papyrus v3.2.0 and the profile to </w:t>
            </w:r>
            <w:proofErr w:type="spellStart"/>
            <w:r>
              <w:rPr>
                <w:rFonts w:ascii="Verdana" w:eastAsia="Times New Roman" w:hAnsi="Verdana"/>
                <w:color w:val="000066"/>
                <w:sz w:val="18"/>
                <w:szCs w:val="18"/>
              </w:rPr>
              <w:t>v0.2.13</w:t>
            </w:r>
            <w:proofErr w:type="spellEnd"/>
            <w:r>
              <w:rPr>
                <w:rFonts w:ascii="Verdana" w:eastAsia="Times New Roman" w:hAnsi="Verdana"/>
                <w:color w:val="000066"/>
                <w:sz w:val="18"/>
                <w:szCs w:val="18"/>
              </w:rPr>
              <w:t xml:space="preserve">, deletes </w:t>
            </w:r>
            <w:proofErr w:type="spellStart"/>
            <w:r>
              <w:rPr>
                <w:rFonts w:ascii="Verdana" w:eastAsia="Times New Roman" w:hAnsi="Verdana"/>
                <w:color w:val="000066"/>
                <w:sz w:val="18"/>
                <w:szCs w:val="18"/>
              </w:rPr>
              <w:t>ODUkP</w:t>
            </w:r>
            <w:proofErr w:type="spellEnd"/>
            <w:r>
              <w:rPr>
                <w:rFonts w:ascii="Verdana" w:eastAsia="Times New Roman" w:hAnsi="Verdana"/>
                <w:color w:val="000066"/>
                <w:sz w:val="18"/>
                <w:szCs w:val="18"/>
              </w:rPr>
              <w:t xml:space="preserve">-X-L (from the </w:t>
            </w:r>
            <w:proofErr w:type="spellStart"/>
            <w:r>
              <w:rPr>
                <w:rFonts w:ascii="Verdana" w:eastAsia="Times New Roman" w:hAnsi="Verdana"/>
                <w:color w:val="000066"/>
                <w:sz w:val="18"/>
                <w:szCs w:val="18"/>
              </w:rPr>
              <w:t>CsfRdiFdiEnableSink_Pac</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CsfRdiFdiEnableSource_Pac</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CsfReportSink_Pac</w:t>
            </w:r>
            <w:proofErr w:type="spellEnd"/>
            <w:r>
              <w:rPr>
                <w:rFonts w:ascii="Verdana" w:eastAsia="Times New Roman" w:hAnsi="Verdana"/>
                <w:color w:val="000066"/>
                <w:sz w:val="18"/>
                <w:szCs w:val="18"/>
              </w:rPr>
              <w:t xml:space="preserve">), replaces ETY termination points with </w:t>
            </w:r>
            <w:proofErr w:type="spellStart"/>
            <w:r>
              <w:rPr>
                <w:rFonts w:ascii="Verdana" w:eastAsia="Times New Roman" w:hAnsi="Verdana"/>
                <w:color w:val="000066"/>
                <w:sz w:val="18"/>
                <w:szCs w:val="18"/>
              </w:rPr>
              <w:t>ETHnull</w:t>
            </w:r>
            <w:proofErr w:type="spellEnd"/>
            <w:r>
              <w:rPr>
                <w:rFonts w:ascii="Verdana" w:eastAsia="Times New Roman" w:hAnsi="Verdana"/>
                <w:color w:val="000066"/>
                <w:sz w:val="18"/>
                <w:szCs w:val="18"/>
              </w:rPr>
              <w:t xml:space="preserve"> termination points, removes </w:t>
            </w:r>
            <w:proofErr w:type="spellStart"/>
            <w:r>
              <w:rPr>
                <w:rFonts w:ascii="Verdana" w:eastAsia="Times New Roman" w:hAnsi="Verdana"/>
                <w:color w:val="000066"/>
                <w:sz w:val="18"/>
                <w:szCs w:val="18"/>
              </w:rPr>
              <w:t>ODUkp</w:t>
            </w:r>
            <w:proofErr w:type="spellEnd"/>
            <w:r>
              <w:rPr>
                <w:rFonts w:ascii="Verdana" w:eastAsia="Times New Roman" w:hAnsi="Verdana"/>
                <w:color w:val="000066"/>
                <w:sz w:val="18"/>
                <w:szCs w:val="18"/>
              </w:rPr>
              <w:t>/</w:t>
            </w:r>
            <w:proofErr w:type="spellStart"/>
            <w:r>
              <w:rPr>
                <w:rFonts w:ascii="Verdana" w:eastAsia="Times New Roman" w:hAnsi="Verdana"/>
                <w:color w:val="000066"/>
                <w:sz w:val="18"/>
                <w:szCs w:val="18"/>
              </w:rPr>
              <w:t>ETH_A</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ODU2P</w:t>
            </w:r>
            <w:proofErr w:type="spellEnd"/>
            <w:r>
              <w:rPr>
                <w:rFonts w:ascii="Verdana" w:eastAsia="Times New Roman" w:hAnsi="Verdana"/>
                <w:color w:val="000066"/>
                <w:sz w:val="18"/>
                <w:szCs w:val="18"/>
              </w:rPr>
              <w:t>/</w:t>
            </w:r>
            <w:proofErr w:type="spellStart"/>
            <w:r>
              <w:rPr>
                <w:rFonts w:ascii="Verdana" w:eastAsia="Times New Roman" w:hAnsi="Verdana"/>
                <w:color w:val="000066"/>
                <w:sz w:val="18"/>
                <w:szCs w:val="18"/>
              </w:rPr>
              <w:t>ETHPP-OS_A</w:t>
            </w:r>
            <w:proofErr w:type="spellEnd"/>
            <w:r>
              <w:rPr>
                <w:rFonts w:ascii="Verdana" w:eastAsia="Times New Roman" w:hAnsi="Verdana"/>
                <w:color w:val="000066"/>
                <w:sz w:val="18"/>
                <w:szCs w:val="18"/>
              </w:rPr>
              <w:t xml:space="preserve">, adds Annex A for the Ethernet Spec model. Edition 4.0 of this Recommendation adds the </w:t>
            </w:r>
            <w:proofErr w:type="spellStart"/>
            <w:r>
              <w:rPr>
                <w:rFonts w:ascii="Verdana" w:eastAsia="Times New Roman" w:hAnsi="Verdana"/>
                <w:color w:val="000066"/>
                <w:sz w:val="18"/>
                <w:szCs w:val="18"/>
              </w:rPr>
              <w:t>FlexE</w:t>
            </w:r>
            <w:proofErr w:type="spellEnd"/>
            <w:r>
              <w:rPr>
                <w:rFonts w:ascii="Verdana" w:eastAsia="Times New Roman" w:hAnsi="Verdana"/>
                <w:color w:val="000066"/>
                <w:sz w:val="18"/>
                <w:szCs w:val="18"/>
              </w:rPr>
              <w:t xml:space="preserve"> UML model and updates the ETH model to prune and refactor the TTP, CTP, Connectivity, Auxiliary </w:t>
            </w:r>
            <w:proofErr w:type="gramStart"/>
            <w:r>
              <w:rPr>
                <w:rFonts w:ascii="Verdana" w:eastAsia="Times New Roman" w:hAnsi="Verdana"/>
                <w:color w:val="000066"/>
                <w:sz w:val="18"/>
                <w:szCs w:val="18"/>
              </w:rPr>
              <w:t>MEP</w:t>
            </w:r>
            <w:proofErr w:type="gramEnd"/>
            <w:r>
              <w:rPr>
                <w:rFonts w:ascii="Verdana" w:eastAsia="Times New Roman" w:hAnsi="Verdana"/>
                <w:color w:val="000066"/>
                <w:sz w:val="18"/>
                <w:szCs w:val="18"/>
              </w:rPr>
              <w:t xml:space="preserve"> and MIP object classes from the G.7711 core model object classes, and up-versions the </w:t>
            </w:r>
            <w:proofErr w:type="spellStart"/>
            <w:r>
              <w:rPr>
                <w:rFonts w:ascii="Verdana" w:eastAsia="Times New Roman" w:hAnsi="Verdana"/>
                <w:color w:val="000066"/>
                <w:sz w:val="18"/>
                <w:szCs w:val="18"/>
              </w:rPr>
              <w:t>modeling</w:t>
            </w:r>
            <w:proofErr w:type="spellEnd"/>
            <w:r>
              <w:rPr>
                <w:rFonts w:ascii="Verdana" w:eastAsia="Times New Roman" w:hAnsi="Verdana"/>
                <w:color w:val="000066"/>
                <w:sz w:val="18"/>
                <w:szCs w:val="18"/>
              </w:rPr>
              <w:t xml:space="preserve">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8EC6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0D7D64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43B8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C1BF4" w14:textId="77777777" w:rsidR="00EB705F" w:rsidRDefault="009A3DC3" w:rsidP="00C9333D">
            <w:pPr>
              <w:jc w:val="center"/>
              <w:rPr>
                <w:rFonts w:ascii="Verdana" w:eastAsia="Times New Roman" w:hAnsi="Verdana"/>
                <w:color w:val="000066"/>
                <w:sz w:val="18"/>
                <w:szCs w:val="18"/>
              </w:rPr>
            </w:pPr>
            <w:hyperlink r:id="rId450" w:tooltip="See more details" w:history="1">
              <w:r w:rsidR="00EB705F">
                <w:rPr>
                  <w:rStyle w:val="Hyperlink"/>
                  <w:rFonts w:ascii="Verdana" w:eastAsia="Times New Roman" w:hAnsi="Verdana"/>
                  <w:sz w:val="18"/>
                  <w:szCs w:val="18"/>
                </w:rPr>
                <w:t>G.8052.1/Y.1346.1 (2021)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C95A2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943D0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Operation, administration, maintenance (OAM) management information and data models for the Ethernet-transport network element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6B5A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G.8052.1/Y.1346.1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Recommendation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are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specified in Recommendation ITU-T G.8013/Y.1731 and the equipment characteristics in Recommendation ITU-T G.8021/Y.1341. These OAM functions complement the IEEE 802.1 defined connectivity fault management (CFM) functions; and the YANG module defined in this Recommendation augments the IEEE 802.1Q CFM YANG module. Amendment 1 updates the UML model to support on-demand measurement and proactive measurement. Edition 1.2 updates the UML model to advance the preliminary UML artifacts to maturity, including the measurement jobs, bandwidth notification and CSF OAM functions. The corresponding YANG model is also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A375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1161176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442A5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88567" w14:textId="77777777" w:rsidR="00EB705F" w:rsidRDefault="009A3DC3" w:rsidP="00C9333D">
            <w:pPr>
              <w:jc w:val="center"/>
              <w:rPr>
                <w:rFonts w:ascii="Verdana" w:eastAsia="Times New Roman" w:hAnsi="Verdana"/>
                <w:color w:val="000066"/>
                <w:sz w:val="18"/>
                <w:szCs w:val="18"/>
              </w:rPr>
            </w:pPr>
            <w:hyperlink r:id="rId451" w:tooltip="See more details" w:history="1">
              <w:r w:rsidR="00EB705F">
                <w:rPr>
                  <w:rStyle w:val="Hyperlink"/>
                  <w:rFonts w:ascii="Verdana" w:eastAsia="Times New Roman" w:hAnsi="Verdana"/>
                  <w:sz w:val="18"/>
                  <w:szCs w:val="18"/>
                </w:rPr>
                <w:t>G.8121/Y.1381 (2018)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C26C5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296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Characteristics of MPLS-TP </w:t>
            </w:r>
            <w:r>
              <w:rPr>
                <w:rFonts w:ascii="Verdana" w:eastAsia="Times New Roman" w:hAnsi="Verdana"/>
                <w:color w:val="000066"/>
                <w:sz w:val="18"/>
                <w:szCs w:val="18"/>
              </w:rPr>
              <w:lastRenderedPageBreak/>
              <w:t>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24D5B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lastRenderedPageBreak/>
              <w:t xml:space="preserve">Recommendation ITU-T G.8121/Y.1381 specifies both the </w:t>
            </w:r>
            <w:r>
              <w:rPr>
                <w:rFonts w:ascii="Verdana" w:eastAsia="Times New Roman" w:hAnsi="Verdana"/>
                <w:color w:val="000066"/>
                <w:sz w:val="18"/>
                <w:szCs w:val="18"/>
              </w:rPr>
              <w:lastRenderedPageBreak/>
              <w:t xml:space="preserve">functional components and the methodology that should be used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specify multi-protocol label switching – transport profile (MPLS-TP) layer network functionality of network elements; it does not specify individual MPLS-TP network equipment as such. Amendment 1: Provides new Annex A “Mapping MPLS-TP packets to OTN using IMP” Replaces Maintenance Communication Channel (MCC) by Management Communication Channel (MCC) Makes editorial corrections in Figure 11-37 to Figure 11-40 (replacing ETH_FP by ETH_AP) and Table 11-17 Updates the publication dates in References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27C2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2023-12-01</w:t>
            </w:r>
          </w:p>
        </w:tc>
      </w:tr>
      <w:tr w:rsidR="00EB705F" w14:paraId="44ED4D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CB069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C959C1" w14:textId="77777777" w:rsidR="00EB705F" w:rsidRDefault="009A3DC3" w:rsidP="00C9333D">
            <w:pPr>
              <w:jc w:val="center"/>
              <w:rPr>
                <w:rFonts w:ascii="Verdana" w:eastAsia="Times New Roman" w:hAnsi="Verdana"/>
                <w:color w:val="000066"/>
                <w:sz w:val="18"/>
                <w:szCs w:val="18"/>
              </w:rPr>
            </w:pPr>
            <w:hyperlink r:id="rId452" w:tooltip="See more details" w:history="1">
              <w:r w:rsidR="00EB705F">
                <w:rPr>
                  <w:rStyle w:val="Hyperlink"/>
                  <w:rFonts w:ascii="Verdana" w:eastAsia="Times New Roman" w:hAnsi="Verdana"/>
                  <w:sz w:val="18"/>
                  <w:szCs w:val="18"/>
                </w:rPr>
                <w:t>G.8151/Y.1374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84F4B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ADD64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aspects of the MPLS-TP network element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1E63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G.8151/Y.1374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 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G.8121/Y.1381, G.8121.1/Y.1381.1 and G.8121.2/Y.1381.2. Amendment 1 to this Recommendation updates the </w:t>
            </w:r>
            <w:proofErr w:type="gramStart"/>
            <w:r>
              <w:rPr>
                <w:rFonts w:ascii="Verdana" w:eastAsia="Times New Roman" w:hAnsi="Verdana"/>
                <w:color w:val="000066"/>
                <w:sz w:val="18"/>
                <w:szCs w:val="18"/>
              </w:rPr>
              <w:t>Administrative</w:t>
            </w:r>
            <w:proofErr w:type="gramEnd"/>
            <w:r>
              <w:rPr>
                <w:rFonts w:ascii="Verdana" w:eastAsia="Times New Roman" w:hAnsi="Verdana"/>
                <w:color w:val="000066"/>
                <w:sz w:val="18"/>
                <w:szCs w:val="18"/>
              </w:rPr>
              <w:t xml:space="preserve"> state requirements and Table 7-2.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E99B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FF24AC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C638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26B80" w14:textId="77777777" w:rsidR="00EB705F" w:rsidRDefault="009A3DC3" w:rsidP="00C9333D">
            <w:pPr>
              <w:jc w:val="center"/>
              <w:rPr>
                <w:rFonts w:ascii="Verdana" w:eastAsia="Times New Roman" w:hAnsi="Verdana"/>
                <w:color w:val="000066"/>
                <w:sz w:val="18"/>
                <w:szCs w:val="18"/>
              </w:rPr>
            </w:pPr>
            <w:hyperlink r:id="rId453" w:tooltip="See more details" w:history="1">
              <w:r w:rsidR="00EB705F">
                <w:rPr>
                  <w:rStyle w:val="Hyperlink"/>
                  <w:rFonts w:ascii="Verdana" w:eastAsia="Times New Roman" w:hAnsi="Verdana"/>
                  <w:sz w:val="18"/>
                  <w:szCs w:val="18"/>
                </w:rPr>
                <w:t>G.8152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93080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A70DF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Protocol-neutral management information model for the MPLS-TP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A36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G.8152 contains the protocol neutral unified modelling language (UML) model for multi-protocol label switching – transport profile (MPLS-TP) network element (NE) management. This Recommendation provides a representation of the MPLS-TP technology using the methodologies that have been used for other transport technologies (e.g., SDH, OTN and Ethernet). The 2018 revision of this Recommendation up-versions the UML model tool to Papyrus v3.2.0 and the profile to v0.2.13, updates the model to add the MEP proactive measurement MI, MEP configuration MI and MIP configuration MI, adds the Spec model for MPLS-TP model, replaces the G.8152NE and MT_NE with the MMPLS-TP constraint domain, and </w:t>
            </w:r>
            <w:proofErr w:type="spellStart"/>
            <w:r>
              <w:rPr>
                <w:rFonts w:ascii="Verdana" w:eastAsia="Times New Roman" w:hAnsi="Verdana"/>
                <w:color w:val="000066"/>
                <w:sz w:val="18"/>
                <w:szCs w:val="18"/>
              </w:rPr>
              <w:t>MT_SubnetworkProtectionGroup</w:t>
            </w:r>
            <w:proofErr w:type="spellEnd"/>
            <w:r>
              <w:rPr>
                <w:rFonts w:ascii="Verdana" w:eastAsia="Times New Roman" w:hAnsi="Verdana"/>
                <w:color w:val="000066"/>
                <w:sz w:val="18"/>
                <w:szCs w:val="18"/>
              </w:rPr>
              <w:t xml:space="preserve"> specifies the </w:t>
            </w:r>
            <w:proofErr w:type="spellStart"/>
            <w:r>
              <w:rPr>
                <w:rFonts w:ascii="Verdana" w:eastAsia="Times New Roman" w:hAnsi="Verdana"/>
                <w:color w:val="000066"/>
                <w:sz w:val="18"/>
                <w:szCs w:val="18"/>
              </w:rPr>
              <w:t>FcSwitch</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MT_CrossConnection</w:t>
            </w:r>
            <w:proofErr w:type="spellEnd"/>
            <w:r>
              <w:rPr>
                <w:rFonts w:ascii="Verdana" w:eastAsia="Times New Roman" w:hAnsi="Verdana"/>
                <w:color w:val="000066"/>
                <w:sz w:val="18"/>
                <w:szCs w:val="18"/>
              </w:rPr>
              <w:t xml:space="preserve"> specifies the </w:t>
            </w:r>
            <w:proofErr w:type="spellStart"/>
            <w:r>
              <w:rPr>
                <w:rFonts w:ascii="Verdana" w:eastAsia="Times New Roman" w:hAnsi="Verdana"/>
                <w:color w:val="000066"/>
                <w:sz w:val="18"/>
                <w:szCs w:val="18"/>
              </w:rPr>
              <w:t>ForwardingConstruct</w:t>
            </w:r>
            <w:proofErr w:type="spellEnd"/>
            <w:r>
              <w:rPr>
                <w:rFonts w:ascii="Verdana" w:eastAsia="Times New Roman" w:hAnsi="Verdana"/>
                <w:color w:val="000066"/>
                <w:sz w:val="18"/>
                <w:szCs w:val="18"/>
              </w:rPr>
              <w:t xml:space="preserve">. Edition 3.0 of this Recommendation updates the MPLS-TP model to prune and refactor the TTP, CTP, Connectivity, Auxiliary </w:t>
            </w:r>
            <w:proofErr w:type="gramStart"/>
            <w:r>
              <w:rPr>
                <w:rFonts w:ascii="Verdana" w:eastAsia="Times New Roman" w:hAnsi="Verdana"/>
                <w:color w:val="000066"/>
                <w:sz w:val="18"/>
                <w:szCs w:val="18"/>
              </w:rPr>
              <w:t>MEP</w:t>
            </w:r>
            <w:proofErr w:type="gramEnd"/>
            <w:r>
              <w:rPr>
                <w:rFonts w:ascii="Verdana" w:eastAsia="Times New Roman" w:hAnsi="Verdana"/>
                <w:color w:val="000066"/>
                <w:sz w:val="18"/>
                <w:szCs w:val="18"/>
              </w:rPr>
              <w:t xml:space="preserve"> and MIP object classes from the G.7711 core model object classes, and up-versions the modelling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BBBA9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7791F4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2CCF2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12D5FD" w14:textId="77777777" w:rsidR="00EB705F" w:rsidRDefault="009A3DC3" w:rsidP="00C9333D">
            <w:pPr>
              <w:jc w:val="center"/>
              <w:rPr>
                <w:rFonts w:ascii="Verdana" w:eastAsia="Times New Roman" w:hAnsi="Verdana"/>
                <w:color w:val="000066"/>
                <w:sz w:val="18"/>
                <w:szCs w:val="18"/>
              </w:rPr>
            </w:pPr>
            <w:hyperlink r:id="rId454" w:tooltip="See more details" w:history="1">
              <w:r w:rsidR="00EB705F">
                <w:rPr>
                  <w:rStyle w:val="Hyperlink"/>
                  <w:rFonts w:ascii="Verdana" w:eastAsia="Times New Roman" w:hAnsi="Verdana"/>
                  <w:sz w:val="18"/>
                  <w:szCs w:val="18"/>
                </w:rPr>
                <w:t>G.8260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843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25B6E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Definitions and terminology for synchronization in packet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E7173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G.8260 provides the definitions, terminology and abbreviations used in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Recommendations on timing and synchronization in packet networks. Amendment 1 to ITU-T G.8260 (11/2022) provides the following updates: - Updated definitions with consideration given to the use of this terminology in metrology - New Appendix II “Time scales” added - New Appendix III “Clarifications on the term traceability” added - </w:t>
            </w:r>
            <w:proofErr w:type="gramStart"/>
            <w:r>
              <w:rPr>
                <w:rFonts w:ascii="Verdana" w:eastAsia="Times New Roman" w:hAnsi="Verdana"/>
                <w:color w:val="000066"/>
                <w:sz w:val="18"/>
                <w:szCs w:val="18"/>
              </w:rPr>
              <w:t>New</w:t>
            </w:r>
            <w:proofErr w:type="gramEnd"/>
            <w:r>
              <w:rPr>
                <w:rFonts w:ascii="Verdana" w:eastAsia="Times New Roman" w:hAnsi="Verdana"/>
                <w:color w:val="000066"/>
                <w:sz w:val="18"/>
                <w:szCs w:val="18"/>
              </w:rPr>
              <w:t xml:space="preserve"> references added to Bibliography - Revised terminology based on inclusive language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325A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11AD9E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B116C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35DB5" w14:textId="77777777" w:rsidR="00EB705F" w:rsidRDefault="009A3DC3" w:rsidP="00C9333D">
            <w:pPr>
              <w:jc w:val="center"/>
              <w:rPr>
                <w:rFonts w:ascii="Verdana" w:eastAsia="Times New Roman" w:hAnsi="Verdana"/>
                <w:color w:val="000066"/>
                <w:sz w:val="18"/>
                <w:szCs w:val="18"/>
              </w:rPr>
            </w:pPr>
            <w:hyperlink r:id="rId455" w:tooltip="See more details" w:history="1">
              <w:proofErr w:type="spellStart"/>
              <w:r w:rsidR="00EB705F">
                <w:rPr>
                  <w:rStyle w:val="Hyperlink"/>
                  <w:rFonts w:ascii="Verdana" w:eastAsia="Times New Roman" w:hAnsi="Verdana"/>
                  <w:sz w:val="18"/>
                  <w:szCs w:val="18"/>
                </w:rPr>
                <w:t>G.8264</w:t>
              </w:r>
              <w:proofErr w:type="spellEnd"/>
              <w:r w:rsidR="00EB705F">
                <w:rPr>
                  <w:rStyle w:val="Hyperlink"/>
                  <w:rFonts w:ascii="Verdana" w:eastAsia="Times New Roman" w:hAnsi="Verdana"/>
                  <w:sz w:val="18"/>
                  <w:szCs w:val="18"/>
                </w:rPr>
                <w:t>/</w:t>
              </w:r>
              <w:proofErr w:type="spellStart"/>
              <w:r w:rsidR="00EB705F">
                <w:rPr>
                  <w:rStyle w:val="Hyperlink"/>
                  <w:rFonts w:ascii="Verdana" w:eastAsia="Times New Roman" w:hAnsi="Verdana"/>
                  <w:sz w:val="18"/>
                  <w:szCs w:val="18"/>
                </w:rPr>
                <w:t>Y.1364</w:t>
              </w:r>
              <w:proofErr w:type="spellEnd"/>
              <w:r w:rsidR="00EB705F">
                <w:rPr>
                  <w:rStyle w:val="Hyperlink"/>
                  <w:rFonts w:ascii="Verdana" w:eastAsia="Times New Roman" w:hAnsi="Verdana"/>
                  <w:sz w:val="18"/>
                  <w:szCs w:val="18"/>
                </w:rPr>
                <w:t xml:space="preserve"> (2017) </w:t>
              </w:r>
              <w:proofErr w:type="spellStart"/>
              <w:r w:rsidR="00EB705F">
                <w:rPr>
                  <w:rStyle w:val="Hyperlink"/>
                  <w:rFonts w:ascii="Verdana" w:eastAsia="Times New Roman" w:hAnsi="Verdana"/>
                  <w:sz w:val="18"/>
                  <w:szCs w:val="18"/>
                </w:rPr>
                <w:t>Amd</w:t>
              </w:r>
              <w:proofErr w:type="spellEnd"/>
              <w:r w:rsidR="00EB705F">
                <w:rPr>
                  <w:rStyle w:val="Hyperlink"/>
                  <w:rFonts w:ascii="Verdana" w:eastAsia="Times New Roman" w:hAnsi="Verdana"/>
                  <w:sz w:val="18"/>
                  <w:szCs w:val="18"/>
                </w:rPr>
                <w:t>.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EEAFF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E0531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Distribution of timing information through packet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E08F7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G.8264/Y.1364 outlines aspects of distribution of timing information through packet networks and initially focuses on Ethernet networks. </w:t>
            </w:r>
            <w:proofErr w:type="gramStart"/>
            <w:r>
              <w:rPr>
                <w:rFonts w:ascii="Verdana" w:eastAsia="Times New Roman" w:hAnsi="Verdana"/>
                <w:color w:val="000066"/>
                <w:sz w:val="18"/>
                <w:szCs w:val="18"/>
              </w:rPr>
              <w:t>A number of</w:t>
            </w:r>
            <w:proofErr w:type="gramEnd"/>
            <w:r>
              <w:rPr>
                <w:rFonts w:ascii="Verdana" w:eastAsia="Times New Roman" w:hAnsi="Verdana"/>
                <w:color w:val="000066"/>
                <w:sz w:val="18"/>
                <w:szCs w:val="18"/>
              </w:rPr>
              <w:t xml:space="preserve"> methods may be used to transfer frequency which may be physical-layer based or protocol-layer based. This Recommendation provides information on architectural aspects of timing flows in Ethernet networks which will form the basis for future work related to time and phase transfer. This Recommendation specifies the synchronization status message (SSM) protocol and formats for use with synchronous Ethernet. Adherence to the SSM formats specified in this Recommendation is required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ensure interoperability between synchronous Ethernet equipment involved in frequency transfer. Amendment 2 to ITU-T G.8264 (08/2017) includes the following changes: Add explanation on the use of the terms ETH and ETY in the conventions Correction of references to tables 11-8 and 11-9 to refer to 11-7 and 11-8, respectively Clarification of wording of the processing of SSM code with enhanced SSM code in 11.3.2.1 Change non-inclusive terms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BC61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F051D6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A8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08A2A0" w14:textId="77777777" w:rsidR="00EB705F" w:rsidRDefault="009A3DC3" w:rsidP="00C9333D">
            <w:pPr>
              <w:jc w:val="center"/>
              <w:rPr>
                <w:rFonts w:ascii="Verdana" w:eastAsia="Times New Roman" w:hAnsi="Verdana"/>
                <w:color w:val="000066"/>
                <w:sz w:val="18"/>
                <w:szCs w:val="18"/>
              </w:rPr>
            </w:pPr>
            <w:hyperlink r:id="rId456" w:tooltip="See more details" w:history="1">
              <w:r w:rsidR="00EB705F">
                <w:rPr>
                  <w:rStyle w:val="Hyperlink"/>
                  <w:rFonts w:ascii="Verdana" w:eastAsia="Times New Roman" w:hAnsi="Verdana"/>
                  <w:sz w:val="18"/>
                  <w:szCs w:val="18"/>
                </w:rPr>
                <w:t>G.8271.1/Y.1366.1 (2022)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53DA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FE27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Network limits for time synchronization in packet networks with full timing support from the network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FE96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2 to Recommendation ITU-T G.8271.1/Y.1366.1 provides the following updates: • Enhanced network limits at reference point C have been added as clause 7.3.3, then for clarity old clause 7.3 text is moved into new clause 7.3.1 and old clause 7.5 is moved to new clause 7.3.2. • Updates to Appendix V. • Updated Figure 7-4.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DF1A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EF4A07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63B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B2A77" w14:textId="77777777" w:rsidR="00EB705F" w:rsidRDefault="009A3DC3" w:rsidP="00C9333D">
            <w:pPr>
              <w:jc w:val="center"/>
              <w:rPr>
                <w:rFonts w:ascii="Verdana" w:eastAsia="Times New Roman" w:hAnsi="Verdana"/>
                <w:color w:val="000066"/>
                <w:sz w:val="18"/>
                <w:szCs w:val="18"/>
              </w:rPr>
            </w:pPr>
            <w:hyperlink r:id="rId457" w:tooltip="See more details" w:history="1">
              <w:r w:rsidR="00EB705F">
                <w:rPr>
                  <w:rStyle w:val="Hyperlink"/>
                  <w:rFonts w:ascii="Verdana" w:eastAsia="Times New Roman" w:hAnsi="Verdana"/>
                  <w:sz w:val="18"/>
                  <w:szCs w:val="18"/>
                </w:rPr>
                <w:t>G.8272.1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8DD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D9B2D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Timing characteristics of enhanced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E926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G.8272.1 specifies the requirements for enhanced primary reference time clocks (</w:t>
            </w:r>
            <w:proofErr w:type="spellStart"/>
            <w:r>
              <w:rPr>
                <w:rFonts w:ascii="Verdana" w:eastAsia="Times New Roman" w:hAnsi="Verdana"/>
                <w:color w:val="000066"/>
                <w:sz w:val="18"/>
                <w:szCs w:val="18"/>
              </w:rPr>
              <w:t>ePRTCs</w:t>
            </w:r>
            <w:proofErr w:type="spellEnd"/>
            <w:r>
              <w:rPr>
                <w:rFonts w:ascii="Verdana" w:eastAsia="Times New Roman" w:hAnsi="Verdana"/>
                <w:color w:val="000066"/>
                <w:sz w:val="18"/>
                <w:szCs w:val="18"/>
              </w:rPr>
              <w:t xml:space="preserve">) suitable for time and phase synchronization in packet networks. It defines the error allowed at the time output of the </w:t>
            </w:r>
            <w:proofErr w:type="spellStart"/>
            <w:r>
              <w:rPr>
                <w:rFonts w:ascii="Verdana" w:eastAsia="Times New Roman" w:hAnsi="Verdana"/>
                <w:color w:val="000066"/>
                <w:sz w:val="18"/>
                <w:szCs w:val="18"/>
              </w:rPr>
              <w:t>ePRTC</w:t>
            </w:r>
            <w:proofErr w:type="spellEnd"/>
            <w:r>
              <w:rPr>
                <w:rFonts w:ascii="Verdana" w:eastAsia="Times New Roman" w:hAnsi="Verdana"/>
                <w:color w:val="000066"/>
                <w:sz w:val="18"/>
                <w:szCs w:val="18"/>
              </w:rPr>
              <w:t>.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348C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3511D04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BC66F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80AFF" w14:textId="77777777" w:rsidR="00EB705F" w:rsidRDefault="009A3DC3" w:rsidP="00C9333D">
            <w:pPr>
              <w:jc w:val="center"/>
              <w:rPr>
                <w:rFonts w:ascii="Verdana" w:eastAsia="Times New Roman" w:hAnsi="Verdana"/>
                <w:color w:val="000066"/>
                <w:sz w:val="18"/>
                <w:szCs w:val="18"/>
              </w:rPr>
            </w:pPr>
            <w:hyperlink r:id="rId458" w:tooltip="See more details" w:history="1">
              <w:r w:rsidR="00EB705F">
                <w:rPr>
                  <w:rStyle w:val="Hyperlink"/>
                  <w:rFonts w:ascii="Verdana" w:eastAsia="Times New Roman" w:hAnsi="Verdana"/>
                  <w:sz w:val="18"/>
                  <w:szCs w:val="18"/>
                </w:rPr>
                <w:t>G.8272.2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5AA19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F7011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Timing characteristics of coherent network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F1AF4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for coherent network primary reference time clocks (</w:t>
            </w:r>
            <w:proofErr w:type="spellStart"/>
            <w:r>
              <w:rPr>
                <w:rFonts w:ascii="Verdana" w:eastAsia="Times New Roman" w:hAnsi="Verdana"/>
                <w:color w:val="000066"/>
                <w:sz w:val="18"/>
                <w:szCs w:val="18"/>
              </w:rPr>
              <w:t>cnPRTCs</w:t>
            </w:r>
            <w:proofErr w:type="spellEnd"/>
            <w:r>
              <w:rPr>
                <w:rFonts w:ascii="Verdana" w:eastAsia="Times New Roman" w:hAnsi="Verdana"/>
                <w:color w:val="000066"/>
                <w:sz w:val="18"/>
                <w:szCs w:val="18"/>
              </w:rPr>
              <w:t xml:space="preserve">) suitable for time, </w:t>
            </w:r>
            <w:proofErr w:type="gramStart"/>
            <w:r>
              <w:rPr>
                <w:rFonts w:ascii="Verdana" w:eastAsia="Times New Roman" w:hAnsi="Verdana"/>
                <w:color w:val="000066"/>
                <w:sz w:val="18"/>
                <w:szCs w:val="18"/>
              </w:rPr>
              <w:t>phase</w:t>
            </w:r>
            <w:proofErr w:type="gramEnd"/>
            <w:r>
              <w:rPr>
                <w:rFonts w:ascii="Verdana" w:eastAsia="Times New Roman" w:hAnsi="Verdana"/>
                <w:color w:val="000066"/>
                <w:sz w:val="18"/>
                <w:szCs w:val="18"/>
              </w:rPr>
              <w:t xml:space="preserve"> and frequency synchronization in networks.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DD8A5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A17648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FFA0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6B368" w14:textId="77777777" w:rsidR="00EB705F" w:rsidRDefault="009A3DC3" w:rsidP="00C9333D">
            <w:pPr>
              <w:jc w:val="center"/>
              <w:rPr>
                <w:rFonts w:ascii="Verdana" w:eastAsia="Times New Roman" w:hAnsi="Verdana"/>
                <w:color w:val="000066"/>
                <w:sz w:val="18"/>
                <w:szCs w:val="18"/>
              </w:rPr>
            </w:pPr>
            <w:hyperlink r:id="rId459" w:tooltip="See more details" w:history="1">
              <w:r w:rsidR="00EB705F">
                <w:rPr>
                  <w:rStyle w:val="Hyperlink"/>
                  <w:rFonts w:ascii="Verdana" w:eastAsia="Times New Roman" w:hAnsi="Verdana"/>
                  <w:sz w:val="18"/>
                  <w:szCs w:val="18"/>
                </w:rPr>
                <w:t>G.8275</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AD7BB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6FFAB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and requirements for packet-based time and phase distribution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F2132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G.8275 describes the architecture and requirements for packet-based time and phase distribution in telecom networks. The architecture described is mainly applicable to the use of IEEE 1588. Details necessary to utilize IEEE 1588 in a manner consistent with the architecture are defined in other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D57C8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846938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8FA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41BB96" w14:textId="77777777" w:rsidR="00EB705F" w:rsidRDefault="009A3DC3" w:rsidP="00C9333D">
            <w:pPr>
              <w:jc w:val="center"/>
              <w:rPr>
                <w:rFonts w:ascii="Verdana" w:eastAsia="Times New Roman" w:hAnsi="Verdana"/>
                <w:color w:val="000066"/>
                <w:sz w:val="18"/>
                <w:szCs w:val="18"/>
              </w:rPr>
            </w:pPr>
            <w:hyperlink r:id="rId460" w:tooltip="See more details" w:history="1">
              <w:r w:rsidR="00EB705F">
                <w:rPr>
                  <w:rStyle w:val="Hyperlink"/>
                  <w:rFonts w:ascii="Verdana" w:eastAsia="Times New Roman" w:hAnsi="Verdana"/>
                  <w:sz w:val="18"/>
                  <w:szCs w:val="18"/>
                </w:rPr>
                <w:t>G.8275.1/Y.1369.1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C657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08C36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Precision time protocol telecom profile for phase/time synchronization with full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3D5EB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G.8275.1/Y.1369.1 contains the ITU-T precision time protocol (PTP) profile for phase and time distribution with full timing support from the network. It provides the necessary details to utilize [IEEE 1588] in a manner consistent with the architecture described in Recommendation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G.8275]. Amendment 1 incorporates the following updates: Clarifications on some dataset members use in the dataset comparison algorithm, Update PTSF functionality to include monitoring ports, Clarify the setting of the </w:t>
            </w:r>
            <w:proofErr w:type="spellStart"/>
            <w:r>
              <w:rPr>
                <w:rFonts w:ascii="Verdana" w:eastAsia="Times New Roman" w:hAnsi="Verdana"/>
                <w:color w:val="000066"/>
                <w:sz w:val="18"/>
                <w:szCs w:val="18"/>
              </w:rPr>
              <w:t>frequencyTraceable</w:t>
            </w:r>
            <w:proofErr w:type="spellEnd"/>
            <w:r>
              <w:rPr>
                <w:rFonts w:ascii="Verdana" w:eastAsia="Times New Roman" w:hAnsi="Verdana"/>
                <w:color w:val="000066"/>
                <w:sz w:val="18"/>
                <w:szCs w:val="18"/>
              </w:rPr>
              <w:t xml:space="preserve"> flag, Clarify </w:t>
            </w:r>
            <w:proofErr w:type="spellStart"/>
            <w:r>
              <w:rPr>
                <w:rFonts w:ascii="Verdana" w:eastAsia="Times New Roman" w:hAnsi="Verdana"/>
                <w:color w:val="000066"/>
                <w:sz w:val="18"/>
                <w:szCs w:val="18"/>
              </w:rPr>
              <w:t>defaultDS.deviceType</w:t>
            </w:r>
            <w:proofErr w:type="spellEnd"/>
            <w:r>
              <w:rPr>
                <w:rFonts w:ascii="Verdana" w:eastAsia="Times New Roman" w:hAnsi="Verdana"/>
                <w:color w:val="000066"/>
                <w:sz w:val="18"/>
                <w:szCs w:val="18"/>
              </w:rPr>
              <w:t>, Add performance monitoring Annex F of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G.8275]. as an optional feature of this profile, </w:t>
            </w:r>
            <w:proofErr w:type="gramStart"/>
            <w:r>
              <w:rPr>
                <w:rFonts w:ascii="Verdana" w:eastAsia="Times New Roman" w:hAnsi="Verdana"/>
                <w:color w:val="000066"/>
                <w:sz w:val="18"/>
                <w:szCs w:val="18"/>
              </w:rPr>
              <w:t>Add</w:t>
            </w:r>
            <w:proofErr w:type="gramEnd"/>
            <w:r>
              <w:rPr>
                <w:rFonts w:ascii="Verdana" w:eastAsia="Times New Roman" w:hAnsi="Verdana"/>
                <w:color w:val="000066"/>
                <w:sz w:val="18"/>
                <w:szCs w:val="18"/>
              </w:rPr>
              <w:t xml:space="preserve"> clarification to Annex G and Annex K, Revised terminology based on inclusive language, Add new dataset members into Table A.1 and Table </w:t>
            </w:r>
            <w:proofErr w:type="spellStart"/>
            <w:r>
              <w:rPr>
                <w:rFonts w:ascii="Verdana" w:eastAsia="Times New Roman" w:hAnsi="Verdana"/>
                <w:color w:val="000066"/>
                <w:sz w:val="18"/>
                <w:szCs w:val="18"/>
              </w:rPr>
              <w:t>A.5</w:t>
            </w:r>
            <w:proofErr w:type="spellEnd"/>
            <w:r>
              <w:rPr>
                <w:rFonts w:ascii="Verdana" w:eastAsia="Times New Roman" w:hAnsi="Verdana"/>
                <w:color w:val="000066"/>
                <w:sz w:val="18"/>
                <w:szCs w:val="18"/>
              </w:rPr>
              <w:t xml:space="preserve">, Add new </w:t>
            </w:r>
            <w:proofErr w:type="spellStart"/>
            <w:r>
              <w:rPr>
                <w:rFonts w:ascii="Verdana" w:eastAsia="Times New Roman" w:hAnsi="Verdana"/>
                <w:color w:val="000066"/>
                <w:sz w:val="18"/>
                <w:szCs w:val="18"/>
              </w:rPr>
              <w:t>profileVersion</w:t>
            </w:r>
            <w:proofErr w:type="spellEnd"/>
            <w:r>
              <w:rPr>
                <w:rFonts w:ascii="Verdana" w:eastAsia="Times New Roman" w:hAnsi="Verdana"/>
                <w:color w:val="000066"/>
                <w:sz w:val="18"/>
                <w:szCs w:val="18"/>
              </w:rPr>
              <w:t xml:space="preserve"> 2.6 and 2.7 in A.1 and A.11, Added Appendix XVI and XVII.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8A9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6CAD34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95B60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73D452" w14:textId="77777777" w:rsidR="00EB705F" w:rsidRDefault="009A3DC3" w:rsidP="00C9333D">
            <w:pPr>
              <w:jc w:val="center"/>
              <w:rPr>
                <w:rFonts w:ascii="Verdana" w:eastAsia="Times New Roman" w:hAnsi="Verdana"/>
                <w:color w:val="000066"/>
                <w:sz w:val="18"/>
                <w:szCs w:val="18"/>
              </w:rPr>
            </w:pPr>
            <w:hyperlink r:id="rId461" w:tooltip="See more details" w:history="1">
              <w:r w:rsidR="00EB705F">
                <w:rPr>
                  <w:rStyle w:val="Hyperlink"/>
                  <w:rFonts w:ascii="Verdana" w:eastAsia="Times New Roman" w:hAnsi="Verdana"/>
                  <w:sz w:val="18"/>
                  <w:szCs w:val="18"/>
                </w:rPr>
                <w:t>G.8275.2/Y.1369.2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A5421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4CF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Precision time protocol telecom profile for phase/time synchronization with partial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F98AC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a profile for telecommunication applications based on [IEEE 1588] precision time protocol (PTP). The profile specifies the IEEE 1588 functions that are necessary to ensure network element interoperability for the delivery of accurate phase/time (and frequency) synchronization. The profile is based on the use of partial timing support (PTS) or assisted partial timing support (APTS) from the network architecture as described in [ITU-T G.8275] and definitions described in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G.8260]. Amendment 1 to Recommendation ITU-T G.8275.2 (2022/11) provides the following updates: Added notes to clause 6.7.9 “Data set comparison algorithm” with references to [IEEE 1588] on </w:t>
            </w:r>
            <w:proofErr w:type="spellStart"/>
            <w:r>
              <w:rPr>
                <w:rFonts w:ascii="Verdana" w:eastAsia="Times New Roman" w:hAnsi="Verdana"/>
                <w:color w:val="000066"/>
                <w:sz w:val="18"/>
                <w:szCs w:val="18"/>
              </w:rPr>
              <w:t>defaultDS.timeReceiverOnly</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portDS.masterOnly</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portDS.notMaster</w:t>
            </w:r>
            <w:proofErr w:type="spellEnd"/>
            <w:r>
              <w:rPr>
                <w:rFonts w:ascii="Verdana" w:eastAsia="Times New Roman" w:hAnsi="Verdana"/>
                <w:color w:val="000066"/>
                <w:sz w:val="18"/>
                <w:szCs w:val="18"/>
              </w:rPr>
              <w:t xml:space="preserve">. Added a note to “Table 3 – Applicable </w:t>
            </w:r>
            <w:proofErr w:type="spellStart"/>
            <w:r>
              <w:rPr>
                <w:rFonts w:ascii="Verdana" w:eastAsia="Times New Roman" w:hAnsi="Verdana"/>
                <w:color w:val="000066"/>
                <w:sz w:val="18"/>
                <w:szCs w:val="18"/>
              </w:rPr>
              <w:t>clockClass</w:t>
            </w:r>
            <w:proofErr w:type="spellEnd"/>
            <w:r>
              <w:rPr>
                <w:rFonts w:ascii="Verdana" w:eastAsia="Times New Roman" w:hAnsi="Verdana"/>
                <w:color w:val="000066"/>
                <w:sz w:val="18"/>
                <w:szCs w:val="18"/>
              </w:rPr>
              <w:t xml:space="preserve"> values” on T-BC-A holdover Added performance monitoring Annex F of [ITU-T G.8275] as an optional feature of this profile Clarified </w:t>
            </w:r>
            <w:proofErr w:type="spellStart"/>
            <w:r>
              <w:rPr>
                <w:rFonts w:ascii="Verdana" w:eastAsia="Times New Roman" w:hAnsi="Verdana"/>
                <w:color w:val="000066"/>
                <w:sz w:val="18"/>
                <w:szCs w:val="18"/>
              </w:rPr>
              <w:t>defaultDS.deviceType</w:t>
            </w:r>
            <w:proofErr w:type="spellEnd"/>
            <w:r>
              <w:rPr>
                <w:rFonts w:ascii="Verdana" w:eastAsia="Times New Roman" w:hAnsi="Verdana"/>
                <w:color w:val="000066"/>
                <w:sz w:val="18"/>
                <w:szCs w:val="18"/>
              </w:rPr>
              <w:t xml:space="preserve"> with a note added to Table A.1 Revised terminology based on inclusive language Incremented </w:t>
            </w:r>
            <w:proofErr w:type="spellStart"/>
            <w:r>
              <w:rPr>
                <w:rFonts w:ascii="Verdana" w:eastAsia="Times New Roman" w:hAnsi="Verdana"/>
                <w:color w:val="000066"/>
                <w:sz w:val="18"/>
                <w:szCs w:val="18"/>
              </w:rPr>
              <w:t>profileVersion</w:t>
            </w:r>
            <w:proofErr w:type="spellEnd"/>
            <w:r>
              <w:rPr>
                <w:rFonts w:ascii="Verdana" w:eastAsia="Times New Roman" w:hAnsi="Verdana"/>
                <w:color w:val="000066"/>
                <w:sz w:val="18"/>
                <w:szCs w:val="18"/>
              </w:rPr>
              <w:t xml:space="preserve"> to 2.4 and 2.5 in clauses A.1 and A.11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D41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2239E1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1873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0984DC" w14:textId="77777777" w:rsidR="00EB705F" w:rsidRDefault="009A3DC3" w:rsidP="00C9333D">
            <w:pPr>
              <w:jc w:val="center"/>
              <w:rPr>
                <w:rFonts w:ascii="Verdana" w:eastAsia="Times New Roman" w:hAnsi="Verdana"/>
                <w:color w:val="000066"/>
                <w:sz w:val="18"/>
                <w:szCs w:val="18"/>
              </w:rPr>
            </w:pPr>
            <w:hyperlink r:id="rId462" w:tooltip="See more details" w:history="1">
              <w:r w:rsidR="00EB705F">
                <w:rPr>
                  <w:rStyle w:val="Hyperlink"/>
                  <w:rFonts w:ascii="Verdana" w:eastAsia="Times New Roman" w:hAnsi="Verdana"/>
                  <w:sz w:val="18"/>
                  <w:szCs w:val="18"/>
                </w:rPr>
                <w:t>G.8310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AD16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7F277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of the metro transport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19E70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G.8310 describes the functional architecture of the metro transport network (MTN) using the modelling methodology described in Recommendations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G.800 and ITU?T G.805. MTN is primarily intended to support transport of distributed radio access network (</w:t>
            </w:r>
            <w:proofErr w:type="gramStart"/>
            <w:r>
              <w:rPr>
                <w:rFonts w:ascii="Verdana" w:eastAsia="Times New Roman" w:hAnsi="Verdana"/>
                <w:color w:val="000066"/>
                <w:sz w:val="18"/>
                <w:szCs w:val="18"/>
              </w:rPr>
              <w:t>D?RAN</w:t>
            </w:r>
            <w:proofErr w:type="gramEnd"/>
            <w:r>
              <w:rPr>
                <w:rFonts w:ascii="Verdana" w:eastAsia="Times New Roman" w:hAnsi="Verdana"/>
                <w:color w:val="000066"/>
                <w:sz w:val="18"/>
                <w:szCs w:val="18"/>
              </w:rPr>
              <w:t xml:space="preserve">) and cloud radio access network (C?RAN) traffic. The MTN functionality is described from a network level viewpoint, </w:t>
            </w:r>
            <w:proofErr w:type="gramStart"/>
            <w:r>
              <w:rPr>
                <w:rFonts w:ascii="Verdana" w:eastAsia="Times New Roman" w:hAnsi="Verdana"/>
                <w:color w:val="000066"/>
                <w:sz w:val="18"/>
                <w:szCs w:val="18"/>
              </w:rPr>
              <w:t>taking into account</w:t>
            </w:r>
            <w:proofErr w:type="gramEnd"/>
            <w:r>
              <w:rPr>
                <w:rFonts w:ascii="Verdana" w:eastAsia="Times New Roman" w:hAnsi="Verdana"/>
                <w:color w:val="000066"/>
                <w:sz w:val="18"/>
                <w:szCs w:val="18"/>
              </w:rPr>
              <w:t xml:space="preserve"> the client characteristic information, client/server layer associations, networking topology, and layer network functionality that provide multiplexing, routing and supervision of the digital clients. MTN consists of two </w:t>
            </w:r>
            <w:proofErr w:type="spellStart"/>
            <w:proofErr w:type="gramStart"/>
            <w:r>
              <w:rPr>
                <w:rFonts w:ascii="Verdana" w:eastAsia="Times New Roman" w:hAnsi="Verdana"/>
                <w:color w:val="000066"/>
                <w:sz w:val="18"/>
                <w:szCs w:val="18"/>
              </w:rPr>
              <w:t>non?recursive</w:t>
            </w:r>
            <w:proofErr w:type="spellEnd"/>
            <w:proofErr w:type="gramEnd"/>
            <w:r>
              <w:rPr>
                <w:rFonts w:ascii="Verdana" w:eastAsia="Times New Roman" w:hAnsi="Verdana"/>
                <w:color w:val="000066"/>
                <w:sz w:val="18"/>
                <w:szCs w:val="18"/>
              </w:rPr>
              <w:t xml:space="preserve"> layers, the </w:t>
            </w:r>
            <w:proofErr w:type="spellStart"/>
            <w:r>
              <w:rPr>
                <w:rFonts w:ascii="Verdana" w:eastAsia="Times New Roman" w:hAnsi="Verdana"/>
                <w:color w:val="000066"/>
                <w:sz w:val="18"/>
                <w:szCs w:val="18"/>
              </w:rPr>
              <w:t>MTN</w:t>
            </w:r>
            <w:proofErr w:type="spellEnd"/>
            <w:r>
              <w:rPr>
                <w:rFonts w:ascii="Verdana" w:eastAsia="Times New Roman" w:hAnsi="Verdana"/>
                <w:color w:val="000066"/>
                <w:sz w:val="18"/>
                <w:szCs w:val="18"/>
              </w:rPr>
              <w:t xml:space="preserve"> path layer, and the MTN section layer. The MTN path layer uses the MTN section layer as its server layer. The MTN path layer provides configurable connection-oriented connectivity. The server layer for the MTN section layer is provided by 50</w:t>
            </w:r>
            <w:proofErr w:type="gramStart"/>
            <w:r>
              <w:rPr>
                <w:rFonts w:ascii="Verdana" w:eastAsia="Times New Roman" w:hAnsi="Verdana"/>
                <w:color w:val="000066"/>
                <w:sz w:val="18"/>
                <w:szCs w:val="18"/>
              </w:rPr>
              <w:t>GBASE?R</w:t>
            </w:r>
            <w:proofErr w:type="gramEnd"/>
            <w:r>
              <w:rPr>
                <w:rFonts w:ascii="Verdana" w:eastAsia="Times New Roman" w:hAnsi="Verdana"/>
                <w:color w:val="000066"/>
                <w:sz w:val="18"/>
                <w:szCs w:val="18"/>
              </w:rPr>
              <w:t>, 100GBASE?R, 200GBASE?R, and 400GBASE?R Ethernet interfaces. Amendment 1 adds the architecture of fine-grain MTN layer which uses the MTN Path as its server layer. It also incorporates Corrigendum 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C0FFD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690A8D9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74C1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E203C" w14:textId="77777777" w:rsidR="00EB705F" w:rsidRDefault="009A3DC3" w:rsidP="00C9333D">
            <w:pPr>
              <w:jc w:val="center"/>
              <w:rPr>
                <w:rFonts w:ascii="Verdana" w:eastAsia="Times New Roman" w:hAnsi="Verdana"/>
                <w:color w:val="000066"/>
                <w:sz w:val="18"/>
                <w:szCs w:val="18"/>
              </w:rPr>
            </w:pPr>
            <w:hyperlink r:id="rId463" w:tooltip="See more details" w:history="1">
              <w:r w:rsidR="00EB705F">
                <w:rPr>
                  <w:rStyle w:val="Hyperlink"/>
                  <w:rFonts w:ascii="Verdana" w:eastAsia="Times New Roman" w:hAnsi="Verdana"/>
                  <w:sz w:val="18"/>
                  <w:szCs w:val="18"/>
                </w:rPr>
                <w:t>G.8312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746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7CEB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Interfaces for metro transport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F27A9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G.8312 describes a transport technology for metro networks (MTNs), including transport of distributed radio access network (D-RAN) and centralized radio access network (C-RAN) traffic. This technology leverages existing and emerging pluggable Ethernet modules and reuses flex Ethernet (</w:t>
            </w:r>
            <w:proofErr w:type="spellStart"/>
            <w:r>
              <w:rPr>
                <w:rFonts w:ascii="Verdana" w:eastAsia="Times New Roman" w:hAnsi="Verdana"/>
                <w:color w:val="000066"/>
                <w:sz w:val="18"/>
                <w:szCs w:val="18"/>
              </w:rPr>
              <w:t>FlexE</w:t>
            </w:r>
            <w:proofErr w:type="spellEnd"/>
            <w:r>
              <w:rPr>
                <w:rFonts w:ascii="Verdana" w:eastAsia="Times New Roman" w:hAnsi="Verdana"/>
                <w:color w:val="000066"/>
                <w:sz w:val="18"/>
                <w:szCs w:val="18"/>
              </w:rPr>
              <w:t xml:space="preserve">) implementation logic. Amendment one adds several clarifications </w:t>
            </w:r>
            <w:proofErr w:type="gramStart"/>
            <w:r>
              <w:rPr>
                <w:rFonts w:ascii="Verdana" w:eastAsia="Times New Roman" w:hAnsi="Verdana"/>
                <w:color w:val="000066"/>
                <w:sz w:val="18"/>
                <w:szCs w:val="18"/>
              </w:rPr>
              <w:t>and also</w:t>
            </w:r>
            <w:proofErr w:type="gramEnd"/>
            <w:r>
              <w:rPr>
                <w:rFonts w:ascii="Verdana" w:eastAsia="Times New Roman" w:hAnsi="Verdana"/>
                <w:color w:val="000066"/>
                <w:sz w:val="18"/>
                <w:szCs w:val="18"/>
              </w:rPr>
              <w:t xml:space="preserve"> provides test vectors. Amendment two adds an annex to describe the fine grain MTN path and the associate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564D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3A48C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662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51120B" w14:textId="77777777" w:rsidR="00EB705F" w:rsidRDefault="009A3DC3" w:rsidP="00C9333D">
            <w:pPr>
              <w:jc w:val="center"/>
              <w:rPr>
                <w:rFonts w:ascii="Verdana" w:eastAsia="Times New Roman" w:hAnsi="Verdana"/>
                <w:color w:val="000066"/>
                <w:sz w:val="18"/>
                <w:szCs w:val="18"/>
              </w:rPr>
            </w:pPr>
            <w:hyperlink r:id="rId464" w:tooltip="See more details" w:history="1">
              <w:r w:rsidR="00EB705F">
                <w:rPr>
                  <w:rStyle w:val="Hyperlink"/>
                  <w:rFonts w:ascii="Verdana" w:eastAsia="Times New Roman" w:hAnsi="Verdana"/>
                  <w:sz w:val="18"/>
                  <w:szCs w:val="18"/>
                </w:rPr>
                <w:t>G.8312.20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2E04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2F17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Overview of fine-grain MTN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64F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an overview of the functions provided by the fine-grain </w:t>
            </w:r>
            <w:proofErr w:type="spellStart"/>
            <w:r>
              <w:rPr>
                <w:rFonts w:ascii="Verdana" w:eastAsia="Times New Roman" w:hAnsi="Verdana"/>
                <w:color w:val="000066"/>
                <w:sz w:val="18"/>
                <w:szCs w:val="18"/>
              </w:rPr>
              <w:t>MTN</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fgMTN</w:t>
            </w:r>
            <w:proofErr w:type="spellEnd"/>
            <w:r>
              <w:rPr>
                <w:rFonts w:ascii="Verdana" w:eastAsia="Times New Roman" w:hAnsi="Verdana"/>
                <w:color w:val="000066"/>
                <w:sz w:val="18"/>
                <w:szCs w:val="18"/>
              </w:rPr>
              <w:t>) layer network and identifies the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46AE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70EB0F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1EC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D15354" w14:textId="77777777" w:rsidR="00EB705F" w:rsidRDefault="009A3DC3" w:rsidP="00C9333D">
            <w:pPr>
              <w:jc w:val="center"/>
              <w:rPr>
                <w:rFonts w:ascii="Verdana" w:eastAsia="Times New Roman" w:hAnsi="Verdana"/>
                <w:color w:val="000066"/>
                <w:sz w:val="18"/>
                <w:szCs w:val="18"/>
              </w:rPr>
            </w:pPr>
            <w:hyperlink r:id="rId465" w:tooltip="See more details" w:history="1">
              <w:r w:rsidR="00EB705F">
                <w:rPr>
                  <w:rStyle w:val="Hyperlink"/>
                  <w:rFonts w:ascii="Verdana" w:eastAsia="Times New Roman" w:hAnsi="Verdana"/>
                  <w:sz w:val="18"/>
                  <w:szCs w:val="18"/>
                </w:rPr>
                <w:t>G.8350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76BD5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4AAE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and Control of metro transport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E08A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G.8350 specifies management and control requirements and a protocol-neutral management information model for managing metro transport networks and their elements. Amendment 1 contains the modifications: - to update the information model on MTNP and MTNS layer network in clause 13 and model file in clause 14. - to remove </w:t>
            </w:r>
            <w:proofErr w:type="spellStart"/>
            <w:r>
              <w:rPr>
                <w:rFonts w:ascii="Verdana" w:eastAsia="Times New Roman" w:hAnsi="Verdana"/>
                <w:color w:val="000066"/>
                <w:sz w:val="18"/>
                <w:szCs w:val="18"/>
              </w:rPr>
              <w:t>cLOBA</w:t>
            </w:r>
            <w:proofErr w:type="spellEnd"/>
            <w:r>
              <w:rPr>
                <w:rFonts w:ascii="Verdana" w:eastAsia="Times New Roman" w:hAnsi="Verdana"/>
                <w:color w:val="000066"/>
                <w:sz w:val="18"/>
                <w:szCs w:val="18"/>
              </w:rPr>
              <w:t xml:space="preserve"> related requirements in clause 7 to align with G.8321 (11/2022</w:t>
            </w:r>
            <w:proofErr w:type="gramStart"/>
            <w:r>
              <w:rPr>
                <w:rFonts w:ascii="Verdana" w:eastAsia="Times New Roman" w:hAnsi="Verdana"/>
                <w:color w:val="000066"/>
                <w:sz w:val="18"/>
                <w:szCs w:val="18"/>
              </w:rPr>
              <w:t>) .</w:t>
            </w:r>
            <w:proofErr w:type="gramEnd"/>
            <w:r>
              <w:rPr>
                <w:rFonts w:ascii="Verdana" w:eastAsia="Times New Roman" w:hAnsi="Verdana"/>
                <w:color w:val="000066"/>
                <w:sz w:val="18"/>
                <w:szCs w:val="18"/>
              </w:rPr>
              <w:t xml:space="preserve"> - to remove the power monitoring and control in clause 8.14 to align with G.7710 (2020) Amd.1 (11/2022).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DF2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E7BC63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A854B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65279" w14:textId="77777777" w:rsidR="00EB705F" w:rsidRDefault="009A3DC3" w:rsidP="00C9333D">
            <w:pPr>
              <w:jc w:val="center"/>
              <w:rPr>
                <w:rFonts w:ascii="Verdana" w:eastAsia="Times New Roman" w:hAnsi="Verdana"/>
                <w:color w:val="000066"/>
                <w:sz w:val="18"/>
                <w:szCs w:val="18"/>
              </w:rPr>
            </w:pPr>
            <w:hyperlink r:id="rId466" w:tooltip="See more details" w:history="1">
              <w:r w:rsidR="00EB705F">
                <w:rPr>
                  <w:rStyle w:val="Hyperlink"/>
                  <w:rFonts w:ascii="Verdana" w:eastAsia="Times New Roman" w:hAnsi="Verdana"/>
                  <w:sz w:val="18"/>
                  <w:szCs w:val="18"/>
                </w:rPr>
                <w:t>G.872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56BC4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81E53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of the optical transport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42ED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G.872 describes the functional architecture of the optical transport network (OTN) using the modelling methodology described in Recommendations ITU?T G.800, ITU?T G.805 and ITU?T G.807. The OTN functionality is described from a network level viewpoint, </w:t>
            </w:r>
            <w:proofErr w:type="gramStart"/>
            <w:r>
              <w:rPr>
                <w:rFonts w:ascii="Verdana" w:eastAsia="Times New Roman" w:hAnsi="Verdana"/>
                <w:color w:val="000066"/>
                <w:sz w:val="18"/>
                <w:szCs w:val="18"/>
              </w:rPr>
              <w:t>taking into account</w:t>
            </w:r>
            <w:proofErr w:type="gramEnd"/>
            <w:r>
              <w:rPr>
                <w:rFonts w:ascii="Verdana" w:eastAsia="Times New Roman" w:hAnsi="Verdana"/>
                <w:color w:val="000066"/>
                <w:sz w:val="18"/>
                <w:szCs w:val="18"/>
              </w:rPr>
              <w:t xml:space="preserve">,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G.709. The media portion of the network is described in terms of media constructs, media elements and optical signal maintenance entities. Revision 6.0 adds description of </w:t>
            </w:r>
            <w:proofErr w:type="spellStart"/>
            <w:r>
              <w:rPr>
                <w:rFonts w:ascii="Verdana" w:eastAsia="Times New Roman" w:hAnsi="Verdana"/>
                <w:color w:val="000066"/>
                <w:sz w:val="18"/>
                <w:szCs w:val="18"/>
              </w:rPr>
              <w:t>fgOTN</w:t>
            </w:r>
            <w:proofErr w:type="spellEnd"/>
            <w:r>
              <w:rPr>
                <w:rFonts w:ascii="Verdana" w:eastAsia="Times New Roman" w:hAnsi="Verdana"/>
                <w:color w:val="000066"/>
                <w:sz w:val="18"/>
                <w:szCs w:val="18"/>
              </w:rPr>
              <w:t xml:space="preserve">. The description of </w:t>
            </w:r>
            <w:proofErr w:type="spellStart"/>
            <w:r>
              <w:rPr>
                <w:rFonts w:ascii="Verdana" w:eastAsia="Times New Roman" w:hAnsi="Verdana"/>
                <w:color w:val="000066"/>
                <w:sz w:val="18"/>
                <w:szCs w:val="18"/>
              </w:rPr>
              <w:t>FlexO</w:t>
            </w:r>
            <w:proofErr w:type="spellEnd"/>
            <w:r>
              <w:rPr>
                <w:rFonts w:ascii="Verdana" w:eastAsia="Times New Roman" w:hAnsi="Verdana"/>
                <w:color w:val="000066"/>
                <w:sz w:val="18"/>
                <w:szCs w:val="18"/>
              </w:rPr>
              <w:t xml:space="preserve"> is enhanced to reflect additional functionality in the 2024 suite of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G.709.x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AEAE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97A8C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6F65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1CFFF" w14:textId="77777777" w:rsidR="00EB705F" w:rsidRDefault="009A3DC3" w:rsidP="00C9333D">
            <w:pPr>
              <w:jc w:val="center"/>
              <w:rPr>
                <w:rFonts w:ascii="Verdana" w:eastAsia="Times New Roman" w:hAnsi="Verdana"/>
                <w:color w:val="000066"/>
                <w:sz w:val="18"/>
                <w:szCs w:val="18"/>
              </w:rPr>
            </w:pPr>
            <w:hyperlink r:id="rId467" w:tooltip="See more details" w:history="1">
              <w:r w:rsidR="00EB705F">
                <w:rPr>
                  <w:rStyle w:val="Hyperlink"/>
                  <w:rFonts w:ascii="Verdana" w:eastAsia="Times New Roman" w:hAnsi="Verdana"/>
                  <w:sz w:val="18"/>
                  <w:szCs w:val="18"/>
                </w:rPr>
                <w:t>G.874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E550A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545A3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aspects of optical transport network elements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16666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G.874 addresses management aspects of optical transport network (OTN) elements containing transport functions of one or more of the layer networks of the OTN. The management of optical layer networks is separable from that of its client layer networks so that the same means of management can be used regardless of the client. The management functions for fault management, configuration management (CM) and performance monitoring are specified. Recommendation ITU-T G.874 (2008) updated the management information (MI) to align with Recommendation ITU-T G.798, reorganized the sections to align with the structure of Recommendation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G.7710/Y.1701, and replaced the generic text with pointers to Recommendation ITU-T G.7710/Y.1701. Recommendation ITU-T G.874 (2010) added the management of new transport functions that were introduced in ITU-T </w:t>
            </w:r>
            <w:proofErr w:type="spellStart"/>
            <w:r>
              <w:rPr>
                <w:rFonts w:ascii="Verdana" w:eastAsia="Times New Roman" w:hAnsi="Verdana"/>
                <w:color w:val="000066"/>
                <w:sz w:val="18"/>
                <w:szCs w:val="18"/>
              </w:rPr>
              <w:t>G.798</w:t>
            </w:r>
            <w:proofErr w:type="spellEnd"/>
            <w:r>
              <w:rPr>
                <w:rFonts w:ascii="Verdana" w:eastAsia="Times New Roman" w:hAnsi="Verdana"/>
                <w:color w:val="000066"/>
                <w:sz w:val="18"/>
                <w:szCs w:val="18"/>
              </w:rPr>
              <w:t xml:space="preserve"> (2010), including </w:t>
            </w:r>
            <w:proofErr w:type="spellStart"/>
            <w:r>
              <w:rPr>
                <w:rFonts w:ascii="Verdana" w:eastAsia="Times New Roman" w:hAnsi="Verdana"/>
                <w:color w:val="000066"/>
                <w:sz w:val="18"/>
                <w:szCs w:val="18"/>
              </w:rPr>
              <w:t>OPSMnk_TT</w:t>
            </w:r>
            <w:proofErr w:type="spellEnd"/>
            <w:r>
              <w:rPr>
                <w:rFonts w:ascii="Verdana" w:eastAsia="Times New Roman" w:hAnsi="Verdana"/>
                <w:color w:val="000066"/>
                <w:sz w:val="18"/>
                <w:szCs w:val="18"/>
              </w:rPr>
              <w:t>, OPSM/</w:t>
            </w:r>
            <w:proofErr w:type="spellStart"/>
            <w:r>
              <w:rPr>
                <w:rFonts w:ascii="Verdana" w:eastAsia="Times New Roman" w:hAnsi="Verdana"/>
                <w:color w:val="000066"/>
                <w:sz w:val="18"/>
                <w:szCs w:val="18"/>
              </w:rPr>
              <w:t>OTUk</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a_A</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ODUk</w:t>
            </w:r>
            <w:proofErr w:type="spellEnd"/>
            <w:r>
              <w:rPr>
                <w:rFonts w:ascii="Verdana" w:eastAsia="Times New Roman" w:hAnsi="Verdana"/>
                <w:color w:val="000066"/>
                <w:sz w:val="18"/>
                <w:szCs w:val="18"/>
              </w:rPr>
              <w:t xml:space="preserve"> for k=0, </w:t>
            </w:r>
            <w:proofErr w:type="spellStart"/>
            <w:r>
              <w:rPr>
                <w:rFonts w:ascii="Verdana" w:eastAsia="Times New Roman" w:hAnsi="Verdana"/>
                <w:color w:val="000066"/>
                <w:sz w:val="18"/>
                <w:szCs w:val="18"/>
              </w:rPr>
              <w:t>2e</w:t>
            </w:r>
            <w:proofErr w:type="spellEnd"/>
            <w:r>
              <w:rPr>
                <w:rFonts w:ascii="Verdana" w:eastAsia="Times New Roman" w:hAnsi="Verdana"/>
                <w:color w:val="000066"/>
                <w:sz w:val="18"/>
                <w:szCs w:val="18"/>
              </w:rPr>
              <w:t xml:space="preserve">, 4, and flex. Recommendation ITU-T G.874 (2013) added the management of hitless adjustment of </w:t>
            </w:r>
            <w:proofErr w:type="spellStart"/>
            <w:proofErr w:type="gramStart"/>
            <w:r>
              <w:rPr>
                <w:rFonts w:ascii="Verdana" w:eastAsia="Times New Roman" w:hAnsi="Verdana"/>
                <w:color w:val="000066"/>
                <w:sz w:val="18"/>
                <w:szCs w:val="18"/>
              </w:rPr>
              <w:t>ODUflex</w:t>
            </w:r>
            <w:proofErr w:type="spellEnd"/>
            <w:r>
              <w:rPr>
                <w:rFonts w:ascii="Verdana" w:eastAsia="Times New Roman" w:hAnsi="Verdana"/>
                <w:color w:val="000066"/>
                <w:sz w:val="18"/>
                <w:szCs w:val="18"/>
              </w:rPr>
              <w:t>(</w:t>
            </w:r>
            <w:proofErr w:type="spellStart"/>
            <w:proofErr w:type="gramEnd"/>
            <w:r>
              <w:rPr>
                <w:rFonts w:ascii="Verdana" w:eastAsia="Times New Roman" w:hAnsi="Verdana"/>
                <w:color w:val="000066"/>
                <w:sz w:val="18"/>
                <w:szCs w:val="18"/>
              </w:rPr>
              <w:t>GFP</w:t>
            </w:r>
            <w:proofErr w:type="spellEnd"/>
            <w:r>
              <w:rPr>
                <w:rFonts w:ascii="Verdana" w:eastAsia="Times New Roman" w:hAnsi="Verdana"/>
                <w:color w:val="000066"/>
                <w:sz w:val="18"/>
                <w:szCs w:val="18"/>
              </w:rPr>
              <w:t xml:space="preserve">) (HAO), automatic protection switching (APS), application codes and performance management (PM) data collection. Recommendation ITU-T G.874 (2017) added a description to cover </w:t>
            </w:r>
            <w:proofErr w:type="spellStart"/>
            <w:r>
              <w:rPr>
                <w:rFonts w:ascii="Verdana" w:eastAsia="Times New Roman" w:hAnsi="Verdana"/>
                <w:color w:val="000066"/>
                <w:sz w:val="18"/>
                <w:szCs w:val="18"/>
              </w:rPr>
              <w:t>OTUCn</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GCC0</w:t>
            </w:r>
            <w:proofErr w:type="spellEnd"/>
            <w:r>
              <w:rPr>
                <w:rFonts w:ascii="Verdana" w:eastAsia="Times New Roman" w:hAnsi="Verdana"/>
                <w:color w:val="000066"/>
                <w:sz w:val="18"/>
                <w:szCs w:val="18"/>
              </w:rPr>
              <w:t>, added the application code related MI signals, updated the MI signals for ODU2eP/FC-</w:t>
            </w:r>
            <w:proofErr w:type="spellStart"/>
            <w:r>
              <w:rPr>
                <w:rFonts w:ascii="Verdana" w:eastAsia="Times New Roman" w:hAnsi="Verdana"/>
                <w:color w:val="000066"/>
                <w:sz w:val="18"/>
                <w:szCs w:val="18"/>
              </w:rPr>
              <w:t>1200_A</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OSM256.4</w:t>
            </w:r>
            <w:proofErr w:type="spellEnd"/>
            <w:r>
              <w:rPr>
                <w:rFonts w:ascii="Verdana" w:eastAsia="Times New Roman" w:hAnsi="Verdana"/>
                <w:color w:val="000066"/>
                <w:sz w:val="18"/>
                <w:szCs w:val="18"/>
              </w:rPr>
              <w:t>/</w:t>
            </w:r>
            <w:proofErr w:type="spellStart"/>
            <w:r>
              <w:rPr>
                <w:rFonts w:ascii="Verdana" w:eastAsia="Times New Roman" w:hAnsi="Verdana"/>
                <w:color w:val="000066"/>
                <w:sz w:val="18"/>
                <w:szCs w:val="18"/>
              </w:rPr>
              <w:t>CBRx_A</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OSx</w:t>
            </w:r>
            <w:proofErr w:type="spellEnd"/>
            <w:r>
              <w:rPr>
                <w:rFonts w:ascii="Verdana" w:eastAsia="Times New Roman" w:hAnsi="Verdana"/>
                <w:color w:val="000066"/>
                <w:sz w:val="18"/>
                <w:szCs w:val="18"/>
              </w:rPr>
              <w:t>/</w:t>
            </w:r>
            <w:proofErr w:type="spellStart"/>
            <w:r>
              <w:rPr>
                <w:rFonts w:ascii="Verdana" w:eastAsia="Times New Roman" w:hAnsi="Verdana"/>
                <w:color w:val="000066"/>
                <w:sz w:val="18"/>
                <w:szCs w:val="18"/>
              </w:rPr>
              <w:t>CBRx-b_A_Sk</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OSx</w:t>
            </w:r>
            <w:proofErr w:type="spellEnd"/>
            <w:r>
              <w:rPr>
                <w:rFonts w:ascii="Verdana" w:eastAsia="Times New Roman" w:hAnsi="Verdana"/>
                <w:color w:val="000066"/>
                <w:sz w:val="18"/>
                <w:szCs w:val="18"/>
              </w:rPr>
              <w:t>/</w:t>
            </w:r>
            <w:proofErr w:type="spellStart"/>
            <w:r>
              <w:rPr>
                <w:rFonts w:ascii="Verdana" w:eastAsia="Times New Roman" w:hAnsi="Verdana"/>
                <w:color w:val="000066"/>
                <w:sz w:val="18"/>
                <w:szCs w:val="18"/>
              </w:rPr>
              <w:t>CBRx-c_A_Sk</w:t>
            </w:r>
            <w:proofErr w:type="spellEnd"/>
            <w:r>
              <w:rPr>
                <w:rFonts w:ascii="Verdana" w:eastAsia="Times New Roman" w:hAnsi="Verdana"/>
                <w:color w:val="000066"/>
                <w:sz w:val="18"/>
                <w:szCs w:val="18"/>
              </w:rPr>
              <w:t xml:space="preserve">, removed the </w:t>
            </w:r>
            <w:proofErr w:type="spellStart"/>
            <w:r>
              <w:rPr>
                <w:rFonts w:ascii="Verdana" w:eastAsia="Times New Roman" w:hAnsi="Verdana"/>
                <w:color w:val="000066"/>
                <w:sz w:val="18"/>
                <w:szCs w:val="18"/>
              </w:rPr>
              <w:t>nDelay</w:t>
            </w:r>
            <w:proofErr w:type="spell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nES</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fES</w:t>
            </w:r>
            <w:proofErr w:type="spellEnd"/>
            <w:r>
              <w:rPr>
                <w:rFonts w:ascii="Verdana" w:eastAsia="Times New Roman" w:hAnsi="Verdana"/>
                <w:color w:val="000066"/>
                <w:sz w:val="18"/>
                <w:szCs w:val="18"/>
              </w:rPr>
              <w:t xml:space="preserve"> primitives, moved the description of O.MN, O.MSN, and O.NE to the convention clause, updated the default values of </w:t>
            </w:r>
            <w:proofErr w:type="spellStart"/>
            <w:r>
              <w:rPr>
                <w:rFonts w:ascii="Verdana" w:eastAsia="Times New Roman" w:hAnsi="Verdana"/>
                <w:color w:val="000066"/>
                <w:sz w:val="18"/>
                <w:szCs w:val="18"/>
              </w:rPr>
              <w:t>DEGThr</w:t>
            </w:r>
            <w:proofErr w:type="spellEnd"/>
            <w:r>
              <w:rPr>
                <w:rFonts w:ascii="Verdana" w:eastAsia="Times New Roman" w:hAnsi="Verdana"/>
                <w:color w:val="000066"/>
                <w:sz w:val="18"/>
                <w:szCs w:val="18"/>
              </w:rPr>
              <w:t xml:space="preserve"> and </w:t>
            </w:r>
            <w:proofErr w:type="spellStart"/>
            <w:r>
              <w:rPr>
                <w:rFonts w:ascii="Verdana" w:eastAsia="Times New Roman" w:hAnsi="Verdana"/>
                <w:color w:val="000066"/>
                <w:sz w:val="18"/>
                <w:szCs w:val="18"/>
              </w:rPr>
              <w:t>DEGM</w:t>
            </w:r>
            <w:proofErr w:type="spellEnd"/>
            <w:r>
              <w:rPr>
                <w:rFonts w:ascii="Verdana" w:eastAsia="Times New Roman" w:hAnsi="Verdana"/>
                <w:color w:val="000066"/>
                <w:sz w:val="18"/>
                <w:szCs w:val="18"/>
              </w:rPr>
              <w:t xml:space="preserve">, updated Appendix III to align with Table 15-9 of ITU-T G.709/Y.1331 (2016), and removed the adaptation function activation and </w:t>
            </w:r>
            <w:proofErr w:type="spellStart"/>
            <w:r>
              <w:rPr>
                <w:rFonts w:ascii="Verdana" w:eastAsia="Times New Roman" w:hAnsi="Verdana"/>
                <w:color w:val="000066"/>
                <w:sz w:val="18"/>
                <w:szCs w:val="18"/>
              </w:rPr>
              <w:t>MI_Active</w:t>
            </w:r>
            <w:proofErr w:type="spellEnd"/>
            <w:r>
              <w:rPr>
                <w:rFonts w:ascii="Verdana" w:eastAsia="Times New Roman" w:hAnsi="Verdana"/>
                <w:color w:val="000066"/>
                <w:sz w:val="18"/>
                <w:szCs w:val="18"/>
              </w:rPr>
              <w:t xml:space="preserve"> to align with ITU-T G.798. Recommendation ITU-T G.874 (2020) aligns with the latest editions of ITU-T G.709 and ITU-T G.</w:t>
            </w:r>
            <w:proofErr w:type="gramStart"/>
            <w:r>
              <w:rPr>
                <w:rFonts w:ascii="Verdana" w:eastAsia="Times New Roman" w:hAnsi="Verdana"/>
                <w:color w:val="000066"/>
                <w:sz w:val="18"/>
                <w:szCs w:val="18"/>
              </w:rPr>
              <w:t>798, and</w:t>
            </w:r>
            <w:proofErr w:type="gramEnd"/>
            <w:r>
              <w:rPr>
                <w:rFonts w:ascii="Verdana" w:eastAsia="Times New Roman" w:hAnsi="Verdana"/>
                <w:color w:val="000066"/>
                <w:sz w:val="18"/>
                <w:szCs w:val="18"/>
              </w:rPr>
              <w:t xml:space="preserve"> harmonizes generic </w:t>
            </w:r>
            <w:r>
              <w:rPr>
                <w:rFonts w:ascii="Verdana" w:eastAsia="Times New Roman" w:hAnsi="Verdana"/>
                <w:color w:val="000066"/>
                <w:sz w:val="18"/>
                <w:szCs w:val="18"/>
              </w:rPr>
              <w:lastRenderedPageBreak/>
              <w:t>requirements with clauses 8 and 10 of ITU-T G.7710/Y.1701. Recommendation ITU-T G.874 Amendment 1 (2022) aligns with the latest editions of ITU-T G.709 and ITU-T G.798, including their amendments. Recommendation ITU-T G.874 Amendment 2 (2023) aligns with the latest editions of ITU-T G.709 and ITU-T G.798 Edition 7, including their amendments.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400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2023-12-01</w:t>
            </w:r>
          </w:p>
        </w:tc>
      </w:tr>
      <w:tr w:rsidR="00EB705F" w14:paraId="1FFD470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6304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AFDA7F" w14:textId="77777777" w:rsidR="00EB705F" w:rsidRDefault="009A3DC3" w:rsidP="00C9333D">
            <w:pPr>
              <w:jc w:val="center"/>
              <w:rPr>
                <w:rFonts w:ascii="Verdana" w:eastAsia="Times New Roman" w:hAnsi="Verdana"/>
                <w:color w:val="000066"/>
                <w:sz w:val="18"/>
                <w:szCs w:val="18"/>
              </w:rPr>
            </w:pPr>
            <w:hyperlink r:id="rId468" w:tooltip="See more details" w:history="1">
              <w:r w:rsidR="00EB705F">
                <w:rPr>
                  <w:rStyle w:val="Hyperlink"/>
                  <w:rFonts w:ascii="Verdana" w:eastAsia="Times New Roman" w:hAnsi="Verdana"/>
                  <w:sz w:val="18"/>
                  <w:szCs w:val="18"/>
                </w:rPr>
                <w:t>G.876 (2021)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5DFE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00D4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Requirements and Information Model for the optical media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DA553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 1 to G.876 specifies the management architecture, the management of OTN optical media layer and the management of Ethernet media layer.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03F5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4566E60"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9D2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1AEFCB" w14:textId="77777777" w:rsidR="00EB705F" w:rsidRDefault="009A3DC3" w:rsidP="00C9333D">
            <w:pPr>
              <w:jc w:val="center"/>
              <w:rPr>
                <w:rFonts w:ascii="Verdana" w:eastAsia="Times New Roman" w:hAnsi="Verdana"/>
                <w:color w:val="000066"/>
                <w:sz w:val="18"/>
                <w:szCs w:val="18"/>
              </w:rPr>
            </w:pPr>
            <w:hyperlink r:id="rId469" w:tooltip="See more details" w:history="1">
              <w:r w:rsidR="00EB705F">
                <w:rPr>
                  <w:rStyle w:val="Hyperlink"/>
                  <w:rFonts w:ascii="Verdana" w:eastAsia="Times New Roman" w:hAnsi="Verdana"/>
                  <w:sz w:val="18"/>
                  <w:szCs w:val="18"/>
                </w:rPr>
                <w:t>G.959.1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6E20C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EB561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Optical transport network physical layer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51AEB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G.959.1 provides physical layer inter-domain interface (</w:t>
            </w:r>
            <w:proofErr w:type="spellStart"/>
            <w:r>
              <w:rPr>
                <w:rFonts w:ascii="Verdana" w:eastAsia="Times New Roman" w:hAnsi="Verdana"/>
                <w:color w:val="000066"/>
                <w:sz w:val="18"/>
                <w:szCs w:val="18"/>
              </w:rPr>
              <w:t>IrDI</w:t>
            </w:r>
            <w:proofErr w:type="spellEnd"/>
            <w:r>
              <w:rPr>
                <w:rFonts w:ascii="Verdana" w:eastAsia="Times New Roman" w:hAnsi="Verdana"/>
                <w:color w:val="000066"/>
                <w:sz w:val="18"/>
                <w:szCs w:val="18"/>
              </w:rPr>
              <w:t xml:space="preserve">) specifications for optical networks which may employ wavelength division multiplexing (WDM). The </w:t>
            </w:r>
            <w:proofErr w:type="spellStart"/>
            <w:r>
              <w:rPr>
                <w:rFonts w:ascii="Verdana" w:eastAsia="Times New Roman" w:hAnsi="Verdana"/>
                <w:color w:val="000066"/>
                <w:sz w:val="18"/>
                <w:szCs w:val="18"/>
              </w:rPr>
              <w:t>IrDIs</w:t>
            </w:r>
            <w:proofErr w:type="spellEnd"/>
            <w:r>
              <w:rPr>
                <w:rFonts w:ascii="Verdana" w:eastAsia="Times New Roman" w:hAnsi="Verdana"/>
                <w:color w:val="000066"/>
                <w:sz w:val="18"/>
                <w:szCs w:val="18"/>
              </w:rPr>
              <w:t xml:space="preserve"> within the optical transport network (OTN) are provided by unidirectional, point-to-point, single and multichannel line systems. Their primary purpose is to enable transversely compatible interfaces to span the boundary between two administrative domains. The </w:t>
            </w:r>
            <w:proofErr w:type="spellStart"/>
            <w:r>
              <w:rPr>
                <w:rFonts w:ascii="Verdana" w:eastAsia="Times New Roman" w:hAnsi="Verdana"/>
                <w:color w:val="000066"/>
                <w:sz w:val="18"/>
                <w:szCs w:val="18"/>
              </w:rPr>
              <w:t>IrDI</w:t>
            </w:r>
            <w:proofErr w:type="spellEnd"/>
            <w:r>
              <w:rPr>
                <w:rFonts w:ascii="Verdana" w:eastAsia="Times New Roman" w:hAnsi="Verdana"/>
                <w:color w:val="000066"/>
                <w:sz w:val="18"/>
                <w:szCs w:val="18"/>
              </w:rPr>
              <w:t xml:space="preserve"> specifications include intra-office, short-</w:t>
            </w:r>
            <w:proofErr w:type="gramStart"/>
            <w:r>
              <w:rPr>
                <w:rFonts w:ascii="Verdana" w:eastAsia="Times New Roman" w:hAnsi="Verdana"/>
                <w:color w:val="000066"/>
                <w:sz w:val="18"/>
                <w:szCs w:val="18"/>
              </w:rPr>
              <w:t>haul</w:t>
            </w:r>
            <w:proofErr w:type="gramEnd"/>
            <w:r>
              <w:rPr>
                <w:rFonts w:ascii="Verdana" w:eastAsia="Times New Roman" w:hAnsi="Verdana"/>
                <w:color w:val="000066"/>
                <w:sz w:val="18"/>
                <w:szCs w:val="18"/>
              </w:rPr>
              <w:t xml:space="preserve"> and long-haul applications, without line amplifiers. This version of this Recommendation includes single-channel interfaces suitable for FOIC1.1-RS with PAM4 100G.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A90CA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EB7458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D55CA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511FCE" w14:textId="77777777" w:rsidR="00EB705F" w:rsidRDefault="009A3DC3" w:rsidP="00C9333D">
            <w:pPr>
              <w:jc w:val="center"/>
              <w:rPr>
                <w:rFonts w:ascii="Verdana" w:eastAsia="Times New Roman" w:hAnsi="Verdana"/>
                <w:color w:val="000066"/>
                <w:sz w:val="18"/>
                <w:szCs w:val="18"/>
              </w:rPr>
            </w:pPr>
            <w:hyperlink r:id="rId470" w:tooltip="See more details" w:history="1">
              <w:r w:rsidR="00EB705F">
                <w:rPr>
                  <w:rStyle w:val="Hyperlink"/>
                  <w:rFonts w:ascii="Verdana" w:eastAsia="Times New Roman" w:hAnsi="Verdana"/>
                  <w:sz w:val="18"/>
                  <w:szCs w:val="18"/>
                </w:rPr>
                <w:t>G.9804.1 (2019)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DFC3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010C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Higher Speed Passive Optical Networks: Requirements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4DC5F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G.9804.1 serves as a guide for the development of higher speed passive optical network (PON) systems, by identifying sets of applications that can be addressed by a particular system and defining the requirements for each of those systems. It is anticipated that they may have several distinct systems, such as higher speed single channel (TDMA PON), higher speed multi-channel (TWDM PON), and higher speed point to point overlay PONs. Amendment 1 to Recommendation ITU-T G.9804.1 includes additional requirements for higher speed PON, including slicing requirements for higher speed PON, optional Flexible FEC requirement in the upstream direction, and elimination of 10 Gbit/s upstream rate requirement. Amendment 2 to Recommendation ITU-T G.9804.1 includes additional requirements for higher speed PON, including complementary for co-existence scenario of three generation PON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AF7F6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5BC339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F2D4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F6D39" w14:textId="77777777" w:rsidR="00EB705F" w:rsidRDefault="009A3DC3" w:rsidP="00C9333D">
            <w:pPr>
              <w:jc w:val="center"/>
              <w:rPr>
                <w:rFonts w:ascii="Verdana" w:eastAsia="Times New Roman" w:hAnsi="Verdana"/>
                <w:color w:val="000066"/>
                <w:sz w:val="18"/>
                <w:szCs w:val="18"/>
              </w:rPr>
            </w:pPr>
            <w:hyperlink r:id="rId471" w:tooltip="See more details" w:history="1">
              <w:proofErr w:type="spellStart"/>
              <w:r w:rsidR="00EB705F">
                <w:rPr>
                  <w:rStyle w:val="Hyperlink"/>
                  <w:rFonts w:ascii="Verdana" w:eastAsia="Times New Roman" w:hAnsi="Verdana"/>
                  <w:sz w:val="18"/>
                  <w:szCs w:val="18"/>
                </w:rPr>
                <w:t>G.9804.3</w:t>
              </w:r>
              <w:proofErr w:type="spellEnd"/>
              <w:r w:rsidR="00EB705F">
                <w:rPr>
                  <w:rStyle w:val="Hyperlink"/>
                  <w:rFonts w:ascii="Verdana" w:eastAsia="Times New Roman" w:hAnsi="Verdana"/>
                  <w:sz w:val="18"/>
                  <w:szCs w:val="18"/>
                </w:rPr>
                <w:t xml:space="preserve"> (2021) </w:t>
              </w:r>
              <w:proofErr w:type="spellStart"/>
              <w:r w:rsidR="00EB705F">
                <w:rPr>
                  <w:rStyle w:val="Hyperlink"/>
                  <w:rFonts w:ascii="Verdana" w:eastAsia="Times New Roman" w:hAnsi="Verdana"/>
                  <w:sz w:val="18"/>
                  <w:szCs w:val="18"/>
                </w:rPr>
                <w:t>Amd</w:t>
              </w:r>
              <w:proofErr w:type="spellEnd"/>
              <w:r w:rsidR="00EB705F">
                <w:rPr>
                  <w:rStyle w:val="Hyperlink"/>
                  <w:rFonts w:ascii="Verdana" w:eastAsia="Times New Roman" w:hAnsi="Verdana"/>
                  <w:sz w:val="18"/>
                  <w:szCs w:val="18"/>
                </w:rPr>
                <w:t xml:space="preserve">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9DF0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F4CC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50-Gigabit-capable passive optical networks (50G-PON): Physical media dependent (PMD) layer specification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02877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G.9804.3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Recommendation contains the references, the common definitions, acronyms, </w:t>
            </w:r>
            <w:proofErr w:type="gramStart"/>
            <w:r>
              <w:rPr>
                <w:rFonts w:ascii="Verdana" w:eastAsia="Times New Roman" w:hAnsi="Verdana"/>
                <w:color w:val="000066"/>
                <w:sz w:val="18"/>
                <w:szCs w:val="18"/>
              </w:rPr>
              <w:t>abbreviations</w:t>
            </w:r>
            <w:proofErr w:type="gramEnd"/>
            <w:r>
              <w:rPr>
                <w:rFonts w:ascii="Verdana" w:eastAsia="Times New Roman" w:hAnsi="Verdana"/>
                <w:color w:val="000066"/>
                <w:sz w:val="18"/>
                <w:szCs w:val="18"/>
              </w:rPr>
              <w:t xml:space="preserve">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 Amendment 2 defines the optical interface parameters of 50 Gbit/s upstream direction on further power budget classes besides N1 class.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142AD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0D6EF7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1374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676F1D" w14:textId="77777777" w:rsidR="00EB705F" w:rsidRDefault="009A3DC3" w:rsidP="00C9333D">
            <w:pPr>
              <w:jc w:val="center"/>
              <w:rPr>
                <w:rFonts w:ascii="Verdana" w:eastAsia="Times New Roman" w:hAnsi="Verdana"/>
                <w:color w:val="000066"/>
                <w:sz w:val="18"/>
                <w:szCs w:val="18"/>
              </w:rPr>
            </w:pPr>
            <w:hyperlink r:id="rId472" w:tooltip="See more details" w:history="1">
              <w:r w:rsidR="00EB705F">
                <w:rPr>
                  <w:rStyle w:val="Hyperlink"/>
                  <w:rFonts w:ascii="Verdana" w:eastAsia="Times New Roman" w:hAnsi="Verdana"/>
                  <w:sz w:val="18"/>
                  <w:szCs w:val="18"/>
                </w:rPr>
                <w:t>G.9806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E97B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AFC5D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Higher-speed bidirectional, single fibre, point-to-point optical access system (HS-</w:t>
            </w:r>
            <w:proofErr w:type="spellStart"/>
            <w:r>
              <w:rPr>
                <w:rFonts w:ascii="Verdana" w:eastAsia="Times New Roman" w:hAnsi="Verdana"/>
                <w:color w:val="000066"/>
                <w:sz w:val="18"/>
                <w:szCs w:val="18"/>
              </w:rPr>
              <w:t>PtP</w:t>
            </w:r>
            <w:proofErr w:type="spellEnd"/>
            <w:r>
              <w:rPr>
                <w:rFonts w:ascii="Verdana" w:eastAsia="Times New Roman" w:hAnsi="Verdana"/>
                <w:color w:val="000066"/>
                <w:sz w:val="18"/>
                <w:szCs w:val="18"/>
              </w:rPr>
              <w:t>)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67C7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G.9806 describes a higher speed bidirectional single fibre point-to-point optical access system than the data rate in existing ITU-T point-to-point access systems. It supports 10 Gbit/s for the optical access services including the optical distribution network (ODN) specification, the physical layer specification, services requirements and the operation, </w:t>
            </w:r>
            <w:proofErr w:type="gramStart"/>
            <w:r>
              <w:rPr>
                <w:rFonts w:ascii="Verdana" w:eastAsia="Times New Roman" w:hAnsi="Verdana"/>
                <w:color w:val="000066"/>
                <w:sz w:val="18"/>
                <w:szCs w:val="18"/>
              </w:rPr>
              <w:t>administration</w:t>
            </w:r>
            <w:proofErr w:type="gramEnd"/>
            <w:r>
              <w:rPr>
                <w:rFonts w:ascii="Verdana" w:eastAsia="Times New Roman" w:hAnsi="Verdana"/>
                <w:color w:val="000066"/>
                <w:sz w:val="18"/>
                <w:szCs w:val="18"/>
              </w:rPr>
              <w:t xml:space="preserve"> and maintenance (OAM) specification. Amendment 1 added support for 25 Gbit/s. Amendment 2 added support for 50 Gbit/s. Amendment 3 adds support for 100 Gbit/s, Optical Path Loss budget Classes SL (0-10 dB), SU (5-15 dB) and BL (10-20 dB).</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21982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3B8C9D3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ADF6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E7F476" w14:textId="77777777" w:rsidR="00EB705F" w:rsidRDefault="009A3DC3" w:rsidP="00C9333D">
            <w:pPr>
              <w:jc w:val="center"/>
              <w:rPr>
                <w:rFonts w:ascii="Verdana" w:eastAsia="Times New Roman" w:hAnsi="Verdana"/>
                <w:color w:val="000066"/>
                <w:sz w:val="18"/>
                <w:szCs w:val="18"/>
              </w:rPr>
            </w:pPr>
            <w:hyperlink r:id="rId473" w:tooltip="See more details" w:history="1">
              <w:r w:rsidR="00EB705F">
                <w:rPr>
                  <w:rStyle w:val="Hyperlink"/>
                  <w:rFonts w:ascii="Verdana" w:eastAsia="Times New Roman" w:hAnsi="Verdana"/>
                  <w:sz w:val="18"/>
                  <w:szCs w:val="18"/>
                </w:rPr>
                <w:t>G.988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9A3C7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0D925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ONU management and control interface (OMCI)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B404E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G.988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w:t>
            </w:r>
            <w:proofErr w:type="gramStart"/>
            <w:r>
              <w:rPr>
                <w:rFonts w:ascii="Verdana" w:eastAsia="Times New Roman" w:hAnsi="Verdana"/>
                <w:color w:val="000066"/>
                <w:sz w:val="18"/>
                <w:szCs w:val="18"/>
              </w:rPr>
              <w:t>protocol</w:t>
            </w:r>
            <w:proofErr w:type="gramEnd"/>
            <w:r>
              <w:rPr>
                <w:rFonts w:ascii="Verdana" w:eastAsia="Times New Roman" w:hAnsi="Verdana"/>
                <w:color w:val="000066"/>
                <w:sz w:val="18"/>
                <w:szCs w:val="18"/>
              </w:rPr>
              <w:t xml:space="preserve"> and detailed messages. Amendment 1 to ITU-T Recommendation G.988 (2022) incorporates regular maintenance items including: Clarifications to the use of Enhanced FEC PM and Forward error correct PM MEs on PON systems that use LDPC (e.g., HSP PON). Modifications to Power over Ethernet Control to manage PoE, PoE+ and PoE++ devices as defined in IEEE 802.3. Modification to VoIP application service profile ME to add GR-1188 Absence of Calling Name support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2CB79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674F8A3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78DE2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EFC327" w14:textId="77777777" w:rsidR="00EB705F" w:rsidRDefault="009A3DC3" w:rsidP="00C9333D">
            <w:pPr>
              <w:jc w:val="center"/>
              <w:rPr>
                <w:rFonts w:ascii="Verdana" w:eastAsia="Times New Roman" w:hAnsi="Verdana"/>
                <w:color w:val="000066"/>
                <w:sz w:val="18"/>
                <w:szCs w:val="18"/>
              </w:rPr>
            </w:pPr>
            <w:hyperlink r:id="rId474" w:tooltip="See more details" w:history="1">
              <w:r w:rsidR="00EB705F">
                <w:rPr>
                  <w:rStyle w:val="Hyperlink"/>
                  <w:rFonts w:ascii="Verdana" w:eastAsia="Times New Roman" w:hAnsi="Verdana"/>
                  <w:sz w:val="18"/>
                  <w:szCs w:val="18"/>
                </w:rPr>
                <w:t xml:space="preserve">G.9930 (ex </w:t>
              </w:r>
              <w:proofErr w:type="gramStart"/>
              <w:r w:rsidR="00EB705F">
                <w:rPr>
                  <w:rStyle w:val="Hyperlink"/>
                  <w:rFonts w:ascii="Verdana" w:eastAsia="Times New Roman" w:hAnsi="Verdana"/>
                  <w:sz w:val="18"/>
                  <w:szCs w:val="18"/>
                </w:rPr>
                <w:t>G.p</w:t>
              </w:r>
              <w:proofErr w:type="gramEnd"/>
              <w:r w:rsidR="00EB705F">
                <w:rPr>
                  <w:rStyle w:val="Hyperlink"/>
                  <w:rFonts w:ascii="Verdana" w:eastAsia="Times New Roman" w:hAnsi="Verdana"/>
                  <w:sz w:val="18"/>
                  <w:szCs w:val="18"/>
                </w:rPr>
                <w:t>2pf)</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1E9D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8BA01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Point-to-Point Fibre in the Premises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89859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G.9930 belongs to the family of ITU-T Recommendations addressing Fibre-in-the-Premises. This Recommendation specifically addresses the network topology consisting of multiple point-to-point fibres between a Residential Gateway (RG) and Customer Premises Equipment (CPE), e.g., Wireless Access Points (WAP). This Recommendation </w:t>
            </w:r>
            <w:proofErr w:type="gramStart"/>
            <w:r>
              <w:rPr>
                <w:rFonts w:ascii="Verdana" w:eastAsia="Times New Roman" w:hAnsi="Verdana"/>
                <w:color w:val="000066"/>
                <w:sz w:val="18"/>
                <w:szCs w:val="18"/>
              </w:rPr>
              <w:t>G.p</w:t>
            </w:r>
            <w:proofErr w:type="gramEnd"/>
            <w:r>
              <w:rPr>
                <w:rFonts w:ascii="Verdana" w:eastAsia="Times New Roman" w:hAnsi="Verdana"/>
                <w:color w:val="000066"/>
                <w:sz w:val="18"/>
                <w:szCs w:val="18"/>
              </w:rPr>
              <w:t>2pf specifies the system architecture and requirements for high-speed point-to-point-fibre-based in-premises transceivers.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70E6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D6BB61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77085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871A89" w14:textId="77777777" w:rsidR="00EB705F" w:rsidRPr="002A010F" w:rsidRDefault="009A3DC3" w:rsidP="00C9333D">
            <w:pPr>
              <w:jc w:val="center"/>
              <w:rPr>
                <w:rFonts w:ascii="Verdana" w:eastAsia="Times New Roman" w:hAnsi="Verdana"/>
                <w:color w:val="000066"/>
                <w:sz w:val="18"/>
                <w:szCs w:val="18"/>
                <w:lang w:val="fr-FR"/>
              </w:rPr>
            </w:pPr>
            <w:hyperlink r:id="rId475" w:tooltip="See more details" w:history="1">
              <w:proofErr w:type="spellStart"/>
              <w:r w:rsidR="00EB705F" w:rsidRPr="002A010F">
                <w:rPr>
                  <w:rStyle w:val="Hyperlink"/>
                  <w:rFonts w:ascii="Verdana" w:eastAsia="Times New Roman" w:hAnsi="Verdana"/>
                  <w:sz w:val="18"/>
                  <w:szCs w:val="18"/>
                  <w:lang w:val="fr-FR"/>
                </w:rPr>
                <w:t>G.9941</w:t>
              </w:r>
              <w:proofErr w:type="spellEnd"/>
              <w:r w:rsidR="00EB705F" w:rsidRPr="002A010F">
                <w:rPr>
                  <w:rStyle w:val="Hyperlink"/>
                  <w:rFonts w:ascii="Verdana" w:eastAsia="Times New Roman" w:hAnsi="Verdana"/>
                  <w:sz w:val="18"/>
                  <w:szCs w:val="18"/>
                  <w:lang w:val="fr-FR"/>
                </w:rPr>
                <w:t xml:space="preserve"> (ex </w:t>
              </w:r>
              <w:proofErr w:type="spellStart"/>
              <w:r w:rsidR="00EB705F" w:rsidRPr="002A010F">
                <w:rPr>
                  <w:rStyle w:val="Hyperlink"/>
                  <w:rFonts w:ascii="Verdana" w:eastAsia="Times New Roman" w:hAnsi="Verdana"/>
                  <w:sz w:val="18"/>
                  <w:szCs w:val="18"/>
                  <w:lang w:val="fr-FR"/>
                </w:rPr>
                <w:t>G.fin</w:t>
              </w:r>
              <w:proofErr w:type="spellEnd"/>
              <w:r w:rsidR="00EB705F" w:rsidRPr="002A010F">
                <w:rPr>
                  <w:rStyle w:val="Hyperlink"/>
                  <w:rFonts w:ascii="Verdana" w:eastAsia="Times New Roman" w:hAnsi="Verdana"/>
                  <w:sz w:val="18"/>
                  <w:szCs w:val="18"/>
                  <w:lang w:val="fr-FR"/>
                </w:rPr>
                <w:t>-PHY)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11F79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39B5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 speed fibre-based in-premises transceivers - physical layer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B49B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w:t>
            </w:r>
            <w:proofErr w:type="spellStart"/>
            <w:r>
              <w:rPr>
                <w:rFonts w:ascii="Verdana" w:eastAsia="Times New Roman" w:hAnsi="Verdana"/>
                <w:color w:val="000066"/>
                <w:sz w:val="18"/>
                <w:szCs w:val="18"/>
              </w:rPr>
              <w:t>G.fin</w:t>
            </w:r>
            <w:proofErr w:type="spellEnd"/>
            <w:r>
              <w:rPr>
                <w:rFonts w:ascii="Verdana" w:eastAsia="Times New Roman" w:hAnsi="Verdana"/>
                <w:color w:val="000066"/>
                <w:sz w:val="18"/>
                <w:szCs w:val="18"/>
              </w:rPr>
              <w:t xml:space="preserve">-PHY belongs to the family of ITU-T </w:t>
            </w:r>
            <w:proofErr w:type="spellStart"/>
            <w:r>
              <w:rPr>
                <w:rFonts w:ascii="Verdana" w:eastAsia="Times New Roman" w:hAnsi="Verdana"/>
                <w:color w:val="000066"/>
                <w:sz w:val="18"/>
                <w:szCs w:val="18"/>
              </w:rPr>
              <w:t>G.fin</w:t>
            </w:r>
            <w:proofErr w:type="spellEnd"/>
            <w:r>
              <w:rPr>
                <w:rFonts w:ascii="Verdana" w:eastAsia="Times New Roman" w:hAnsi="Verdana"/>
                <w:color w:val="000066"/>
                <w:sz w:val="18"/>
                <w:szCs w:val="18"/>
              </w:rPr>
              <w:t xml:space="preserve"> Recommendations. Recommendation </w:t>
            </w:r>
            <w:proofErr w:type="spellStart"/>
            <w:r>
              <w:rPr>
                <w:rFonts w:ascii="Verdana" w:eastAsia="Times New Roman" w:hAnsi="Verdana"/>
                <w:color w:val="000066"/>
                <w:sz w:val="18"/>
                <w:szCs w:val="18"/>
              </w:rPr>
              <w:t>G.fin</w:t>
            </w:r>
            <w:proofErr w:type="spellEnd"/>
            <w:r>
              <w:rPr>
                <w:rFonts w:ascii="Verdana" w:eastAsia="Times New Roman" w:hAnsi="Verdana"/>
                <w:color w:val="000066"/>
                <w:sz w:val="18"/>
                <w:szCs w:val="18"/>
              </w:rPr>
              <w:t xml:space="preserve">-PHY specifies the physical layer of </w:t>
            </w:r>
            <w:proofErr w:type="gramStart"/>
            <w:r>
              <w:rPr>
                <w:rFonts w:ascii="Verdana" w:eastAsia="Times New Roman" w:hAnsi="Verdana"/>
                <w:color w:val="000066"/>
                <w:sz w:val="18"/>
                <w:szCs w:val="18"/>
              </w:rPr>
              <w:t>high speed</w:t>
            </w:r>
            <w:proofErr w:type="gramEnd"/>
            <w:r>
              <w:rPr>
                <w:rFonts w:ascii="Verdana" w:eastAsia="Times New Roman" w:hAnsi="Verdana"/>
                <w:color w:val="000066"/>
                <w:sz w:val="18"/>
                <w:szCs w:val="18"/>
              </w:rPr>
              <w:t xml:space="preserve"> fibre-based in-premises (</w:t>
            </w:r>
            <w:proofErr w:type="spellStart"/>
            <w:r>
              <w:rPr>
                <w:rFonts w:ascii="Verdana" w:eastAsia="Times New Roman" w:hAnsi="Verdana"/>
                <w:color w:val="000066"/>
                <w:sz w:val="18"/>
                <w:szCs w:val="18"/>
              </w:rPr>
              <w:t>G.fin</w:t>
            </w:r>
            <w:proofErr w:type="spellEnd"/>
            <w:r>
              <w:rPr>
                <w:rFonts w:ascii="Verdana" w:eastAsia="Times New Roman" w:hAnsi="Verdana"/>
                <w:color w:val="000066"/>
                <w:sz w:val="18"/>
                <w:szCs w:val="18"/>
              </w:rPr>
              <w:t>) transceivers for applications in home and SME.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C9090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195ED9C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368A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729FEF" w14:textId="77777777" w:rsidR="00EB705F" w:rsidRDefault="009A3DC3" w:rsidP="00C9333D">
            <w:pPr>
              <w:jc w:val="center"/>
              <w:rPr>
                <w:rFonts w:ascii="Verdana" w:eastAsia="Times New Roman" w:hAnsi="Verdana"/>
                <w:color w:val="000066"/>
                <w:sz w:val="18"/>
                <w:szCs w:val="18"/>
              </w:rPr>
            </w:pPr>
            <w:hyperlink r:id="rId476" w:tooltip="See more details" w:history="1">
              <w:r w:rsidR="00EB705F">
                <w:rPr>
                  <w:rStyle w:val="Hyperlink"/>
                  <w:rFonts w:ascii="Verdana" w:eastAsia="Times New Roman" w:hAnsi="Verdana"/>
                  <w:sz w:val="18"/>
                  <w:szCs w:val="18"/>
                </w:rPr>
                <w:t>G.9960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6E57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138B3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System architecture and physical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1122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G.9960 belongs to the family of ITU-T G.996x Recommendations. Recommendation ITU-T G.9960 specifies the system architecture and physical (PHY) layer for wireline-based home networking transceivers which </w:t>
            </w:r>
            <w:proofErr w:type="gramStart"/>
            <w:r>
              <w:rPr>
                <w:rFonts w:ascii="Verdana" w:eastAsia="Times New Roman" w:hAnsi="Verdana"/>
                <w:color w:val="000066"/>
                <w:sz w:val="18"/>
                <w:szCs w:val="18"/>
              </w:rPr>
              <w:t>are capable of operating</w:t>
            </w:r>
            <w:proofErr w:type="gramEnd"/>
            <w:r>
              <w:rPr>
                <w:rFonts w:ascii="Verdana" w:eastAsia="Times New Roman" w:hAnsi="Verdana"/>
                <w:color w:val="000066"/>
                <w:sz w:val="18"/>
                <w:szCs w:val="18"/>
              </w:rPr>
              <w:t xml:space="preserve"> over premises' wiring, including inside telephone wiring, coaxial cable, and power-line wiring. It complements the data link layer (DLL) specification in Recommendation </w:t>
            </w:r>
            <w:proofErr w:type="gramStart"/>
            <w:r>
              <w:rPr>
                <w:rFonts w:ascii="Verdana" w:eastAsia="Times New Roman" w:hAnsi="Verdana"/>
                <w:color w:val="000066"/>
                <w:sz w:val="18"/>
                <w:szCs w:val="18"/>
              </w:rPr>
              <w:t>ITU?T</w:t>
            </w:r>
            <w:proofErr w:type="gramEnd"/>
            <w:r>
              <w:rPr>
                <w:rFonts w:ascii="Verdana" w:eastAsia="Times New Roman" w:hAnsi="Verdana"/>
                <w:color w:val="000066"/>
                <w:sz w:val="18"/>
                <w:szCs w:val="18"/>
              </w:rPr>
              <w:t xml:space="preserve"> G.9961, and the power spectral density (PSD) specification in Recommendation ITU-T G.9964. G.9960 (2023) comprises ITU-T G.9960 (2018) plus its Corrigendum 1, Amendment 1, Amendment 2, Corrigendum </w:t>
            </w:r>
            <w:proofErr w:type="gramStart"/>
            <w:r>
              <w:rPr>
                <w:rFonts w:ascii="Verdana" w:eastAsia="Times New Roman" w:hAnsi="Verdana"/>
                <w:color w:val="000066"/>
                <w:sz w:val="18"/>
                <w:szCs w:val="18"/>
              </w:rPr>
              <w:t>2</w:t>
            </w:r>
            <w:proofErr w:type="gramEnd"/>
            <w:r>
              <w:rPr>
                <w:rFonts w:ascii="Verdana" w:eastAsia="Times New Roman" w:hAnsi="Verdana"/>
                <w:color w:val="000066"/>
                <w:sz w:val="18"/>
                <w:szCs w:val="18"/>
              </w:rPr>
              <w:t xml:space="preserve"> and Amendment 3, along with the specification of a new PHY frame type for use by ITU-T G.9991. Amendment 1 to G.9960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B2331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890A98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D5EB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B6AF83" w14:textId="77777777" w:rsidR="00EB705F" w:rsidRDefault="009A3DC3" w:rsidP="00C9333D">
            <w:pPr>
              <w:jc w:val="center"/>
              <w:rPr>
                <w:rFonts w:ascii="Verdana" w:eastAsia="Times New Roman" w:hAnsi="Verdana"/>
                <w:color w:val="000066"/>
                <w:sz w:val="18"/>
                <w:szCs w:val="18"/>
              </w:rPr>
            </w:pPr>
            <w:hyperlink r:id="rId477" w:tooltip="See more details" w:history="1">
              <w:r w:rsidR="00EB705F">
                <w:rPr>
                  <w:rStyle w:val="Hyperlink"/>
                  <w:rFonts w:ascii="Verdana" w:eastAsia="Times New Roman" w:hAnsi="Verdana"/>
                  <w:sz w:val="18"/>
                  <w:szCs w:val="18"/>
                </w:rPr>
                <w:t>G.9961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7FD6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41E0F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Data link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61322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CD35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73D0A8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37F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F2957F" w14:textId="77777777" w:rsidR="00EB705F" w:rsidRDefault="009A3DC3" w:rsidP="00C9333D">
            <w:pPr>
              <w:jc w:val="center"/>
              <w:rPr>
                <w:rFonts w:ascii="Verdana" w:eastAsia="Times New Roman" w:hAnsi="Verdana"/>
                <w:color w:val="000066"/>
                <w:sz w:val="18"/>
                <w:szCs w:val="18"/>
              </w:rPr>
            </w:pPr>
            <w:hyperlink r:id="rId478" w:tooltip="See more details" w:history="1">
              <w:r w:rsidR="00EB705F">
                <w:rPr>
                  <w:rStyle w:val="Hyperlink"/>
                  <w:rFonts w:ascii="Verdana" w:eastAsia="Times New Roman" w:hAnsi="Verdana"/>
                  <w:sz w:val="18"/>
                  <w:szCs w:val="18"/>
                </w:rPr>
                <w:t>L.100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5E132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11E68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Optical fibre cables for duct and tunnel application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C6CD8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L.100/L.10 describes characteristics, construction, test methods and performance criteria of optical fibre cables installed by pulling method for duct and tunnel application. Note that Recommendation ITU-T L.10, Ed 3.0, was redesignated as ITU-T L.100/L.10, Ed 3.0, in February 2016. First,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demonstrate sufficient performance of an optical fibre cable, the characteristics that a cable should possess are described in this recommendation. Then, the methods of examining if whether a cable has the required characteristics are described in this recommendation. Therein, detailed performance criteria for a cable are recommended. Recommended technical requirements are detailed by reference to IEC 60794-3-11 on outdoor optical fibre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 This version of Recommendation L.100 adds the electrical continuity test for continuous metallic elements. Scope, References, Fibre dimensions, Annex A, and Bibliography are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8464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D2A15C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C8C23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D09406" w14:textId="77777777" w:rsidR="00EB705F" w:rsidRDefault="009A3DC3" w:rsidP="00C9333D">
            <w:pPr>
              <w:jc w:val="center"/>
              <w:rPr>
                <w:rFonts w:ascii="Verdana" w:eastAsia="Times New Roman" w:hAnsi="Verdana"/>
                <w:color w:val="000066"/>
                <w:sz w:val="18"/>
                <w:szCs w:val="18"/>
              </w:rPr>
            </w:pPr>
            <w:hyperlink r:id="rId479" w:tooltip="See more details" w:history="1">
              <w:r w:rsidR="00EB705F">
                <w:rPr>
                  <w:rStyle w:val="Hyperlink"/>
                  <w:rFonts w:ascii="Verdana" w:eastAsia="Times New Roman" w:hAnsi="Verdana"/>
                  <w:sz w:val="18"/>
                  <w:szCs w:val="18"/>
                </w:rPr>
                <w:t>L.109</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CB79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977F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Construction of optical/metallic hybrid cables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7CBF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L.109 describes cable construction and provides guidance for the use of optical/metallic hybrid cable, which contains both optical fibres and metallic wires for telecommunication and/or power feeding. Technical requirements may differ according to the installation environment. Environmental issues and test methods for cable characteristics are described in other L-series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CBCAA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8C5BFE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2341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E5CE4B" w14:textId="77777777" w:rsidR="00EB705F" w:rsidRDefault="009A3DC3" w:rsidP="00C9333D">
            <w:pPr>
              <w:jc w:val="center"/>
              <w:rPr>
                <w:rFonts w:ascii="Verdana" w:eastAsia="Times New Roman" w:hAnsi="Verdana"/>
                <w:color w:val="000066"/>
                <w:sz w:val="18"/>
                <w:szCs w:val="18"/>
              </w:rPr>
            </w:pPr>
            <w:hyperlink r:id="rId480" w:tooltip="See more details" w:history="1">
              <w:r w:rsidR="00EB705F">
                <w:rPr>
                  <w:rStyle w:val="Hyperlink"/>
                  <w:rFonts w:ascii="Verdana" w:eastAsia="Times New Roman" w:hAnsi="Verdana"/>
                  <w:sz w:val="18"/>
                  <w:szCs w:val="18"/>
                </w:rPr>
                <w:t>L.250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27EE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07136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Topologies for optical access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1486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L.250 (ex L.90) describes the optical access network to be used in the design and construction of fibre to the x (</w:t>
            </w:r>
            <w:proofErr w:type="spellStart"/>
            <w:r>
              <w:rPr>
                <w:rFonts w:ascii="Verdana" w:eastAsia="Times New Roman" w:hAnsi="Verdana"/>
                <w:color w:val="000066"/>
                <w:sz w:val="18"/>
                <w:szCs w:val="18"/>
              </w:rPr>
              <w:t>FTTx</w:t>
            </w:r>
            <w:proofErr w:type="spellEnd"/>
            <w:r>
              <w:rPr>
                <w:rFonts w:ascii="Verdana" w:eastAsia="Times New Roman" w:hAnsi="Verdana"/>
                <w:color w:val="000066"/>
                <w:sz w:val="18"/>
                <w:szCs w:val="18"/>
              </w:rPr>
              <w:t>), centralized- radio access networks (C-RAN) for mobile communications, and other network services. It deals mainly with access network architectures and the upgrading or new deployment of optical fibre to optical access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C3E21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85CCD5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5F23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FD355" w14:textId="77777777" w:rsidR="00EB705F" w:rsidRDefault="009A3DC3" w:rsidP="00C9333D">
            <w:pPr>
              <w:jc w:val="center"/>
              <w:rPr>
                <w:rFonts w:ascii="Verdana" w:eastAsia="Times New Roman" w:hAnsi="Verdana"/>
                <w:color w:val="000066"/>
                <w:sz w:val="18"/>
                <w:szCs w:val="18"/>
              </w:rPr>
            </w:pPr>
            <w:hyperlink r:id="rId481" w:tooltip="See more details" w:history="1">
              <w:r w:rsidR="00EB705F">
                <w:rPr>
                  <w:rStyle w:val="Hyperlink"/>
                  <w:rFonts w:ascii="Verdana" w:eastAsia="Times New Roman" w:hAnsi="Verdana"/>
                  <w:sz w:val="18"/>
                  <w:szCs w:val="18"/>
                </w:rPr>
                <w:t>L.312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EB2D2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304A1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Optical fibre cable maintenance support, monitoring and testing system for optical fibre cable networks carrying high total optical power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97708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ITU-T Recommendation L.312 describes the functional requirements for optical fibre cable maintenance systems for optical fibre cable carrying a high total optical power. It also considers safety procedures and guidelines for the maintenance of outside optical fibre plant carrying a high total optical power.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C3F36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D29C40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3F76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9FAD13"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"http://www.itu.int/itu-t/workprog/wp_item.aspx?isn=17629" \o "See more details"</w:instrText>
            </w:r>
            <w:r>
              <w:fldChar w:fldCharType="separate"/>
            </w:r>
            <w:proofErr w:type="spellStart"/>
            <w:r w:rsidR="00EB705F" w:rsidRPr="002A010F">
              <w:rPr>
                <w:rStyle w:val="Hyperlink"/>
                <w:rFonts w:ascii="Verdana" w:eastAsia="Times New Roman" w:hAnsi="Verdana"/>
                <w:sz w:val="18"/>
                <w:szCs w:val="18"/>
                <w:lang w:val="fr-FR"/>
              </w:rPr>
              <w:t>F.748.23</w:t>
            </w:r>
            <w:proofErr w:type="spellEnd"/>
            <w:r w:rsidR="00EB705F" w:rsidRPr="002A010F">
              <w:rPr>
                <w:rStyle w:val="Hyperlink"/>
                <w:rFonts w:ascii="Verdana" w:eastAsia="Times New Roman" w:hAnsi="Verdana"/>
                <w:sz w:val="18"/>
                <w:szCs w:val="18"/>
                <w:lang w:val="fr-FR"/>
              </w:rPr>
              <w:t xml:space="preserve"> (</w:t>
            </w:r>
            <w:proofErr w:type="gramStart"/>
            <w:r w:rsidR="00EB705F" w:rsidRPr="002A010F">
              <w:rPr>
                <w:rStyle w:val="Hyperlink"/>
                <w:rFonts w:ascii="Verdana" w:eastAsia="Times New Roman" w:hAnsi="Verdana"/>
                <w:sz w:val="18"/>
                <w:szCs w:val="18"/>
                <w:lang w:val="fr-FR"/>
              </w:rPr>
              <w:t>ex F</w:t>
            </w:r>
            <w:proofErr w:type="gramEnd"/>
            <w:r w:rsidR="00EB705F" w:rsidRPr="002A010F">
              <w:rPr>
                <w:rStyle w:val="Hyperlink"/>
                <w:rFonts w:ascii="Verdana" w:eastAsia="Times New Roman" w:hAnsi="Verdana"/>
                <w:sz w:val="18"/>
                <w:szCs w:val="18"/>
                <w:lang w:val="fr-FR"/>
              </w:rPr>
              <w:t>.ML-</w:t>
            </w:r>
            <w:proofErr w:type="spellStart"/>
            <w:r w:rsidR="00EB705F" w:rsidRPr="002A010F">
              <w:rPr>
                <w:rStyle w:val="Hyperlink"/>
                <w:rFonts w:ascii="Verdana" w:eastAsia="Times New Roman" w:hAnsi="Verdana"/>
                <w:sz w:val="18"/>
                <w:szCs w:val="18"/>
                <w:lang w:val="fr-FR"/>
              </w:rPr>
              <w:t>ICSMIReqs</w:t>
            </w:r>
            <w:proofErr w:type="spellEnd"/>
            <w:r w:rsidR="00EB705F" w:rsidRPr="002A010F">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BFBD7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D573E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framework for intelligent crowd sensing multimedia interaction based on deep learning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C125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AI techniques can greatly improve the efficiency and effectiveness of crowd sensing tasks execution and enable intelligent multimedia interaction in crowd sensing. This recommendation outlines specific scenarios for crowd sensing multimedia interaction that leverage AI techniques, and subsequently defines the corresponding requirements and framework in detail.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7D6D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6A33C66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523D2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00B757"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"http://www.itu.int/itu-t/workprog/wp_item.aspx?isn=17619" \o "See more details"</w:instrText>
            </w:r>
            <w:r>
              <w:fldChar w:fldCharType="separate"/>
            </w:r>
            <w:r w:rsidR="00EB705F" w:rsidRPr="002A010F">
              <w:rPr>
                <w:rStyle w:val="Hyperlink"/>
                <w:rFonts w:ascii="Verdana" w:eastAsia="Times New Roman" w:hAnsi="Verdana"/>
                <w:sz w:val="18"/>
                <w:szCs w:val="18"/>
                <w:lang w:val="fr-FR"/>
              </w:rPr>
              <w:t xml:space="preserve">F.748.24 (ex </w:t>
            </w:r>
            <w:proofErr w:type="gramStart"/>
            <w:r w:rsidR="00EB705F" w:rsidRPr="002A010F">
              <w:rPr>
                <w:rStyle w:val="Hyperlink"/>
                <w:rFonts w:ascii="Verdana" w:eastAsia="Times New Roman" w:hAnsi="Verdana"/>
                <w:sz w:val="18"/>
                <w:szCs w:val="18"/>
                <w:lang w:val="fr-FR"/>
              </w:rPr>
              <w:t>F.TCEF</w:t>
            </w:r>
            <w:proofErr w:type="gramEnd"/>
            <w:r w:rsidR="00EB705F" w:rsidRPr="002A010F">
              <w:rPr>
                <w:rStyle w:val="Hyperlink"/>
                <w:rFonts w:ascii="Verdana" w:eastAsia="Times New Roman" w:hAnsi="Verdana"/>
                <w:sz w:val="18"/>
                <w:szCs w:val="18"/>
                <w:lang w:val="fr-FR"/>
              </w:rPr>
              <w:t>-FML)</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866A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2177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Trusted contribution evaluation framework on federated machine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0BF21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Federated machine learning (FML) is an emerging distributed framework that enables collaborative machine learning (ML) and model construction across distributed and decentralized datasets. FML service has distinctive features, such as where is the data where is the calculation, and data is available but not visible. It allows participants to jointly training ML models without sharing raw data, which can technically break data isolation and promote cooperation among the data owners. FML service involves multiple participants who usually perform different contributions to ML model training tasks due to many impact factors of the participants. An effective and trusted contribution evaluation mechanism for FML service is essential to increase participation of the parties involved and can promote the sustainable development of FML services. This Recommendation introduces a trusted contribution evaluation service on federated machine learning service which converges and takes advantage the technologies of FML and DLT, and provides relevant concept, characteristics, and requirements and use cases, and specifies relevant reference framework and common capabilities.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5475B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3F1BEC1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4EC1E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723B2C"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"http://www.itu.int/itu-t/workprog/wp_item.aspx?isn=17592" \o "See more details"</w:instrText>
            </w:r>
            <w:r>
              <w:fldChar w:fldCharType="separate"/>
            </w:r>
            <w:proofErr w:type="spellStart"/>
            <w:r w:rsidR="00EB705F" w:rsidRPr="002A010F">
              <w:rPr>
                <w:rStyle w:val="Hyperlink"/>
                <w:rFonts w:ascii="Verdana" w:eastAsia="Times New Roman" w:hAnsi="Verdana"/>
                <w:sz w:val="18"/>
                <w:szCs w:val="18"/>
                <w:lang w:val="fr-FR"/>
              </w:rPr>
              <w:t>F.749.17</w:t>
            </w:r>
            <w:proofErr w:type="spellEnd"/>
            <w:r w:rsidR="00EB705F" w:rsidRPr="002A010F">
              <w:rPr>
                <w:rStyle w:val="Hyperlink"/>
                <w:rFonts w:ascii="Verdana" w:eastAsia="Times New Roman" w:hAnsi="Verdana"/>
                <w:sz w:val="18"/>
                <w:szCs w:val="18"/>
                <w:lang w:val="fr-FR"/>
              </w:rPr>
              <w:t xml:space="preserve"> (ex </w:t>
            </w:r>
            <w:proofErr w:type="spellStart"/>
            <w:proofErr w:type="gramStart"/>
            <w:r w:rsidR="00EB705F" w:rsidRPr="002A010F">
              <w:rPr>
                <w:rStyle w:val="Hyperlink"/>
                <w:rFonts w:ascii="Verdana" w:eastAsia="Times New Roman" w:hAnsi="Verdana"/>
                <w:sz w:val="18"/>
                <w:szCs w:val="18"/>
                <w:lang w:val="fr-FR"/>
              </w:rPr>
              <w:t>F.CUAV</w:t>
            </w:r>
            <w:proofErr w:type="gramEnd"/>
            <w:r w:rsidR="00EB705F" w:rsidRPr="002A010F">
              <w:rPr>
                <w:rStyle w:val="Hyperlink"/>
                <w:rFonts w:ascii="Verdana" w:eastAsia="Times New Roman" w:hAnsi="Verdana"/>
                <w:sz w:val="18"/>
                <w:szCs w:val="18"/>
                <w:lang w:val="fr-FR"/>
              </w:rPr>
              <w:t>-MVAreqs</w:t>
            </w:r>
            <w:proofErr w:type="spellEnd"/>
            <w:r w:rsidR="00EB705F" w:rsidRPr="002A010F">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54E8E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78426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machine vision-based civilian unmanned aerial vehicle applications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9965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At present, civilian unmanned aerial vehicles (CUAV) are widely used in many fields such as agriculture and plant protection, power line and petroleum pipeline inspection, traffic security monitoring, etc. Machine vision is to use machines instead of human eyes to measure and judge. Machine vision applied to CUAV is a type of signal processing to acquire, process and interpret the image / video for supporting visual analysis to provide applications and flight control of CUAV such as automatic inspection and monitoring, flight guidance and obstacle avoidance. This Recommendation provides the requirements for CUAV application and flight control based on machine vision.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BB7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06D41F0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3CFD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52A55"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"http://www.itu.int/itu-t/workprog/wp_item.aspx?isn=17646" \o "See more details"</w:instrText>
            </w:r>
            <w:r>
              <w:fldChar w:fldCharType="separate"/>
            </w:r>
            <w:r w:rsidR="00EB705F" w:rsidRPr="002A010F">
              <w:rPr>
                <w:rStyle w:val="Hyperlink"/>
                <w:rFonts w:ascii="Verdana" w:eastAsia="Times New Roman" w:hAnsi="Verdana"/>
                <w:sz w:val="18"/>
                <w:szCs w:val="18"/>
                <w:lang w:val="fr-FR"/>
              </w:rPr>
              <w:t>F.760.2 (</w:t>
            </w:r>
            <w:proofErr w:type="gramStart"/>
            <w:r w:rsidR="00EB705F" w:rsidRPr="002A010F">
              <w:rPr>
                <w:rStyle w:val="Hyperlink"/>
                <w:rFonts w:ascii="Verdana" w:eastAsia="Times New Roman" w:hAnsi="Verdana"/>
                <w:sz w:val="18"/>
                <w:szCs w:val="18"/>
                <w:lang w:val="fr-FR"/>
              </w:rPr>
              <w:t>ex F</w:t>
            </w:r>
            <w:proofErr w:type="gramEnd"/>
            <w:r w:rsidR="00EB705F" w:rsidRPr="002A010F">
              <w:rPr>
                <w:rStyle w:val="Hyperlink"/>
                <w:rFonts w:ascii="Verdana" w:eastAsia="Times New Roman" w:hAnsi="Verdana"/>
                <w:sz w:val="18"/>
                <w:szCs w:val="18"/>
                <w:lang w:val="fr-FR"/>
              </w:rPr>
              <w:t>.FR-ERSS)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5BFC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AA79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user interface of first responders in emergency response support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BCF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requirements for the user interface for first responders in emergency response support systems, which facilitates the use of information and devices supporting the activities of first responders at the scene of an emergency. This Recommendation identifies the human factors in emergency response services and the user interface requirement in emergency response support systems based on the characteristics of first response activities. These user interface requirements are specified to support the functional modules and usability of emergency response support systems for first responders. By meeting these requirements, developers can create user interfaces that are optimized to support the needs and tasks of first responders, resulting in more effective and efficient use of the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BDE3A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0457474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7AF8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4BEC8"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"http://www.itu.int/itu-t/workprog/wp_item.aspx?isn=17478" \o "See more details"</w:instrText>
            </w:r>
            <w:r>
              <w:fldChar w:fldCharType="separate"/>
            </w:r>
            <w:r w:rsidR="00EB705F" w:rsidRPr="002A010F">
              <w:rPr>
                <w:rStyle w:val="Hyperlink"/>
                <w:rFonts w:ascii="Verdana" w:eastAsia="Times New Roman" w:hAnsi="Verdana"/>
                <w:sz w:val="18"/>
                <w:szCs w:val="18"/>
                <w:lang w:val="fr-FR"/>
              </w:rPr>
              <w:t xml:space="preserve">H.741.5 (ex </w:t>
            </w:r>
            <w:proofErr w:type="gramStart"/>
            <w:r w:rsidR="00EB705F" w:rsidRPr="002A010F">
              <w:rPr>
                <w:rStyle w:val="Hyperlink"/>
                <w:rFonts w:ascii="Verdana" w:eastAsia="Times New Roman" w:hAnsi="Verdana"/>
                <w:sz w:val="18"/>
                <w:szCs w:val="18"/>
                <w:lang w:val="fr-FR"/>
              </w:rPr>
              <w:t>H.IPTV</w:t>
            </w:r>
            <w:proofErr w:type="gramEnd"/>
            <w:r w:rsidR="00EB705F" w:rsidRPr="002A010F">
              <w:rPr>
                <w:rStyle w:val="Hyperlink"/>
                <w:rFonts w:ascii="Verdana" w:eastAsia="Times New Roman" w:hAnsi="Verdana"/>
                <w:sz w:val="18"/>
                <w:szCs w:val="18"/>
                <w:lang w:val="fr-FR"/>
              </w:rPr>
              <w:t>-PS)</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A7CD1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74657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Application event handling: Overall aspects of personalized IPTV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56C3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 personalized IPTV service is an example of application event handling. With the end-user’s permission, service providers are allowed to provide personalized service, such as contents recommendation, personalized user interface, personalized </w:t>
            </w:r>
            <w:proofErr w:type="gramStart"/>
            <w:r>
              <w:rPr>
                <w:rFonts w:ascii="Verdana" w:eastAsia="Times New Roman" w:hAnsi="Verdana"/>
                <w:color w:val="000066"/>
                <w:sz w:val="18"/>
                <w:szCs w:val="18"/>
              </w:rPr>
              <w:t>advertisement</w:t>
            </w:r>
            <w:proofErr w:type="gramEnd"/>
            <w:r>
              <w:rPr>
                <w:rFonts w:ascii="Verdana" w:eastAsia="Times New Roman" w:hAnsi="Verdana"/>
                <w:color w:val="000066"/>
                <w:sz w:val="18"/>
                <w:szCs w:val="18"/>
              </w:rPr>
              <w:t xml:space="preserve"> and some interactive services. Application can be realized based on the existing IPTV architecture to help in providing various kinds of IPTV personalized services. This work item is intended to study the requirement of personalized IPTV service and describe some use cases.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50F4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701B12A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56EC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A250A" w14:textId="77777777" w:rsidR="00EB705F" w:rsidRDefault="009A3DC3" w:rsidP="00C9333D">
            <w:pPr>
              <w:jc w:val="center"/>
              <w:rPr>
                <w:rFonts w:ascii="Verdana" w:eastAsia="Times New Roman" w:hAnsi="Verdana"/>
                <w:color w:val="000066"/>
                <w:sz w:val="18"/>
                <w:szCs w:val="18"/>
              </w:rPr>
            </w:pPr>
            <w:hyperlink r:id="rId482" w:tooltip="See more details" w:history="1">
              <w:proofErr w:type="spellStart"/>
              <w:r w:rsidR="00EB705F">
                <w:rPr>
                  <w:rStyle w:val="Hyperlink"/>
                  <w:rFonts w:ascii="Verdana" w:eastAsia="Times New Roman" w:hAnsi="Verdana"/>
                  <w:sz w:val="18"/>
                  <w:szCs w:val="18"/>
                </w:rPr>
                <w:t>F.742.2</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H.DLFrm</w:t>
              </w:r>
              <w:proofErr w:type="spellEnd"/>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FBDE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8FF33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distance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72E1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functional architecture for distance learning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D0D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0B3220A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A6C82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58C725" w14:textId="77777777" w:rsidR="00EB705F" w:rsidRPr="002A010F" w:rsidRDefault="009A3DC3" w:rsidP="00C9333D">
            <w:pPr>
              <w:jc w:val="center"/>
              <w:rPr>
                <w:rFonts w:ascii="Verdana" w:eastAsia="Times New Roman" w:hAnsi="Verdana"/>
                <w:color w:val="000066"/>
                <w:sz w:val="18"/>
                <w:szCs w:val="18"/>
                <w:lang w:val="fr-FR"/>
              </w:rPr>
            </w:pPr>
            <w:hyperlink r:id="rId483" w:tooltip="See more details" w:history="1">
              <w:r w:rsidR="00EB705F" w:rsidRPr="002A010F">
                <w:rPr>
                  <w:rStyle w:val="Hyperlink"/>
                  <w:rFonts w:ascii="Verdana" w:eastAsia="Times New Roman" w:hAnsi="Verdana"/>
                  <w:sz w:val="18"/>
                  <w:szCs w:val="18"/>
                  <w:lang w:val="fr-FR"/>
                </w:rPr>
                <w:t>F.748.27 (ex F.3DIDH-reqts)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DCCD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D2F8E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and requirements for the construction of 3D intelligent driven digital human application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A33FF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With the advancement of modelling, driving, rendering and interactive technologies, an increasing number of new services and applications involving 3D intelligent driven digital humans are emerging. This Recommendation outlines the framework and requirements for the construction of 3D intelligent driven digital human application systems. It defines the concept, related </w:t>
            </w:r>
            <w:proofErr w:type="gramStart"/>
            <w:r>
              <w:rPr>
                <w:rFonts w:ascii="Verdana" w:eastAsia="Times New Roman" w:hAnsi="Verdana"/>
                <w:color w:val="000066"/>
                <w:sz w:val="18"/>
                <w:szCs w:val="18"/>
              </w:rPr>
              <w:t>terms</w:t>
            </w:r>
            <w:proofErr w:type="gramEnd"/>
            <w:r>
              <w:rPr>
                <w:rFonts w:ascii="Verdana" w:eastAsia="Times New Roman" w:hAnsi="Verdana"/>
                <w:color w:val="000066"/>
                <w:sz w:val="18"/>
                <w:szCs w:val="18"/>
              </w:rPr>
              <w:t xml:space="preserve"> and fundamental functions of 3D intelligent driven digital human to specify the framework of 3D intelligent driven digital human application systems, including image generation, speech generation, animation generation, interaction processing, multimodal input and output modules with its specified functions and construction requirements. In addition, the appendix presents some use cases of workflow of 3D intelligent driven digital human.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980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25C9EFF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1AF2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D3C21A" w14:textId="77777777" w:rsidR="00EB705F" w:rsidRPr="002A010F" w:rsidRDefault="009A3DC3" w:rsidP="00C9333D">
            <w:pPr>
              <w:jc w:val="center"/>
              <w:rPr>
                <w:rFonts w:ascii="Verdana" w:eastAsia="Times New Roman" w:hAnsi="Verdana"/>
                <w:color w:val="000066"/>
                <w:sz w:val="18"/>
                <w:szCs w:val="18"/>
                <w:lang w:val="fr-FR"/>
              </w:rPr>
            </w:pPr>
            <w:hyperlink r:id="rId484" w:tooltip="See more details" w:history="1">
              <w:proofErr w:type="spellStart"/>
              <w:r w:rsidR="00EB705F" w:rsidRPr="002A010F">
                <w:rPr>
                  <w:rStyle w:val="Hyperlink"/>
                  <w:rFonts w:ascii="Verdana" w:eastAsia="Times New Roman" w:hAnsi="Verdana"/>
                  <w:sz w:val="18"/>
                  <w:szCs w:val="18"/>
                  <w:lang w:val="fr-FR"/>
                </w:rPr>
                <w:t>F.749.7</w:t>
              </w:r>
              <w:proofErr w:type="spellEnd"/>
              <w:r w:rsidR="00EB705F" w:rsidRPr="002A010F">
                <w:rPr>
                  <w:rStyle w:val="Hyperlink"/>
                  <w:rFonts w:ascii="Verdana" w:eastAsia="Times New Roman" w:hAnsi="Verdana"/>
                  <w:sz w:val="18"/>
                  <w:szCs w:val="18"/>
                  <w:lang w:val="fr-FR"/>
                </w:rPr>
                <w:t xml:space="preserve"> (ex </w:t>
              </w:r>
              <w:proofErr w:type="spellStart"/>
              <w:r w:rsidR="00EB705F" w:rsidRPr="002A010F">
                <w:rPr>
                  <w:rStyle w:val="Hyperlink"/>
                  <w:rFonts w:ascii="Verdana" w:eastAsia="Times New Roman" w:hAnsi="Verdana"/>
                  <w:sz w:val="18"/>
                  <w:szCs w:val="18"/>
                  <w:lang w:val="fr-FR"/>
                </w:rPr>
                <w:t>F.VGP-RDSreqs</w:t>
              </w:r>
              <w:proofErr w:type="spellEnd"/>
              <w:r w:rsidR="00EB705F" w:rsidRPr="002A010F">
                <w:rPr>
                  <w:rStyle w:val="Hyperlink"/>
                  <w:rFonts w:ascii="Verdana" w:eastAsia="Times New Roman" w:hAnsi="Verdana"/>
                  <w:sz w:val="18"/>
                  <w:szCs w:val="18"/>
                  <w:lang w:val="fr-FR"/>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CA2C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104DB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remote driving service based on vehicle gateway platform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81733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At present, based on the high bandwidth, low latency, high reliability IMT-2020 networks, the remote driving can solve the road conditions that the automated driving system has not solved or has not encountered before. Remote driving service involves communication networks, road infrastructure, remote cockpit, perception devices carried by motor vehicles and service, and application processing platform. Remote driving will greatly reduce the cost of manned </w:t>
            </w:r>
            <w:proofErr w:type="gramStart"/>
            <w:r>
              <w:rPr>
                <w:rFonts w:ascii="Verdana" w:eastAsia="Times New Roman" w:hAnsi="Verdana"/>
                <w:color w:val="000066"/>
                <w:sz w:val="18"/>
                <w:szCs w:val="18"/>
              </w:rPr>
              <w:t>driving, and</w:t>
            </w:r>
            <w:proofErr w:type="gramEnd"/>
            <w:r>
              <w:rPr>
                <w:rFonts w:ascii="Verdana" w:eastAsia="Times New Roman" w:hAnsi="Verdana"/>
                <w:color w:val="000066"/>
                <w:sz w:val="18"/>
                <w:szCs w:val="18"/>
              </w:rPr>
              <w:t xml:space="preserve"> improve the driving efficiency of human drivers. This document provides the requirements for remote driving service based on vehicle gateway platform.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2DDED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2E3366B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0789C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CA5B3"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"http://www.itu.int/itu-t/workprog/wp_item.aspx?isn=17611" \o "See more details"</w:instrText>
            </w:r>
            <w:r>
              <w:fldChar w:fldCharType="separate"/>
            </w:r>
            <w:r w:rsidR="00EB705F" w:rsidRPr="002A010F">
              <w:rPr>
                <w:rStyle w:val="Hyperlink"/>
                <w:rFonts w:ascii="Verdana" w:eastAsia="Times New Roman" w:hAnsi="Verdana"/>
                <w:sz w:val="18"/>
                <w:szCs w:val="18"/>
                <w:lang w:val="fr-FR"/>
              </w:rPr>
              <w:t xml:space="preserve">F.749.8 (ex </w:t>
            </w:r>
            <w:proofErr w:type="gramStart"/>
            <w:r w:rsidR="00EB705F" w:rsidRPr="002A010F">
              <w:rPr>
                <w:rStyle w:val="Hyperlink"/>
                <w:rFonts w:ascii="Verdana" w:eastAsia="Times New Roman" w:hAnsi="Verdana"/>
                <w:sz w:val="18"/>
                <w:szCs w:val="18"/>
                <w:lang w:val="fr-FR"/>
              </w:rPr>
              <w:t>H.VMMA</w:t>
            </w:r>
            <w:proofErr w:type="gramEnd"/>
            <w:r w:rsidR="00EB705F" w:rsidRPr="002A010F">
              <w:rPr>
                <w:rStyle w:val="Hyperlink"/>
                <w:rFonts w:ascii="Verdana" w:eastAsia="Times New Roman" w:hAnsi="Verdana"/>
                <w:sz w:val="18"/>
                <w:szCs w:val="18"/>
                <w:lang w:val="fr-FR"/>
              </w:rPr>
              <w:t>-FCR)</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ADB62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31757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In-vehicle multimedia applets: Framework and functional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54A9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describes the VMMA concept, the VMMA framework, the functional requirements, the functional </w:t>
            </w:r>
            <w:proofErr w:type="gramStart"/>
            <w:r>
              <w:rPr>
                <w:rFonts w:ascii="Verdana" w:eastAsia="Times New Roman" w:hAnsi="Verdana"/>
                <w:color w:val="000066"/>
                <w:sz w:val="18"/>
                <w:szCs w:val="18"/>
              </w:rPr>
              <w:t>APIs</w:t>
            </w:r>
            <w:proofErr w:type="gramEnd"/>
            <w:r>
              <w:rPr>
                <w:rFonts w:ascii="Verdana" w:eastAsia="Times New Roman" w:hAnsi="Verdana"/>
                <w:color w:val="000066"/>
                <w:sz w:val="18"/>
                <w:szCs w:val="18"/>
              </w:rPr>
              <w:t xml:space="preserve"> and the reference parameters. Some detailed use cases and reference APIs are described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BCAC8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1D6782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7A89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0B47E1" w14:textId="77777777" w:rsidR="00EB705F" w:rsidRDefault="009A3DC3" w:rsidP="00C9333D">
            <w:pPr>
              <w:jc w:val="center"/>
              <w:rPr>
                <w:rFonts w:ascii="Verdana" w:eastAsia="Times New Roman" w:hAnsi="Verdana"/>
                <w:color w:val="000066"/>
                <w:sz w:val="18"/>
                <w:szCs w:val="18"/>
              </w:rPr>
            </w:pPr>
            <w:hyperlink r:id="rId485" w:tooltip="See more details" w:history="1">
              <w:r w:rsidR="00EB705F">
                <w:rPr>
                  <w:rStyle w:val="Hyperlink"/>
                  <w:rFonts w:ascii="Verdana" w:eastAsia="Times New Roman" w:hAnsi="Verdana"/>
                  <w:sz w:val="18"/>
                  <w:szCs w:val="18"/>
                </w:rPr>
                <w:t>H.431.1 (ex H.CVR-FA)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D13D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3EE0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cloud virtual reality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5E9E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is as the subsequent Recommendation of ITU-T F.746.14, specifies the functional architecture of cloud virtual reality systems. It describes the overall functional architecture including control layer, resource layer, network layer, terminal layer, OA&amp;</w:t>
            </w:r>
            <w:proofErr w:type="gramStart"/>
            <w:r>
              <w:rPr>
                <w:rFonts w:ascii="Verdana" w:eastAsia="Times New Roman" w:hAnsi="Verdana"/>
                <w:color w:val="000066"/>
                <w:sz w:val="18"/>
                <w:szCs w:val="18"/>
              </w:rPr>
              <w:t>M</w:t>
            </w:r>
            <w:proofErr w:type="gramEnd"/>
            <w:r>
              <w:rPr>
                <w:rFonts w:ascii="Verdana" w:eastAsia="Times New Roman" w:hAnsi="Verdana"/>
                <w:color w:val="000066"/>
                <w:sz w:val="18"/>
                <w:szCs w:val="18"/>
              </w:rPr>
              <w:t xml:space="preserve"> and security. This Recommendation also describes the basic functions of each layer, such as by unified scheduling/technology integration/content distribution of the control layer, cloud-based operation on the resource layer and high-quality transmission by the network layer, the cloud VR content can be run concurrently based on the cloud and is distributed to the terminal for presentation.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5B37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70E034B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FC326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25935F" w14:textId="77777777" w:rsidR="00EB705F" w:rsidRPr="002A010F" w:rsidRDefault="009A3DC3" w:rsidP="00C9333D">
            <w:pPr>
              <w:jc w:val="center"/>
              <w:rPr>
                <w:rFonts w:ascii="Verdana" w:eastAsia="Times New Roman" w:hAnsi="Verdana"/>
                <w:color w:val="000066"/>
                <w:sz w:val="18"/>
                <w:szCs w:val="18"/>
                <w:lang w:val="fr-FR"/>
              </w:rPr>
            </w:pPr>
            <w:hyperlink r:id="rId486" w:tooltip="See more details" w:history="1">
              <w:r w:rsidR="00EB705F" w:rsidRPr="002A010F">
                <w:rPr>
                  <w:rStyle w:val="Hyperlink"/>
                  <w:rFonts w:ascii="Verdana" w:eastAsia="Times New Roman" w:hAnsi="Verdana"/>
                  <w:sz w:val="18"/>
                  <w:szCs w:val="18"/>
                  <w:lang w:val="fr-FR"/>
                </w:rPr>
                <w:t>H.552 (ex H.VM-VMIA)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937F1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7ED46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Implementation of vehicular multimedia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6EE0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ITU Recommendation defines essential requirements to implement Vehicular Multimedia Systems, with requirements, provided in the clause 6, addressing four main aspects of vehicular multimedia systems: The connectivity aspect in the clause 6.1, providing essential standard references and specific performance requirement for the vehicular environment, the HMI aspects in clause 6.2, dealing with voice assistant and auditory interaction requirements, the media format and control aspects in clause 6.3, providing standard references for different types of media for Vehicular Multimedia Systems, and the Smartphone infotainment assistant aspects are provided in clause 6.4, with requirement related to the interface architecture between Smartphones and the Vehicular Multimedia Systems, as well as performance requirements to provide a fair level of User Experience Two appendixes provide additional informative recommendations to implement Vehicular Multimedia Systems: Appendix I provides RF performance criteria for WLAN and user performance testing scenarios for WLAN and WPAN connectivity, Appendix II provides recommendation for implementing a Diagnostic Interface for tuning the Voice Assistant functionalities.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633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279C406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53FC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913A2" w14:textId="77777777" w:rsidR="00EB705F" w:rsidRDefault="009A3DC3" w:rsidP="00C9333D">
            <w:pPr>
              <w:jc w:val="center"/>
              <w:rPr>
                <w:rFonts w:ascii="Verdana" w:eastAsia="Times New Roman" w:hAnsi="Verdana"/>
                <w:color w:val="000066"/>
                <w:sz w:val="18"/>
                <w:szCs w:val="18"/>
              </w:rPr>
            </w:pPr>
            <w:hyperlink r:id="rId487" w:tooltip="See more details" w:history="1">
              <w:proofErr w:type="spellStart"/>
              <w:r w:rsidR="00EB705F">
                <w:rPr>
                  <w:rStyle w:val="Hyperlink"/>
                  <w:rFonts w:ascii="Verdana" w:eastAsia="Times New Roman" w:hAnsi="Verdana"/>
                  <w:sz w:val="18"/>
                  <w:szCs w:val="18"/>
                </w:rPr>
                <w:t>F.780.5</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F.TMonRDH</w:t>
              </w:r>
              <w:proofErr w:type="spellEnd"/>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2D4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0DA8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reference framework and use cases for telemonitoring systems in rapid deployment hospitals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AC3B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Recommendation describes the application scenarios, functional requirements, and reference architecture of telemonitoring systems in RDHs and applies them into their planning and designing in RDHs. The appendix to this Recommendation includes some use cases of the proposed reference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190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5C52B72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5F203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636FF6" w14:textId="77777777" w:rsidR="00EB705F" w:rsidRDefault="009A3DC3" w:rsidP="00C9333D">
            <w:pPr>
              <w:jc w:val="center"/>
              <w:rPr>
                <w:rFonts w:ascii="Verdana" w:eastAsia="Times New Roman" w:hAnsi="Verdana"/>
                <w:color w:val="000066"/>
                <w:sz w:val="18"/>
                <w:szCs w:val="18"/>
              </w:rPr>
            </w:pPr>
            <w:hyperlink r:id="rId488" w:tooltip="See more details" w:history="1">
              <w:r w:rsidR="00EB705F">
                <w:rPr>
                  <w:rStyle w:val="Hyperlink"/>
                  <w:rFonts w:ascii="Verdana" w:eastAsia="Times New Roman" w:hAnsi="Verdana"/>
                  <w:sz w:val="18"/>
                  <w:szCs w:val="18"/>
                </w:rPr>
                <w:t>H.861.0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CB20F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BD3D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on communication platform for multimedia brain information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F1704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H.861.0 describes a conceptual ecosystem intended to exchange brain data based on communication platform requirements and definitions. Starting from a background of brain data exchange in the context of e-health, a functional framework model for a multimedia brain information platform (MBI-PF) is outlined. This model is then developed into a set of communication platforms which enable not only experts but also non-experts to utilize brain data for monitoring and maintaining health status of the brain.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C144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338953D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48C7A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1F4660" w14:textId="77777777" w:rsidR="00EB705F" w:rsidRDefault="009A3DC3" w:rsidP="00C9333D">
            <w:pPr>
              <w:jc w:val="center"/>
              <w:rPr>
                <w:rFonts w:ascii="Verdana" w:eastAsia="Times New Roman" w:hAnsi="Verdana"/>
                <w:color w:val="000066"/>
                <w:sz w:val="18"/>
                <w:szCs w:val="18"/>
              </w:rPr>
            </w:pPr>
            <w:hyperlink r:id="rId489" w:tooltip="See more details" w:history="1">
              <w:r w:rsidR="00EB705F">
                <w:rPr>
                  <w:rStyle w:val="Hyperlink"/>
                  <w:rFonts w:ascii="Verdana" w:eastAsia="Times New Roman" w:hAnsi="Verdana"/>
                  <w:sz w:val="18"/>
                  <w:szCs w:val="18"/>
                </w:rPr>
                <w:t xml:space="preserve">H.862.7 (ex </w:t>
              </w:r>
              <w:proofErr w:type="gramStart"/>
              <w:r w:rsidR="00EB705F">
                <w:rPr>
                  <w:rStyle w:val="Hyperlink"/>
                  <w:rFonts w:ascii="Verdana" w:eastAsia="Times New Roman" w:hAnsi="Verdana"/>
                  <w:sz w:val="18"/>
                  <w:szCs w:val="18"/>
                </w:rPr>
                <w:t>F.IF</w:t>
              </w:r>
              <w:proofErr w:type="gramEnd"/>
              <w:r w:rsidR="00EB705F">
                <w:rPr>
                  <w:rStyle w:val="Hyperlink"/>
                  <w:rFonts w:ascii="Verdana" w:eastAsia="Times New Roman" w:hAnsi="Verdana"/>
                  <w:sz w:val="18"/>
                  <w:szCs w:val="18"/>
                </w:rPr>
                <w:t>-SLM)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DBB7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9AA2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Interoperability framework for sleep management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A202F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Sleep occupies a third of our lives and helps to relieve the physical and mental fatigue of daily life and lead a smooth daily life. Therefore, it is possible to obtain an improvement effect that can enhance the quality of life based on the understanding of sleep time and quality through sleep monitoring. With the growth of the sleep market, various sleep monitoring products combined with ICT technology are being launched, and these products are mainly composed of dedicated apps and sensors. The use of products composed of such dedicated software for each sensor is a major limitation in service operation because it is difficult to integrate with existing service data and difficult to share data with other services when changing the product or using it with other services. This Recommendation introduces a way to provide an open, interoperable API for smart sleep management devices and sleep services.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provide an individual with optimal sleep, data collection, analysis, and customized services on individual sleep are required. For this, interoperability between IoT-based sleep management devices and services must be secured. Interoperability of services covered by this Recommendation includes interoperability of data and interoperability at the API level.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58CB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7B9B24C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61D28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D5FE5F" w14:textId="77777777" w:rsidR="00EB705F" w:rsidRDefault="009A3DC3" w:rsidP="00C9333D">
            <w:pPr>
              <w:jc w:val="center"/>
              <w:rPr>
                <w:rFonts w:ascii="Verdana" w:eastAsia="Times New Roman" w:hAnsi="Verdana"/>
                <w:color w:val="000066"/>
                <w:sz w:val="18"/>
                <w:szCs w:val="18"/>
              </w:rPr>
            </w:pPr>
            <w:hyperlink r:id="rId490" w:tooltip="See more details" w:history="1">
              <w:r w:rsidR="00EB705F">
                <w:rPr>
                  <w:rStyle w:val="Hyperlink"/>
                  <w:rFonts w:ascii="Verdana" w:eastAsia="Times New Roman" w:hAnsi="Verdana"/>
                  <w:sz w:val="18"/>
                  <w:szCs w:val="18"/>
                </w:rPr>
                <w:t xml:space="preserve">F.743.24 (ex </w:t>
              </w:r>
              <w:proofErr w:type="gramStart"/>
              <w:r w:rsidR="00EB705F">
                <w:rPr>
                  <w:rStyle w:val="Hyperlink"/>
                  <w:rFonts w:ascii="Verdana" w:eastAsia="Times New Roman" w:hAnsi="Verdana"/>
                  <w:sz w:val="18"/>
                  <w:szCs w:val="18"/>
                </w:rPr>
                <w:t>F.BVSSI</w:t>
              </w:r>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8C7C5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8B232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Scenarios and requirements for DLT in video surveillance system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020D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the overview of the video surveillance system interworking based on distributed ledger </w:t>
            </w:r>
            <w:proofErr w:type="gramStart"/>
            <w:r>
              <w:rPr>
                <w:rFonts w:ascii="Verdana" w:eastAsia="Times New Roman" w:hAnsi="Verdana"/>
                <w:color w:val="000066"/>
                <w:sz w:val="18"/>
                <w:szCs w:val="18"/>
              </w:rPr>
              <w:t>technology, and</w:t>
            </w:r>
            <w:proofErr w:type="gramEnd"/>
            <w:r>
              <w:rPr>
                <w:rFonts w:ascii="Verdana" w:eastAsia="Times New Roman" w:hAnsi="Verdana"/>
                <w:color w:val="000066"/>
                <w:sz w:val="18"/>
                <w:szCs w:val="18"/>
              </w:rPr>
              <w:t xml:space="preserve"> defines the application scenarios and capability requirements for DLT in video surveillance system interworking, to realize interoperability, high-reliability and high-efficiency of identity authentication and authorization of video surveillance system interworking (VSSI).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891FF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4073700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E005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61907" w14:textId="77777777" w:rsidR="00EB705F" w:rsidRDefault="009A3DC3" w:rsidP="00C9333D">
            <w:pPr>
              <w:jc w:val="center"/>
              <w:rPr>
                <w:rFonts w:ascii="Verdana" w:eastAsia="Times New Roman" w:hAnsi="Verdana"/>
                <w:color w:val="000066"/>
                <w:sz w:val="18"/>
                <w:szCs w:val="18"/>
              </w:rPr>
            </w:pPr>
            <w:hyperlink r:id="rId491" w:tooltip="See more details" w:history="1">
              <w:r w:rsidR="00EB705F">
                <w:rPr>
                  <w:rStyle w:val="Hyperlink"/>
                  <w:rFonts w:ascii="Verdana" w:eastAsia="Times New Roman" w:hAnsi="Verdana"/>
                  <w:sz w:val="18"/>
                  <w:szCs w:val="18"/>
                </w:rPr>
                <w:t xml:space="preserve">H.626.6 (ex </w:t>
              </w:r>
              <w:proofErr w:type="gramStart"/>
              <w:r w:rsidR="00EB705F">
                <w:rPr>
                  <w:rStyle w:val="Hyperlink"/>
                  <w:rFonts w:ascii="Verdana" w:eastAsia="Times New Roman" w:hAnsi="Verdana"/>
                  <w:sz w:val="18"/>
                  <w:szCs w:val="18"/>
                </w:rPr>
                <w:t>H.VSBD</w:t>
              </w:r>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6B04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7C00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for big data application in video surveillance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7D8EA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 the amount of video data is growing in the video surveillance systems, the suitable architecture is needed to support the requirements for big data application in video surveillance systems to deal with the structured and unstructured data, and to enhance the efficiency for the huge data retrieval and the data mining across time and space range. This Recommendation is to define an architecture for big data application in video surveillance systems, including the functional architecture and reference points. This Recommendation is based on Recommendation ITU-T F.743.7 "Requirements for big data-enhanced visual surveillance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D7520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FD9C15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9E66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CD7824" w14:textId="77777777" w:rsidR="00EB705F" w:rsidRDefault="009A3DC3" w:rsidP="00C9333D">
            <w:pPr>
              <w:jc w:val="center"/>
              <w:rPr>
                <w:rFonts w:ascii="Verdana" w:eastAsia="Times New Roman" w:hAnsi="Verdana"/>
                <w:color w:val="000066"/>
                <w:sz w:val="18"/>
                <w:szCs w:val="18"/>
              </w:rPr>
            </w:pPr>
            <w:hyperlink r:id="rId492" w:tooltip="See more details" w:history="1">
              <w:r w:rsidR="00EB705F">
                <w:rPr>
                  <w:rStyle w:val="Hyperlink"/>
                  <w:rFonts w:ascii="Verdana" w:eastAsia="Times New Roman" w:hAnsi="Verdana"/>
                  <w:sz w:val="18"/>
                  <w:szCs w:val="18"/>
                </w:rPr>
                <w:t>T.803 (V3)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86A4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5BE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technology – JPEG 2000 image coding system: Conformance testing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7DD96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 ITU-T T.800 | ISO/IEC 15444-1 describes an image compression system that allows great flexibility, not only for the compression of images but also for access into the </w:t>
            </w:r>
            <w:proofErr w:type="spellStart"/>
            <w:r>
              <w:rPr>
                <w:rFonts w:ascii="Verdana" w:eastAsia="Times New Roman" w:hAnsi="Verdana"/>
                <w:color w:val="000066"/>
                <w:sz w:val="18"/>
                <w:szCs w:val="18"/>
              </w:rPr>
              <w:t>codestream</w:t>
            </w:r>
            <w:proofErr w:type="spellEnd"/>
            <w:r>
              <w:rPr>
                <w:rFonts w:ascii="Verdana" w:eastAsia="Times New Roman" w:hAnsi="Verdana"/>
                <w:color w:val="000066"/>
                <w:sz w:val="18"/>
                <w:szCs w:val="18"/>
              </w:rPr>
              <w:t xml:space="preserve">. The </w:t>
            </w:r>
            <w:proofErr w:type="spellStart"/>
            <w:r>
              <w:rPr>
                <w:rFonts w:ascii="Verdana" w:eastAsia="Times New Roman" w:hAnsi="Verdana"/>
                <w:color w:val="000066"/>
                <w:sz w:val="18"/>
                <w:szCs w:val="18"/>
              </w:rPr>
              <w:t>codestream</w:t>
            </w:r>
            <w:proofErr w:type="spellEnd"/>
            <w:r>
              <w:rPr>
                <w:rFonts w:ascii="Verdana" w:eastAsia="Times New Roman" w:hAnsi="Verdana"/>
                <w:color w:val="000066"/>
                <w:sz w:val="18"/>
                <w:szCs w:val="18"/>
              </w:rPr>
              <w:t xml:space="preserve"> provides </w:t>
            </w:r>
            <w:proofErr w:type="gramStart"/>
            <w:r>
              <w:rPr>
                <w:rFonts w:ascii="Verdana" w:eastAsia="Times New Roman" w:hAnsi="Verdana"/>
                <w:color w:val="000066"/>
                <w:sz w:val="18"/>
                <w:szCs w:val="18"/>
              </w:rPr>
              <w:t>a number of</w:t>
            </w:r>
            <w:proofErr w:type="gramEnd"/>
            <w:r>
              <w:rPr>
                <w:rFonts w:ascii="Verdana" w:eastAsia="Times New Roman" w:hAnsi="Verdana"/>
                <w:color w:val="000066"/>
                <w:sz w:val="18"/>
                <w:szCs w:val="18"/>
              </w:rPr>
              <w:t xml:space="preserve"> mechanisms for locating and extracting portions of the compressed image data for the purpose of retransmission, storage, display, or editing. This access allows storage and retrieval of compressed image data appropriate for a given application without decoding. This Recommendation | International Standard provides the framework, concepts, and methodology for testing and the criteria to be achieved to claim compliance to Rec. </w:t>
            </w:r>
            <w:r w:rsidRPr="002A010F">
              <w:rPr>
                <w:rFonts w:ascii="Verdana" w:eastAsia="Times New Roman" w:hAnsi="Verdana"/>
                <w:color w:val="000066"/>
                <w:sz w:val="18"/>
                <w:szCs w:val="18"/>
                <w:lang w:val="fr-FR"/>
              </w:rPr>
              <w:t xml:space="preserve">ITU-T T.800 | ISO/IEC 15444-1 or Rec. ITU-T T.814 | ISO/IEC 15444-15. </w:t>
            </w:r>
            <w:r>
              <w:rPr>
                <w:rFonts w:ascii="Verdana" w:eastAsia="Times New Roman" w:hAnsi="Verdana"/>
                <w:color w:val="000066"/>
                <w:sz w:val="18"/>
                <w:szCs w:val="18"/>
              </w:rPr>
              <w:t xml:space="preserve">The objective of standardization in this field is to promote interoperability between JPEG 2000 encoders and decoders and to test these systems for compliance to this Recommendation | International Standard. Compliance testing is the testing of a candidate product for the existence of specific characteristics required by a standard. It involves testing the capabilities of an implementation against both the compliance requirements in the relevant standard and the statement of the implementation's capability. The purpose of this Recommendation | International Standard is to define a common test methodology, to provide a framework for specifying abstract test suites (ATSs), and to define the procedures to be followed during compliance testing. Any organization contemplating the use of test methods defined in this Recommendation | International Standard should carefully consider the constraints on their applicability. Compliance testing does not include robustness testing, acceptance testing, and performance testing. NOTE – This Recommendation | International Standard is in its third edition from the International Telecommunication Union (ITU) and in its fourth </w:t>
            </w:r>
            <w:r>
              <w:rPr>
                <w:rFonts w:ascii="Verdana" w:eastAsia="Times New Roman" w:hAnsi="Verdana"/>
                <w:color w:val="000066"/>
                <w:sz w:val="18"/>
                <w:szCs w:val="18"/>
              </w:rPr>
              <w:lastRenderedPageBreak/>
              <w:t xml:space="preserve">edition from the International Organization for Standardization /International Electrotechnical Commission (ISO/IEC). This edition cancels and replaces the previous edition which has been technically revised. The main changes compared to the previous edition are as follows: ? the maximum allowable errors associated with compliance Class 1, for both Rec. ITU-T T.800 | ISO/IEC 15444-1 and Rec. ITU-T T.814 | ISO/IEC 15444-15 </w:t>
            </w:r>
            <w:proofErr w:type="spellStart"/>
            <w:r>
              <w:rPr>
                <w:rFonts w:ascii="Verdana" w:eastAsia="Times New Roman" w:hAnsi="Verdana"/>
                <w:color w:val="000066"/>
                <w:sz w:val="18"/>
                <w:szCs w:val="18"/>
              </w:rPr>
              <w:t>codestreams</w:t>
            </w:r>
            <w:proofErr w:type="spellEnd"/>
            <w:r>
              <w:rPr>
                <w:rFonts w:ascii="Verdana" w:eastAsia="Times New Roman" w:hAnsi="Verdana"/>
                <w:color w:val="000066"/>
                <w:sz w:val="18"/>
                <w:szCs w:val="18"/>
              </w:rPr>
              <w:t xml:space="preserve">, have been relaxed in a few cases to ensure that well designed 16-bit fixed-point implementations of the inverse discrete wavelet transform should be able to pass all compliance tests for Class 1. ? two additional test </w:t>
            </w:r>
            <w:proofErr w:type="spellStart"/>
            <w:r>
              <w:rPr>
                <w:rFonts w:ascii="Verdana" w:eastAsia="Times New Roman" w:hAnsi="Verdana"/>
                <w:color w:val="000066"/>
                <w:sz w:val="18"/>
                <w:szCs w:val="18"/>
              </w:rPr>
              <w:t>codestreams</w:t>
            </w:r>
            <w:proofErr w:type="spellEnd"/>
            <w:r>
              <w:rPr>
                <w:rFonts w:ascii="Verdana" w:eastAsia="Times New Roman" w:hAnsi="Verdana"/>
                <w:color w:val="000066"/>
                <w:sz w:val="18"/>
                <w:szCs w:val="18"/>
              </w:rPr>
              <w:t xml:space="preserve"> have been added along with conformance bounds, to facilitate testing of inverse wavelet and component decorrelating transform accuracy. ? a number of </w:t>
            </w:r>
            <w:proofErr w:type="spellStart"/>
            <w:r>
              <w:rPr>
                <w:rFonts w:ascii="Verdana" w:eastAsia="Times New Roman" w:hAnsi="Verdana"/>
                <w:color w:val="000066"/>
                <w:sz w:val="18"/>
                <w:szCs w:val="18"/>
              </w:rPr>
              <w:t>codestreams</w:t>
            </w:r>
            <w:proofErr w:type="spellEnd"/>
            <w:r>
              <w:rPr>
                <w:rFonts w:ascii="Verdana" w:eastAsia="Times New Roman" w:hAnsi="Verdana"/>
                <w:color w:val="000066"/>
                <w:sz w:val="18"/>
                <w:szCs w:val="18"/>
              </w:rPr>
              <w:t xml:space="preserve"> and files conforming to Rec. ITU-T T.801 | ISO/IEC 15444-2 have been included for informative purposes only, to facilitate the development of decoders and file format readers that are able to support features beyond the core capabilities found in Rec. </w:t>
            </w:r>
            <w:r w:rsidRPr="002A010F">
              <w:rPr>
                <w:rFonts w:ascii="Verdana" w:eastAsia="Times New Roman" w:hAnsi="Verdana"/>
                <w:color w:val="000066"/>
                <w:sz w:val="18"/>
                <w:szCs w:val="18"/>
                <w:lang w:val="fr-FR"/>
              </w:rPr>
              <w:t xml:space="preserve">ITU-T T.800 | ISO/IEC 15444-1 and Rec. ITU-T T.814 | ISO/IEC 15444-15. </w:t>
            </w:r>
            <w:r>
              <w:rPr>
                <w:rFonts w:ascii="Verdana" w:eastAsia="Times New Roman" w:hAnsi="Verdana"/>
                <w:color w:val="000066"/>
                <w:sz w:val="18"/>
                <w:szCs w:val="18"/>
              </w:rPr>
              <w:t xml:space="preserve">This Recommendation | International Standard contains a normative electronic attachment with the </w:t>
            </w:r>
            <w:proofErr w:type="spellStart"/>
            <w:r>
              <w:rPr>
                <w:rFonts w:ascii="Verdana" w:eastAsia="Times New Roman" w:hAnsi="Verdana"/>
                <w:color w:val="000066"/>
                <w:sz w:val="18"/>
                <w:szCs w:val="18"/>
              </w:rPr>
              <w:t>codestreams</w:t>
            </w:r>
            <w:proofErr w:type="spellEnd"/>
            <w:r>
              <w:rPr>
                <w:rFonts w:ascii="Verdana" w:eastAsia="Times New Roman" w:hAnsi="Verdana"/>
                <w:color w:val="000066"/>
                <w:sz w:val="18"/>
                <w:szCs w:val="18"/>
              </w:rPr>
              <w:t xml:space="preserve"> used in the application of the procedures described herein that is available from ITU at https://www.itu.int/net/itu-t/sigdb/speimage/ImageForm-s.aspx?val=10100803† or from ISO at https://standards.iso.org/iso-iec/15444/-4/ed-4/en.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0A653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2023-12-14</w:t>
            </w:r>
          </w:p>
        </w:tc>
      </w:tr>
      <w:tr w:rsidR="00EB705F" w14:paraId="22F0321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A7EE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42E6B2" w14:textId="77777777" w:rsidR="00EB705F" w:rsidRDefault="009A3DC3" w:rsidP="00C9333D">
            <w:pPr>
              <w:jc w:val="center"/>
              <w:rPr>
                <w:rFonts w:ascii="Verdana" w:eastAsia="Times New Roman" w:hAnsi="Verdana"/>
                <w:color w:val="000066"/>
                <w:sz w:val="18"/>
                <w:szCs w:val="18"/>
              </w:rPr>
            </w:pPr>
            <w:hyperlink r:id="rId493" w:tooltip="See more details" w:history="1">
              <w:r w:rsidR="00EB705F">
                <w:rPr>
                  <w:rStyle w:val="Hyperlink"/>
                  <w:rFonts w:ascii="Verdana" w:eastAsia="Times New Roman" w:hAnsi="Verdana"/>
                  <w:sz w:val="18"/>
                  <w:szCs w:val="18"/>
                </w:rPr>
                <w:t>T.86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98E3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599F3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Information technology – Digital compression and coding of continuous-tone still images: </w:t>
            </w:r>
            <w:proofErr w:type="spellStart"/>
            <w:r>
              <w:rPr>
                <w:rFonts w:ascii="Verdana" w:eastAsia="Times New Roman" w:hAnsi="Verdana"/>
                <w:color w:val="000066"/>
                <w:sz w:val="18"/>
                <w:szCs w:val="18"/>
              </w:rPr>
              <w:t>APPn</w:t>
            </w:r>
            <w:proofErr w:type="spellEnd"/>
            <w:r>
              <w:rPr>
                <w:rFonts w:ascii="Verdana" w:eastAsia="Times New Roman" w:hAnsi="Verdana"/>
                <w:color w:val="000066"/>
                <w:sz w:val="18"/>
                <w:szCs w:val="18"/>
              </w:rPr>
              <w:t xml:space="preserve"> Markers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3EF4D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 International Standard provides definitions for JPEG application specific markers (</w:t>
            </w:r>
            <w:proofErr w:type="spellStart"/>
            <w:r>
              <w:rPr>
                <w:rFonts w:ascii="Verdana" w:eastAsia="Times New Roman" w:hAnsi="Verdana"/>
                <w:color w:val="000066"/>
                <w:sz w:val="18"/>
                <w:szCs w:val="18"/>
              </w:rPr>
              <w:t>APPn</w:t>
            </w:r>
            <w:proofErr w:type="spellEnd"/>
            <w:r>
              <w:rPr>
                <w:rFonts w:ascii="Verdana" w:eastAsia="Times New Roman" w:hAnsi="Verdana"/>
                <w:color w:val="000066"/>
                <w:sz w:val="18"/>
                <w:szCs w:val="18"/>
              </w:rPr>
              <w:t xml:space="preserve">) found in Rec. </w:t>
            </w:r>
            <w:r w:rsidRPr="002A010F">
              <w:rPr>
                <w:rFonts w:ascii="Verdana" w:eastAsia="Times New Roman" w:hAnsi="Verdana"/>
                <w:color w:val="000066"/>
                <w:sz w:val="18"/>
                <w:szCs w:val="18"/>
                <w:lang w:val="fr-FR"/>
              </w:rPr>
              <w:t xml:space="preserve">ITU-T T.81 | ISO/IEC 10918-1 and Rec. ITU-T T.84 | ISO/IEC 10918-3. </w:t>
            </w:r>
            <w:r>
              <w:rPr>
                <w:rFonts w:ascii="Verdana" w:eastAsia="Times New Roman" w:hAnsi="Verdana"/>
                <w:color w:val="000066"/>
                <w:sz w:val="18"/>
                <w:szCs w:val="18"/>
              </w:rPr>
              <w:t>This 2nd edition integrates the provisions of Amendment 1 of ITU-T T.86 (2012) | ISO/IEC 10918-4 (2013) and cancels the provisions concerning the registration authority processes originally defined in the 1st edition. ITU-T T.86 is a common text with ISO/IEC 10918-4.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4415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3ADC307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BE36C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495B3E" w14:textId="77777777" w:rsidR="00EB705F" w:rsidRPr="002A010F" w:rsidRDefault="009A3DC3" w:rsidP="00C9333D">
            <w:pPr>
              <w:jc w:val="center"/>
              <w:rPr>
                <w:rFonts w:ascii="Verdana" w:eastAsia="Times New Roman" w:hAnsi="Verdana"/>
                <w:color w:val="000066"/>
                <w:sz w:val="18"/>
                <w:szCs w:val="18"/>
                <w:lang w:val="fr-FR"/>
              </w:rPr>
            </w:pPr>
            <w:hyperlink r:id="rId494" w:tooltip="See more details" w:history="1">
              <w:proofErr w:type="spellStart"/>
              <w:r w:rsidR="00EB705F" w:rsidRPr="002A010F">
                <w:rPr>
                  <w:rStyle w:val="Hyperlink"/>
                  <w:rFonts w:ascii="Verdana" w:eastAsia="Times New Roman" w:hAnsi="Verdana"/>
                  <w:sz w:val="18"/>
                  <w:szCs w:val="18"/>
                  <w:lang w:val="fr-FR"/>
                </w:rPr>
                <w:t>X.1150</w:t>
              </w:r>
              <w:proofErr w:type="spellEnd"/>
              <w:r w:rsidR="00EB705F" w:rsidRPr="002A010F">
                <w:rPr>
                  <w:rStyle w:val="Hyperlink"/>
                  <w:rFonts w:ascii="Verdana" w:eastAsia="Times New Roman" w:hAnsi="Verdana"/>
                  <w:sz w:val="18"/>
                  <w:szCs w:val="18"/>
                  <w:lang w:val="fr-FR"/>
                </w:rPr>
                <w:t xml:space="preserve"> (ex </w:t>
              </w:r>
              <w:proofErr w:type="spellStart"/>
              <w:r w:rsidR="00EB705F" w:rsidRPr="002A010F">
                <w:rPr>
                  <w:rStyle w:val="Hyperlink"/>
                  <w:rFonts w:ascii="Verdana" w:eastAsia="Times New Roman" w:hAnsi="Verdana"/>
                  <w:sz w:val="18"/>
                  <w:szCs w:val="18"/>
                  <w:lang w:val="fr-FR"/>
                </w:rPr>
                <w:t>X.saf-dfs</w:t>
              </w:r>
              <w:proofErr w:type="spellEnd"/>
              <w:r w:rsidR="00EB705F" w:rsidRPr="002A010F">
                <w:rPr>
                  <w:rStyle w:val="Hyperlink"/>
                  <w:rFonts w:ascii="Verdana" w:eastAsia="Times New Roman" w:hAnsi="Verdana"/>
                  <w:sz w:val="18"/>
                  <w:szCs w:val="18"/>
                  <w:lang w:val="fr-FR"/>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3E54A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18F0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assurance framework for digital financial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19315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work item is based on FIGI deliverable for security assurance framework. The provision of digital finance services (DFS) involves a complex ecosystem with the participation of different stakeholders such as banks, DFS provider, mobile network operators (MNOs), DFS platform providers, regulators, agents, merchants, payment service providers, device manufacturers, application developers, token service providers, OEMs, and clients. The DFS Security Assurance Framework provides an overview of the security threats and vulnerabilities facing the DFS providers (banks, non-banks providing mobile money services), mobile network operators, customers, payment system providers, merchants, and technology services/third-party service providers. Regulators including telecom authorities, banking, and payment regulators could also make use of the DFS Security Assurance Framework for establishing security baselines for the DFS providers as well. The DFS Security Assurance Framework recommends a structured methodology for managing security risks that the DFS providers offering digital financial services could implement to: Enhance customer trust and confidence in digital financial services. Clarify the role and responsibilities of each of the stakeholders in the ecosystem. Identify security vulnerabilities and related threats within the ecosystem. Establish security controls to provide end to end security. Strengthen management practices with respect to security risk management that is inclusive of all DFS stakeholders.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6FE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680A1F6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BD8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EFE0E9" w14:textId="77777777" w:rsidR="00EB705F" w:rsidRDefault="009A3DC3" w:rsidP="00C9333D">
            <w:pPr>
              <w:jc w:val="center"/>
              <w:rPr>
                <w:rFonts w:ascii="Verdana" w:eastAsia="Times New Roman" w:hAnsi="Verdana"/>
                <w:color w:val="000066"/>
                <w:sz w:val="18"/>
                <w:szCs w:val="18"/>
              </w:rPr>
            </w:pPr>
            <w:hyperlink r:id="rId495" w:tooltip="See more details" w:history="1">
              <w:proofErr w:type="spellStart"/>
              <w:r w:rsidR="00EB705F">
                <w:rPr>
                  <w:rStyle w:val="Hyperlink"/>
                  <w:rFonts w:ascii="Verdana" w:eastAsia="Times New Roman" w:hAnsi="Verdana"/>
                  <w:sz w:val="18"/>
                  <w:szCs w:val="18"/>
                </w:rPr>
                <w:t>X.1221</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X.stie</w:t>
              </w:r>
              <w:proofErr w:type="spellEnd"/>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9400E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F3182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Structured Threat Information Expression (STIE)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2442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For real-time response to cyber threats, global cyber threat intelligence (CTI) is an important component of an organization's security program and can be obtained internally and from external sources. The Recommendation is intended to specify the data formats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E01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0B73077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637B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36F64" w14:textId="77777777" w:rsidR="00EB705F" w:rsidRDefault="009A3DC3" w:rsidP="00C9333D">
            <w:pPr>
              <w:jc w:val="center"/>
              <w:rPr>
                <w:rFonts w:ascii="Verdana" w:eastAsia="Times New Roman" w:hAnsi="Verdana"/>
                <w:color w:val="000066"/>
                <w:sz w:val="18"/>
                <w:szCs w:val="18"/>
              </w:rPr>
            </w:pPr>
            <w:hyperlink r:id="rId496" w:tooltip="See more details" w:history="1">
              <w:proofErr w:type="spellStart"/>
              <w:r w:rsidR="00EB705F">
                <w:rPr>
                  <w:rStyle w:val="Hyperlink"/>
                  <w:rFonts w:ascii="Verdana" w:eastAsia="Times New Roman" w:hAnsi="Verdana"/>
                  <w:sz w:val="18"/>
                  <w:szCs w:val="18"/>
                </w:rPr>
                <w:t>X.1222</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X.taeii</w:t>
              </w:r>
              <w:proofErr w:type="spellEnd"/>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8543D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887A5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Trusted Automated Exchange of Intelligence Information (TAEII)</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C9BF9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For real-time response to cyber threats, global cyber threat intelligence (CTI) is an important component of an organization's security program and can be obtained internally and from external sources The Recommendation is intended to specify the application protocol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C7938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59C2CC5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F167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25E13C" w14:textId="77777777" w:rsidR="00EB705F" w:rsidRDefault="009A3DC3" w:rsidP="00C9333D">
            <w:pPr>
              <w:jc w:val="center"/>
              <w:rPr>
                <w:rFonts w:ascii="Verdana" w:eastAsia="Times New Roman" w:hAnsi="Verdana"/>
                <w:color w:val="000066"/>
                <w:sz w:val="18"/>
                <w:szCs w:val="18"/>
              </w:rPr>
            </w:pPr>
            <w:hyperlink r:id="rId497" w:tooltip="See more details" w:history="1">
              <w:proofErr w:type="spellStart"/>
              <w:r w:rsidR="00EB705F">
                <w:rPr>
                  <w:rStyle w:val="Hyperlink"/>
                  <w:rFonts w:ascii="Verdana" w:eastAsia="Times New Roman" w:hAnsi="Verdana"/>
                  <w:sz w:val="18"/>
                  <w:szCs w:val="18"/>
                </w:rPr>
                <w:t>X.1280</w:t>
              </w:r>
              <w:proofErr w:type="spellEnd"/>
              <w:r w:rsidR="00EB705F">
                <w:rPr>
                  <w:rStyle w:val="Hyperlink"/>
                  <w:rFonts w:ascii="Verdana" w:eastAsia="Times New Roman" w:hAnsi="Verdana"/>
                  <w:sz w:val="18"/>
                  <w:szCs w:val="18"/>
                </w:rPr>
                <w:t xml:space="preserve"> (ex </w:t>
              </w:r>
              <w:proofErr w:type="spellStart"/>
              <w:r w:rsidR="00EB705F">
                <w:rPr>
                  <w:rStyle w:val="Hyperlink"/>
                  <w:rFonts w:ascii="Verdana" w:eastAsia="Times New Roman" w:hAnsi="Verdana"/>
                  <w:sz w:val="18"/>
                  <w:szCs w:val="18"/>
                </w:rPr>
                <w:t>X.oob-sa</w:t>
              </w:r>
              <w:proofErr w:type="spell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3E5B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5904C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for out-of-band server authentication using mobile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1978B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provides a framework for out-of-band server authentication using mobile devices including the following: • defines the out-of-band server authentication model and authentication procedure; • defines security threats and security requirements in the out-of-band server authentication model; • defines criteria and guidelines for generating server verification information using mobile devices; and • </w:t>
            </w:r>
            <w:proofErr w:type="spellStart"/>
            <w:r>
              <w:rPr>
                <w:rFonts w:ascii="Verdana" w:eastAsia="Times New Roman" w:hAnsi="Verdana"/>
                <w:color w:val="000066"/>
                <w:sz w:val="18"/>
                <w:szCs w:val="18"/>
              </w:rPr>
              <w:t>decribes</w:t>
            </w:r>
            <w:proofErr w:type="spellEnd"/>
            <w:r>
              <w:rPr>
                <w:rFonts w:ascii="Verdana" w:eastAsia="Times New Roman" w:hAnsi="Verdana"/>
                <w:color w:val="000066"/>
                <w:sz w:val="18"/>
                <w:szCs w:val="18"/>
              </w:rPr>
              <w:t xml:space="preserve"> use cases of the out-of-band server authentication model. This Recommendation does not address issues related to user authentication, regulation,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8312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215EEF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5BC0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AA7E7B" w14:textId="77777777" w:rsidR="00EB705F" w:rsidRDefault="009A3DC3" w:rsidP="00C9333D">
            <w:pPr>
              <w:jc w:val="center"/>
              <w:rPr>
                <w:rFonts w:ascii="Verdana" w:eastAsia="Times New Roman" w:hAnsi="Verdana"/>
                <w:color w:val="000066"/>
                <w:sz w:val="18"/>
                <w:szCs w:val="18"/>
              </w:rPr>
            </w:pPr>
            <w:hyperlink r:id="rId498" w:tooltip="See more details" w:history="1">
              <w:proofErr w:type="spellStart"/>
              <w:r w:rsidR="00EB705F">
                <w:rPr>
                  <w:rStyle w:val="Hyperlink"/>
                  <w:rFonts w:ascii="Verdana" w:eastAsia="Times New Roman" w:hAnsi="Verdana"/>
                  <w:sz w:val="18"/>
                  <w:szCs w:val="18"/>
                </w:rPr>
                <w:t>X.1281</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X.osia</w:t>
              </w:r>
              <w:proofErr w:type="spellEnd"/>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C301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28525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APIs for interoperability of identity management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EB90A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a set of standardized application program interfaces (APIs) needed to connect the multiple building blocks of an identity management solution. Note: This Recommendation is technically equivalent to the OSIA specifications [b-OSIA].</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19F1D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376764E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0CCB0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4C904" w14:textId="77777777" w:rsidR="00EB705F" w:rsidRDefault="009A3DC3" w:rsidP="00C9333D">
            <w:pPr>
              <w:jc w:val="center"/>
              <w:rPr>
                <w:rFonts w:ascii="Verdana" w:eastAsia="Times New Roman" w:hAnsi="Verdana"/>
                <w:color w:val="000066"/>
                <w:sz w:val="18"/>
                <w:szCs w:val="18"/>
              </w:rPr>
            </w:pPr>
            <w:hyperlink r:id="rId499" w:tooltip="See more details" w:history="1">
              <w:r w:rsidR="00EB705F">
                <w:rPr>
                  <w:rStyle w:val="Hyperlink"/>
                  <w:rFonts w:ascii="Verdana" w:eastAsia="Times New Roman" w:hAnsi="Verdana"/>
                  <w:sz w:val="18"/>
                  <w:szCs w:val="18"/>
                </w:rPr>
                <w:t>X.1352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08E9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DC406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Amendments to ITU-T X.1352: Security Requirements for Internet of things (IoT) devices and gateway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EA22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C0897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4CF63FB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96488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6A6599" w14:textId="77777777" w:rsidR="00EB705F" w:rsidRDefault="009A3DC3" w:rsidP="00C9333D">
            <w:pPr>
              <w:jc w:val="center"/>
              <w:rPr>
                <w:rFonts w:ascii="Verdana" w:eastAsia="Times New Roman" w:hAnsi="Verdana"/>
                <w:color w:val="000066"/>
                <w:sz w:val="18"/>
                <w:szCs w:val="18"/>
              </w:rPr>
            </w:pPr>
            <w:hyperlink r:id="rId500" w:tooltip="See more details" w:history="1">
              <w:r w:rsidR="00EB705F">
                <w:rPr>
                  <w:rStyle w:val="Hyperlink"/>
                  <w:rFonts w:ascii="Verdana" w:eastAsia="Times New Roman" w:hAnsi="Verdana"/>
                  <w:sz w:val="18"/>
                  <w:szCs w:val="18"/>
                </w:rPr>
                <w:t>X.1373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C87B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3C335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Secure software update capability for intelligent transportation system communication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8A9EF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In the context of updates of software modules in the electric devices of vehicles in the intelligent transportation system (ITS) communication environment, this Recommendation aims to provide a procedure of secure software updating for ITS communication devices for the application layer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prevent threats such as tampering of and malicious intrusion to communication devices in vehicles. This includes a basic model of software update, security controls for software update and a specification of abstract data format of update software module. The procedure is intended to be applied to communication devices on ITS vehicles under vehicle to infrastructure (V2I) communication by means of the Internet and/or ITS dedicated networks. The procedure provides a technical guideline without compliance requirements and can be practically utilized by car manufactures and ITS-related industries as a set of secure procedures and security controls.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016E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322FC77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F7FD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D6D16F" w14:textId="77777777" w:rsidR="00EB705F" w:rsidRPr="002A010F" w:rsidRDefault="009A3DC3" w:rsidP="00C9333D">
            <w:pPr>
              <w:jc w:val="center"/>
              <w:rPr>
                <w:rFonts w:ascii="Verdana" w:eastAsia="Times New Roman" w:hAnsi="Verdana"/>
                <w:color w:val="000066"/>
                <w:sz w:val="18"/>
                <w:szCs w:val="18"/>
                <w:lang w:val="fr-FR"/>
              </w:rPr>
            </w:pPr>
            <w:hyperlink r:id="rId501" w:tooltip="See more details" w:history="1">
              <w:r w:rsidR="00EB705F" w:rsidRPr="002A010F">
                <w:rPr>
                  <w:rStyle w:val="Hyperlink"/>
                  <w:rFonts w:ascii="Verdana" w:eastAsia="Times New Roman" w:hAnsi="Verdana"/>
                  <w:sz w:val="18"/>
                  <w:szCs w:val="18"/>
                  <w:lang w:val="fr-FR"/>
                </w:rPr>
                <w:t>X.1818 (ex X.5Gsec-ctrl)</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2D6D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E039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controls for operation and maintenance of IMT-2020/5G network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1099D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recommended security controls for operation and maintenance of 5G networks systems including NFV (Network Functions Virtualization), RAN (Radio Access Network), network slicing, and MEC (Multi-access Edge Computing). This Recommendation covers: - Security threats for 5G network systems, categorized in the high-level threats. - Recommended security controls, categorized in the major control domains.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EB26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3F7D6D4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44C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2C770" w14:textId="77777777" w:rsidR="00EB705F" w:rsidRDefault="009A3DC3" w:rsidP="00C9333D">
            <w:pPr>
              <w:jc w:val="center"/>
              <w:rPr>
                <w:rFonts w:ascii="Verdana" w:eastAsia="Times New Roman" w:hAnsi="Verdana"/>
                <w:color w:val="000066"/>
                <w:sz w:val="18"/>
                <w:szCs w:val="18"/>
              </w:rPr>
            </w:pPr>
            <w:hyperlink r:id="rId502" w:tooltip="See more details" w:history="1">
              <w:proofErr w:type="spellStart"/>
              <w:r w:rsidR="00EB705F">
                <w:rPr>
                  <w:rStyle w:val="Hyperlink"/>
                  <w:rFonts w:ascii="Verdana" w:eastAsia="Times New Roman" w:hAnsi="Verdana"/>
                  <w:sz w:val="18"/>
                  <w:szCs w:val="18"/>
                </w:rPr>
                <w:t>E.1120</w:t>
              </w:r>
              <w:proofErr w:type="spellEnd"/>
              <w:r w:rsidR="00EB705F">
                <w:rPr>
                  <w:rStyle w:val="Hyperlink"/>
                  <w:rFonts w:ascii="Verdana" w:eastAsia="Times New Roman" w:hAnsi="Verdana"/>
                  <w:sz w:val="18"/>
                  <w:szCs w:val="18"/>
                </w:rPr>
                <w:t xml:space="preserve"> (ex </w:t>
              </w:r>
              <w:proofErr w:type="spellStart"/>
              <w:r w:rsidR="00EB705F">
                <w:rPr>
                  <w:rStyle w:val="Hyperlink"/>
                  <w:rFonts w:ascii="Verdana" w:eastAsia="Times New Roman" w:hAnsi="Verdana"/>
                  <w:sz w:val="18"/>
                  <w:szCs w:val="18"/>
                </w:rPr>
                <w:t>E.gap</w:t>
              </w:r>
              <w:proofErr w:type="spell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9D6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4CD8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Global ITU-T Naming, Numbering, Addressing and Identification assignment processes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9E508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E.1120 specifies processes to be used by an applicant, the Telecommunication Standardization Bureau (TSB), and ITU-T Study Group 2 (SG2), for assignment of: – ITU-T E.164 identification codes (ICs) associated within the shared country codes (CCs) for networks category of ITU-T E.164, whose combination is designated CC + IC. – ITU-T E.212 shared mobile country codes for networks and their respective mobile network codes. – [ITU-T E.118 global issuer identifier numbers (IINs). – ITU-T E.118.1 ITU-T management of the allocation of globally assigned Issuer Identifier Numbers (IINs]– ITU-T E.218 shared terrestrial trunk radio access mobile network codes. The naming, numbering, addressing and identification (NNAI) resources identified in the preceding list can be described as “global”.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84D8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2023-03-22</w:t>
            </w:r>
          </w:p>
        </w:tc>
      </w:tr>
      <w:tr w:rsidR="00EB705F" w14:paraId="5732A74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57F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979ABB" w14:textId="77777777" w:rsidR="00EB705F" w:rsidRDefault="009A3DC3" w:rsidP="00C9333D">
            <w:pPr>
              <w:jc w:val="center"/>
              <w:rPr>
                <w:rFonts w:ascii="Verdana" w:eastAsia="Times New Roman" w:hAnsi="Verdana"/>
                <w:color w:val="000066"/>
                <w:sz w:val="18"/>
                <w:szCs w:val="18"/>
              </w:rPr>
            </w:pPr>
            <w:hyperlink r:id="rId503" w:tooltip="See more details" w:history="1">
              <w:r w:rsidR="00EB705F">
                <w:rPr>
                  <w:rStyle w:val="Hyperlink"/>
                  <w:rFonts w:ascii="Verdana" w:eastAsia="Times New Roman" w:hAnsi="Verdana"/>
                  <w:sz w:val="18"/>
                  <w:szCs w:val="18"/>
                </w:rPr>
                <w:t>E.164.2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17B00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C9E4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ITU-T E.164 numbering resources for trials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B4C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E.164.2 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409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31602CA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48F5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FE7EF3" w14:textId="77777777" w:rsidR="00EB705F" w:rsidRDefault="009A3DC3" w:rsidP="00C9333D">
            <w:pPr>
              <w:jc w:val="center"/>
              <w:rPr>
                <w:rFonts w:ascii="Verdana" w:eastAsia="Times New Roman" w:hAnsi="Verdana"/>
                <w:color w:val="000066"/>
                <w:sz w:val="18"/>
                <w:szCs w:val="18"/>
              </w:rPr>
            </w:pPr>
            <w:hyperlink r:id="rId504" w:tooltip="See more details" w:history="1">
              <w:r w:rsidR="00EB705F">
                <w:rPr>
                  <w:rStyle w:val="Hyperlink"/>
                  <w:rFonts w:ascii="Verdana" w:eastAsia="Times New Roman" w:hAnsi="Verdana"/>
                  <w:sz w:val="18"/>
                  <w:szCs w:val="18"/>
                </w:rPr>
                <w:t>E.212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8EF2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DB212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international identification plan for public networks and subscriptions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92D2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E.212 defines a unique international identification plan for public fixed and mobile networks providing users with access to public telecommunication services. The ITU-T E.212 identification plan was originally developed for use in public land mobile networks (PLMNs). The plan is hierarchical and identifies geographic areas, </w:t>
            </w:r>
            <w:proofErr w:type="gramStart"/>
            <w:r>
              <w:rPr>
                <w:rFonts w:ascii="Verdana" w:eastAsia="Times New Roman" w:hAnsi="Verdana"/>
                <w:color w:val="000066"/>
                <w:sz w:val="18"/>
                <w:szCs w:val="18"/>
              </w:rPr>
              <w:t>networks</w:t>
            </w:r>
            <w:proofErr w:type="gramEnd"/>
            <w:r>
              <w:rPr>
                <w:rFonts w:ascii="Verdana" w:eastAsia="Times New Roman" w:hAnsi="Verdana"/>
                <w:color w:val="000066"/>
                <w:sz w:val="18"/>
                <w:szCs w:val="18"/>
              </w:rPr>
              <w:t xml:space="preserve"> and subscriptions. The main body of this Recommendation describes the pure identification plan. Amendment 3 introduces Annex H, which provides the criteria for the assignment of shared E.212 resources for specific use cases to applicants that are regional and other international organizations (ROIO)/standard development organization (SDO)-specified networks.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06D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79314BE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9EC2E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A84B38" w14:textId="77777777" w:rsidR="00EB705F" w:rsidRDefault="009A3DC3" w:rsidP="00C9333D">
            <w:pPr>
              <w:jc w:val="center"/>
              <w:rPr>
                <w:rFonts w:ascii="Verdana" w:eastAsia="Times New Roman" w:hAnsi="Verdana"/>
                <w:color w:val="000066"/>
                <w:sz w:val="18"/>
                <w:szCs w:val="18"/>
              </w:rPr>
            </w:pPr>
            <w:hyperlink r:id="rId505" w:tooltip="See more details" w:history="1">
              <w:r w:rsidR="00EB705F">
                <w:rPr>
                  <w:rStyle w:val="Hyperlink"/>
                  <w:rFonts w:ascii="Verdana" w:eastAsia="Times New Roman" w:hAnsi="Verdana"/>
                  <w:sz w:val="18"/>
                  <w:szCs w:val="18"/>
                </w:rPr>
                <w:t>E.218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A96B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5579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of the allocation of terrestrial trunk radio Mobile Country Codes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28967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the structure of the terrestrial trunk radio </w:t>
            </w:r>
            <w:proofErr w:type="gramStart"/>
            <w:r>
              <w:rPr>
                <w:rFonts w:ascii="Verdana" w:eastAsia="Times New Roman" w:hAnsi="Verdana"/>
                <w:color w:val="000066"/>
                <w:sz w:val="18"/>
                <w:szCs w:val="18"/>
              </w:rPr>
              <w:t>ITSI, and</w:t>
            </w:r>
            <w:proofErr w:type="gramEnd"/>
            <w:r>
              <w:rPr>
                <w:rFonts w:ascii="Verdana" w:eastAsia="Times New Roman" w:hAnsi="Verdana"/>
                <w:color w:val="000066"/>
                <w:sz w:val="18"/>
                <w:szCs w:val="18"/>
              </w:rPr>
              <w:t xml:space="preserve"> describes the manner by which the ITU-TSB shall allocate and manage the (T)MCC. The administration of the (T)MNC by a National Administration is a national matter and is therefore outside of the scope of this Recommendation. The 2023 revision of this Recommendation clarifies the conditions for reclamation in the case of non-payment of membership fees as well as amending Clause 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223A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172A73D0"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397C9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E6694"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"http://www.itu.int/itu-t/workprog/wp_item.aspx?isn=18337" \o "See more details"</w:instrText>
            </w:r>
            <w:r>
              <w:fldChar w:fldCharType="separate"/>
            </w:r>
            <w:proofErr w:type="spellStart"/>
            <w:r w:rsidR="00EB705F" w:rsidRPr="002A010F">
              <w:rPr>
                <w:rStyle w:val="Hyperlink"/>
                <w:rFonts w:ascii="Verdana" w:eastAsia="Times New Roman" w:hAnsi="Verdana"/>
                <w:sz w:val="18"/>
                <w:szCs w:val="18"/>
                <w:lang w:val="fr-FR"/>
              </w:rPr>
              <w:t>M.3173.1</w:t>
            </w:r>
            <w:proofErr w:type="spellEnd"/>
            <w:r w:rsidR="00EB705F" w:rsidRPr="002A010F">
              <w:rPr>
                <w:rStyle w:val="Hyperlink"/>
                <w:rFonts w:ascii="Verdana" w:eastAsia="Times New Roman" w:hAnsi="Verdana"/>
                <w:sz w:val="18"/>
                <w:szCs w:val="18"/>
                <w:lang w:val="fr-FR"/>
              </w:rPr>
              <w:t xml:space="preserve"> (ex </w:t>
            </w:r>
            <w:proofErr w:type="spellStart"/>
            <w:proofErr w:type="gramStart"/>
            <w:r w:rsidR="00EB705F" w:rsidRPr="002A010F">
              <w:rPr>
                <w:rStyle w:val="Hyperlink"/>
                <w:rFonts w:ascii="Verdana" w:eastAsia="Times New Roman" w:hAnsi="Verdana"/>
                <w:sz w:val="18"/>
                <w:szCs w:val="18"/>
                <w:lang w:val="fr-FR"/>
              </w:rPr>
              <w:t>M.smcsn</w:t>
            </w:r>
            <w:proofErr w:type="spellEnd"/>
            <w:proofErr w:type="gramEnd"/>
            <w:r w:rsidR="00EB705F" w:rsidRPr="002A010F">
              <w:rPr>
                <w:rStyle w:val="Hyperlink"/>
                <w:rFonts w:ascii="Verdana" w:eastAsia="Times New Roman" w:hAnsi="Verdana"/>
                <w:sz w:val="18"/>
                <w:szCs w:val="18"/>
                <w:lang w:val="fr-FR"/>
              </w:rPr>
              <w:t>-ir)</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6229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F189E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Interface for synergy management of cloud and SDN-based networks - Protocol neutral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354B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M.3173.1 provides the interface requirements for the synergy management of cloud and SDN-based networks. It describes the interface position for the synergy management system, and the synergy management scenarios of cloud and SDN-based networks. It also specifies the management interface requirements and the related use cases for the synergy management interface at a technology-independent level (protocol-neutral).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1560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5B4C830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A9B7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EE814D"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"http://www.itu.int/itu-t/workprog/wp_item.aspx?isn=17426" \o "See more details"</w:instrText>
            </w:r>
            <w:r>
              <w:fldChar w:fldCharType="separate"/>
            </w:r>
            <w:proofErr w:type="spellStart"/>
            <w:r w:rsidR="00EB705F" w:rsidRPr="002A010F">
              <w:rPr>
                <w:rStyle w:val="Hyperlink"/>
                <w:rFonts w:ascii="Verdana" w:eastAsia="Times New Roman" w:hAnsi="Verdana"/>
                <w:sz w:val="18"/>
                <w:szCs w:val="18"/>
                <w:lang w:val="fr-FR"/>
              </w:rPr>
              <w:t>M.3386</w:t>
            </w:r>
            <w:proofErr w:type="spellEnd"/>
            <w:r w:rsidR="00EB705F" w:rsidRPr="002A010F">
              <w:rPr>
                <w:rStyle w:val="Hyperlink"/>
                <w:rFonts w:ascii="Verdana" w:eastAsia="Times New Roman" w:hAnsi="Verdana"/>
                <w:sz w:val="18"/>
                <w:szCs w:val="18"/>
                <w:lang w:val="fr-FR"/>
              </w:rPr>
              <w:t xml:space="preserve"> (ex </w:t>
            </w:r>
            <w:proofErr w:type="spellStart"/>
            <w:proofErr w:type="gramStart"/>
            <w:r w:rsidR="00EB705F" w:rsidRPr="002A010F">
              <w:rPr>
                <w:rStyle w:val="Hyperlink"/>
                <w:rFonts w:ascii="Verdana" w:eastAsia="Times New Roman" w:hAnsi="Verdana"/>
                <w:sz w:val="18"/>
                <w:szCs w:val="18"/>
                <w:lang w:val="fr-FR"/>
              </w:rPr>
              <w:t>M.rmnoc</w:t>
            </w:r>
            <w:proofErr w:type="spellEnd"/>
            <w:proofErr w:type="gramEnd"/>
            <w:r w:rsidR="00EB705F" w:rsidRPr="002A010F">
              <w:rPr>
                <w:rStyle w:val="Hyperlink"/>
                <w:rFonts w:ascii="Verdana" w:eastAsia="Times New Roman" w:hAnsi="Verdana"/>
                <w:sz w:val="18"/>
                <w:szCs w:val="18"/>
                <w:lang w:val="fr-FR"/>
              </w:rPr>
              <w:t>-AI)</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E343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9BF8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the management of network operation cost within AI enhanced Telecom Operation and Management (AITOM) in telecommunication operational aspects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6107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M.3386 focuses on network operation cost management within AITOM in telecommunication operational aspects. This Recommendation provides the classification standard, functional requirements of network operation cost management.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D2A68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6637AE5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4C98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81C1AF" w14:textId="77777777" w:rsidR="00EB705F" w:rsidRDefault="009A3DC3" w:rsidP="00C9333D">
            <w:pPr>
              <w:jc w:val="center"/>
              <w:rPr>
                <w:rFonts w:ascii="Verdana" w:eastAsia="Times New Roman" w:hAnsi="Verdana"/>
                <w:color w:val="000066"/>
                <w:sz w:val="18"/>
                <w:szCs w:val="18"/>
              </w:rPr>
            </w:pPr>
            <w:hyperlink r:id="rId506" w:tooltip="See more details" w:history="1">
              <w:proofErr w:type="spellStart"/>
              <w:r w:rsidR="00EB705F">
                <w:rPr>
                  <w:rStyle w:val="Hyperlink"/>
                  <w:rFonts w:ascii="Verdana" w:eastAsia="Times New Roman" w:hAnsi="Verdana"/>
                  <w:sz w:val="18"/>
                  <w:szCs w:val="18"/>
                </w:rPr>
                <w:t>M.3387</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M.rfmls</w:t>
              </w:r>
              <w:proofErr w:type="spellEnd"/>
              <w:proofErr w:type="gramEnd"/>
              <w:r w:rsidR="00EB705F">
                <w:rPr>
                  <w:rStyle w:val="Hyperlink"/>
                  <w:rFonts w:ascii="Verdana" w:eastAsia="Times New Roman" w:hAnsi="Verdana"/>
                  <w:sz w:val="18"/>
                  <w:szCs w:val="18"/>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F00F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8DC9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requirements for federated machine learning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5279C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Data privacy and information security pose significant challenges to the big data and artificial intelligence (AI) community as these communities are increasingly under pressure to adhere to regulatory requirements. Many routine operations in big data systems and applications, such as merging user data from various sources to build a machine learning model, </w:t>
            </w:r>
            <w:proofErr w:type="gramStart"/>
            <w:r>
              <w:rPr>
                <w:rFonts w:ascii="Verdana" w:eastAsia="Times New Roman" w:hAnsi="Verdana"/>
                <w:color w:val="000066"/>
                <w:sz w:val="18"/>
                <w:szCs w:val="18"/>
              </w:rPr>
              <w:t>are considered to be</w:t>
            </w:r>
            <w:proofErr w:type="gramEnd"/>
            <w:r>
              <w:rPr>
                <w:rFonts w:ascii="Verdana" w:eastAsia="Times New Roman" w:hAnsi="Verdana"/>
                <w:color w:val="000066"/>
                <w:sz w:val="18"/>
                <w:szCs w:val="18"/>
              </w:rPr>
              <w:t xml:space="preserve"> illegal under current regulatory frameworks. The purpose of federated machine learning (FML) is to provide a viable solution that empowers machine learning applications to utilize data in a distributed manner. In an FML framework, the data owners do not exchange raw data directly and do not allow any party to infer the private information of other parties. </w:t>
            </w:r>
            <w:proofErr w:type="gramStart"/>
            <w:r>
              <w:rPr>
                <w:rFonts w:ascii="Verdana" w:eastAsia="Times New Roman" w:hAnsi="Verdana"/>
                <w:color w:val="000066"/>
                <w:sz w:val="18"/>
                <w:szCs w:val="18"/>
              </w:rPr>
              <w:t>In order to</w:t>
            </w:r>
            <w:proofErr w:type="gramEnd"/>
            <w:r>
              <w:rPr>
                <w:rFonts w:ascii="Verdana" w:eastAsia="Times New Roman" w:hAnsi="Verdana"/>
                <w:color w:val="000066"/>
                <w:sz w:val="18"/>
                <w:szCs w:val="18"/>
              </w:rPr>
              <w:t xml:space="preserve"> </w:t>
            </w:r>
            <w:proofErr w:type="spellStart"/>
            <w:r>
              <w:rPr>
                <w:rFonts w:ascii="Verdana" w:eastAsia="Times New Roman" w:hAnsi="Verdana"/>
                <w:color w:val="000066"/>
                <w:sz w:val="18"/>
                <w:szCs w:val="18"/>
              </w:rPr>
              <w:t>facilitatepromote</w:t>
            </w:r>
            <w:proofErr w:type="spellEnd"/>
            <w:r>
              <w:rPr>
                <w:rFonts w:ascii="Verdana" w:eastAsia="Times New Roman" w:hAnsi="Verdana"/>
                <w:color w:val="000066"/>
                <w:sz w:val="18"/>
                <w:szCs w:val="18"/>
              </w:rPr>
              <w:t xml:space="preserve"> the construction and use of federated machine learning models (FMLMs) and improve the quality of FML service, this draft Recommendation specifies the management requirements for federated machine learning systems (FMLSs), including the functional architecture of FMLSs, as well as the requirements of the basic management domain, model management domain, and data management domain. This draft Recommendation is applicable to the architecture design, research, and development of FMLSs.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16654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175DA9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28AB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589F42"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"http://www.itu.int/itu-t/workprog/wp_item.aspx?isn=17886" \o "See more details"</w:instrText>
            </w:r>
            <w:r>
              <w:fldChar w:fldCharType="separate"/>
            </w:r>
            <w:proofErr w:type="spellStart"/>
            <w:r w:rsidR="00EB705F" w:rsidRPr="002A010F">
              <w:rPr>
                <w:rStyle w:val="Hyperlink"/>
                <w:rFonts w:ascii="Verdana" w:eastAsia="Times New Roman" w:hAnsi="Verdana"/>
                <w:sz w:val="18"/>
                <w:szCs w:val="18"/>
                <w:lang w:val="fr-FR"/>
              </w:rPr>
              <w:t>Y.4222</w:t>
            </w:r>
            <w:proofErr w:type="spellEnd"/>
            <w:r w:rsidR="00EB705F" w:rsidRPr="002A010F">
              <w:rPr>
                <w:rStyle w:val="Hyperlink"/>
                <w:rFonts w:ascii="Verdana" w:eastAsia="Times New Roman" w:hAnsi="Verdana"/>
                <w:sz w:val="18"/>
                <w:szCs w:val="18"/>
                <w:lang w:val="fr-FR"/>
              </w:rPr>
              <w:t xml:space="preserve"> (ex </w:t>
            </w:r>
            <w:proofErr w:type="spellStart"/>
            <w:proofErr w:type="gramStart"/>
            <w:r w:rsidR="00EB705F" w:rsidRPr="002A010F">
              <w:rPr>
                <w:rStyle w:val="Hyperlink"/>
                <w:rFonts w:ascii="Verdana" w:eastAsia="Times New Roman" w:hAnsi="Verdana"/>
                <w:sz w:val="18"/>
                <w:szCs w:val="18"/>
                <w:lang w:val="fr-FR"/>
              </w:rPr>
              <w:t>Y.smart</w:t>
            </w:r>
            <w:proofErr w:type="gramEnd"/>
            <w:r w:rsidR="00EB705F" w:rsidRPr="002A010F">
              <w:rPr>
                <w:rStyle w:val="Hyperlink"/>
                <w:rFonts w:ascii="Verdana" w:eastAsia="Times New Roman" w:hAnsi="Verdana"/>
                <w:sz w:val="18"/>
                <w:szCs w:val="18"/>
                <w:lang w:val="fr-FR"/>
              </w:rPr>
              <w:t>-evacuation</w:t>
            </w:r>
            <w:proofErr w:type="spellEnd"/>
            <w:r w:rsidR="00EB705F" w:rsidRPr="002A010F">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E259A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9552B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smart evacuation in a disaster or emergency in smart cities and communities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3E54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Smart evacuation facilitates effective and efficient solutions for people inside a disaster or emergency zone and for people that need to enter such a zone as part of the response. Internet of things (IoT) and smart cities and communities could be used to provide smart evacuation during a disaster or an emergency. This Recommendation describes concepts and features of smart evacuation control in disaster and emergency situations. It identifies high-level requirements and ICT infrastructure for smart evacuation along with use cases in disaster and emergency situations. The introduction of a smart evacuation service will allow the maintenance of the level of comfort for the population achieved in a smart city even in the event of an emergency of natural or man-made origin. This is fundamental to justify the enormous material costs for the rapid development of smart cities around the world against the background of natural and man-made emergencies that have become more frequent throughout the world.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0AB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2023-02-10</w:t>
            </w:r>
          </w:p>
        </w:tc>
      </w:tr>
      <w:tr w:rsidR="00EB705F" w14:paraId="58E63CD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3F755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698D9"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"http://www.itu.int/itu-t/workprog/wp_item.aspx?isn=17950" \o "See more details"</w:instrText>
            </w:r>
            <w:r>
              <w:fldChar w:fldCharType="separate"/>
            </w:r>
            <w:proofErr w:type="spellStart"/>
            <w:r w:rsidR="00EB705F" w:rsidRPr="002A010F">
              <w:rPr>
                <w:rStyle w:val="Hyperlink"/>
                <w:rFonts w:ascii="Verdana" w:eastAsia="Times New Roman" w:hAnsi="Verdana"/>
                <w:sz w:val="18"/>
                <w:szCs w:val="18"/>
                <w:lang w:val="fr-FR"/>
              </w:rPr>
              <w:t>Y.4487</w:t>
            </w:r>
            <w:proofErr w:type="spellEnd"/>
            <w:r w:rsidR="00EB705F" w:rsidRPr="002A010F">
              <w:rPr>
                <w:rStyle w:val="Hyperlink"/>
                <w:rFonts w:ascii="Verdana" w:eastAsia="Times New Roman" w:hAnsi="Verdana"/>
                <w:sz w:val="18"/>
                <w:szCs w:val="18"/>
                <w:lang w:val="fr-FR"/>
              </w:rPr>
              <w:t xml:space="preserve"> (ex </w:t>
            </w:r>
            <w:proofErr w:type="spellStart"/>
            <w:proofErr w:type="gramStart"/>
            <w:r w:rsidR="00EB705F" w:rsidRPr="002A010F">
              <w:rPr>
                <w:rStyle w:val="Hyperlink"/>
                <w:rFonts w:ascii="Verdana" w:eastAsia="Times New Roman" w:hAnsi="Verdana"/>
                <w:sz w:val="18"/>
                <w:szCs w:val="18"/>
                <w:lang w:val="fr-FR"/>
              </w:rPr>
              <w:t>Y.RMDFS</w:t>
            </w:r>
            <w:proofErr w:type="gramEnd"/>
            <w:r w:rsidR="00EB705F" w:rsidRPr="002A010F">
              <w:rPr>
                <w:rStyle w:val="Hyperlink"/>
                <w:rFonts w:ascii="Verdana" w:eastAsia="Times New Roman" w:hAnsi="Verdana"/>
                <w:sz w:val="18"/>
                <w:szCs w:val="18"/>
                <w:lang w:val="fr-FR"/>
              </w:rPr>
              <w:t>-arch</w:t>
            </w:r>
            <w:proofErr w:type="spellEnd"/>
            <w:r w:rsidR="00EB705F" w:rsidRPr="002A010F">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A2A6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E7FA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functional architecture of roadside multi-sensor data fusion systems for autonomous vehicles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772E4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With the development of autonomous driving, perception methods relying solely on the vehicle's own sensors or on traditional roadside sensing systems that lack sufficient collaboration between devices are no longer sufficient to support higher-level autonomous driving applications. A higher requirement for roadside perception capabilities is therefore proposed. The roadside multi-sensor data fusion system (RMDFS) can provide new functionalities which will contribute to enhancing roadside perception capabilities by combining different types of roadside sensing devices such as cameras, lidars, millimetre wave radars, etc. according to their characteristics, and perform unified management and coordination </w:t>
            </w:r>
            <w:proofErr w:type="gramStart"/>
            <w:r>
              <w:rPr>
                <w:rFonts w:ascii="Verdana" w:eastAsia="Times New Roman" w:hAnsi="Verdana"/>
                <w:color w:val="000066"/>
                <w:sz w:val="18"/>
                <w:szCs w:val="18"/>
              </w:rPr>
              <w:t>so as to</w:t>
            </w:r>
            <w:proofErr w:type="gramEnd"/>
            <w:r>
              <w:rPr>
                <w:rFonts w:ascii="Verdana" w:eastAsia="Times New Roman" w:hAnsi="Verdana"/>
                <w:color w:val="000066"/>
                <w:sz w:val="18"/>
                <w:szCs w:val="18"/>
              </w:rPr>
              <w:t xml:space="preserve"> achieve accurate perception of road information, and support for autonomous driving applications. Recommendation ITU-T Y.4487 defines a reference functional architecture of roadside multi-sensor data fusion systems. It clarifies the concept and components of the </w:t>
            </w:r>
            <w:proofErr w:type="gramStart"/>
            <w:r>
              <w:rPr>
                <w:rFonts w:ascii="Verdana" w:eastAsia="Times New Roman" w:hAnsi="Verdana"/>
                <w:color w:val="000066"/>
                <w:sz w:val="18"/>
                <w:szCs w:val="18"/>
              </w:rPr>
              <w:t>systems, and</w:t>
            </w:r>
            <w:proofErr w:type="gramEnd"/>
            <w:r>
              <w:rPr>
                <w:rFonts w:ascii="Verdana" w:eastAsia="Times New Roman" w:hAnsi="Verdana"/>
                <w:color w:val="000066"/>
                <w:sz w:val="18"/>
                <w:szCs w:val="18"/>
              </w:rPr>
              <w:t xml:space="preserve"> specifies the key functional entities of the systems and the reference points between the functional entities. Use cases based on roadside multi-sensor data fusion systems are also provided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838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2023-02-10</w:t>
            </w:r>
          </w:p>
        </w:tc>
      </w:tr>
      <w:tr w:rsidR="00EB705F" w14:paraId="03493AD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B8360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FDA068"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"http://www.itu.int/itu-t/workprog/wp_item.aspx?isn=17933" \o "See more details"</w:instrText>
            </w:r>
            <w:r>
              <w:fldChar w:fldCharType="separate"/>
            </w:r>
            <w:proofErr w:type="spellStart"/>
            <w:r w:rsidR="00EB705F" w:rsidRPr="002A010F">
              <w:rPr>
                <w:rStyle w:val="Hyperlink"/>
                <w:rFonts w:ascii="Verdana" w:eastAsia="Times New Roman" w:hAnsi="Verdana"/>
                <w:sz w:val="18"/>
                <w:szCs w:val="18"/>
                <w:lang w:val="fr-FR"/>
              </w:rPr>
              <w:t>Y.4221</w:t>
            </w:r>
            <w:proofErr w:type="spellEnd"/>
            <w:r w:rsidR="00EB705F" w:rsidRPr="002A010F">
              <w:rPr>
                <w:rStyle w:val="Hyperlink"/>
                <w:rFonts w:ascii="Verdana" w:eastAsia="Times New Roman" w:hAnsi="Verdana"/>
                <w:sz w:val="18"/>
                <w:szCs w:val="18"/>
                <w:lang w:val="fr-FR"/>
              </w:rPr>
              <w:t xml:space="preserve"> (ex </w:t>
            </w:r>
            <w:proofErr w:type="spellStart"/>
            <w:proofErr w:type="gramStart"/>
            <w:r w:rsidR="00EB705F" w:rsidRPr="002A010F">
              <w:rPr>
                <w:rStyle w:val="Hyperlink"/>
                <w:rFonts w:ascii="Verdana" w:eastAsia="Times New Roman" w:hAnsi="Verdana"/>
                <w:sz w:val="18"/>
                <w:szCs w:val="18"/>
                <w:lang w:val="fr-FR"/>
              </w:rPr>
              <w:t>Y.ElecMon</w:t>
            </w:r>
            <w:proofErr w:type="gramEnd"/>
            <w:r w:rsidR="00EB705F" w:rsidRPr="002A010F">
              <w:rPr>
                <w:rStyle w:val="Hyperlink"/>
                <w:rFonts w:ascii="Verdana" w:eastAsia="Times New Roman" w:hAnsi="Verdana"/>
                <w:sz w:val="18"/>
                <w:szCs w:val="18"/>
                <w:lang w:val="fr-FR"/>
              </w:rPr>
              <w:t>-Reqts</w:t>
            </w:r>
            <w:proofErr w:type="spellEnd"/>
            <w:r w:rsidR="00EB705F" w:rsidRPr="002A010F">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FF84E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9A8A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IoT-based electric power infrastructure monitoring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D08D5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An IoT-based electric power infrastructure monitoring system is an effective means to obtain the operational health status of electric power infrastructures. It provides advanced and efficient auxiliary monitoring and diagnosis methods for maintaining the safe and stable operation of an electric power system. This Recommendation specifies the requirements for an IoT-based electric power infrastructure monitoring system for the purposes of maintaining electric power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B74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2321895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622F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C35293" w14:textId="77777777" w:rsidR="00EB705F" w:rsidRDefault="009A3DC3" w:rsidP="00C9333D">
            <w:pPr>
              <w:jc w:val="center"/>
              <w:rPr>
                <w:rFonts w:ascii="Verdana" w:eastAsia="Times New Roman" w:hAnsi="Verdana"/>
                <w:color w:val="000066"/>
                <w:sz w:val="18"/>
                <w:szCs w:val="18"/>
              </w:rPr>
            </w:pPr>
            <w:hyperlink r:id="rId507" w:tooltip="See more details" w:history="1">
              <w:proofErr w:type="spellStart"/>
              <w:r w:rsidR="00EB705F">
                <w:rPr>
                  <w:rStyle w:val="Hyperlink"/>
                  <w:rFonts w:ascii="Verdana" w:eastAsia="Times New Roman" w:hAnsi="Verdana"/>
                  <w:sz w:val="18"/>
                  <w:szCs w:val="18"/>
                </w:rPr>
                <w:t>Y.4225</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Y.dt</w:t>
              </w:r>
              <w:proofErr w:type="spellEnd"/>
              <w:proofErr w:type="gramEnd"/>
              <w:r w:rsidR="00EB705F">
                <w:rPr>
                  <w:rStyle w:val="Hyperlink"/>
                  <w:rFonts w:ascii="Verdana" w:eastAsia="Times New Roman" w:hAnsi="Verdana"/>
                  <w:sz w:val="18"/>
                  <w:szCs w:val="18"/>
                </w:rPr>
                <w:t>-ITS)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43D5A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68321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capability framework of digital twin for intelligent transport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55C48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Digital twin for intelligent transport system can provide digital representation of physical transportation world. With the meaningful and full-scale understanding of historical, real-time and statistical traffic related data in digital twin for intelligent transport system, the awareness of physical transportation is significantly enhanced, problems of transportation system can be discovered earlier, various traffic situations can be simulated, different long term, medium, short term strategies can be properly decided, and a lot of applications supported by intelligent transport system can be provided better and more intelligent. This Recommendation specifies the requirements and capability framework of digital twin for intelligent transport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1C07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6275CFC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9FC9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0E3BA2"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"http://www.itu.int/itu-t/workprog/wp_item.aspx?isn=17945" \o "See more details"</w:instrText>
            </w:r>
            <w:r>
              <w:fldChar w:fldCharType="separate"/>
            </w:r>
            <w:proofErr w:type="spellStart"/>
            <w:r w:rsidR="00EB705F" w:rsidRPr="002A010F">
              <w:rPr>
                <w:rStyle w:val="Hyperlink"/>
                <w:rFonts w:ascii="Verdana" w:eastAsia="Times New Roman" w:hAnsi="Verdana"/>
                <w:sz w:val="18"/>
                <w:szCs w:val="18"/>
                <w:lang w:val="fr-FR"/>
              </w:rPr>
              <w:t>Y.4488</w:t>
            </w:r>
            <w:proofErr w:type="spellEnd"/>
            <w:r w:rsidR="00EB705F" w:rsidRPr="002A010F">
              <w:rPr>
                <w:rStyle w:val="Hyperlink"/>
                <w:rFonts w:ascii="Verdana" w:eastAsia="Times New Roman" w:hAnsi="Verdana"/>
                <w:sz w:val="18"/>
                <w:szCs w:val="18"/>
                <w:lang w:val="fr-FR"/>
              </w:rPr>
              <w:t xml:space="preserve"> (ex </w:t>
            </w:r>
            <w:proofErr w:type="spellStart"/>
            <w:proofErr w:type="gramStart"/>
            <w:r w:rsidR="00EB705F" w:rsidRPr="002A010F">
              <w:rPr>
                <w:rStyle w:val="Hyperlink"/>
                <w:rFonts w:ascii="Verdana" w:eastAsia="Times New Roman" w:hAnsi="Verdana"/>
                <w:sz w:val="18"/>
                <w:szCs w:val="18"/>
                <w:lang w:val="fr-FR"/>
              </w:rPr>
              <w:t>Y.IoT</w:t>
            </w:r>
            <w:proofErr w:type="gramEnd"/>
            <w:r w:rsidR="00EB705F" w:rsidRPr="002A010F">
              <w:rPr>
                <w:rStyle w:val="Hyperlink"/>
                <w:rFonts w:ascii="Verdana" w:eastAsia="Times New Roman" w:hAnsi="Verdana"/>
                <w:sz w:val="18"/>
                <w:szCs w:val="18"/>
                <w:lang w:val="fr-FR"/>
              </w:rPr>
              <w:t>-SPWE</w:t>
            </w:r>
            <w:proofErr w:type="spellEnd"/>
            <w:r w:rsidR="00EB705F" w:rsidRPr="002A010F">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126E2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1784E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functional architecture of data services provided via IoT-based technologies for safety protection of working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2BCD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specifies the requirements and functional architecture of data services provided via Internet of things (IoT)-based technologies for the safety protection of three typical working environments, including working environment with high temperature, high </w:t>
            </w:r>
            <w:proofErr w:type="gramStart"/>
            <w:r>
              <w:rPr>
                <w:rFonts w:ascii="Verdana" w:eastAsia="Times New Roman" w:hAnsi="Verdana"/>
                <w:color w:val="000066"/>
                <w:sz w:val="18"/>
                <w:szCs w:val="18"/>
              </w:rPr>
              <w:t>dust</w:t>
            </w:r>
            <w:proofErr w:type="gramEnd"/>
            <w:r>
              <w:rPr>
                <w:rFonts w:ascii="Verdana" w:eastAsia="Times New Roman" w:hAnsi="Verdana"/>
                <w:color w:val="000066"/>
                <w:sz w:val="18"/>
                <w:szCs w:val="18"/>
              </w:rPr>
              <w:t xml:space="preserve"> and harmful gases. By deploying data services provided via IoT-based technologies, these working environment make use of the IoT technologies to collect information remotely, identify risky behaviour, control </w:t>
            </w:r>
            <w:proofErr w:type="spellStart"/>
            <w:r>
              <w:rPr>
                <w:rFonts w:ascii="Verdana" w:eastAsia="Times New Roman" w:hAnsi="Verdana"/>
                <w:color w:val="000066"/>
                <w:sz w:val="18"/>
                <w:szCs w:val="18"/>
              </w:rPr>
              <w:t>equipments</w:t>
            </w:r>
            <w:proofErr w:type="spellEnd"/>
            <w:r>
              <w:rPr>
                <w:rFonts w:ascii="Verdana" w:eastAsia="Times New Roman" w:hAnsi="Verdana"/>
                <w:color w:val="000066"/>
                <w:sz w:val="18"/>
                <w:szCs w:val="18"/>
              </w:rPr>
              <w:t xml:space="preserve"> remotely, etc. These technologies could support intelligent services such as safety protection information monitoring including workers and environment, predictive maintenance, etc., which can help to reduce incidents and casualties and improve the safety level of working environments.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2F74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46D592C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B04BA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53EB89" w14:textId="77777777" w:rsidR="00EB705F" w:rsidRDefault="009A3DC3" w:rsidP="00C9333D">
            <w:pPr>
              <w:jc w:val="center"/>
              <w:rPr>
                <w:rFonts w:ascii="Verdana" w:eastAsia="Times New Roman" w:hAnsi="Verdana"/>
                <w:color w:val="000066"/>
                <w:sz w:val="18"/>
                <w:szCs w:val="18"/>
              </w:rPr>
            </w:pPr>
            <w:hyperlink r:id="rId508" w:tooltip="See more details" w:history="1">
              <w:r w:rsidR="00EB705F">
                <w:rPr>
                  <w:rStyle w:val="Hyperlink"/>
                  <w:rFonts w:ascii="Verdana" w:eastAsia="Times New Roman" w:hAnsi="Verdana"/>
                  <w:sz w:val="18"/>
                  <w:szCs w:val="18"/>
                </w:rPr>
                <w:t>Y.4496 (ex Y.RA-PHE)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7FCF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1984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reference architecture of smart service for public health emergency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4C612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is aimed at giving the requirements and architecture of a system for public health emergency, named “smart service system for public health emergency”, that is implemented to address current and future potential public health risks.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37917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0BB660D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D77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9D7997" w14:textId="77777777" w:rsidR="00EB705F" w:rsidRPr="002A010F" w:rsidRDefault="009A3DC3" w:rsidP="00C9333D">
            <w:pPr>
              <w:jc w:val="center"/>
              <w:rPr>
                <w:rFonts w:ascii="Verdana" w:eastAsia="Times New Roman" w:hAnsi="Verdana"/>
                <w:color w:val="000066"/>
                <w:sz w:val="18"/>
                <w:szCs w:val="18"/>
                <w:lang w:val="fr-FR"/>
              </w:rPr>
            </w:pPr>
            <w:r>
              <w:fldChar w:fldCharType="begin"/>
            </w:r>
            <w:r w:rsidRPr="00770357">
              <w:rPr>
                <w:lang w:val="fr-FR"/>
              </w:rPr>
              <w:instrText>HYPERLINK "http://www.itu.int/itu-t/workprog/wp_item.aspx?isn=17923" \o "See more details"</w:instrText>
            </w:r>
            <w:r>
              <w:fldChar w:fldCharType="separate"/>
            </w:r>
            <w:proofErr w:type="spellStart"/>
            <w:r w:rsidR="00EB705F" w:rsidRPr="002A010F">
              <w:rPr>
                <w:rStyle w:val="Hyperlink"/>
                <w:rFonts w:ascii="Verdana" w:eastAsia="Times New Roman" w:hAnsi="Verdana"/>
                <w:sz w:val="18"/>
                <w:szCs w:val="18"/>
                <w:lang w:val="fr-FR"/>
              </w:rPr>
              <w:t>Y.4497</w:t>
            </w:r>
            <w:proofErr w:type="spellEnd"/>
            <w:r w:rsidR="00EB705F" w:rsidRPr="002A010F">
              <w:rPr>
                <w:rStyle w:val="Hyperlink"/>
                <w:rFonts w:ascii="Verdana" w:eastAsia="Times New Roman" w:hAnsi="Verdana"/>
                <w:sz w:val="18"/>
                <w:szCs w:val="18"/>
                <w:lang w:val="fr-FR"/>
              </w:rPr>
              <w:t xml:space="preserve"> (ex </w:t>
            </w:r>
            <w:proofErr w:type="spellStart"/>
            <w:proofErr w:type="gramStart"/>
            <w:r w:rsidR="00EB705F" w:rsidRPr="002A010F">
              <w:rPr>
                <w:rStyle w:val="Hyperlink"/>
                <w:rFonts w:ascii="Verdana" w:eastAsia="Times New Roman" w:hAnsi="Verdana"/>
                <w:sz w:val="18"/>
                <w:szCs w:val="18"/>
                <w:lang w:val="fr-FR"/>
              </w:rPr>
              <w:t>Y.Smart</w:t>
            </w:r>
            <w:proofErr w:type="gramEnd"/>
            <w:r w:rsidR="00EB705F" w:rsidRPr="002A010F">
              <w:rPr>
                <w:rStyle w:val="Hyperlink"/>
                <w:rFonts w:ascii="Verdana" w:eastAsia="Times New Roman" w:hAnsi="Verdana"/>
                <w:sz w:val="18"/>
                <w:szCs w:val="18"/>
                <w:lang w:val="fr-FR"/>
              </w:rPr>
              <w:t>-SBS</w:t>
            </w:r>
            <w:proofErr w:type="spellEnd"/>
            <w:r w:rsidR="00EB705F" w:rsidRPr="002A010F">
              <w:rPr>
                <w:rStyle w:val="Hyperlink"/>
                <w:rFonts w:ascii="Verdana" w:eastAsia="Times New Roman" w:hAnsi="Verdana"/>
                <w:sz w:val="18"/>
                <w:szCs w:val="18"/>
                <w:lang w:val="fr-FR"/>
              </w:rPr>
              <w:t>)</w:t>
            </w:r>
            <w:r>
              <w:rPr>
                <w:rStyle w:val="Hyperlink"/>
                <w:rFonts w:ascii="Verdana" w:eastAsia="Times New Roman" w:hAnsi="Verdana"/>
                <w:sz w:val="18"/>
                <w:szCs w:val="18"/>
                <w:lang w:val="fr-FR"/>
              </w:rPr>
              <w:fldChar w:fldCharType="end"/>
            </w:r>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E50D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7F86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functional architecture of smart sharing bicycle service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5C3EA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the requirements and functional architecture of smart sharing bicycle (SSB) service to meet people's daily travel needs, supply good user experience, and create a huge market opportunity. It includes service requirements and the functional architecture of smart sharing bicycle service.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DD669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24ECC3E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AED1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9DA132" w14:textId="77777777" w:rsidR="00EB705F" w:rsidRDefault="009A3DC3" w:rsidP="00C9333D">
            <w:pPr>
              <w:jc w:val="center"/>
              <w:rPr>
                <w:rFonts w:ascii="Verdana" w:eastAsia="Times New Roman" w:hAnsi="Verdana"/>
                <w:color w:val="000066"/>
                <w:sz w:val="18"/>
                <w:szCs w:val="18"/>
              </w:rPr>
            </w:pPr>
            <w:hyperlink r:id="rId509" w:tooltip="See more details" w:history="1">
              <w:proofErr w:type="spellStart"/>
              <w:r w:rsidR="00EB705F">
                <w:rPr>
                  <w:rStyle w:val="Hyperlink"/>
                  <w:rFonts w:ascii="Verdana" w:eastAsia="Times New Roman" w:hAnsi="Verdana"/>
                  <w:sz w:val="18"/>
                  <w:szCs w:val="18"/>
                </w:rPr>
                <w:t>Y.4498</w:t>
              </w:r>
              <w:proofErr w:type="spellEnd"/>
              <w:r w:rsidR="00EB705F">
                <w:rPr>
                  <w:rStyle w:val="Hyperlink"/>
                  <w:rFonts w:ascii="Verdana" w:eastAsia="Times New Roman" w:hAnsi="Verdana"/>
                  <w:sz w:val="18"/>
                  <w:szCs w:val="18"/>
                </w:rPr>
                <w:t xml:space="preserve"> (ex </w:t>
              </w:r>
              <w:proofErr w:type="spellStart"/>
              <w:proofErr w:type="gramStart"/>
              <w:r w:rsidR="00EB705F">
                <w:rPr>
                  <w:rStyle w:val="Hyperlink"/>
                  <w:rFonts w:ascii="Verdana" w:eastAsia="Times New Roman" w:hAnsi="Verdana"/>
                  <w:sz w:val="18"/>
                  <w:szCs w:val="18"/>
                </w:rPr>
                <w:t>Y.energy</w:t>
              </w:r>
              <w:proofErr w:type="spellEnd"/>
              <w:proofErr w:type="gramEnd"/>
              <w:r w:rsidR="00EB705F">
                <w:rPr>
                  <w:rStyle w:val="Hyperlink"/>
                  <w:rFonts w:ascii="Verdana" w:eastAsia="Times New Roman" w:hAnsi="Verdana"/>
                  <w:sz w:val="18"/>
                  <w:szCs w:val="18"/>
                </w:rPr>
                <w:t>-data)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3DD03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6961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city-level energy data sharing and analytics among buildings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C70EA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As the building sector accounts for a significant portion of total energy consumption, efforts are being made to increase energy efficiency in buildings through solutions like smart home, smart building, and smart factory. To effectively support this in smart cities, it is crucial to have city-level energy data sharing and analytics for city energy services and intelligent energy applications. This allows energy consumption and production information to be shared among buildings with different energy consumption patterns or renewable energy production to increase energy efficiency. To enable the city-level energy data sharing and analytics, standardized specifications for energy data types and exchange methods are essential. This draft Recommendation specifies requirements and architectural models for city-level energy management that facilitate data exchange, sharing and analytics among buildings in smart cities. It also provides use cases to support energy planning, </w:t>
            </w:r>
            <w:proofErr w:type="gramStart"/>
            <w:r>
              <w:rPr>
                <w:rFonts w:ascii="Verdana" w:eastAsia="Times New Roman" w:hAnsi="Verdana"/>
                <w:color w:val="000066"/>
                <w:sz w:val="18"/>
                <w:szCs w:val="18"/>
              </w:rPr>
              <w:t>management</w:t>
            </w:r>
            <w:proofErr w:type="gramEnd"/>
            <w:r>
              <w:rPr>
                <w:rFonts w:ascii="Verdana" w:eastAsia="Times New Roman" w:hAnsi="Verdana"/>
                <w:color w:val="000066"/>
                <w:sz w:val="18"/>
                <w:szCs w:val="18"/>
              </w:rPr>
              <w:t xml:space="preserve"> and energy data sharing through city energy services for smart sustainable cities.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A1F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00374B4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2428E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29B75" w14:textId="77777777" w:rsidR="00EB705F" w:rsidRDefault="009A3DC3" w:rsidP="00C9333D">
            <w:pPr>
              <w:jc w:val="center"/>
              <w:rPr>
                <w:rFonts w:ascii="Verdana" w:eastAsia="Times New Roman" w:hAnsi="Verdana"/>
                <w:color w:val="000066"/>
                <w:sz w:val="18"/>
                <w:szCs w:val="18"/>
              </w:rPr>
            </w:pPr>
            <w:hyperlink r:id="rId510" w:tooltip="See more details" w:history="1">
              <w:r w:rsidR="00EB705F">
                <w:rPr>
                  <w:rStyle w:val="Hyperlink"/>
                  <w:rFonts w:ascii="Verdana" w:eastAsia="Times New Roman" w:hAnsi="Verdana"/>
                  <w:sz w:val="18"/>
                  <w:szCs w:val="18"/>
                </w:rPr>
                <w:t>Y.4499 (ex Y.UIM-cs-framework)</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52BA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61EF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urban infrastructure monitoring based on crowdsourcing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9FCFB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Urban infrastructure refers to the fundamental facilities and systems that a city must have for its operation and development. It has the characteristics of large quantity, wide </w:t>
            </w:r>
            <w:proofErr w:type="gramStart"/>
            <w:r>
              <w:rPr>
                <w:rFonts w:ascii="Verdana" w:eastAsia="Times New Roman" w:hAnsi="Verdana"/>
                <w:color w:val="000066"/>
                <w:sz w:val="18"/>
                <w:szCs w:val="18"/>
              </w:rPr>
              <w:t>distribution</w:t>
            </w:r>
            <w:proofErr w:type="gramEnd"/>
            <w:r>
              <w:rPr>
                <w:rFonts w:ascii="Verdana" w:eastAsia="Times New Roman" w:hAnsi="Verdana"/>
                <w:color w:val="000066"/>
                <w:sz w:val="18"/>
                <w:szCs w:val="18"/>
              </w:rPr>
              <w:t xml:space="preserve"> and high management difficulty. Crowdsourcing is the practice for a common goal by engaging a group of people. It can provide a scalable and financially viable way to monitor urban infrastructure. This Recommendation addresses the framework of urban infrastructure monitoring based on crowdsourcing, including introduction of urban infrastructure monitoring based on crowdsourcing, requirements, functional architecture, common procedures and security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F15A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7B1E896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4F43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CB2D6B" w14:textId="77777777" w:rsidR="00EB705F" w:rsidRPr="002A010F" w:rsidRDefault="009A3DC3" w:rsidP="00C9333D">
            <w:pPr>
              <w:jc w:val="center"/>
              <w:rPr>
                <w:rFonts w:ascii="Verdana" w:eastAsia="Times New Roman" w:hAnsi="Verdana"/>
                <w:color w:val="000066"/>
                <w:sz w:val="18"/>
                <w:szCs w:val="18"/>
                <w:lang w:val="fr-FR"/>
              </w:rPr>
            </w:pPr>
            <w:hyperlink r:id="rId511" w:tooltip="See more details" w:history="1">
              <w:proofErr w:type="spellStart"/>
              <w:r w:rsidR="00EB705F" w:rsidRPr="002A010F">
                <w:rPr>
                  <w:rStyle w:val="Hyperlink"/>
                  <w:rFonts w:ascii="Verdana" w:eastAsia="Times New Roman" w:hAnsi="Verdana"/>
                  <w:sz w:val="18"/>
                  <w:szCs w:val="18"/>
                  <w:lang w:val="fr-FR"/>
                </w:rPr>
                <w:t>Y.4607</w:t>
              </w:r>
              <w:proofErr w:type="spellEnd"/>
              <w:r w:rsidR="00EB705F" w:rsidRPr="002A010F">
                <w:rPr>
                  <w:rStyle w:val="Hyperlink"/>
                  <w:rFonts w:ascii="Verdana" w:eastAsia="Times New Roman" w:hAnsi="Verdana"/>
                  <w:sz w:val="18"/>
                  <w:szCs w:val="18"/>
                  <w:lang w:val="fr-FR"/>
                </w:rPr>
                <w:t xml:space="preserve"> (ex </w:t>
              </w:r>
              <w:proofErr w:type="spellStart"/>
              <w:r w:rsidR="00EB705F" w:rsidRPr="002A010F">
                <w:rPr>
                  <w:rStyle w:val="Hyperlink"/>
                  <w:rFonts w:ascii="Verdana" w:eastAsia="Times New Roman" w:hAnsi="Verdana"/>
                  <w:sz w:val="18"/>
                  <w:szCs w:val="18"/>
                  <w:lang w:val="fr-FR"/>
                </w:rPr>
                <w:t>Y.DRI-reqts</w:t>
              </w:r>
              <w:proofErr w:type="spellEnd"/>
              <w:r w:rsidR="00EB705F" w:rsidRPr="002A010F">
                <w:rPr>
                  <w:rStyle w:val="Hyperlink"/>
                  <w:rFonts w:ascii="Verdana" w:eastAsia="Times New Roman" w:hAnsi="Verdana"/>
                  <w:sz w:val="18"/>
                  <w:szCs w:val="18"/>
                  <w:lang w:val="fr-FR"/>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9A2F3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117C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autonomous urban delivery robots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DB90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for autonomous delivery robots that interwork with delivery robot service provider, user device and urban infrastructure to facilitate delivery goods without human intervention.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1044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119AD92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8A12E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0403B5" w14:textId="77777777" w:rsidR="00EB705F" w:rsidRPr="002A010F" w:rsidRDefault="009A3DC3" w:rsidP="00C9333D">
            <w:pPr>
              <w:jc w:val="center"/>
              <w:rPr>
                <w:rFonts w:ascii="Verdana" w:eastAsia="Times New Roman" w:hAnsi="Verdana"/>
                <w:color w:val="000066"/>
                <w:sz w:val="18"/>
                <w:szCs w:val="18"/>
                <w:lang w:val="fr-FR"/>
              </w:rPr>
            </w:pPr>
            <w:hyperlink r:id="rId512" w:tooltip="See more details" w:history="1">
              <w:r w:rsidR="00EB705F" w:rsidRPr="002A010F">
                <w:rPr>
                  <w:rStyle w:val="Hyperlink"/>
                  <w:rFonts w:ascii="Verdana" w:eastAsia="Times New Roman" w:hAnsi="Verdana"/>
                  <w:sz w:val="18"/>
                  <w:szCs w:val="18"/>
                  <w:lang w:val="fr-FR"/>
                </w:rPr>
                <w:t xml:space="preserve">Y.4703 (ex </w:t>
              </w:r>
              <w:proofErr w:type="gramStart"/>
              <w:r w:rsidR="00EB705F" w:rsidRPr="002A010F">
                <w:rPr>
                  <w:rStyle w:val="Hyperlink"/>
                  <w:rFonts w:ascii="Verdana" w:eastAsia="Times New Roman" w:hAnsi="Verdana"/>
                  <w:sz w:val="18"/>
                  <w:szCs w:val="18"/>
                  <w:lang w:val="fr-FR"/>
                </w:rPr>
                <w:t>Y.TM.SM</w:t>
              </w:r>
              <w:proofErr w:type="gramEnd"/>
              <w:r w:rsidR="00EB705F" w:rsidRPr="002A010F">
                <w:rPr>
                  <w:rStyle w:val="Hyperlink"/>
                  <w:rFonts w:ascii="Verdana" w:eastAsia="Times New Roman" w:hAnsi="Verdana"/>
                  <w:sz w:val="18"/>
                  <w:szCs w:val="18"/>
                  <w:lang w:val="fr-FR"/>
                </w:rPr>
                <w:t>-API)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0EFDC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2AE95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IoT Service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46F9A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following document is the specification of the IoT Service Management API User Guide.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E4ABA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368E356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8A583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66C052" w14:textId="77777777" w:rsidR="00EB705F" w:rsidRPr="002A010F" w:rsidRDefault="009A3DC3" w:rsidP="00C9333D">
            <w:pPr>
              <w:jc w:val="center"/>
              <w:rPr>
                <w:rFonts w:ascii="Verdana" w:eastAsia="Times New Roman" w:hAnsi="Verdana"/>
                <w:color w:val="000066"/>
                <w:sz w:val="18"/>
                <w:szCs w:val="18"/>
                <w:lang w:val="fr-FR"/>
              </w:rPr>
            </w:pPr>
            <w:hyperlink r:id="rId513" w:tooltip="See more details" w:history="1">
              <w:r w:rsidR="00EB705F" w:rsidRPr="002A010F">
                <w:rPr>
                  <w:rStyle w:val="Hyperlink"/>
                  <w:rFonts w:ascii="Verdana" w:eastAsia="Times New Roman" w:hAnsi="Verdana"/>
                  <w:sz w:val="18"/>
                  <w:szCs w:val="18"/>
                  <w:lang w:val="fr-FR"/>
                </w:rPr>
                <w:t xml:space="preserve">Y.4704 (ex </w:t>
              </w:r>
              <w:proofErr w:type="gramStart"/>
              <w:r w:rsidR="00EB705F" w:rsidRPr="002A010F">
                <w:rPr>
                  <w:rStyle w:val="Hyperlink"/>
                  <w:rFonts w:ascii="Verdana" w:eastAsia="Times New Roman" w:hAnsi="Verdana"/>
                  <w:sz w:val="18"/>
                  <w:szCs w:val="18"/>
                  <w:lang w:val="fr-FR"/>
                </w:rPr>
                <w:t>Y.TM.DM</w:t>
              </w:r>
              <w:proofErr w:type="gramEnd"/>
              <w:r w:rsidR="00EB705F" w:rsidRPr="002A010F">
                <w:rPr>
                  <w:rStyle w:val="Hyperlink"/>
                  <w:rFonts w:ascii="Verdana" w:eastAsia="Times New Roman" w:hAnsi="Verdana"/>
                  <w:sz w:val="18"/>
                  <w:szCs w:val="18"/>
                  <w:lang w:val="fr-FR"/>
                </w:rPr>
                <w:t>-API)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ECE65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4CE4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IoT Device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7075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following document is the specification of the REST API for the management of any IoT Device.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11BD0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257D0C0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A455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TSAG</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781888" w14:textId="77777777" w:rsidR="00EB705F" w:rsidRDefault="009A3DC3" w:rsidP="00C9333D">
            <w:pPr>
              <w:jc w:val="center"/>
              <w:rPr>
                <w:rFonts w:ascii="Verdana" w:eastAsia="Times New Roman" w:hAnsi="Verdana"/>
                <w:color w:val="000066"/>
                <w:sz w:val="18"/>
                <w:szCs w:val="18"/>
              </w:rPr>
            </w:pPr>
            <w:hyperlink r:id="rId514" w:tooltip="See more details" w:history="1">
              <w:r w:rsidR="00EB705F">
                <w:rPr>
                  <w:rStyle w:val="Hyperlink"/>
                  <w:rFonts w:ascii="Verdana" w:eastAsia="Times New Roman" w:hAnsi="Verdana"/>
                  <w:sz w:val="18"/>
                  <w:szCs w:val="18"/>
                </w:rPr>
                <w:t>A.8-rev</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51D9D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F156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Alternative approval process for new and revised ITU T Recommendations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4D36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A.8 provides working methods and procedures for approving draft new and revised ITU-T Recommendations using the alternative approval process.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EFF1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2023-06-02</w:t>
            </w:r>
          </w:p>
        </w:tc>
      </w:tr>
    </w:tbl>
    <w:p w14:paraId="207795A5" w14:textId="6B88318E" w:rsidR="00EB705F" w:rsidRPr="00180BDF" w:rsidRDefault="00EB705F" w:rsidP="00EB705F">
      <w:pPr>
        <w:jc w:val="center"/>
      </w:pPr>
      <w:r>
        <w:t>______</w:t>
      </w:r>
    </w:p>
    <w:p w14:paraId="16AB967C" w14:textId="0A5B1C49" w:rsidR="00373D43" w:rsidRPr="00180BDF" w:rsidRDefault="00373D43" w:rsidP="00180BDF"/>
    <w:sectPr w:rsidR="00373D43" w:rsidRPr="00180BDF" w:rsidSect="00D16770">
      <w:headerReference w:type="default" r:id="rId5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AB70" w14:textId="77777777" w:rsidR="006E6EF9" w:rsidRDefault="006E6EF9">
      <w:r>
        <w:separator/>
      </w:r>
    </w:p>
  </w:endnote>
  <w:endnote w:type="continuationSeparator" w:id="0">
    <w:p w14:paraId="6605340F" w14:textId="77777777" w:rsidR="006E6EF9" w:rsidRDefault="006E6EF9">
      <w:r>
        <w:continuationSeparator/>
      </w:r>
    </w:p>
  </w:endnote>
  <w:endnote w:type="continuationNotice" w:id="1">
    <w:p w14:paraId="6E1C767A" w14:textId="77777777" w:rsidR="006E6EF9" w:rsidRDefault="006E6E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AA63" w14:textId="77777777" w:rsidR="006E6EF9" w:rsidRDefault="006E6EF9">
      <w:r>
        <w:separator/>
      </w:r>
    </w:p>
  </w:footnote>
  <w:footnote w:type="continuationSeparator" w:id="0">
    <w:p w14:paraId="69BEBB53" w14:textId="77777777" w:rsidR="006E6EF9" w:rsidRDefault="006E6EF9">
      <w:r>
        <w:continuationSeparator/>
      </w:r>
    </w:p>
  </w:footnote>
  <w:footnote w:type="continuationNotice" w:id="1">
    <w:p w14:paraId="11F6A3B4" w14:textId="77777777" w:rsidR="006E6EF9" w:rsidRDefault="006E6EF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8195F80" w14:textId="3071AE7B" w:rsidR="00BB7AB2" w:rsidRDefault="006C4954" w:rsidP="00BB7AB2">
    <w:pPr>
      <w:pStyle w:val="Header"/>
      <w:rPr>
        <w:noProof/>
      </w:rPr>
    </w:pPr>
    <w:r>
      <w:rPr>
        <w:noProof/>
      </w:rPr>
      <w:t>TSAG-TD</w:t>
    </w:r>
    <w:r w:rsidR="00BB7AB2">
      <w:rPr>
        <w:noProof/>
      </w:rPr>
      <w:t>409</w:t>
    </w:r>
  </w:p>
  <w:p w14:paraId="1F1944E8" w14:textId="5843C466" w:rsidR="00E8697D" w:rsidRPr="007336C4" w:rsidRDefault="00E8697D" w:rsidP="0090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4"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8"/>
  </w:num>
  <w:num w:numId="2" w16cid:durableId="2015834047">
    <w:abstractNumId w:val="6"/>
  </w:num>
  <w:num w:numId="3" w16cid:durableId="1489327025">
    <w:abstractNumId w:val="2"/>
  </w:num>
  <w:num w:numId="4" w16cid:durableId="1001860091">
    <w:abstractNumId w:val="4"/>
  </w:num>
  <w:num w:numId="5" w16cid:durableId="245847561">
    <w:abstractNumId w:val="32"/>
  </w:num>
  <w:num w:numId="6" w16cid:durableId="1342971559">
    <w:abstractNumId w:val="19"/>
  </w:num>
  <w:num w:numId="7" w16cid:durableId="1080449936">
    <w:abstractNumId w:val="26"/>
  </w:num>
  <w:num w:numId="8" w16cid:durableId="1937131685">
    <w:abstractNumId w:val="17"/>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364521092">
    <w:abstractNumId w:val="14"/>
  </w:num>
  <w:num w:numId="14" w16cid:durableId="1989699310">
    <w:abstractNumId w:val="21"/>
  </w:num>
  <w:num w:numId="15" w16cid:durableId="747848282">
    <w:abstractNumId w:val="22"/>
  </w:num>
  <w:num w:numId="16" w16cid:durableId="2094009191">
    <w:abstractNumId w:val="30"/>
  </w:num>
  <w:num w:numId="17" w16cid:durableId="482698090">
    <w:abstractNumId w:val="31"/>
  </w:num>
  <w:num w:numId="18" w16cid:durableId="1255092107">
    <w:abstractNumId w:val="18"/>
  </w:num>
  <w:num w:numId="19" w16cid:durableId="1527207171">
    <w:abstractNumId w:val="13"/>
  </w:num>
  <w:num w:numId="20" w16cid:durableId="1541934029">
    <w:abstractNumId w:val="13"/>
  </w:num>
  <w:num w:numId="21" w16cid:durableId="2001538963">
    <w:abstractNumId w:val="25"/>
  </w:num>
  <w:num w:numId="22" w16cid:durableId="771978500">
    <w:abstractNumId w:val="11"/>
  </w:num>
  <w:num w:numId="23" w16cid:durableId="272716385">
    <w:abstractNumId w:val="16"/>
  </w:num>
  <w:num w:numId="24" w16cid:durableId="1212378839">
    <w:abstractNumId w:val="23"/>
  </w:num>
  <w:num w:numId="25" w16cid:durableId="330452002">
    <w:abstractNumId w:val="15"/>
  </w:num>
  <w:num w:numId="26" w16cid:durableId="1587692170">
    <w:abstractNumId w:val="24"/>
  </w:num>
  <w:num w:numId="27" w16cid:durableId="1284072246">
    <w:abstractNumId w:val="12"/>
  </w:num>
  <w:num w:numId="28" w16cid:durableId="2080668314">
    <w:abstractNumId w:val="9"/>
  </w:num>
  <w:num w:numId="29" w16cid:durableId="308755749">
    <w:abstractNumId w:val="27"/>
  </w:num>
  <w:num w:numId="30" w16cid:durableId="1723750918">
    <w:abstractNumId w:val="28"/>
  </w:num>
  <w:num w:numId="31" w16cid:durableId="1898123529">
    <w:abstractNumId w:val="10"/>
  </w:num>
  <w:num w:numId="32" w16cid:durableId="1674722823">
    <w:abstractNumId w:val="20"/>
  </w:num>
  <w:num w:numId="33" w16cid:durableId="334967219">
    <w:abstractNumId w:val="7"/>
  </w:num>
  <w:num w:numId="34" w16cid:durableId="98231941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P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7FC"/>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327"/>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38"/>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E01"/>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6D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EF8"/>
    <w:rsid w:val="00117FCB"/>
    <w:rsid w:val="00120328"/>
    <w:rsid w:val="00120341"/>
    <w:rsid w:val="001204FF"/>
    <w:rsid w:val="00120FF2"/>
    <w:rsid w:val="00121202"/>
    <w:rsid w:val="001212D8"/>
    <w:rsid w:val="001215CC"/>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097"/>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1F18"/>
    <w:rsid w:val="001629BE"/>
    <w:rsid w:val="00162DD6"/>
    <w:rsid w:val="00163E79"/>
    <w:rsid w:val="001648EB"/>
    <w:rsid w:val="001649DC"/>
    <w:rsid w:val="00164CF6"/>
    <w:rsid w:val="00165580"/>
    <w:rsid w:val="0016563F"/>
    <w:rsid w:val="0016567B"/>
    <w:rsid w:val="001659E1"/>
    <w:rsid w:val="00165A85"/>
    <w:rsid w:val="00165E09"/>
    <w:rsid w:val="0016603D"/>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241"/>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841"/>
    <w:rsid w:val="00210944"/>
    <w:rsid w:val="002109EE"/>
    <w:rsid w:val="00210B79"/>
    <w:rsid w:val="00210CA6"/>
    <w:rsid w:val="002112E3"/>
    <w:rsid w:val="00211650"/>
    <w:rsid w:val="00211F62"/>
    <w:rsid w:val="002122BE"/>
    <w:rsid w:val="002125CD"/>
    <w:rsid w:val="00212B30"/>
    <w:rsid w:val="002130A2"/>
    <w:rsid w:val="0021319C"/>
    <w:rsid w:val="002135DD"/>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84E"/>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C20"/>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1AC"/>
    <w:rsid w:val="0025151E"/>
    <w:rsid w:val="00251558"/>
    <w:rsid w:val="0025167A"/>
    <w:rsid w:val="00251B91"/>
    <w:rsid w:val="00251F75"/>
    <w:rsid w:val="002522DA"/>
    <w:rsid w:val="0025261A"/>
    <w:rsid w:val="00252724"/>
    <w:rsid w:val="00252B83"/>
    <w:rsid w:val="00252D66"/>
    <w:rsid w:val="00253029"/>
    <w:rsid w:val="0025323E"/>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8E2"/>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09A2"/>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199"/>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13F"/>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0B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686"/>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34C"/>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0D97"/>
    <w:rsid w:val="003215FA"/>
    <w:rsid w:val="0032163A"/>
    <w:rsid w:val="00321BAB"/>
    <w:rsid w:val="00321DC4"/>
    <w:rsid w:val="00321E20"/>
    <w:rsid w:val="00322226"/>
    <w:rsid w:val="00322645"/>
    <w:rsid w:val="00322721"/>
    <w:rsid w:val="0032293C"/>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1C91"/>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5784"/>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97BAB"/>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2E0"/>
    <w:rsid w:val="00464A0E"/>
    <w:rsid w:val="00464E88"/>
    <w:rsid w:val="00464EC8"/>
    <w:rsid w:val="0046503E"/>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38FA"/>
    <w:rsid w:val="00493B22"/>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66D"/>
    <w:rsid w:val="004B1757"/>
    <w:rsid w:val="004B19DD"/>
    <w:rsid w:val="004B1A6A"/>
    <w:rsid w:val="004B2159"/>
    <w:rsid w:val="004B3042"/>
    <w:rsid w:val="004B3277"/>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3"/>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073"/>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A83"/>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942"/>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191"/>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DF5"/>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4A98"/>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B87"/>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369"/>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37E"/>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381"/>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76E"/>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C6CD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365"/>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1E"/>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1F"/>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357"/>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2C4"/>
    <w:rsid w:val="0077731D"/>
    <w:rsid w:val="00777434"/>
    <w:rsid w:val="0077757C"/>
    <w:rsid w:val="007777CE"/>
    <w:rsid w:val="007778D3"/>
    <w:rsid w:val="0077798A"/>
    <w:rsid w:val="00777CB4"/>
    <w:rsid w:val="00777E55"/>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7CA"/>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0AE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88D"/>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1F3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20C"/>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4EB"/>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5B5"/>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EFA"/>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2B8"/>
    <w:rsid w:val="00986416"/>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3DC3"/>
    <w:rsid w:val="009A41F4"/>
    <w:rsid w:val="009A45FB"/>
    <w:rsid w:val="009A48FE"/>
    <w:rsid w:val="009A4ACF"/>
    <w:rsid w:val="009A4BD4"/>
    <w:rsid w:val="009A4E2D"/>
    <w:rsid w:val="009A4F4E"/>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A95"/>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A70"/>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A6"/>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19"/>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CB8"/>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8F5"/>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0C3"/>
    <w:rsid w:val="00B01193"/>
    <w:rsid w:val="00B0174D"/>
    <w:rsid w:val="00B018B9"/>
    <w:rsid w:val="00B01E21"/>
    <w:rsid w:val="00B01E72"/>
    <w:rsid w:val="00B01EDB"/>
    <w:rsid w:val="00B028E5"/>
    <w:rsid w:val="00B02E4C"/>
    <w:rsid w:val="00B0302D"/>
    <w:rsid w:val="00B033EE"/>
    <w:rsid w:val="00B03543"/>
    <w:rsid w:val="00B035B9"/>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06B"/>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019"/>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6"/>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AB2"/>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3B3"/>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E46"/>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3FAB"/>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9A5"/>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76F"/>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77C5E"/>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A11"/>
    <w:rsid w:val="00CA2B16"/>
    <w:rsid w:val="00CA2D85"/>
    <w:rsid w:val="00CA2F59"/>
    <w:rsid w:val="00CA2FD2"/>
    <w:rsid w:val="00CA36D9"/>
    <w:rsid w:val="00CA37AB"/>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0E01"/>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06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5AC3"/>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499"/>
    <w:rsid w:val="00D045CD"/>
    <w:rsid w:val="00D048EB"/>
    <w:rsid w:val="00D04DD6"/>
    <w:rsid w:val="00D05450"/>
    <w:rsid w:val="00D05584"/>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CFD"/>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3C"/>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240"/>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55"/>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0E"/>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5E52"/>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D9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330"/>
    <w:rsid w:val="00E836AF"/>
    <w:rsid w:val="00E8391A"/>
    <w:rsid w:val="00E84024"/>
    <w:rsid w:val="00E852A8"/>
    <w:rsid w:val="00E855AE"/>
    <w:rsid w:val="00E8583A"/>
    <w:rsid w:val="00E8583E"/>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57B"/>
    <w:rsid w:val="00EA76E4"/>
    <w:rsid w:val="00EA790C"/>
    <w:rsid w:val="00EA793D"/>
    <w:rsid w:val="00EB04A4"/>
    <w:rsid w:val="00EB068D"/>
    <w:rsid w:val="00EB0A88"/>
    <w:rsid w:val="00EB18D9"/>
    <w:rsid w:val="00EB1911"/>
    <w:rsid w:val="00EB19F8"/>
    <w:rsid w:val="00EB1EBF"/>
    <w:rsid w:val="00EB1FD0"/>
    <w:rsid w:val="00EB2512"/>
    <w:rsid w:val="00EB2A1F"/>
    <w:rsid w:val="00EB36C4"/>
    <w:rsid w:val="00EB377F"/>
    <w:rsid w:val="00EB40D5"/>
    <w:rsid w:val="00EB459B"/>
    <w:rsid w:val="00EB45F9"/>
    <w:rsid w:val="00EB48E6"/>
    <w:rsid w:val="00EB4C1D"/>
    <w:rsid w:val="00EB50C0"/>
    <w:rsid w:val="00EB559D"/>
    <w:rsid w:val="00EB61FC"/>
    <w:rsid w:val="00EB67A7"/>
    <w:rsid w:val="00EB6C86"/>
    <w:rsid w:val="00EB6F61"/>
    <w:rsid w:val="00EB705F"/>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4751"/>
    <w:rsid w:val="00ED519D"/>
    <w:rsid w:val="00ED5723"/>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6FC9"/>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1"/>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AA4"/>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4C8"/>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0AE5"/>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nc.itu.int/" TargetMode="External"/><Relationship Id="rId21" Type="http://schemas.openxmlformats.org/officeDocument/2006/relationships/hyperlink" Target="https://aiforgood.itu.int/eventcat/ai-ml-in-5g/" TargetMode="External"/><Relationship Id="rId324" Type="http://schemas.openxmlformats.org/officeDocument/2006/relationships/hyperlink" Target="http://www.itu.int/itu-t/workprog/wp_item.aspx?isn=18147" TargetMode="External"/><Relationship Id="rId170" Type="http://schemas.openxmlformats.org/officeDocument/2006/relationships/hyperlink" Target="http://www.itu.int/net/itu-t/cdb/ConformityDB.aspx" TargetMode="External"/><Relationship Id="rId226" Type="http://schemas.openxmlformats.org/officeDocument/2006/relationships/hyperlink" Target="https://www.itu.int/myworkspace/" TargetMode="External"/><Relationship Id="rId433" Type="http://schemas.openxmlformats.org/officeDocument/2006/relationships/hyperlink" Target="http://www.itu.int/itu-t/workprog/wp_item.aspx?isn=18055" TargetMode="External"/><Relationship Id="rId268" Type="http://schemas.openxmlformats.org/officeDocument/2006/relationships/hyperlink" Target="http://www.itu.int/itu-t/workprog/wp_item.aspx?isn=18547" TargetMode="External"/><Relationship Id="rId475" Type="http://schemas.openxmlformats.org/officeDocument/2006/relationships/hyperlink" Target="http://www.itu.int/itu-t/workprog/wp_item.aspx?isn=18256" TargetMode="External"/><Relationship Id="rId32" Type="http://schemas.openxmlformats.org/officeDocument/2006/relationships/hyperlink" Target="https://u4ssc.itu.int/latest-meetings/7th-meeting/" TargetMode="External"/><Relationship Id="rId74" Type="http://schemas.openxmlformats.org/officeDocument/2006/relationships/hyperlink" Target="https://www.itu.int/en/ITU-T/focusgroups/tbfxg/Pages/default.aspx" TargetMode="External"/><Relationship Id="rId128" Type="http://schemas.openxmlformats.org/officeDocument/2006/relationships/hyperlink" Target="http://www.itu.int/initiatives/green-digital-action-atcop28/wp-content/uploads/sites/4/2023/12/Call-to-Action-Pillar4-Green-standards.pdf" TargetMode="External"/><Relationship Id="rId335" Type="http://schemas.openxmlformats.org/officeDocument/2006/relationships/hyperlink" Target="http://www.itu.int/itu-t/workprog/wp_item.aspx?isn=18657" TargetMode="External"/><Relationship Id="rId377" Type="http://schemas.openxmlformats.org/officeDocument/2006/relationships/hyperlink" Target="http://www.itu.int/itu-t/workprog/wp_item.aspx?isn=18613" TargetMode="External"/><Relationship Id="rId500" Type="http://schemas.openxmlformats.org/officeDocument/2006/relationships/hyperlink" Target="http://www.itu.int/itu-t/workprog/wp_item.aspx?isn=17976" TargetMode="External"/><Relationship Id="rId5" Type="http://schemas.openxmlformats.org/officeDocument/2006/relationships/numbering" Target="numbering.xml"/><Relationship Id="rId181" Type="http://schemas.openxmlformats.org/officeDocument/2006/relationships/hyperlink" Target="https://www.itu.int/en/action/accessibility/Pages/hlmdd2013.aspx" TargetMode="External"/><Relationship Id="rId237" Type="http://schemas.openxmlformats.org/officeDocument/2006/relationships/hyperlink" Target="http://tsbcloud.itu.int" TargetMode="External"/><Relationship Id="rId402" Type="http://schemas.openxmlformats.org/officeDocument/2006/relationships/hyperlink" Target="http://www.itu.int/itu-t/workprog/wp_item.aspx?isn=18018" TargetMode="External"/><Relationship Id="rId279" Type="http://schemas.openxmlformats.org/officeDocument/2006/relationships/hyperlink" Target="http://www.itu.int/itu-t/workprog/wp_item.aspx?isn=18511" TargetMode="External"/><Relationship Id="rId444" Type="http://schemas.openxmlformats.org/officeDocument/2006/relationships/hyperlink" Target="http://www.itu.int/itu-t/workprog/wp_item.aspx?isn=18868" TargetMode="External"/><Relationship Id="rId486" Type="http://schemas.openxmlformats.org/officeDocument/2006/relationships/hyperlink" Target="http://www.itu.int/itu-t/workprog/wp_item.aspx?isn=18498" TargetMode="External"/><Relationship Id="rId43" Type="http://schemas.openxmlformats.org/officeDocument/2006/relationships/hyperlink" Target="https://www.itu.int/initiatives/green-digital-action-atcop28/about/outcomes/" TargetMode="External"/><Relationship Id="rId139" Type="http://schemas.openxmlformats.org/officeDocument/2006/relationships/hyperlink" Target="https://www.itu.int/en/ITU-T/extcoop/Pages/wsc.aspx" TargetMode="External"/><Relationship Id="rId290" Type="http://schemas.openxmlformats.org/officeDocument/2006/relationships/hyperlink" Target="http://www.itu.int/itu-t/workprog/wp_item.aspx?isn=17846" TargetMode="External"/><Relationship Id="rId304" Type="http://schemas.openxmlformats.org/officeDocument/2006/relationships/hyperlink" Target="http://www.itu.int/itu-t/workprog/wp_item.aspx?isn=17839" TargetMode="External"/><Relationship Id="rId346" Type="http://schemas.openxmlformats.org/officeDocument/2006/relationships/hyperlink" Target="http://www.itu.int/itu-t/workprog/wp_item.aspx?isn=18675" TargetMode="External"/><Relationship Id="rId388" Type="http://schemas.openxmlformats.org/officeDocument/2006/relationships/hyperlink" Target="http://www.itu.int/itu-t/workprog/wp_item.aspx?isn=17517" TargetMode="External"/><Relationship Id="rId511" Type="http://schemas.openxmlformats.org/officeDocument/2006/relationships/hyperlink" Target="http://www.itu.int/itu-t/workprog/wp_item.aspx?isn=18457" TargetMode="External"/><Relationship Id="rId85" Type="http://schemas.openxmlformats.org/officeDocument/2006/relationships/hyperlink" Target="https://aiforgood.itu.int/" TargetMode="External"/><Relationship Id="rId150" Type="http://schemas.openxmlformats.org/officeDocument/2006/relationships/hyperlink" Target="https://collaborate.iec.ch/" TargetMode="External"/><Relationship Id="rId192" Type="http://schemas.openxmlformats.org/officeDocument/2006/relationships/hyperlink" Target="https://www.itu.int/en/ITU-T/gap/Documents/nss-rep-may.pdf" TargetMode="External"/><Relationship Id="rId206" Type="http://schemas.openxmlformats.org/officeDocument/2006/relationships/hyperlink" Target="https://www.itu.int/md/S23-CL-C-0076/" TargetMode="External"/><Relationship Id="rId413" Type="http://schemas.openxmlformats.org/officeDocument/2006/relationships/hyperlink" Target="http://www.itu.int/itu-t/workprog/wp_item.aspx?isn=18477" TargetMode="External"/><Relationship Id="rId248" Type="http://schemas.openxmlformats.org/officeDocument/2006/relationships/hyperlink" Target="https://www.itu.int/itu-t/landscape/?topic=tx378" TargetMode="External"/><Relationship Id="rId455" Type="http://schemas.openxmlformats.org/officeDocument/2006/relationships/hyperlink" Target="http://www.itu.int/itu-t/workprog/wp_item.aspx?isn=18207" TargetMode="External"/><Relationship Id="rId497" Type="http://schemas.openxmlformats.org/officeDocument/2006/relationships/hyperlink" Target="http://www.itu.int/itu-t/workprog/wp_item.aspx?isn=18036" TargetMode="External"/><Relationship Id="rId12" Type="http://schemas.openxmlformats.org/officeDocument/2006/relationships/hyperlink" Target="https://www.itu.int/en/ITU-T/studygroups/Pages/default.aspx" TargetMode="External"/><Relationship Id="rId108" Type="http://schemas.openxmlformats.org/officeDocument/2006/relationships/hyperlink" Target="https://www.itu.int/cities/wp-content/uploads/2023/12/Digital-Transformation-Webinars-Outcome-Document-21-39.pdf" TargetMode="External"/><Relationship Id="rId315" Type="http://schemas.openxmlformats.org/officeDocument/2006/relationships/hyperlink" Target="http://www.itu.int/itu-t/workprog/wp_item.aspx?isn=17808" TargetMode="External"/><Relationship Id="rId357" Type="http://schemas.openxmlformats.org/officeDocument/2006/relationships/hyperlink" Target="http://www.itu.int/itu-t/workprog/wp_item.aspx?isn=18835" TargetMode="External"/><Relationship Id="rId54" Type="http://schemas.openxmlformats.org/officeDocument/2006/relationships/hyperlink" Target="http://www.itu.int/net/itu-t/cdb/ConformityDB.aspx" TargetMode="External"/><Relationship Id="rId96" Type="http://schemas.openxmlformats.org/officeDocument/2006/relationships/hyperlink" Target="https://www.itu.int/en/ITU-T/focusgroups/ai4h/Pages/default.aspx" TargetMode="External"/><Relationship Id="rId161" Type="http://schemas.openxmlformats.org/officeDocument/2006/relationships/hyperlink" Target="https://www.itu.int/en/ITU-T/wsis/Pages/default.aspx" TargetMode="External"/><Relationship Id="rId217" Type="http://schemas.openxmlformats.org/officeDocument/2006/relationships/hyperlink" Target="https://gss.itu.int" TargetMode="External"/><Relationship Id="rId399" Type="http://schemas.openxmlformats.org/officeDocument/2006/relationships/hyperlink" Target="http://www.itu.int/itu-t/workprog/wp_item.aspx?isn=17999" TargetMode="External"/><Relationship Id="rId259" Type="http://schemas.openxmlformats.org/officeDocument/2006/relationships/hyperlink" Target="https://www.itu.int/en/ITU-T/inr/unum/Pages/default.aspx" TargetMode="External"/><Relationship Id="rId424" Type="http://schemas.openxmlformats.org/officeDocument/2006/relationships/hyperlink" Target="http://www.itu.int/itu-t/workprog/wp_item.aspx?isn=19182" TargetMode="External"/><Relationship Id="rId466" Type="http://schemas.openxmlformats.org/officeDocument/2006/relationships/hyperlink" Target="http://www.itu.int/itu-t/workprog/wp_item.aspx?isn=18882" TargetMode="External"/><Relationship Id="rId23" Type="http://schemas.openxmlformats.org/officeDocument/2006/relationships/hyperlink" Target="https://www.itu.int/en/ITU-T/focusgroups/ai4h/Pages/default.aspx" TargetMode="External"/><Relationship Id="rId119" Type="http://schemas.openxmlformats.org/officeDocument/2006/relationships/hyperlink" Target="https://www.itu.int/en/ITU-T/extcoop/cits/Pages/egcomad.aspx" TargetMode="External"/><Relationship Id="rId270" Type="http://schemas.openxmlformats.org/officeDocument/2006/relationships/hyperlink" Target="http://www.itu.int/itu-t/workprog/wp_item.aspx?isn=18411" TargetMode="External"/><Relationship Id="rId326" Type="http://schemas.openxmlformats.org/officeDocument/2006/relationships/hyperlink" Target="http://www.itu.int/itu-t/workprog/wp_item.aspx?isn=18149" TargetMode="External"/><Relationship Id="rId65" Type="http://schemas.openxmlformats.org/officeDocument/2006/relationships/hyperlink" Target="https://www.itu.int/go/tsg12" TargetMode="External"/><Relationship Id="rId130" Type="http://schemas.openxmlformats.org/officeDocument/2006/relationships/hyperlink" Target="https://aiforgood.itu.int/about-ai-for-good/innovation-factory/" TargetMode="External"/><Relationship Id="rId368" Type="http://schemas.openxmlformats.org/officeDocument/2006/relationships/hyperlink" Target="http://www.itu.int/itu-t/workprog/wp_item.aspx?isn=17522" TargetMode="External"/><Relationship Id="rId172" Type="http://schemas.openxmlformats.org/officeDocument/2006/relationships/hyperlink" Target="https://www.itu.int/en/ITU-T/extcoop/Documents/mou/MoU-ITU-T-IAF-ILAC-20220824.pdf" TargetMode="External"/><Relationship Id="rId228" Type="http://schemas.openxmlformats.org/officeDocument/2006/relationships/hyperlink" Target="https://www.itu.int/myworkspace/" TargetMode="External"/><Relationship Id="rId435" Type="http://schemas.openxmlformats.org/officeDocument/2006/relationships/hyperlink" Target="http://www.itu.int/itu-t/workprog/wp_item.aspx?isn=18423" TargetMode="External"/><Relationship Id="rId477" Type="http://schemas.openxmlformats.org/officeDocument/2006/relationships/hyperlink" Target="http://www.itu.int/itu-t/workprog/wp_item.aspx?isn=19226" TargetMode="External"/><Relationship Id="rId281" Type="http://schemas.openxmlformats.org/officeDocument/2006/relationships/hyperlink" Target="http://www.itu.int/itu-t/workprog/wp_item.aspx?isn=18520" TargetMode="External"/><Relationship Id="rId337" Type="http://schemas.openxmlformats.org/officeDocument/2006/relationships/hyperlink" Target="http://www.itu.int/itu-t/workprog/wp_item.aspx?isn=18976" TargetMode="External"/><Relationship Id="rId502" Type="http://schemas.openxmlformats.org/officeDocument/2006/relationships/hyperlink" Target="http://www.itu.int/itu-t/workprog/wp_item.aspx?isn=17430" TargetMode="External"/><Relationship Id="rId34" Type="http://schemas.openxmlformats.org/officeDocument/2006/relationships/hyperlink" Target="https://u4ssc.itu.int/publications/" TargetMode="External"/><Relationship Id="rId76" Type="http://schemas.openxmlformats.org/officeDocument/2006/relationships/hyperlink" Target="https://www.itu.int/en/ITU-T/focusgroups/ai4ndm/Pages/default.aspx" TargetMode="External"/><Relationship Id="rId141" Type="http://schemas.openxmlformats.org/officeDocument/2006/relationships/hyperlink" Target="https://www.worldstandardscooperation.org/what-we-do/world-standards-day/" TargetMode="External"/><Relationship Id="rId379" Type="http://schemas.openxmlformats.org/officeDocument/2006/relationships/hyperlink" Target="http://www.itu.int/itu-t/workprog/wp_item.aspx?isn=17578" TargetMode="External"/><Relationship Id="rId7" Type="http://schemas.openxmlformats.org/officeDocument/2006/relationships/settings" Target="settings.xml"/><Relationship Id="rId183" Type="http://schemas.openxmlformats.org/officeDocument/2006/relationships/hyperlink" Target="http://www.itu.int/en/ITU-T/ipr/Pages/adhoc.aspx" TargetMode="External"/><Relationship Id="rId239" Type="http://schemas.openxmlformats.org/officeDocument/2006/relationships/hyperlink" Target="https://www.itu.int/en/ITU-T/ewm/Pages/sync-app.aspx" TargetMode="External"/><Relationship Id="rId390" Type="http://schemas.openxmlformats.org/officeDocument/2006/relationships/hyperlink" Target="http://www.itu.int/itu-t/workprog/wp_item.aspx?isn=18692" TargetMode="External"/><Relationship Id="rId404" Type="http://schemas.openxmlformats.org/officeDocument/2006/relationships/hyperlink" Target="http://www.itu.int/itu-t/workprog/wp_item.aspx?isn=18776" TargetMode="External"/><Relationship Id="rId446" Type="http://schemas.openxmlformats.org/officeDocument/2006/relationships/hyperlink" Target="http://www.itu.int/itu-t/workprog/wp_item.aspx?isn=18874" TargetMode="External"/><Relationship Id="rId250" Type="http://schemas.openxmlformats.org/officeDocument/2006/relationships/hyperlink" Target="https://www.itu.int/itu-t/landscape/?topic=tx279" TargetMode="External"/><Relationship Id="rId292" Type="http://schemas.openxmlformats.org/officeDocument/2006/relationships/hyperlink" Target="http://www.itu.int/itu-t/workprog/wp_item.aspx?isn=17853" TargetMode="External"/><Relationship Id="rId306" Type="http://schemas.openxmlformats.org/officeDocument/2006/relationships/hyperlink" Target="http://www.itu.int/itu-t/workprog/wp_item.aspx?isn=18481" TargetMode="External"/><Relationship Id="rId488" Type="http://schemas.openxmlformats.org/officeDocument/2006/relationships/hyperlink" Target="http://www.itu.int/itu-t/workprog/wp_item.aspx?isn=17486" TargetMode="External"/><Relationship Id="rId45" Type="http://schemas.openxmlformats.org/officeDocument/2006/relationships/hyperlink" Target="http://www.itu.int/initiatives/green-digital-action-atcop28/wp-content/uploads/sites/4/2023/12/Call-to-Action-Pillar4-Green-standards.pdf" TargetMode="External"/><Relationship Id="rId87" Type="http://schemas.openxmlformats.org/officeDocument/2006/relationships/hyperlink" Target="https://www.itu.int/en/itu-wsis/Pages/default.aspx" TargetMode="External"/><Relationship Id="rId110" Type="http://schemas.openxmlformats.org/officeDocument/2006/relationships/hyperlink" Target="https://www.itu.int/en/ITU-T/ssc/united/Pages/publication-U4SSC-KPIs.aspx" TargetMode="External"/><Relationship Id="rId348" Type="http://schemas.openxmlformats.org/officeDocument/2006/relationships/hyperlink" Target="http://www.itu.int/itu-t/workprog/wp_item.aspx?isn=18082" TargetMode="External"/><Relationship Id="rId513" Type="http://schemas.openxmlformats.org/officeDocument/2006/relationships/hyperlink" Target="http://www.itu.int/itu-t/workprog/wp_item.aspx?isn=17920" TargetMode="External"/><Relationship Id="rId152" Type="http://schemas.openxmlformats.org/officeDocument/2006/relationships/hyperlink" Target="https://www.itu.int/en/irg/avqa" TargetMode="External"/><Relationship Id="rId194" Type="http://schemas.openxmlformats.org/officeDocument/2006/relationships/hyperlink" Target="https://www.itu.int/pub/T-TUT" TargetMode="External"/><Relationship Id="rId208" Type="http://schemas.openxmlformats.org/officeDocument/2006/relationships/hyperlink" Target="https://learnqi.unece.org/courses/gender-responsive-standards/" TargetMode="External"/><Relationship Id="rId415" Type="http://schemas.openxmlformats.org/officeDocument/2006/relationships/hyperlink" Target="http://www.itu.int/itu-t/workprog/wp_item.aspx?isn=18455" TargetMode="External"/><Relationship Id="rId457" Type="http://schemas.openxmlformats.org/officeDocument/2006/relationships/hyperlink" Target="http://www.itu.int/itu-t/workprog/wp_item.aspx?isn=18223" TargetMode="External"/><Relationship Id="rId261" Type="http://schemas.openxmlformats.org/officeDocument/2006/relationships/hyperlink" Target="https://www.itu.int/search" TargetMode="External"/><Relationship Id="rId499" Type="http://schemas.openxmlformats.org/officeDocument/2006/relationships/hyperlink" Target="http://www.itu.int/itu-t/workprog/wp_item.aspx?isn=19045" TargetMode="External"/><Relationship Id="rId14" Type="http://schemas.openxmlformats.org/officeDocument/2006/relationships/hyperlink" Target="https://www.itu.int/en/ITU-T/Workshops-and-Seminars/Pages/default.aspx" TargetMode="External"/><Relationship Id="rId56" Type="http://schemas.openxmlformats.org/officeDocument/2006/relationships/hyperlink" Target="https://www.itu.int/en/ITU-T/C-I/Pages/default.aspx" TargetMode="External"/><Relationship Id="rId317" Type="http://schemas.openxmlformats.org/officeDocument/2006/relationships/hyperlink" Target="http://www.itu.int/itu-t/workprog/wp_item.aspx?isn=18726" TargetMode="External"/><Relationship Id="rId359" Type="http://schemas.openxmlformats.org/officeDocument/2006/relationships/hyperlink" Target="http://www.itu.int/itu-t/workprog/wp_item.aspx?isn=18838" TargetMode="External"/><Relationship Id="rId98" Type="http://schemas.openxmlformats.org/officeDocument/2006/relationships/hyperlink" Target="https://www.itu.int/en/ITU-T/dfs/Pages/default.aspx" TargetMode="External"/><Relationship Id="rId121" Type="http://schemas.openxmlformats.org/officeDocument/2006/relationships/hyperlink" Target="https://www.itu.int/en/ITU-T/ITS/Pages/default.aspx" TargetMode="External"/><Relationship Id="rId163" Type="http://schemas.openxmlformats.org/officeDocument/2006/relationships/hyperlink" Target="https://www.itu.int/ITU-T/workprog/wp_item.aspx?isn=18961" TargetMode="External"/><Relationship Id="rId219" Type="http://schemas.openxmlformats.org/officeDocument/2006/relationships/hyperlink" Target="http://itu.int/go/itu-t/rgm" TargetMode="External"/><Relationship Id="rId370" Type="http://schemas.openxmlformats.org/officeDocument/2006/relationships/hyperlink" Target="http://www.itu.int/itu-t/workprog/wp_item.aspx?isn=17650" TargetMode="External"/><Relationship Id="rId426" Type="http://schemas.openxmlformats.org/officeDocument/2006/relationships/hyperlink" Target="http://www.itu.int/itu-t/workprog/wp_item.aspx?isn=17733" TargetMode="External"/><Relationship Id="rId230" Type="http://schemas.openxmlformats.org/officeDocument/2006/relationships/hyperlink" Target="https://www.itu.int/myworkspace/" TargetMode="External"/><Relationship Id="rId468" Type="http://schemas.openxmlformats.org/officeDocument/2006/relationships/hyperlink" Target="http://www.itu.int/itu-t/workprog/wp_item.aspx?isn=18271" TargetMode="External"/><Relationship Id="rId25" Type="http://schemas.openxmlformats.org/officeDocument/2006/relationships/hyperlink" Target="https://figi.itu.int/itu-dfs-security-clinics/" TargetMode="External"/><Relationship Id="rId67" Type="http://schemas.openxmlformats.org/officeDocument/2006/relationships/hyperlink" Target="https://www.itu.int/en/ITU-T/studygroups/2022-2024/16/Pages/default.aspx" TargetMode="External"/><Relationship Id="rId272" Type="http://schemas.openxmlformats.org/officeDocument/2006/relationships/hyperlink" Target="http://www.itu.int/itu-t/workprog/wp_item.aspx?isn=17709" TargetMode="External"/><Relationship Id="rId328" Type="http://schemas.openxmlformats.org/officeDocument/2006/relationships/hyperlink" Target="http://www.itu.int/itu-t/workprog/wp_item.aspx?isn=18101" TargetMode="External"/><Relationship Id="rId132" Type="http://schemas.openxmlformats.org/officeDocument/2006/relationships/hyperlink" Target="https://www.itu.int/en/journal/j-fet/Pages/default.aspx" TargetMode="External"/><Relationship Id="rId174" Type="http://schemas.openxmlformats.org/officeDocument/2006/relationships/hyperlink" Target="https://www.itu.int/net/itu-t/cdb/secured/reg-tldb.aspx" TargetMode="External"/><Relationship Id="rId381" Type="http://schemas.openxmlformats.org/officeDocument/2006/relationships/hyperlink" Target="http://www.itu.int/itu-t/workprog/wp_item.aspx?isn=17529" TargetMode="External"/><Relationship Id="rId241" Type="http://schemas.openxmlformats.org/officeDocument/2006/relationships/hyperlink" Target="https://www.itu.int/net/ITU-T/info/faqs.aspx" TargetMode="External"/><Relationship Id="rId437" Type="http://schemas.openxmlformats.org/officeDocument/2006/relationships/hyperlink" Target="http://www.itu.int/itu-t/workprog/wp_item.aspx?isn=18237" TargetMode="External"/><Relationship Id="rId479" Type="http://schemas.openxmlformats.org/officeDocument/2006/relationships/hyperlink" Target="http://www.itu.int/itu-t/workprog/wp_item.aspx?isn=18294" TargetMode="External"/><Relationship Id="rId36" Type="http://schemas.openxmlformats.org/officeDocument/2006/relationships/hyperlink" Target="https://www.itu.int/cities/standards4dt/" TargetMode="External"/><Relationship Id="rId283" Type="http://schemas.openxmlformats.org/officeDocument/2006/relationships/hyperlink" Target="http://www.itu.int/itu-t/workprog/wp_item.aspx?isn=18866" TargetMode="External"/><Relationship Id="rId339" Type="http://schemas.openxmlformats.org/officeDocument/2006/relationships/hyperlink" Target="http://www.itu.int/itu-t/workprog/wp_item.aspx?isn=18978" TargetMode="External"/><Relationship Id="rId490" Type="http://schemas.openxmlformats.org/officeDocument/2006/relationships/hyperlink" Target="http://www.itu.int/itu-t/workprog/wp_item.aspx?isn=17510" TargetMode="External"/><Relationship Id="rId504" Type="http://schemas.openxmlformats.org/officeDocument/2006/relationships/hyperlink" Target="http://www.itu.int/itu-t/workprog/wp_item.aspx?isn=19101" TargetMode="External"/><Relationship Id="rId78" Type="http://schemas.openxmlformats.org/officeDocument/2006/relationships/hyperlink" Target="https://www.itu.int/en/ITU-T/focusgroups/ai4h/Pages/default.aspx" TargetMode="External"/><Relationship Id="rId101" Type="http://schemas.openxmlformats.org/officeDocument/2006/relationships/hyperlink" Target="https://figi.itu.int/figi-resources/dfs-security-lab/" TargetMode="External"/><Relationship Id="rId143" Type="http://schemas.openxmlformats.org/officeDocument/2006/relationships/hyperlink" Target="https://www.worldstandardscooperation.org/" TargetMode="External"/><Relationship Id="rId185" Type="http://schemas.openxmlformats.org/officeDocument/2006/relationships/hyperlink" Target="http://www.itu.int/en/ITU-T/publications/Pages/recs.aspx" TargetMode="External"/><Relationship Id="rId350" Type="http://schemas.openxmlformats.org/officeDocument/2006/relationships/hyperlink" Target="http://www.itu.int/itu-t/workprog/wp_item.aspx?isn=18225" TargetMode="External"/><Relationship Id="rId406" Type="http://schemas.openxmlformats.org/officeDocument/2006/relationships/hyperlink" Target="http://www.itu.int/itu-t/workprog/wp_item.aspx?isn=18952" TargetMode="External"/><Relationship Id="rId9" Type="http://schemas.openxmlformats.org/officeDocument/2006/relationships/footnotes" Target="footnotes.xml"/><Relationship Id="rId210" Type="http://schemas.openxmlformats.org/officeDocument/2006/relationships/chart" Target="charts/chart4.xml"/><Relationship Id="rId392" Type="http://schemas.openxmlformats.org/officeDocument/2006/relationships/hyperlink" Target="http://www.itu.int/itu-t/workprog/wp_item.aspx?isn=18689" TargetMode="External"/><Relationship Id="rId448" Type="http://schemas.openxmlformats.org/officeDocument/2006/relationships/hyperlink" Target="http://www.itu.int/itu-t/workprog/wp_item.aspx?isn=18875" TargetMode="External"/><Relationship Id="rId252" Type="http://schemas.openxmlformats.org/officeDocument/2006/relationships/hyperlink" Target="https://www.itu.int/itu-t/landscape/?topic=tx21" TargetMode="External"/><Relationship Id="rId294" Type="http://schemas.openxmlformats.org/officeDocument/2006/relationships/hyperlink" Target="http://www.itu.int/itu-t/workprog/wp_item.aspx?isn=18709" TargetMode="External"/><Relationship Id="rId308" Type="http://schemas.openxmlformats.org/officeDocument/2006/relationships/hyperlink" Target="http://www.itu.int/itu-t/workprog/wp_item.aspx?isn=18711" TargetMode="External"/><Relationship Id="rId515" Type="http://schemas.openxmlformats.org/officeDocument/2006/relationships/header" Target="header1.xml"/><Relationship Id="rId47" Type="http://schemas.openxmlformats.org/officeDocument/2006/relationships/hyperlink" Target="https://www.itu.int/hub/membership/" TargetMode="External"/><Relationship Id="rId89" Type="http://schemas.openxmlformats.org/officeDocument/2006/relationships/hyperlink" Target="https://aiforgood.itu.int/neural-network/" TargetMode="External"/><Relationship Id="rId112" Type="http://schemas.openxmlformats.org/officeDocument/2006/relationships/hyperlink" Target="https://u4ssc.itu.int/latest-meetings/7th-meeting/" TargetMode="External"/><Relationship Id="rId154" Type="http://schemas.openxmlformats.org/officeDocument/2006/relationships/hyperlink" Target="https://www.itu.int/en/ITU-T/extcoop/Pages/mou.aspx" TargetMode="External"/><Relationship Id="rId361" Type="http://schemas.openxmlformats.org/officeDocument/2006/relationships/hyperlink" Target="http://www.itu.int/itu-t/workprog/wp_item.aspx?isn=18263" TargetMode="External"/><Relationship Id="rId196" Type="http://schemas.openxmlformats.org/officeDocument/2006/relationships/chart" Target="charts/chart3.xml"/><Relationship Id="rId417" Type="http://schemas.openxmlformats.org/officeDocument/2006/relationships/hyperlink" Target="http://www.itu.int/itu-t/workprog/wp_item.aspx?isn=17893" TargetMode="External"/><Relationship Id="rId459" Type="http://schemas.openxmlformats.org/officeDocument/2006/relationships/hyperlink" Target="http://www.itu.int/itu-t/workprog/wp_item.aspx?isn=18636" TargetMode="External"/><Relationship Id="rId16" Type="http://schemas.openxmlformats.org/officeDocument/2006/relationships/hyperlink" Target="https://aiforgood.itu.int/" TargetMode="External"/><Relationship Id="rId221" Type="http://schemas.openxmlformats.org/officeDocument/2006/relationships/hyperlink" Target="http://itu.int/go/itu-t/rgm-guide" TargetMode="External"/><Relationship Id="rId263" Type="http://schemas.openxmlformats.org/officeDocument/2006/relationships/hyperlink" Target="http://www.itu.int/itu-t/workprog/wp_item.aspx?isn=18191" TargetMode="External"/><Relationship Id="rId319" Type="http://schemas.openxmlformats.org/officeDocument/2006/relationships/hyperlink" Target="http://www.itu.int/itu-t/workprog/wp_item.aspx?isn=18109" TargetMode="External"/><Relationship Id="rId470" Type="http://schemas.openxmlformats.org/officeDocument/2006/relationships/hyperlink" Target="http://www.itu.int/itu-t/workprog/wp_item.aspx?isn=18279" TargetMode="External"/><Relationship Id="rId58" Type="http://schemas.openxmlformats.org/officeDocument/2006/relationships/hyperlink" Target="https://www.itu.int/en/ITU-T/publications/Pages/recs.aspx" TargetMode="External"/><Relationship Id="rId123" Type="http://schemas.openxmlformats.org/officeDocument/2006/relationships/hyperlink" Target="https://www.itu.int/en/ITU-T/tsbdir/CxO/Pages/CxO-20231205.aspx" TargetMode="External"/><Relationship Id="rId330" Type="http://schemas.openxmlformats.org/officeDocument/2006/relationships/hyperlink" Target="http://www.itu.int/itu-t/workprog/wp_item.aspx?isn=18065" TargetMode="External"/><Relationship Id="rId165" Type="http://schemas.openxmlformats.org/officeDocument/2006/relationships/hyperlink" Target="https://www.itu.int/rec/T-REC-A.5" TargetMode="External"/><Relationship Id="rId372" Type="http://schemas.openxmlformats.org/officeDocument/2006/relationships/hyperlink" Target="http://www.itu.int/itu-t/workprog/wp_item.aspx?isn=17481" TargetMode="External"/><Relationship Id="rId428" Type="http://schemas.openxmlformats.org/officeDocument/2006/relationships/hyperlink" Target="http://www.itu.int/itu-t/workprog/wp_item.aspx?isn=17688" TargetMode="External"/><Relationship Id="rId232" Type="http://schemas.openxmlformats.org/officeDocument/2006/relationships/hyperlink" Target="https://www.itu.int/myworkspace/" TargetMode="External"/><Relationship Id="rId274" Type="http://schemas.openxmlformats.org/officeDocument/2006/relationships/hyperlink" Target="http://www.itu.int/itu-t/workprog/wp_item.aspx?isn=17667" TargetMode="External"/><Relationship Id="rId481" Type="http://schemas.openxmlformats.org/officeDocument/2006/relationships/hyperlink" Target="http://www.itu.int/itu-t/workprog/wp_item.aspx?isn=18624" TargetMode="External"/><Relationship Id="rId27" Type="http://schemas.openxmlformats.org/officeDocument/2006/relationships/hyperlink" Target="https://figi.itu.int/figi-resources/dfs-security-lab/" TargetMode="External"/><Relationship Id="rId69" Type="http://schemas.openxmlformats.org/officeDocument/2006/relationships/hyperlink" Target="https://www.itu.int/go/tsg17" TargetMode="External"/><Relationship Id="rId134" Type="http://schemas.openxmlformats.org/officeDocument/2006/relationships/hyperlink" Target="https://www.itu.int/en/journal/j-fet/Pages/default.aspx" TargetMode="External"/><Relationship Id="rId80" Type="http://schemas.openxmlformats.org/officeDocument/2006/relationships/hyperlink" Target="https://www.itu.int/en/ITU-T/focusgroups/ai4ad/Pages/default.aspx" TargetMode="External"/><Relationship Id="rId176" Type="http://schemas.openxmlformats.org/officeDocument/2006/relationships/hyperlink" Target="https://www.itu.int/en/ITU-T/studygroups/com11/casc/Pages/default.aspx" TargetMode="External"/><Relationship Id="rId341" Type="http://schemas.openxmlformats.org/officeDocument/2006/relationships/hyperlink" Target="http://www.itu.int/itu-t/workprog/wp_item.aspx?isn=18980" TargetMode="External"/><Relationship Id="rId383" Type="http://schemas.openxmlformats.org/officeDocument/2006/relationships/hyperlink" Target="http://www.itu.int/itu-t/workprog/wp_item.aspx?isn=17536" TargetMode="External"/><Relationship Id="rId439" Type="http://schemas.openxmlformats.org/officeDocument/2006/relationships/hyperlink" Target="http://www.itu.int/itu-t/workprog/wp_item.aspx?isn=18869" TargetMode="External"/><Relationship Id="rId201" Type="http://schemas.openxmlformats.org/officeDocument/2006/relationships/hyperlink" Target="https://www.itu.int/md/T22-TSAG-240122-TD-GEN-0423/en" TargetMode="External"/><Relationship Id="rId243" Type="http://schemas.openxmlformats.org/officeDocument/2006/relationships/hyperlink" Target="https://www.itu.int/itu-t/workprog/" TargetMode="External"/><Relationship Id="rId285" Type="http://schemas.openxmlformats.org/officeDocument/2006/relationships/hyperlink" Target="http://www.itu.int/itu-t/workprog/wp_item.aspx?isn=18865" TargetMode="External"/><Relationship Id="rId450" Type="http://schemas.openxmlformats.org/officeDocument/2006/relationships/hyperlink" Target="http://www.itu.int/itu-t/workprog/wp_item.aspx?isn=18574" TargetMode="External"/><Relationship Id="rId506" Type="http://schemas.openxmlformats.org/officeDocument/2006/relationships/hyperlink" Target="http://www.itu.int/itu-t/workprog/wp_item.aspx?isn=17427" TargetMode="External"/><Relationship Id="rId38" Type="http://schemas.openxmlformats.org/officeDocument/2006/relationships/hyperlink" Target="https://www.itu.int/en/ITU-T/extcoop/cits/Pages/default.aspx" TargetMode="External"/><Relationship Id="rId103" Type="http://schemas.openxmlformats.org/officeDocument/2006/relationships/hyperlink" Target="https://www.itu.int/en/ITU-T/webinars/dfs/sc/Pages/default.aspx" TargetMode="External"/><Relationship Id="rId310" Type="http://schemas.openxmlformats.org/officeDocument/2006/relationships/hyperlink" Target="http://www.itu.int/itu-t/workprog/wp_item.aspx?isn=17786" TargetMode="External"/><Relationship Id="rId492" Type="http://schemas.openxmlformats.org/officeDocument/2006/relationships/hyperlink" Target="http://www.itu.int/itu-t/workprog/wp_item.aspx?isn=18691" TargetMode="External"/><Relationship Id="rId91" Type="http://schemas.openxmlformats.org/officeDocument/2006/relationships/hyperlink" Target="https://aiforgood.itu.int/eventcat/ai-ml-in-5g/" TargetMode="External"/><Relationship Id="rId145" Type="http://schemas.openxmlformats.org/officeDocument/2006/relationships/hyperlink" Target="https://www.itu.int/md/T13-TSAG-140617-TD-GEN-0138/en" TargetMode="External"/><Relationship Id="rId187" Type="http://schemas.openxmlformats.org/officeDocument/2006/relationships/hyperlink" Target="https://www.itu.int/net4/ipr/search.aspx" TargetMode="External"/><Relationship Id="rId352" Type="http://schemas.openxmlformats.org/officeDocument/2006/relationships/hyperlink" Target="http://www.itu.int/itu-t/workprog/wp_item.aspx?isn=18310" TargetMode="External"/><Relationship Id="rId394" Type="http://schemas.openxmlformats.org/officeDocument/2006/relationships/hyperlink" Target="http://www.itu.int/itu-t/workprog/wp_item.aspx?isn=17590" TargetMode="External"/><Relationship Id="rId408" Type="http://schemas.openxmlformats.org/officeDocument/2006/relationships/hyperlink" Target="http://www.itu.int/itu-t/workprog/wp_item.aspx?isn=18003" TargetMode="External"/><Relationship Id="rId212" Type="http://schemas.openxmlformats.org/officeDocument/2006/relationships/chart" Target="charts/chart6.xml"/><Relationship Id="rId254" Type="http://schemas.openxmlformats.org/officeDocument/2006/relationships/hyperlink" Target="https://www.itu.int/net4/ipr/search.aspx" TargetMode="External"/><Relationship Id="rId49" Type="http://schemas.openxmlformats.org/officeDocument/2006/relationships/hyperlink" Target="https://www.itu.int/en/ITU-T/academia/kaleidoscope/Pages/default.aspx" TargetMode="External"/><Relationship Id="rId114" Type="http://schemas.openxmlformats.org/officeDocument/2006/relationships/hyperlink" Target="https://www.itu.int/cities/publications/" TargetMode="External"/><Relationship Id="rId296" Type="http://schemas.openxmlformats.org/officeDocument/2006/relationships/hyperlink" Target="http://www.itu.int/itu-t/workprog/wp_item.aspx?isn=17870" TargetMode="External"/><Relationship Id="rId461" Type="http://schemas.openxmlformats.org/officeDocument/2006/relationships/hyperlink" Target="http://www.itu.int/itu-t/workprog/wp_item.aspx?isn=18638" TargetMode="External"/><Relationship Id="rId517" Type="http://schemas.openxmlformats.org/officeDocument/2006/relationships/glossaryDocument" Target="glossary/document.xml"/><Relationship Id="rId60" Type="http://schemas.openxmlformats.org/officeDocument/2006/relationships/hyperlink" Target="https://www.itu.int/en/ITU-T/studygroups/2022-2024/02/Pages/default.aspx" TargetMode="External"/><Relationship Id="rId156" Type="http://schemas.openxmlformats.org/officeDocument/2006/relationships/hyperlink" Target="https://www.itu.int/en/ITU-T/extcoop/dcgi/Pages/default.aspx" TargetMode="External"/><Relationship Id="rId198" Type="http://schemas.openxmlformats.org/officeDocument/2006/relationships/hyperlink" Target="https://www.itu.int/md/T22-TSAG-230530-TD-GEN-0196/en" TargetMode="External"/><Relationship Id="rId321" Type="http://schemas.openxmlformats.org/officeDocument/2006/relationships/hyperlink" Target="http://www.itu.int/itu-t/workprog/wp_item.aspx?isn=18165" TargetMode="External"/><Relationship Id="rId363" Type="http://schemas.openxmlformats.org/officeDocument/2006/relationships/hyperlink" Target="http://www.itu.int/itu-t/workprog/wp_item.aspx?isn=18591" TargetMode="External"/><Relationship Id="rId419" Type="http://schemas.openxmlformats.org/officeDocument/2006/relationships/hyperlink" Target="http://www.itu.int/itu-t/workprog/wp_item.aspx?isn=18780" TargetMode="External"/><Relationship Id="rId223" Type="http://schemas.openxmlformats.org/officeDocument/2006/relationships/hyperlink" Target="https://extranet.itu.int/ITU-T/support/" TargetMode="External"/><Relationship Id="rId430" Type="http://schemas.openxmlformats.org/officeDocument/2006/relationships/hyperlink" Target="http://www.itu.int/itu-t/workprog/wp_item.aspx?isn=18390" TargetMode="External"/><Relationship Id="rId18" Type="http://schemas.openxmlformats.org/officeDocument/2006/relationships/hyperlink" Target="https://www.itu.int/en/itu-wsis/Pages/default.aspx" TargetMode="External"/><Relationship Id="rId265" Type="http://schemas.openxmlformats.org/officeDocument/2006/relationships/hyperlink" Target="http://www.itu.int/itu-t/workprog/wp_item.aspx?isn=18396" TargetMode="External"/><Relationship Id="rId472" Type="http://schemas.openxmlformats.org/officeDocument/2006/relationships/hyperlink" Target="http://www.itu.int/itu-t/workprog/wp_item.aspx?isn=18250" TargetMode="External"/><Relationship Id="rId125" Type="http://schemas.openxmlformats.org/officeDocument/2006/relationships/hyperlink" Target="https://www.itu.int/initiatives/green-digital-action-atcop28/" TargetMode="External"/><Relationship Id="rId167" Type="http://schemas.openxmlformats.org/officeDocument/2006/relationships/hyperlink" Target="https://www.itu.int/en/ITU-T/C-I/Pages/default.aspx" TargetMode="External"/><Relationship Id="rId332" Type="http://schemas.openxmlformats.org/officeDocument/2006/relationships/hyperlink" Target="http://www.itu.int/itu-t/workprog/wp_item.aspx?isn=18831" TargetMode="External"/><Relationship Id="rId374" Type="http://schemas.openxmlformats.org/officeDocument/2006/relationships/hyperlink" Target="http://www.itu.int/itu-t/workprog/wp_item.aspx?isn=18528" TargetMode="External"/><Relationship Id="rId71" Type="http://schemas.openxmlformats.org/officeDocument/2006/relationships/hyperlink" Target="https://www.itu.int/en/ITU-T/focusgroups/Pages/default.aspx" TargetMode="External"/><Relationship Id="rId234" Type="http://schemas.openxmlformats.org/officeDocument/2006/relationships/hyperlink" Target="https://www.itu.int/myworkspace/" TargetMode="External"/><Relationship Id="rId2" Type="http://schemas.openxmlformats.org/officeDocument/2006/relationships/customXml" Target="../customXml/item2.xml"/><Relationship Id="rId29" Type="http://schemas.openxmlformats.org/officeDocument/2006/relationships/hyperlink" Target="http://www.itu.int/en/ITU-T/ssc/united/Pages/default.aspx" TargetMode="External"/><Relationship Id="rId276" Type="http://schemas.openxmlformats.org/officeDocument/2006/relationships/hyperlink" Target="http://www.itu.int/itu-t/workprog/wp_item.aspx?isn=18560" TargetMode="External"/><Relationship Id="rId441" Type="http://schemas.openxmlformats.org/officeDocument/2006/relationships/hyperlink" Target="http://www.itu.int/itu-t/workprog/wp_item.aspx?isn=18870" TargetMode="External"/><Relationship Id="rId483" Type="http://schemas.openxmlformats.org/officeDocument/2006/relationships/hyperlink" Target="http://www.itu.int/itu-t/workprog/wp_item.aspx?isn=18604" TargetMode="External"/><Relationship Id="rId40" Type="http://schemas.openxmlformats.org/officeDocument/2006/relationships/hyperlink" Target="https://www.itu.int/en/ITU-T/tsbdir/CxO/Pages/CxO-20231205.aspx" TargetMode="External"/><Relationship Id="rId136" Type="http://schemas.openxmlformats.org/officeDocument/2006/relationships/hyperlink" Target="https://www.itu.int/en/ITU-T/academia/kaleidoscope/Pages/default.aspx" TargetMode="External"/><Relationship Id="rId178" Type="http://schemas.openxmlformats.org/officeDocument/2006/relationships/hyperlink" Target="https://www.itu.int/en/ITU-T/C-I/conformity/Pages/cdb.aspx" TargetMode="External"/><Relationship Id="rId301" Type="http://schemas.openxmlformats.org/officeDocument/2006/relationships/hyperlink" Target="http://www.itu.int/itu-t/workprog/wp_item.aspx?isn=17873" TargetMode="External"/><Relationship Id="rId343" Type="http://schemas.openxmlformats.org/officeDocument/2006/relationships/hyperlink" Target="http://www.itu.int/itu-t/workprog/wp_item.aspx?isn=18164" TargetMode="External"/><Relationship Id="rId82" Type="http://schemas.openxmlformats.org/officeDocument/2006/relationships/hyperlink" Target="https://aiforgood.itu.int/" TargetMode="External"/><Relationship Id="rId203" Type="http://schemas.openxmlformats.org/officeDocument/2006/relationships/hyperlink" Target="mailto:nowinitut@lists.itu.int" TargetMode="External"/><Relationship Id="rId385" Type="http://schemas.openxmlformats.org/officeDocument/2006/relationships/hyperlink" Target="http://www.itu.int/itu-t/workprog/wp_item.aspx?isn=17647" TargetMode="External"/><Relationship Id="rId245" Type="http://schemas.openxmlformats.org/officeDocument/2006/relationships/hyperlink" Target="https://www.itu.int/itu-t/recommendations" TargetMode="External"/><Relationship Id="rId287" Type="http://schemas.openxmlformats.org/officeDocument/2006/relationships/hyperlink" Target="http://www.itu.int/itu-t/workprog/wp_item.aspx?isn=18897" TargetMode="External"/><Relationship Id="rId410" Type="http://schemas.openxmlformats.org/officeDocument/2006/relationships/hyperlink" Target="http://www.itu.int/itu-t/workprog/wp_item.aspx?isn=17992" TargetMode="External"/><Relationship Id="rId452" Type="http://schemas.openxmlformats.org/officeDocument/2006/relationships/hyperlink" Target="http://www.itu.int/itu-t/workprog/wp_item.aspx?isn=18575" TargetMode="External"/><Relationship Id="rId494" Type="http://schemas.openxmlformats.org/officeDocument/2006/relationships/hyperlink" Target="http://www.itu.int/itu-t/workprog/wp_item.aspx?isn=18035" TargetMode="External"/><Relationship Id="rId508" Type="http://schemas.openxmlformats.org/officeDocument/2006/relationships/hyperlink" Target="http://www.itu.int/itu-t/workprog/wp_item.aspx?isn=17921" TargetMode="External"/><Relationship Id="rId105" Type="http://schemas.openxmlformats.org/officeDocument/2006/relationships/hyperlink" Target="https://www.itu.int/cities/year-in-review-2023/" TargetMode="External"/><Relationship Id="rId147" Type="http://schemas.openxmlformats.org/officeDocument/2006/relationships/hyperlink" Target="https://www.worldstandardscooperation.org/what-we-do/standards-programme-coordination-group-spcg/" TargetMode="External"/><Relationship Id="rId312" Type="http://schemas.openxmlformats.org/officeDocument/2006/relationships/hyperlink" Target="http://www.itu.int/itu-t/workprog/wp_item.aspx?isn=17796" TargetMode="External"/><Relationship Id="rId354" Type="http://schemas.openxmlformats.org/officeDocument/2006/relationships/hyperlink" Target="http://www.itu.int/itu-t/workprog/wp_item.aspx?isn=18635" TargetMode="External"/><Relationship Id="rId51" Type="http://schemas.openxmlformats.org/officeDocument/2006/relationships/hyperlink" Target="https://www.itu.int/en/ITU-T/gap/Pages/default.aspx" TargetMode="External"/><Relationship Id="rId93" Type="http://schemas.openxmlformats.org/officeDocument/2006/relationships/hyperlink" Target="https://www.itu.int/en/journal/j-fet/Pages/default.aspx" TargetMode="External"/><Relationship Id="rId189" Type="http://schemas.openxmlformats.org/officeDocument/2006/relationships/hyperlink" Target="https://www.itu.int/en/ITU-T/gap/Pages/default.aspx" TargetMode="External"/><Relationship Id="rId396" Type="http://schemas.openxmlformats.org/officeDocument/2006/relationships/hyperlink" Target="http://www.itu.int/itu-t/workprog/wp_item.aspx?isn=18347" TargetMode="External"/><Relationship Id="rId214" Type="http://schemas.openxmlformats.org/officeDocument/2006/relationships/hyperlink" Target="https://www.itu.int/br_tsb_terms/" TargetMode="External"/><Relationship Id="rId256" Type="http://schemas.openxmlformats.org/officeDocument/2006/relationships/hyperlink" Target="https://www.itu.int/en/ITU-R/study-groups/rccv/Pages/default.aspx" TargetMode="External"/><Relationship Id="rId298" Type="http://schemas.openxmlformats.org/officeDocument/2006/relationships/hyperlink" Target="http://www.itu.int/itu-t/workprog/wp_item.aspx?isn=18697" TargetMode="External"/><Relationship Id="rId421" Type="http://schemas.openxmlformats.org/officeDocument/2006/relationships/hyperlink" Target="http://www.itu.int/itu-t/workprog/wp_item.aspx?isn=17656" TargetMode="External"/><Relationship Id="rId463" Type="http://schemas.openxmlformats.org/officeDocument/2006/relationships/hyperlink" Target="http://www.itu.int/itu-t/workprog/wp_item.aspx?isn=18877" TargetMode="External"/><Relationship Id="rId116" Type="http://schemas.openxmlformats.org/officeDocument/2006/relationships/hyperlink" Target="https://www.itu.int/cities/dt-resource-hub/" TargetMode="External"/><Relationship Id="rId158" Type="http://schemas.openxmlformats.org/officeDocument/2006/relationships/hyperlink" Target="https://www.itu.int/en/ITU-T/extcoop/FIGIresources/authentication/Pages/default.aspx" TargetMode="External"/><Relationship Id="rId323" Type="http://schemas.openxmlformats.org/officeDocument/2006/relationships/hyperlink" Target="http://www.itu.int/itu-t/workprog/wp_item.aspx?isn=18046" TargetMode="External"/><Relationship Id="rId20" Type="http://schemas.openxmlformats.org/officeDocument/2006/relationships/hyperlink" Target="https://aiforgood.itu.int/about-ai-for-good/aiml-in-5g-challenge/" TargetMode="External"/><Relationship Id="rId62" Type="http://schemas.openxmlformats.org/officeDocument/2006/relationships/hyperlink" Target="https://www.itu.int/go/tsg5" TargetMode="External"/><Relationship Id="rId365" Type="http://schemas.openxmlformats.org/officeDocument/2006/relationships/hyperlink" Target="http://www.itu.int/itu-t/workprog/wp_item.aspx?isn=18226" TargetMode="External"/><Relationship Id="rId225" Type="http://schemas.openxmlformats.org/officeDocument/2006/relationships/hyperlink" Target="https://www.itu.int/myworkspace/" TargetMode="External"/><Relationship Id="rId267" Type="http://schemas.openxmlformats.org/officeDocument/2006/relationships/hyperlink" Target="http://www.itu.int/itu-t/workprog/wp_item.aspx?isn=18550" TargetMode="External"/><Relationship Id="rId432" Type="http://schemas.openxmlformats.org/officeDocument/2006/relationships/hyperlink" Target="http://www.itu.int/itu-t/workprog/wp_item.aspx?isn=18901" TargetMode="External"/><Relationship Id="rId474" Type="http://schemas.openxmlformats.org/officeDocument/2006/relationships/hyperlink" Target="http://www.itu.int/itu-t/workprog/wp_item.aspx?isn=18860" TargetMode="External"/><Relationship Id="rId127" Type="http://schemas.openxmlformats.org/officeDocument/2006/relationships/hyperlink" Target="https://www.worldstandardscooperation.org/" TargetMode="External"/><Relationship Id="rId31" Type="http://schemas.openxmlformats.org/officeDocument/2006/relationships/hyperlink" Target="https://www.itu.int/en/ITU-T/ssc/united/Pages/publication-U4SSC-KPIs.aspx" TargetMode="External"/><Relationship Id="rId73" Type="http://schemas.openxmlformats.org/officeDocument/2006/relationships/hyperlink" Target="https://www.itu.int/en/ITU-T/focusgroups/mv/Pages/default.aspx" TargetMode="External"/><Relationship Id="rId169" Type="http://schemas.openxmlformats.org/officeDocument/2006/relationships/hyperlink" Target="https://itu.int/go/tldb" TargetMode="External"/><Relationship Id="rId334" Type="http://schemas.openxmlformats.org/officeDocument/2006/relationships/hyperlink" Target="http://www.itu.int/itu-t/workprog/wp_item.aspx?isn=18431" TargetMode="External"/><Relationship Id="rId376" Type="http://schemas.openxmlformats.org/officeDocument/2006/relationships/hyperlink" Target="http://www.itu.int/itu-t/workprog/wp_item.aspx?isn=17641" TargetMode="External"/><Relationship Id="rId4" Type="http://schemas.openxmlformats.org/officeDocument/2006/relationships/customXml" Target="../customXml/item4.xml"/><Relationship Id="rId180" Type="http://schemas.openxmlformats.org/officeDocument/2006/relationships/hyperlink" Target="https://itu.int/go/tcdb" TargetMode="External"/><Relationship Id="rId236" Type="http://schemas.openxmlformats.org/officeDocument/2006/relationships/hyperlink" Target="https://www.itu.int/myworkspace/" TargetMode="External"/><Relationship Id="rId278" Type="http://schemas.openxmlformats.org/officeDocument/2006/relationships/hyperlink" Target="http://www.itu.int/itu-t/workprog/wp_item.aspx?isn=18942" TargetMode="External"/><Relationship Id="rId401" Type="http://schemas.openxmlformats.org/officeDocument/2006/relationships/hyperlink" Target="http://www.itu.int/itu-t/workprog/wp_item.aspx?isn=17993" TargetMode="External"/><Relationship Id="rId443" Type="http://schemas.openxmlformats.org/officeDocument/2006/relationships/hyperlink" Target="http://www.itu.int/itu-t/workprog/wp_item.aspx?isn=18872" TargetMode="External"/><Relationship Id="rId303" Type="http://schemas.openxmlformats.org/officeDocument/2006/relationships/hyperlink" Target="http://www.itu.int/itu-t/workprog/wp_item.aspx?isn=17876" TargetMode="External"/><Relationship Id="rId485" Type="http://schemas.openxmlformats.org/officeDocument/2006/relationships/hyperlink" Target="http://www.itu.int/itu-t/workprog/wp_item.aspx?isn=17637" TargetMode="External"/><Relationship Id="rId42" Type="http://schemas.openxmlformats.org/officeDocument/2006/relationships/hyperlink" Target="https://www.itu.int/initiatives/green-digital-action-atcop28/" TargetMode="External"/><Relationship Id="rId84" Type="http://schemas.openxmlformats.org/officeDocument/2006/relationships/chart" Target="charts/chart1.xml"/><Relationship Id="rId138" Type="http://schemas.openxmlformats.org/officeDocument/2006/relationships/hyperlink" Target="https://www.itu.int/en/ITU-T/extcoop/Pages/mou.aspx" TargetMode="External"/><Relationship Id="rId345" Type="http://schemas.openxmlformats.org/officeDocument/2006/relationships/hyperlink" Target="http://www.itu.int/itu-t/workprog/wp_item.aspx?isn=18157" TargetMode="External"/><Relationship Id="rId387" Type="http://schemas.openxmlformats.org/officeDocument/2006/relationships/hyperlink" Target="http://www.itu.int/itu-t/workprog/wp_item.aspx?isn=17518" TargetMode="External"/><Relationship Id="rId510" Type="http://schemas.openxmlformats.org/officeDocument/2006/relationships/hyperlink" Target="http://www.itu.int/itu-t/workprog/wp_item.aspx?isn=17944" TargetMode="External"/><Relationship Id="rId191" Type="http://schemas.openxmlformats.org/officeDocument/2006/relationships/hyperlink" Target="https://www.itu.int/en/ITU-T/Workshops-and-Seminars/bsg/Pages/default.aspx" TargetMode="External"/><Relationship Id="rId205" Type="http://schemas.openxmlformats.org/officeDocument/2006/relationships/hyperlink" Target="https://www.itu.int/en/ITU-T/NoW/events/20240123/Pages/default.aspx" TargetMode="External"/><Relationship Id="rId247" Type="http://schemas.openxmlformats.org/officeDocument/2006/relationships/hyperlink" Target="https://www.itu.int/itu-t/landscape/?topic=tx356" TargetMode="External"/><Relationship Id="rId412" Type="http://schemas.openxmlformats.org/officeDocument/2006/relationships/hyperlink" Target="http://www.itu.int/itu-t/workprog/wp_item.aspx?isn=17889" TargetMode="External"/><Relationship Id="rId107" Type="http://schemas.openxmlformats.org/officeDocument/2006/relationships/hyperlink" Target="https://www.itu.int/cities/standards4dt/" TargetMode="External"/><Relationship Id="rId289" Type="http://schemas.openxmlformats.org/officeDocument/2006/relationships/hyperlink" Target="http://www.itu.int/itu-t/workprog/wp_item.aspx?isn=18920" TargetMode="External"/><Relationship Id="rId454" Type="http://schemas.openxmlformats.org/officeDocument/2006/relationships/hyperlink" Target="http://www.itu.int/itu-t/workprog/wp_item.aspx?isn=18884" TargetMode="External"/><Relationship Id="rId496" Type="http://schemas.openxmlformats.org/officeDocument/2006/relationships/hyperlink" Target="http://www.itu.int/itu-t/workprog/wp_item.aspx?isn=18497" TargetMode="External"/><Relationship Id="rId11" Type="http://schemas.openxmlformats.org/officeDocument/2006/relationships/image" Target="media/image1.png"/><Relationship Id="rId53" Type="http://schemas.openxmlformats.org/officeDocument/2006/relationships/hyperlink" Target="https://itu.int/go/tldb" TargetMode="External"/><Relationship Id="rId149" Type="http://schemas.openxmlformats.org/officeDocument/2006/relationships/hyperlink" Target="https://www.itu.int/hub/2020/10/new-smart-city-standards-joint-task-force-established-by-itu-iso-and-iec/" TargetMode="External"/><Relationship Id="rId314" Type="http://schemas.openxmlformats.org/officeDocument/2006/relationships/hyperlink" Target="http://www.itu.int/itu-t/workprog/wp_item.aspx?isn=19055" TargetMode="External"/><Relationship Id="rId356" Type="http://schemas.openxmlformats.org/officeDocument/2006/relationships/hyperlink" Target="http://www.itu.int/itu-t/workprog/wp_item.aspx?isn=18586" TargetMode="External"/><Relationship Id="rId398" Type="http://schemas.openxmlformats.org/officeDocument/2006/relationships/hyperlink" Target="http://www.itu.int/itu-t/workprog/wp_item.aspx?isn=18016" TargetMode="External"/><Relationship Id="rId95" Type="http://schemas.openxmlformats.org/officeDocument/2006/relationships/hyperlink" Target="https://www.itu.int/hub/2023/07/new-un-initiative-aims-to-step-up-ais-contribution-to-health/" TargetMode="External"/><Relationship Id="rId160" Type="http://schemas.openxmlformats.org/officeDocument/2006/relationships/hyperlink" Target="https://www.itu.int/en/ITU-T/extcoop/ai-data-commons/Pages/default.aspx" TargetMode="External"/><Relationship Id="rId216" Type="http://schemas.openxmlformats.org/officeDocument/2006/relationships/hyperlink" Target="https://gss.itu.int" TargetMode="External"/><Relationship Id="rId423" Type="http://schemas.openxmlformats.org/officeDocument/2006/relationships/hyperlink" Target="http://www.itu.int/itu-t/workprog/wp_item.aspx?isn=18950" TargetMode="External"/><Relationship Id="rId258" Type="http://schemas.openxmlformats.org/officeDocument/2006/relationships/hyperlink" Target="https://www.itu.int/en/ITU-T/inr/Pages/default.aspx" TargetMode="External"/><Relationship Id="rId465" Type="http://schemas.openxmlformats.org/officeDocument/2006/relationships/hyperlink" Target="http://www.itu.int/itu-t/workprog/wp_item.aspx?isn=18578" TargetMode="External"/><Relationship Id="rId22" Type="http://schemas.openxmlformats.org/officeDocument/2006/relationships/hyperlink" Target="https://www.itu.int/hub/2023/07/new-un-initiative-aims-to-step-up-ais-contribution-to-health/" TargetMode="External"/><Relationship Id="rId64" Type="http://schemas.openxmlformats.org/officeDocument/2006/relationships/hyperlink" Target="https://www.itu.int/go/tsg11" TargetMode="External"/><Relationship Id="rId118" Type="http://schemas.openxmlformats.org/officeDocument/2006/relationships/hyperlink" Target="https://www.itu.int/en/ITU-T/extcoop/cits/Pages/default.aspx" TargetMode="External"/><Relationship Id="rId325" Type="http://schemas.openxmlformats.org/officeDocument/2006/relationships/hyperlink" Target="http://www.itu.int/itu-t/workprog/wp_item.aspx?isn=18676" TargetMode="External"/><Relationship Id="rId367" Type="http://schemas.openxmlformats.org/officeDocument/2006/relationships/hyperlink" Target="https://www.itu.int/ITU-T/workprog/wp_item.aspx?isn=18859" TargetMode="External"/><Relationship Id="rId171" Type="http://schemas.openxmlformats.org/officeDocument/2006/relationships/hyperlink" Target="https://www.itu.int/en/ITU-T/studygroups/com11/casc/Documents/TL-RP_pub_2022-07-15.pdf" TargetMode="External"/><Relationship Id="rId227" Type="http://schemas.openxmlformats.org/officeDocument/2006/relationships/hyperlink" Target="https://bigbluebutton.org" TargetMode="External"/><Relationship Id="rId269" Type="http://schemas.openxmlformats.org/officeDocument/2006/relationships/hyperlink" Target="http://www.itu.int/itu-t/workprog/wp_item.aspx?isn=18944" TargetMode="External"/><Relationship Id="rId434" Type="http://schemas.openxmlformats.org/officeDocument/2006/relationships/hyperlink" Target="http://www.itu.int/itu-t/workprog/wp_item.aspx?isn=18111" TargetMode="External"/><Relationship Id="rId476" Type="http://schemas.openxmlformats.org/officeDocument/2006/relationships/hyperlink" Target="http://www.itu.int/itu-t/workprog/wp_item.aspx?isn=19225" TargetMode="External"/><Relationship Id="rId33" Type="http://schemas.openxmlformats.org/officeDocument/2006/relationships/hyperlink" Target="https://u4ssc.itu.int/u4ssc-management-team/" TargetMode="External"/><Relationship Id="rId129" Type="http://schemas.openxmlformats.org/officeDocument/2006/relationships/hyperlink" Target="https://aiforgood.itu.int/about-ai-for-good/aiml-solutions-for-climate-change/" TargetMode="External"/><Relationship Id="rId280" Type="http://schemas.openxmlformats.org/officeDocument/2006/relationships/hyperlink" Target="http://www.itu.int/itu-t/workprog/wp_item.aspx?isn=18519" TargetMode="External"/><Relationship Id="rId336" Type="http://schemas.openxmlformats.org/officeDocument/2006/relationships/hyperlink" Target="http://www.itu.int/itu-t/workprog/wp_item.aspx?isn=18975" TargetMode="External"/><Relationship Id="rId501" Type="http://schemas.openxmlformats.org/officeDocument/2006/relationships/hyperlink" Target="http://www.itu.int/itu-t/workprog/wp_item.aspx?isn=18494" TargetMode="External"/><Relationship Id="rId75" Type="http://schemas.openxmlformats.org/officeDocument/2006/relationships/hyperlink" Target="https://www.itu.int/en/ITU-T/focusgroups/ai4a/Pages/default.aspx" TargetMode="External"/><Relationship Id="rId140" Type="http://schemas.openxmlformats.org/officeDocument/2006/relationships/hyperlink" Target="https://www.worldstandardsday.org/home.html" TargetMode="External"/><Relationship Id="rId182" Type="http://schemas.openxmlformats.org/officeDocument/2006/relationships/hyperlink" Target="https://www.itu.int/en/ITU-T/accessibility/Pages/default.aspx" TargetMode="External"/><Relationship Id="rId378" Type="http://schemas.openxmlformats.org/officeDocument/2006/relationships/hyperlink" Target="http://www.itu.int/itu-t/workprog/wp_item.aspx?isn=17520" TargetMode="External"/><Relationship Id="rId403" Type="http://schemas.openxmlformats.org/officeDocument/2006/relationships/hyperlink" Target="http://www.itu.int/itu-t/workprog/wp_item.aspx?isn=18013" TargetMode="External"/><Relationship Id="rId6" Type="http://schemas.openxmlformats.org/officeDocument/2006/relationships/styles" Target="styles.xml"/><Relationship Id="rId238" Type="http://schemas.openxmlformats.org/officeDocument/2006/relationships/hyperlink" Target="https://www.itu.int/en/ITU-T/publications/Pages/dbase.aspx" TargetMode="External"/><Relationship Id="rId445" Type="http://schemas.openxmlformats.org/officeDocument/2006/relationships/hyperlink" Target="http://www.itu.int/itu-t/workprog/wp_item.aspx?isn=18631" TargetMode="External"/><Relationship Id="rId487" Type="http://schemas.openxmlformats.org/officeDocument/2006/relationships/hyperlink" Target="http://www.itu.int/itu-t/workprog/wp_item.aspx?isn=17614" TargetMode="External"/><Relationship Id="rId291" Type="http://schemas.openxmlformats.org/officeDocument/2006/relationships/hyperlink" Target="http://www.itu.int/itu-t/workprog/wp_item.aspx?isn=17845" TargetMode="External"/><Relationship Id="rId305" Type="http://schemas.openxmlformats.org/officeDocument/2006/relationships/hyperlink" Target="http://www.itu.int/itu-t/workprog/wp_item.aspx?isn=17878" TargetMode="External"/><Relationship Id="rId347" Type="http://schemas.openxmlformats.org/officeDocument/2006/relationships/hyperlink" Target="http://www.itu.int/itu-t/workprog/wp_item.aspx?isn=18155" TargetMode="External"/><Relationship Id="rId512" Type="http://schemas.openxmlformats.org/officeDocument/2006/relationships/hyperlink" Target="http://www.itu.int/itu-t/workprog/wp_item.aspx?isn=17919" TargetMode="External"/><Relationship Id="rId44" Type="http://schemas.openxmlformats.org/officeDocument/2006/relationships/hyperlink" Target="https://www.worldstandardscooperation.org/" TargetMode="External"/><Relationship Id="rId86" Type="http://schemas.openxmlformats.org/officeDocument/2006/relationships/hyperlink" Target="https://aiforgood.itu.int/summit24/" TargetMode="External"/><Relationship Id="rId151" Type="http://schemas.openxmlformats.org/officeDocument/2006/relationships/hyperlink" Target="https://www.itu.int/en/irg/ava" TargetMode="External"/><Relationship Id="rId389" Type="http://schemas.openxmlformats.org/officeDocument/2006/relationships/hyperlink" Target="http://www.itu.int/itu-t/workprog/wp_item.aspx?isn=17627" TargetMode="External"/><Relationship Id="rId193" Type="http://schemas.openxmlformats.org/officeDocument/2006/relationships/hyperlink" Target="https://academy.itu.int/training-courses/full-catalogue/itu-t-working-methods-and-other-mechanisms" TargetMode="External"/><Relationship Id="rId207" Type="http://schemas.openxmlformats.org/officeDocument/2006/relationships/hyperlink" Target="https://unece.org/gender-responsive-standards-initiative" TargetMode="External"/><Relationship Id="rId249" Type="http://schemas.openxmlformats.org/officeDocument/2006/relationships/hyperlink" Target="https://www.itu.int/itu-t/landscape/?topic=tx153" TargetMode="External"/><Relationship Id="rId414" Type="http://schemas.openxmlformats.org/officeDocument/2006/relationships/hyperlink" Target="http://www.itu.int/itu-t/workprog/wp_item.aspx?isn=17951" TargetMode="External"/><Relationship Id="rId456" Type="http://schemas.openxmlformats.org/officeDocument/2006/relationships/hyperlink" Target="http://www.itu.int/itu-t/workprog/wp_item.aspx?isn=18887" TargetMode="External"/><Relationship Id="rId498" Type="http://schemas.openxmlformats.org/officeDocument/2006/relationships/hyperlink" Target="http://www.itu.int/itu-t/workprog/wp_item.aspx?isn=18778" TargetMode="External"/><Relationship Id="rId13" Type="http://schemas.openxmlformats.org/officeDocument/2006/relationships/hyperlink" Target="https://www.itu.int/en/ITU-T/focusgroups/Pages/default.aspx" TargetMode="External"/><Relationship Id="rId109" Type="http://schemas.openxmlformats.org/officeDocument/2006/relationships/hyperlink" Target="http://www.itu.int/en/ITU-T/ssc/united/Pages/default.aspx" TargetMode="External"/><Relationship Id="rId260" Type="http://schemas.openxmlformats.org/officeDocument/2006/relationships/hyperlink" Target="https://www.itu.int/net/itu-t/inrdb/secured/e118iin.aspx" TargetMode="External"/><Relationship Id="rId316" Type="http://schemas.openxmlformats.org/officeDocument/2006/relationships/hyperlink" Target="http://www.itu.int/itu-t/workprog/wp_item.aspx?isn=18736" TargetMode="External"/><Relationship Id="rId55" Type="http://schemas.openxmlformats.org/officeDocument/2006/relationships/hyperlink" Target="https://www.itu.int/en/ITU-T/studygroups/com11/casc/Pages/default.aspx" TargetMode="External"/><Relationship Id="rId97" Type="http://schemas.openxmlformats.org/officeDocument/2006/relationships/hyperlink" Target="https://www.itu.int/en/ITU-T/focusgroups/ai4h/Pages/default.aspx" TargetMode="External"/><Relationship Id="rId120" Type="http://schemas.openxmlformats.org/officeDocument/2006/relationships/hyperlink" Target="https://www.itu.int/net4/ITU-T/landscape" TargetMode="External"/><Relationship Id="rId358" Type="http://schemas.openxmlformats.org/officeDocument/2006/relationships/hyperlink" Target="http://www.itu.int/itu-t/workprog/wp_item.aspx?isn=18553" TargetMode="External"/><Relationship Id="rId162" Type="http://schemas.openxmlformats.org/officeDocument/2006/relationships/hyperlink" Target="https://www.itu.int/wsis/index.html" TargetMode="External"/><Relationship Id="rId218" Type="http://schemas.openxmlformats.org/officeDocument/2006/relationships/hyperlink" Target="https://www.itu.int/wtsa/2024/irm/" TargetMode="External"/><Relationship Id="rId425" Type="http://schemas.openxmlformats.org/officeDocument/2006/relationships/hyperlink" Target="http://www.itu.int/itu-t/workprog/wp_item.aspx?isn=19183" TargetMode="External"/><Relationship Id="rId467" Type="http://schemas.openxmlformats.org/officeDocument/2006/relationships/hyperlink" Target="http://www.itu.int/itu-t/workprog/wp_item.aspx?isn=18891" TargetMode="External"/><Relationship Id="rId271" Type="http://schemas.openxmlformats.org/officeDocument/2006/relationships/hyperlink" Target="http://www.itu.int/itu-t/workprog/wp_item.aspx?isn=17696" TargetMode="External"/><Relationship Id="rId24" Type="http://schemas.openxmlformats.org/officeDocument/2006/relationships/hyperlink" Target="https://www.itu.int/en/ITU-T/focusgroups/ai4h/Pages/default.aspx" TargetMode="External"/><Relationship Id="rId66" Type="http://schemas.openxmlformats.org/officeDocument/2006/relationships/hyperlink" Target="https://www.itu.int/go/tsg13" TargetMode="External"/><Relationship Id="rId131" Type="http://schemas.openxmlformats.org/officeDocument/2006/relationships/hyperlink" Target="https://www.itu.int/hub/membership/" TargetMode="External"/><Relationship Id="rId327" Type="http://schemas.openxmlformats.org/officeDocument/2006/relationships/hyperlink" Target="http://www.itu.int/itu-t/workprog/wp_item.aspx?isn=18422" TargetMode="External"/><Relationship Id="rId369" Type="http://schemas.openxmlformats.org/officeDocument/2006/relationships/hyperlink" Target="http://www.itu.int/itu-t/workprog/wp_item.aspx?isn=18622" TargetMode="External"/><Relationship Id="rId173" Type="http://schemas.openxmlformats.org/officeDocument/2006/relationships/hyperlink" Target="https://ilac.org/ilac-mra-and-signatories/" TargetMode="External"/><Relationship Id="rId229" Type="http://schemas.openxmlformats.org/officeDocument/2006/relationships/hyperlink" Target="https://www.itu.int/myworkspace/" TargetMode="External"/><Relationship Id="rId380" Type="http://schemas.openxmlformats.org/officeDocument/2006/relationships/hyperlink" Target="http://www.itu.int/itu-t/workprog/wp_item.aspx?isn=17579" TargetMode="External"/><Relationship Id="rId436" Type="http://schemas.openxmlformats.org/officeDocument/2006/relationships/hyperlink" Target="http://www.itu.int/itu-t/workprog/wp_item.aspx?isn=18292" TargetMode="External"/><Relationship Id="rId240" Type="http://schemas.openxmlformats.org/officeDocument/2006/relationships/hyperlink" Target="http://www.itu.int/search" TargetMode="External"/><Relationship Id="rId478" Type="http://schemas.openxmlformats.org/officeDocument/2006/relationships/hyperlink" Target="http://www.itu.int/itu-t/workprog/wp_item.aspx?isn=19227" TargetMode="External"/><Relationship Id="rId35" Type="http://schemas.openxmlformats.org/officeDocument/2006/relationships/hyperlink" Target="https://www.itu.int/cities/publications/" TargetMode="External"/><Relationship Id="rId77" Type="http://schemas.openxmlformats.org/officeDocument/2006/relationships/hyperlink" Target="https://www.itu.int/en/ITU-T/focusgroups/an/Pages/default.aspx" TargetMode="External"/><Relationship Id="rId100" Type="http://schemas.openxmlformats.org/officeDocument/2006/relationships/hyperlink" Target="https://figi.itu.int/" TargetMode="External"/><Relationship Id="rId282" Type="http://schemas.openxmlformats.org/officeDocument/2006/relationships/hyperlink" Target="http://www.itu.int/itu-t/workprog/wp_item.aspx?isn=18514" TargetMode="External"/><Relationship Id="rId338" Type="http://schemas.openxmlformats.org/officeDocument/2006/relationships/hyperlink" Target="http://www.itu.int/itu-t/workprog/wp_item.aspx?isn=18977" TargetMode="External"/><Relationship Id="rId503" Type="http://schemas.openxmlformats.org/officeDocument/2006/relationships/hyperlink" Target="http://www.itu.int/itu-t/workprog/wp_item.aspx?isn=19100" TargetMode="External"/><Relationship Id="rId8" Type="http://schemas.openxmlformats.org/officeDocument/2006/relationships/webSettings" Target="webSettings.xml"/><Relationship Id="rId142" Type="http://schemas.openxmlformats.org/officeDocument/2006/relationships/hyperlink" Target="https://www.worldstandardscooperation.org/g20/g20-2022/" TargetMode="External"/><Relationship Id="rId184" Type="http://schemas.openxmlformats.org/officeDocument/2006/relationships/hyperlink" Target="http://www.itu.int/en/ITU-T/ipr/Pages/revpatent.aspx" TargetMode="External"/><Relationship Id="rId391" Type="http://schemas.openxmlformats.org/officeDocument/2006/relationships/hyperlink" Target="http://www.itu.int/itu-t/workprog/wp_item.aspx?isn=17648" TargetMode="External"/><Relationship Id="rId405" Type="http://schemas.openxmlformats.org/officeDocument/2006/relationships/hyperlink" Target="http://www.itu.int/itu-t/workprog/wp_item.aspx?isn=18951" TargetMode="External"/><Relationship Id="rId447" Type="http://schemas.openxmlformats.org/officeDocument/2006/relationships/hyperlink" Target="http://www.itu.int/itu-t/workprog/wp_item.aspx?isn=18590" TargetMode="External"/><Relationship Id="rId251" Type="http://schemas.openxmlformats.org/officeDocument/2006/relationships/hyperlink" Target="https://www.itu.int/itu-t/landscape/?topic=tx379" TargetMode="External"/><Relationship Id="rId489" Type="http://schemas.openxmlformats.org/officeDocument/2006/relationships/hyperlink" Target="http://www.itu.int/itu-t/workprog/wp_item.aspx?isn=18529" TargetMode="External"/><Relationship Id="rId46" Type="http://schemas.openxmlformats.org/officeDocument/2006/relationships/hyperlink" Target="https://aiforgood.itu.int/about-ai-for-good/aiml-solutions-for-climate-change/" TargetMode="External"/><Relationship Id="rId293" Type="http://schemas.openxmlformats.org/officeDocument/2006/relationships/hyperlink" Target="http://www.itu.int/itu-t/workprog/wp_item.aspx?isn=17860" TargetMode="External"/><Relationship Id="rId307" Type="http://schemas.openxmlformats.org/officeDocument/2006/relationships/hyperlink" Target="http://www.itu.int/itu-t/workprog/wp_item.aspx?isn=18710" TargetMode="External"/><Relationship Id="rId349" Type="http://schemas.openxmlformats.org/officeDocument/2006/relationships/hyperlink" Target="http://www.itu.int/itu-t/workprog/wp_item.aspx?isn=18221" TargetMode="External"/><Relationship Id="rId514" Type="http://schemas.openxmlformats.org/officeDocument/2006/relationships/hyperlink" Target="http://www.itu.int/itu-t/workprog/wp_item.aspx?isn=18923" TargetMode="External"/><Relationship Id="rId88" Type="http://schemas.openxmlformats.org/officeDocument/2006/relationships/hyperlink" Target="https://aiforgood.itu.int/summit23/" TargetMode="External"/><Relationship Id="rId111" Type="http://schemas.openxmlformats.org/officeDocument/2006/relationships/hyperlink" Target="https://www.itu.int/en/ITU-T/ssc/united/Pages/publication-U4SSC-KPIs.aspx" TargetMode="External"/><Relationship Id="rId153" Type="http://schemas.openxmlformats.org/officeDocument/2006/relationships/hyperlink" Target="https://www.itu.int/en/irg/ibb" TargetMode="External"/><Relationship Id="rId195" Type="http://schemas.openxmlformats.org/officeDocument/2006/relationships/hyperlink" Target="https://www.itu.int/md/meetingdoc.asp?lang=en&amp;parent=T22-TSAG-240122-TD-GEN-0422" TargetMode="External"/><Relationship Id="rId209" Type="http://schemas.openxmlformats.org/officeDocument/2006/relationships/hyperlink" Target="mailto:wise@itu.int" TargetMode="External"/><Relationship Id="rId360" Type="http://schemas.openxmlformats.org/officeDocument/2006/relationships/hyperlink" Target="http://www.itu.int/itu-t/workprog/wp_item.aspx?isn=18836" TargetMode="External"/><Relationship Id="rId416" Type="http://schemas.openxmlformats.org/officeDocument/2006/relationships/hyperlink" Target="http://www.itu.int/itu-t/workprog/wp_item.aspx?isn=17903" TargetMode="External"/><Relationship Id="rId220" Type="http://schemas.openxmlformats.org/officeDocument/2006/relationships/hyperlink" Target="http://itu.int/go/itu-t/rgm-support" TargetMode="External"/><Relationship Id="rId458" Type="http://schemas.openxmlformats.org/officeDocument/2006/relationships/hyperlink" Target="http://www.itu.int/itu-t/workprog/wp_item.aspx?isn=18308" TargetMode="External"/><Relationship Id="rId15" Type="http://schemas.openxmlformats.org/officeDocument/2006/relationships/hyperlink" Target="https://aiforgood.itu.int/" TargetMode="External"/><Relationship Id="rId57" Type="http://schemas.openxmlformats.org/officeDocument/2006/relationships/hyperlink" Target="https://www.itu.int/br_tsb_terms/" TargetMode="External"/><Relationship Id="rId262" Type="http://schemas.openxmlformats.org/officeDocument/2006/relationships/hyperlink" Target="http://www.itu.int/itu-t/workprog/wp_item.aspx?isn=18790" TargetMode="External"/><Relationship Id="rId318" Type="http://schemas.openxmlformats.org/officeDocument/2006/relationships/hyperlink" Target="http://www.itu.int/itu-t/workprog/wp_item.aspx?isn=18083" TargetMode="External"/><Relationship Id="rId99" Type="http://schemas.openxmlformats.org/officeDocument/2006/relationships/hyperlink" Target="https://figi.itu.int/figi-resources/dfs-security-lab/" TargetMode="External"/><Relationship Id="rId122" Type="http://schemas.openxmlformats.org/officeDocument/2006/relationships/hyperlink" Target="http://www.itu.int/en/ITU-T/tsbdir/cto/Pages/default.aspx" TargetMode="External"/><Relationship Id="rId164" Type="http://schemas.openxmlformats.org/officeDocument/2006/relationships/hyperlink" Target="https://www.itu.int/rec/T-REC-A.4" TargetMode="External"/><Relationship Id="rId371" Type="http://schemas.openxmlformats.org/officeDocument/2006/relationships/hyperlink" Target="http://www.itu.int/itu-t/workprog/wp_item.aspx?isn=17514" TargetMode="External"/><Relationship Id="rId427" Type="http://schemas.openxmlformats.org/officeDocument/2006/relationships/hyperlink" Target="http://www.itu.int/itu-t/workprog/wp_item.aspx?isn=17702" TargetMode="External"/><Relationship Id="rId469" Type="http://schemas.openxmlformats.org/officeDocument/2006/relationships/hyperlink" Target="http://www.itu.int/itu-t/workprog/wp_item.aspx?isn=18623" TargetMode="External"/><Relationship Id="rId26" Type="http://schemas.openxmlformats.org/officeDocument/2006/relationships/hyperlink" Target="https://figi.itu.int/" TargetMode="External"/><Relationship Id="rId231" Type="http://schemas.openxmlformats.org/officeDocument/2006/relationships/hyperlink" Target="https://www.itu.int/myworkspace/" TargetMode="External"/><Relationship Id="rId273" Type="http://schemas.openxmlformats.org/officeDocument/2006/relationships/hyperlink" Target="http://www.itu.int/itu-t/workprog/wp_item.aspx?isn=17736" TargetMode="External"/><Relationship Id="rId329" Type="http://schemas.openxmlformats.org/officeDocument/2006/relationships/hyperlink" Target="http://www.itu.int/itu-t/workprog/wp_item.aspx?isn=18076" TargetMode="External"/><Relationship Id="rId480" Type="http://schemas.openxmlformats.org/officeDocument/2006/relationships/hyperlink" Target="http://www.itu.int/itu-t/workprog/wp_item.aspx?isn=18264" TargetMode="External"/><Relationship Id="rId68" Type="http://schemas.openxmlformats.org/officeDocument/2006/relationships/hyperlink" Target="https://www.itu.int/go/tsg15" TargetMode="External"/><Relationship Id="rId133" Type="http://schemas.openxmlformats.org/officeDocument/2006/relationships/hyperlink" Target="https://www.itu.int/en/ITU-T/academia/kaleidoscope/Pages/default.aspx" TargetMode="External"/><Relationship Id="rId175" Type="http://schemas.openxmlformats.org/officeDocument/2006/relationships/hyperlink" Target="https://www.itu.int/pub/T-SP" TargetMode="External"/><Relationship Id="rId340" Type="http://schemas.openxmlformats.org/officeDocument/2006/relationships/hyperlink" Target="http://www.itu.int/itu-t/workprog/wp_item.aspx?isn=18979" TargetMode="External"/><Relationship Id="rId200" Type="http://schemas.openxmlformats.org/officeDocument/2006/relationships/hyperlink" Target="https://itu.zoom.us/rec/play/b267dXxgU816kf2L-17Bj8kbEGoRE8EyxFlPIcKPNAOTph2mwG1VZQijP-4txHZFWFfr281KefPepqUL.h4G5lYTTPHQLqQd9?canPlayFromShare=true&amp;from=share_recording_detail&amp;continueMode=true&amp;componentName=rec-play&amp;originRequestUrl=https://itu.zoom.us/rec/share/lcQWztDyRUybpoeNkJut_64Yt04ZoGelxORMVEfqbpGK2wTVwPZWpA1Q3IYG2FAK.MwbVvMvBo5Nmzxra" TargetMode="External"/><Relationship Id="rId382" Type="http://schemas.openxmlformats.org/officeDocument/2006/relationships/hyperlink" Target="http://www.itu.int/itu-t/workprog/wp_item.aspx?isn=17601" TargetMode="External"/><Relationship Id="rId438" Type="http://schemas.openxmlformats.org/officeDocument/2006/relationships/hyperlink" Target="http://www.itu.int/itu-t/workprog/wp_item.aspx?isn=18295" TargetMode="External"/><Relationship Id="rId242" Type="http://schemas.openxmlformats.org/officeDocument/2006/relationships/hyperlink" Target="https://www.itu.int/t/aap/aap-recs" TargetMode="External"/><Relationship Id="rId284" Type="http://schemas.openxmlformats.org/officeDocument/2006/relationships/hyperlink" Target="http://www.itu.int/itu-t/workprog/wp_item.aspx?isn=18867" TargetMode="External"/><Relationship Id="rId491" Type="http://schemas.openxmlformats.org/officeDocument/2006/relationships/hyperlink" Target="http://www.itu.int/itu-t/workprog/wp_item.aspx?isn=17475" TargetMode="External"/><Relationship Id="rId505" Type="http://schemas.openxmlformats.org/officeDocument/2006/relationships/hyperlink" Target="http://www.itu.int/itu-t/workprog/wp_item.aspx?isn=19102" TargetMode="External"/><Relationship Id="rId37" Type="http://schemas.openxmlformats.org/officeDocument/2006/relationships/hyperlink" Target="https://fnc.itu.int/" TargetMode="External"/><Relationship Id="rId79" Type="http://schemas.openxmlformats.org/officeDocument/2006/relationships/hyperlink" Target="https://www.itu.int/en/ITU-T/focusgroups/ai4ee/Pages/default.aspx" TargetMode="External"/><Relationship Id="rId102" Type="http://schemas.openxmlformats.org/officeDocument/2006/relationships/hyperlink" Target="https://figi.itu.int/itu-dfs-security-clinics/" TargetMode="External"/><Relationship Id="rId144" Type="http://schemas.openxmlformats.org/officeDocument/2006/relationships/hyperlink" Target="https://www.itu.int/en/ITU-T/extcoop/Pages/WSC-coordination.aspx" TargetMode="External"/><Relationship Id="rId90" Type="http://schemas.openxmlformats.org/officeDocument/2006/relationships/hyperlink" Target="https://aiforgood.itu.int/programme/" TargetMode="External"/><Relationship Id="rId186" Type="http://schemas.openxmlformats.org/officeDocument/2006/relationships/hyperlink" Target="https://www.itu.int/oth/T0402/en" TargetMode="External"/><Relationship Id="rId351" Type="http://schemas.openxmlformats.org/officeDocument/2006/relationships/hyperlink" Target="http://www.itu.int/itu-t/workprog/wp_item.aspx?isn=18589" TargetMode="External"/><Relationship Id="rId393" Type="http://schemas.openxmlformats.org/officeDocument/2006/relationships/hyperlink" Target="http://www.itu.int/itu-t/workprog/wp_item.aspx?isn=17602" TargetMode="External"/><Relationship Id="rId407" Type="http://schemas.openxmlformats.org/officeDocument/2006/relationships/hyperlink" Target="http://www.itu.int/itu-t/workprog/wp_item.aspx?isn=18954" TargetMode="External"/><Relationship Id="rId449" Type="http://schemas.openxmlformats.org/officeDocument/2006/relationships/hyperlink" Target="http://www.itu.int/itu-t/workprog/wp_item.aspx?isn=18211" TargetMode="External"/><Relationship Id="rId211" Type="http://schemas.openxmlformats.org/officeDocument/2006/relationships/chart" Target="charts/chart5.xml"/><Relationship Id="rId253" Type="http://schemas.openxmlformats.org/officeDocument/2006/relationships/hyperlink" Target="https://www.itu.int/itu-t/landscape/?topic=tx380" TargetMode="External"/><Relationship Id="rId295" Type="http://schemas.openxmlformats.org/officeDocument/2006/relationships/hyperlink" Target="http://www.itu.int/itu-t/workprog/wp_item.aspx?isn=17862" TargetMode="External"/><Relationship Id="rId309" Type="http://schemas.openxmlformats.org/officeDocument/2006/relationships/hyperlink" Target="http://www.itu.int/itu-t/workprog/wp_item.aspx?isn=17833" TargetMode="External"/><Relationship Id="rId460" Type="http://schemas.openxmlformats.org/officeDocument/2006/relationships/hyperlink" Target="http://www.itu.int/itu-t/workprog/wp_item.aspx?isn=18637" TargetMode="External"/><Relationship Id="rId516" Type="http://schemas.openxmlformats.org/officeDocument/2006/relationships/fontTable" Target="fontTable.xml"/><Relationship Id="rId48" Type="http://schemas.openxmlformats.org/officeDocument/2006/relationships/hyperlink" Target="https://www.itu.int/en/journal/j-fet/Pages/default.aspx" TargetMode="External"/><Relationship Id="rId113" Type="http://schemas.openxmlformats.org/officeDocument/2006/relationships/hyperlink" Target="https://u4ssc.itu.int/u4ssc-management-team/" TargetMode="External"/><Relationship Id="rId320" Type="http://schemas.openxmlformats.org/officeDocument/2006/relationships/hyperlink" Target="http://www.itu.int/itu-t/workprog/wp_item.aspx?isn=18049" TargetMode="External"/><Relationship Id="rId155" Type="http://schemas.openxmlformats.org/officeDocument/2006/relationships/hyperlink" Target="https://www.itu.int/en/ITU-T/extcoop/cits/Pages/default.aspx" TargetMode="External"/><Relationship Id="rId197" Type="http://schemas.openxmlformats.org/officeDocument/2006/relationships/image" Target="media/image3.png"/><Relationship Id="rId362" Type="http://schemas.openxmlformats.org/officeDocument/2006/relationships/hyperlink" Target="http://www.itu.int/itu-t/workprog/wp_item.aspx?isn=18233" TargetMode="External"/><Relationship Id="rId418" Type="http://schemas.openxmlformats.org/officeDocument/2006/relationships/hyperlink" Target="http://www.itu.int/itu-t/workprog/wp_item.aspx?isn=18456" TargetMode="External"/><Relationship Id="rId222" Type="http://schemas.openxmlformats.org/officeDocument/2006/relationships/hyperlink" Target="https://extranet.itu.int/sites/ITU-T/" TargetMode="External"/><Relationship Id="rId264" Type="http://schemas.openxmlformats.org/officeDocument/2006/relationships/hyperlink" Target="http://www.itu.int/itu-t/workprog/wp_item.aspx?isn=19044" TargetMode="External"/><Relationship Id="rId471" Type="http://schemas.openxmlformats.org/officeDocument/2006/relationships/hyperlink" Target="http://www.itu.int/itu-t/workprog/wp_item.aspx?isn=18855" TargetMode="External"/><Relationship Id="rId17" Type="http://schemas.openxmlformats.org/officeDocument/2006/relationships/hyperlink" Target="https://aiforgood.itu.int/summit24/" TargetMode="External"/><Relationship Id="rId59" Type="http://schemas.openxmlformats.org/officeDocument/2006/relationships/hyperlink" Target="https://www.itu.int/en/ITU-T/studygroups/Pages/default.aspx" TargetMode="External"/><Relationship Id="rId124" Type="http://schemas.openxmlformats.org/officeDocument/2006/relationships/hyperlink" Target="https://www.itu.int/en/ITU-T/tsbdir/cto/Documents/Communique_ITU_CxO_2023.pdf" TargetMode="External"/><Relationship Id="rId70" Type="http://schemas.openxmlformats.org/officeDocument/2006/relationships/hyperlink" Target="https://www.itu.int/go/tsg20" TargetMode="External"/><Relationship Id="rId166" Type="http://schemas.openxmlformats.org/officeDocument/2006/relationships/hyperlink" Target="https://www.itu.int/rec/T-REC-A.6" TargetMode="External"/><Relationship Id="rId331" Type="http://schemas.openxmlformats.org/officeDocument/2006/relationships/hyperlink" Target="http://www.itu.int/itu-t/workprog/wp_item.aspx?isn=18943" TargetMode="External"/><Relationship Id="rId373" Type="http://schemas.openxmlformats.org/officeDocument/2006/relationships/hyperlink" Target="http://www.itu.int/itu-t/workprog/wp_item.aspx?isn=17635" TargetMode="External"/><Relationship Id="rId429" Type="http://schemas.openxmlformats.org/officeDocument/2006/relationships/hyperlink" Target="http://www.itu.int/itu-t/workprog/wp_item.aspx?isn=18387" TargetMode="External"/><Relationship Id="rId1" Type="http://schemas.openxmlformats.org/officeDocument/2006/relationships/customXml" Target="../customXml/item1.xml"/><Relationship Id="rId233" Type="http://schemas.openxmlformats.org/officeDocument/2006/relationships/hyperlink" Target="https://www.itu.int/myworkspace/" TargetMode="External"/><Relationship Id="rId440" Type="http://schemas.openxmlformats.org/officeDocument/2006/relationships/hyperlink" Target="http://www.itu.int/itu-t/workprog/wp_item.aspx?isn=18873" TargetMode="External"/><Relationship Id="rId28" Type="http://schemas.openxmlformats.org/officeDocument/2006/relationships/hyperlink" Target="https://www.itu.int/en/ITU-T/dfs/Documents/ITU%20Cyber%20Security%20Resilience%20Assessment%20toolkit%20for%20DFS%20Critical%20Infrastructure.pdf" TargetMode="External"/><Relationship Id="rId275" Type="http://schemas.openxmlformats.org/officeDocument/2006/relationships/hyperlink" Target="http://www.itu.int/itu-t/workprog/wp_item.aspx?isn=17676" TargetMode="External"/><Relationship Id="rId300" Type="http://schemas.openxmlformats.org/officeDocument/2006/relationships/hyperlink" Target="http://www.itu.int/itu-t/workprog/wp_item.aspx?isn=17863" TargetMode="External"/><Relationship Id="rId482" Type="http://schemas.openxmlformats.org/officeDocument/2006/relationships/hyperlink" Target="http://www.itu.int/itu-t/workprog/wp_item.aspx?isn=17556" TargetMode="External"/><Relationship Id="rId81" Type="http://schemas.openxmlformats.org/officeDocument/2006/relationships/hyperlink" Target="https://www.itu.int/en/ITU-T/focusgroups/vm/Pages/default.aspx" TargetMode="External"/><Relationship Id="rId135" Type="http://schemas.openxmlformats.org/officeDocument/2006/relationships/hyperlink" Target="https://www.itu.int/en/journal/j-fet/webinars/Pages/default.aspx" TargetMode="External"/><Relationship Id="rId177" Type="http://schemas.openxmlformats.org/officeDocument/2006/relationships/hyperlink" Target="https://www.itu.int/net/itu-t/cdb/secured/Register16.aspx" TargetMode="External"/><Relationship Id="rId342" Type="http://schemas.openxmlformats.org/officeDocument/2006/relationships/hyperlink" Target="http://www.itu.int/itu-t/workprog/wp_item.aspx?isn=18654" TargetMode="External"/><Relationship Id="rId384" Type="http://schemas.openxmlformats.org/officeDocument/2006/relationships/hyperlink" Target="http://www.itu.int/itu-t/workprog/wp_item.aspx?isn=17599" TargetMode="External"/><Relationship Id="rId202" Type="http://schemas.openxmlformats.org/officeDocument/2006/relationships/hyperlink" Target="https://www.itu.int/en/ITU-T/NoW/Pages/default.aspx" TargetMode="External"/><Relationship Id="rId244" Type="http://schemas.openxmlformats.org/officeDocument/2006/relationships/hyperlink" Target="https://www.itu.int/net4/ITU-T/ls" TargetMode="External"/><Relationship Id="rId39" Type="http://schemas.openxmlformats.org/officeDocument/2006/relationships/hyperlink" Target="https://www.itu.int/en/ITU-T/extcoop/cits/Pages/egcomad.aspx" TargetMode="External"/><Relationship Id="rId286" Type="http://schemas.openxmlformats.org/officeDocument/2006/relationships/hyperlink" Target="http://www.itu.int/itu-t/workprog/wp_item.aspx?isn=17752" TargetMode="External"/><Relationship Id="rId451" Type="http://schemas.openxmlformats.org/officeDocument/2006/relationships/hyperlink" Target="http://www.itu.int/itu-t/workprog/wp_item.aspx?isn=18242" TargetMode="External"/><Relationship Id="rId493" Type="http://schemas.openxmlformats.org/officeDocument/2006/relationships/hyperlink" Target="http://www.itu.int/itu-t/workprog/wp_item.aspx?isn=18690" TargetMode="External"/><Relationship Id="rId507" Type="http://schemas.openxmlformats.org/officeDocument/2006/relationships/hyperlink" Target="http://www.itu.int/itu-t/workprog/wp_item.aspx?isn=17947" TargetMode="External"/><Relationship Id="rId50" Type="http://schemas.openxmlformats.org/officeDocument/2006/relationships/hyperlink" Target="https://www.itu.int/en/journal/j-fet/webinars/Pages/default.aspx" TargetMode="External"/><Relationship Id="rId104" Type="http://schemas.openxmlformats.org/officeDocument/2006/relationships/hyperlink" Target="https://www.itu.int/en/ITU-T/dfs/Documents/ITU%20Cyber%20Security%20Resilience%20Assessment%20toolkit%20for%20DFS%20Critical%20Infrastructure.pdf" TargetMode="External"/><Relationship Id="rId146" Type="http://schemas.openxmlformats.org/officeDocument/2006/relationships/hyperlink" Target="https://www.itu.int/en/ITU-T/gsc/Pages/default.aspx" TargetMode="External"/><Relationship Id="rId188" Type="http://schemas.openxmlformats.org/officeDocument/2006/relationships/chart" Target="charts/chart2.xml"/><Relationship Id="rId311" Type="http://schemas.openxmlformats.org/officeDocument/2006/relationships/hyperlink" Target="http://www.itu.int/itu-t/workprog/wp_item.aspx?isn=17827" TargetMode="External"/><Relationship Id="rId353" Type="http://schemas.openxmlformats.org/officeDocument/2006/relationships/hyperlink" Target="http://www.itu.int/itu-t/workprog/wp_item.aspx?isn=18633" TargetMode="External"/><Relationship Id="rId395" Type="http://schemas.openxmlformats.org/officeDocument/2006/relationships/hyperlink" Target="http://www.itu.int/itu-t/workprog/wp_item.aspx?isn=17998" TargetMode="External"/><Relationship Id="rId409" Type="http://schemas.openxmlformats.org/officeDocument/2006/relationships/hyperlink" Target="http://www.itu.int/itu-t/workprog/wp_item.aspx?isn=18345" TargetMode="External"/><Relationship Id="rId92" Type="http://schemas.openxmlformats.org/officeDocument/2006/relationships/hyperlink" Target="https://github.com/ITU-AI-ML-in-5G-Challenge" TargetMode="External"/><Relationship Id="rId213" Type="http://schemas.openxmlformats.org/officeDocument/2006/relationships/chart" Target="charts/chart7.xml"/><Relationship Id="rId420" Type="http://schemas.openxmlformats.org/officeDocument/2006/relationships/hyperlink" Target="http://www.itu.int/itu-t/workprog/wp_item.aspx?isn=19160" TargetMode="External"/><Relationship Id="rId255" Type="http://schemas.openxmlformats.org/officeDocument/2006/relationships/hyperlink" Target="https://www.itu.int/br_tsb_terms/" TargetMode="External"/><Relationship Id="rId297" Type="http://schemas.openxmlformats.org/officeDocument/2006/relationships/hyperlink" Target="http://www.itu.int/itu-t/workprog/wp_item.aspx?isn=17849" TargetMode="External"/><Relationship Id="rId462" Type="http://schemas.openxmlformats.org/officeDocument/2006/relationships/hyperlink" Target="http://www.itu.int/itu-t/workprog/wp_item.aspx?isn=18883" TargetMode="External"/><Relationship Id="rId518" Type="http://schemas.openxmlformats.org/officeDocument/2006/relationships/theme" Target="theme/theme1.xml"/><Relationship Id="rId115" Type="http://schemas.openxmlformats.org/officeDocument/2006/relationships/hyperlink" Target="https://toolkit-dt4c.itu.int/" TargetMode="External"/><Relationship Id="rId157" Type="http://schemas.openxmlformats.org/officeDocument/2006/relationships/hyperlink" Target="https://www.itu.int/en/ITU-T/focusgroups/dfc/Pages/default.aspx" TargetMode="External"/><Relationship Id="rId322" Type="http://schemas.openxmlformats.org/officeDocument/2006/relationships/hyperlink" Target="http://www.itu.int/itu-t/workprog/wp_item.aspx?isn=18116" TargetMode="External"/><Relationship Id="rId364" Type="http://schemas.openxmlformats.org/officeDocument/2006/relationships/hyperlink" Target="http://www.itu.int/itu-t/workprog/wp_item.aspx?isn=18592" TargetMode="External"/><Relationship Id="rId61" Type="http://schemas.openxmlformats.org/officeDocument/2006/relationships/hyperlink" Target="https://www.itu.int/go/tsg3" TargetMode="External"/><Relationship Id="rId199" Type="http://schemas.openxmlformats.org/officeDocument/2006/relationships/hyperlink" Target="https://www.itu.int/md/T22-TSAG-230530-TD-GEN-0196/en" TargetMode="External"/><Relationship Id="rId19" Type="http://schemas.openxmlformats.org/officeDocument/2006/relationships/hyperlink" Target="https://aiforgood.itu.int/neural-network/" TargetMode="External"/><Relationship Id="rId224" Type="http://schemas.openxmlformats.org/officeDocument/2006/relationships/hyperlink" Target="https://www.itu.int/myworkspace/" TargetMode="External"/><Relationship Id="rId266" Type="http://schemas.openxmlformats.org/officeDocument/2006/relationships/hyperlink" Target="http://www.itu.int/itu-t/workprog/wp_item.aspx?isn=18401" TargetMode="External"/><Relationship Id="rId431" Type="http://schemas.openxmlformats.org/officeDocument/2006/relationships/hyperlink" Target="http://www.itu.int/itu-t/workprog/wp_item.aspx?isn=18397" TargetMode="External"/><Relationship Id="rId473" Type="http://schemas.openxmlformats.org/officeDocument/2006/relationships/hyperlink" Target="http://www.itu.int/itu-t/workprog/wp_item.aspx?isn=18857" TargetMode="External"/><Relationship Id="rId30" Type="http://schemas.openxmlformats.org/officeDocument/2006/relationships/hyperlink" Target="https://www.itu.int/en/ITU-T/ssc/united/Pages/publication-U4SSC-KPIs.aspx" TargetMode="External"/><Relationship Id="rId126" Type="http://schemas.openxmlformats.org/officeDocument/2006/relationships/hyperlink" Target="https://www.itu.int/initiatives/green-digital-action-atcop28/about/outcomes/" TargetMode="External"/><Relationship Id="rId168" Type="http://schemas.openxmlformats.org/officeDocument/2006/relationships/hyperlink" Target="https://www.itu.int/md/meetingdoc.asp?lang=en&amp;parent=T17-TSB-CIR-0368" TargetMode="External"/><Relationship Id="rId333" Type="http://schemas.openxmlformats.org/officeDocument/2006/relationships/hyperlink" Target="http://www.itu.int/itu-t/workprog/wp_item.aspx?isn=18658" TargetMode="External"/><Relationship Id="rId72" Type="http://schemas.openxmlformats.org/officeDocument/2006/relationships/hyperlink" Target="https://www.itu.int/en/ITU-T/focusgroups/cd/Pages/default.aspx" TargetMode="External"/><Relationship Id="rId375" Type="http://schemas.openxmlformats.org/officeDocument/2006/relationships/hyperlink" Target="http://www.itu.int/itu-t/workprog/wp_item.aspx?isn=17531" TargetMode="External"/><Relationship Id="rId3" Type="http://schemas.openxmlformats.org/officeDocument/2006/relationships/customXml" Target="../customXml/item3.xml"/><Relationship Id="rId235" Type="http://schemas.openxmlformats.org/officeDocument/2006/relationships/hyperlink" Target="https://www.itu.int/myworkspace/" TargetMode="External"/><Relationship Id="rId277" Type="http://schemas.openxmlformats.org/officeDocument/2006/relationships/hyperlink" Target="http://www.itu.int/itu-t/workprog/wp_item.aspx?isn=17712" TargetMode="External"/><Relationship Id="rId400" Type="http://schemas.openxmlformats.org/officeDocument/2006/relationships/hyperlink" Target="http://www.itu.int/itu-t/workprog/wp_item.aspx?isn=18500" TargetMode="External"/><Relationship Id="rId442" Type="http://schemas.openxmlformats.org/officeDocument/2006/relationships/hyperlink" Target="http://www.itu.int/itu-t/workprog/wp_item.aspx?isn=18871" TargetMode="External"/><Relationship Id="rId484" Type="http://schemas.openxmlformats.org/officeDocument/2006/relationships/hyperlink" Target="http://www.itu.int/itu-t/workprog/wp_item.aspx?isn=17610" TargetMode="External"/><Relationship Id="rId137" Type="http://schemas.openxmlformats.org/officeDocument/2006/relationships/hyperlink" Target="https://www.itu.int/wtsa/2024/prepmeet/" TargetMode="External"/><Relationship Id="rId302" Type="http://schemas.openxmlformats.org/officeDocument/2006/relationships/hyperlink" Target="http://www.itu.int/itu-t/workprog/wp_item.aspx?isn=17874" TargetMode="External"/><Relationship Id="rId344" Type="http://schemas.openxmlformats.org/officeDocument/2006/relationships/hyperlink" Target="http://www.itu.int/itu-t/workprog/wp_item.aspx?isn=18587" TargetMode="External"/><Relationship Id="rId41" Type="http://schemas.openxmlformats.org/officeDocument/2006/relationships/hyperlink" Target="https://www.itu.int/en/ITU-T/tsbdir/cto/Documents/Communique_ITU_CxO_2023.pdf" TargetMode="External"/><Relationship Id="rId83" Type="http://schemas.openxmlformats.org/officeDocument/2006/relationships/hyperlink" Target="https://www.itu.int/en/ITU-T/Workshops-and-Seminars/Pages/default.aspx" TargetMode="External"/><Relationship Id="rId179" Type="http://schemas.openxmlformats.org/officeDocument/2006/relationships/hyperlink" Target="https://www.itu.int/md/T22-SG11-230510-TD-GEN-0507/en" TargetMode="External"/><Relationship Id="rId386" Type="http://schemas.openxmlformats.org/officeDocument/2006/relationships/hyperlink" Target="http://www.itu.int/itu-t/workprog/wp_item.aspx?isn=17607" TargetMode="External"/><Relationship Id="rId190" Type="http://schemas.openxmlformats.org/officeDocument/2006/relationships/hyperlink" Target="https://www.itu.int/en/ITU-T/regional-groups/Pages/default.aspx" TargetMode="External"/><Relationship Id="rId204" Type="http://schemas.openxmlformats.org/officeDocument/2006/relationships/hyperlink" Target="file:///D:\2020\08_08_2019\continue%20to%20be%20among%20TSB's%20priorities" TargetMode="External"/><Relationship Id="rId246" Type="http://schemas.openxmlformats.org/officeDocument/2006/relationships/hyperlink" Target="https://www.itu.int/itu-t/landscape" TargetMode="External"/><Relationship Id="rId288" Type="http://schemas.openxmlformats.org/officeDocument/2006/relationships/hyperlink" Target="http://www.itu.int/itu-t/workprog/wp_item.aspx?isn=18895" TargetMode="External"/><Relationship Id="rId411" Type="http://schemas.openxmlformats.org/officeDocument/2006/relationships/hyperlink" Target="http://www.itu.int/itu-t/workprog/wp_item.aspx?isn=18471" TargetMode="External"/><Relationship Id="rId453" Type="http://schemas.openxmlformats.org/officeDocument/2006/relationships/hyperlink" Target="http://www.itu.int/itu-t/workprog/wp_item.aspx?isn=18212" TargetMode="External"/><Relationship Id="rId509" Type="http://schemas.openxmlformats.org/officeDocument/2006/relationships/hyperlink" Target="http://www.itu.int/itu-t/workprog/wp_item.aspx?isn=17946" TargetMode="External"/><Relationship Id="rId106" Type="http://schemas.openxmlformats.org/officeDocument/2006/relationships/hyperlink" Target="https://www.itu.int/cities/wp-content/uploads/2023/12/2023-year-in-review.pdf" TargetMode="External"/><Relationship Id="rId313" Type="http://schemas.openxmlformats.org/officeDocument/2006/relationships/hyperlink" Target="http://www.itu.int/itu-t/workprog/wp_item.aspx?isn=19054" TargetMode="External"/><Relationship Id="rId495" Type="http://schemas.openxmlformats.org/officeDocument/2006/relationships/hyperlink" Target="http://www.itu.int/itu-t/workprog/wp_item.aspx?isn=18496" TargetMode="External"/><Relationship Id="rId10" Type="http://schemas.openxmlformats.org/officeDocument/2006/relationships/endnotes" Target="endnotes.xml"/><Relationship Id="rId52" Type="http://schemas.openxmlformats.org/officeDocument/2006/relationships/hyperlink" Target="https://www.itu.int/en/ITU-T/NoW/Pages/default.aspx" TargetMode="External"/><Relationship Id="rId94" Type="http://schemas.openxmlformats.org/officeDocument/2006/relationships/hyperlink" Target="https://www.itu.int/en/journal/j-fet/2024/003/Pages/default.aspx" TargetMode="External"/><Relationship Id="rId148" Type="http://schemas.openxmlformats.org/officeDocument/2006/relationships/hyperlink" Target="https://www.itu.int/en/ITU-T/extcoop/Documents/tor/ToR_SPCG.pdf" TargetMode="External"/><Relationship Id="rId355" Type="http://schemas.openxmlformats.org/officeDocument/2006/relationships/hyperlink" Target="http://www.itu.int/itu-t/workprog/wp_item.aspx?isn=18634" TargetMode="External"/><Relationship Id="rId397" Type="http://schemas.openxmlformats.org/officeDocument/2006/relationships/hyperlink" Target="http://www.itu.int/itu-t/workprog/wp_item.aspx?isn=18342" TargetMode="External"/><Relationship Id="rId215" Type="http://schemas.openxmlformats.org/officeDocument/2006/relationships/hyperlink" Target="https://www.itu.int/wtsa/2024/" TargetMode="External"/><Relationship Id="rId257" Type="http://schemas.openxmlformats.org/officeDocument/2006/relationships/hyperlink" Target="https://www.itu.int/itu-t/nnp/" TargetMode="External"/><Relationship Id="rId422" Type="http://schemas.openxmlformats.org/officeDocument/2006/relationships/hyperlink" Target="http://www.itu.int/itu-t/workprog/wp_item.aspx?isn=18949" TargetMode="External"/><Relationship Id="rId464" Type="http://schemas.openxmlformats.org/officeDocument/2006/relationships/hyperlink" Target="http://www.itu.int/itu-t/workprog/wp_item.aspx?isn=18876" TargetMode="External"/><Relationship Id="rId299" Type="http://schemas.openxmlformats.org/officeDocument/2006/relationships/hyperlink" Target="http://www.itu.int/itu-t/workprog/wp_item.aspx?isn=17847" TargetMode="External"/><Relationship Id="rId63" Type="http://schemas.openxmlformats.org/officeDocument/2006/relationships/hyperlink" Target="https://www.itu.int/go/tsg9" TargetMode="External"/><Relationship Id="rId159" Type="http://schemas.openxmlformats.org/officeDocument/2006/relationships/hyperlink" Target="https://www.itu.int/en/ITU-T/extcoop/figisymposium/Pages/default.aspx" TargetMode="External"/><Relationship Id="rId366" Type="http://schemas.openxmlformats.org/officeDocument/2006/relationships/hyperlink" Target="http://www.itu.int/itu-t/workprog/wp_item.aspx?isn=18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E-meeting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2018-2023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e-meetings</c:v>
                </c:pt>
              </c:strCache>
            </c:strRef>
          </c:tx>
          <c:spPr>
            <a:solidFill>
              <a:schemeClr val="accent1"/>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#,##0</c:formatCode>
                <c:ptCount val="6"/>
                <c:pt idx="0">
                  <c:v>1558</c:v>
                </c:pt>
                <c:pt idx="1">
                  <c:v>2110</c:v>
                </c:pt>
                <c:pt idx="2">
                  <c:v>4220</c:v>
                </c:pt>
                <c:pt idx="3">
                  <c:v>4671</c:v>
                </c:pt>
                <c:pt idx="4">
                  <c:v>5430</c:v>
                </c:pt>
                <c:pt idx="5">
                  <c:v>4143</c:v>
                </c:pt>
              </c:numCache>
            </c:numRef>
          </c:val>
          <c:extLst>
            <c:ext xmlns:c16="http://schemas.microsoft.com/office/drawing/2014/chart" uri="{C3380CC4-5D6E-409C-BE32-E72D297353CC}">
              <c16:uniqueId val="{00000000-C10D-4843-812B-804E63B5244D}"/>
            </c:ext>
          </c:extLst>
        </c:ser>
        <c:ser>
          <c:idx val="1"/>
          <c:order val="1"/>
          <c:tx>
            <c:strRef>
              <c:f>Sheet1!$C$1</c:f>
              <c:strCache>
                <c:ptCount val="1"/>
                <c:pt idx="0">
                  <c:v>Number of connections</c:v>
                </c:pt>
              </c:strCache>
            </c:strRef>
          </c:tx>
          <c:spPr>
            <a:solidFill>
              <a:schemeClr val="accent2"/>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Sheet1!$C$2:$C$7</c:f>
              <c:numCache>
                <c:formatCode>#,##0</c:formatCode>
                <c:ptCount val="6"/>
                <c:pt idx="0">
                  <c:v>8353</c:v>
                </c:pt>
                <c:pt idx="1">
                  <c:v>17657</c:v>
                </c:pt>
                <c:pt idx="2">
                  <c:v>77693</c:v>
                </c:pt>
                <c:pt idx="3">
                  <c:v>87302</c:v>
                </c:pt>
                <c:pt idx="4">
                  <c:v>78270</c:v>
                </c:pt>
                <c:pt idx="5">
                  <c:v>68734</c:v>
                </c:pt>
              </c:numCache>
            </c:numRef>
          </c:val>
          <c:extLst>
            <c:ext xmlns:c16="http://schemas.microsoft.com/office/drawing/2014/chart" uri="{C3380CC4-5D6E-409C-BE32-E72D297353CC}">
              <c16:uniqueId val="{00000001-C10D-4843-812B-804E63B5244D}"/>
            </c:ext>
          </c:extLst>
        </c:ser>
        <c:dLbls>
          <c:showLegendKey val="0"/>
          <c:showVal val="0"/>
          <c:showCatName val="0"/>
          <c:showSerName val="0"/>
          <c:showPercent val="0"/>
          <c:showBubbleSize val="0"/>
        </c:dLbls>
        <c:gapWidth val="182"/>
        <c:axId val="1773162655"/>
        <c:axId val="1918285471"/>
      </c:barChart>
      <c:catAx>
        <c:axId val="1773162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285471"/>
        <c:crosses val="autoZero"/>
        <c:auto val="1"/>
        <c:lblAlgn val="ctr"/>
        <c:lblOffset val="100"/>
        <c:noMultiLvlLbl val="0"/>
      </c:catAx>
      <c:valAx>
        <c:axId val="19182854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16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272</c:v>
                </c:pt>
              </c:numCache>
            </c:numRef>
          </c:val>
          <c:smooth val="0"/>
          <c:extLst>
            <c:ext xmlns:c16="http://schemas.microsoft.com/office/drawing/2014/chart" uri="{C3380CC4-5D6E-409C-BE32-E72D297353CC}">
              <c16:uniqueId val="{00000000-BFD9-4CF8-8D7B-E564B9069CEE}"/>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220</c:v>
                </c:pt>
                <c:pt idx="14">
                  <c:v>227</c:v>
                </c:pt>
              </c:numCache>
            </c:numRef>
          </c:val>
          <c:smooth val="0"/>
          <c:extLst>
            <c:ext xmlns:c16="http://schemas.microsoft.com/office/drawing/2014/chart" uri="{C3380CC4-5D6E-409C-BE32-E72D297353CC}">
              <c16:uniqueId val="{00000001-BFD9-4CF8-8D7B-E564B9069CEE}"/>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170</c:v>
                </c:pt>
                <c:pt idx="14">
                  <c:v>169</c:v>
                </c:pt>
              </c:numCache>
            </c:numRef>
          </c:val>
          <c:smooth val="0"/>
          <c:extLst>
            <c:ext xmlns:c16="http://schemas.microsoft.com/office/drawing/2014/chart" uri="{C3380CC4-5D6E-409C-BE32-E72D297353CC}">
              <c16:uniqueId val="{00000002-BFD9-4CF8-8D7B-E564B9069CEE}"/>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653</c:v>
                </c:pt>
                <c:pt idx="14">
                  <c:v>668</c:v>
                </c:pt>
              </c:numCache>
            </c:numRef>
          </c:val>
          <c:smooth val="0"/>
          <c:extLst>
            <c:ext xmlns:c16="http://schemas.microsoft.com/office/drawing/2014/chart" uri="{C3380CC4-5D6E-409C-BE32-E72D297353CC}">
              <c16:uniqueId val="{00000003-BFD9-4CF8-8D7B-E564B9069CEE}"/>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0774-4E27-BF78-467BA3F8B80F}"/>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8E91-45F5-A738-34478BC60E6A}"/>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8E4E-4DDB-8F82-2314D3E67E40}"/>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2540290769750724E-3"/>
                  <c:y val="-2.00014273140334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53-4353-BB56-DB81CA1A2A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Publication!$I$9:$N$9</c:f>
              <c:numCache>
                <c:formatCode>General</c:formatCode>
                <c:ptCount val="6"/>
                <c:pt idx="0">
                  <c:v>2018</c:v>
                </c:pt>
                <c:pt idx="1">
                  <c:v>2019</c:v>
                </c:pt>
                <c:pt idx="2">
                  <c:v>2020</c:v>
                </c:pt>
                <c:pt idx="3">
                  <c:v>2021</c:v>
                </c:pt>
                <c:pt idx="4">
                  <c:v>2022</c:v>
                </c:pt>
                <c:pt idx="5">
                  <c:v>2023</c:v>
                </c:pt>
              </c:numCache>
              <c:extLst/>
            </c:numRef>
          </c:cat>
          <c:val>
            <c:numRef>
              <c:f>Publication!$I$10:$N$10</c:f>
              <c:numCache>
                <c:formatCode>General</c:formatCode>
                <c:ptCount val="6"/>
                <c:pt idx="0">
                  <c:v>275</c:v>
                </c:pt>
                <c:pt idx="1">
                  <c:v>378</c:v>
                </c:pt>
                <c:pt idx="2">
                  <c:v>378</c:v>
                </c:pt>
                <c:pt idx="3">
                  <c:v>337</c:v>
                </c:pt>
                <c:pt idx="4">
                  <c:v>304</c:v>
                </c:pt>
                <c:pt idx="5">
                  <c:v>298</c:v>
                </c:pt>
              </c:numCache>
              <c:extLst/>
            </c:numRef>
          </c:val>
          <c:extLst>
            <c:ext xmlns:c16="http://schemas.microsoft.com/office/drawing/2014/chart" uri="{C3380CC4-5D6E-409C-BE32-E72D297353CC}">
              <c16:uniqueId val="{00000001-0A53-4353-BB56-DB81CA1A2A3E}"/>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a:extLst xmlns:a="http://schemas.openxmlformats.org/drawingml/2006/main">
            <a:ext uri="{FF2B5EF4-FFF2-40B4-BE49-F238E27FC236}">
              <a16:creationId xmlns:a16="http://schemas.microsoft.com/office/drawing/2014/main" id="{A8BC4AA9-601C-43E5-8844-D7C1A35F44F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413855" y="1174911"/>
          <a:ext cx="5355951" cy="3219269"/>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3077A"/>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07EA7"/>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545D"/>
    <w:rsid w:val="0030662F"/>
    <w:rsid w:val="00306BFB"/>
    <w:rsid w:val="00313DAD"/>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0004"/>
    <w:rsid w:val="005C16E9"/>
    <w:rsid w:val="005C399A"/>
    <w:rsid w:val="005C61BF"/>
    <w:rsid w:val="005D2BF6"/>
    <w:rsid w:val="005E0735"/>
    <w:rsid w:val="005E4DEF"/>
    <w:rsid w:val="005F41C0"/>
    <w:rsid w:val="005F42A3"/>
    <w:rsid w:val="005F564F"/>
    <w:rsid w:val="00600DF0"/>
    <w:rsid w:val="00602118"/>
    <w:rsid w:val="0060489C"/>
    <w:rsid w:val="006157EC"/>
    <w:rsid w:val="006277CD"/>
    <w:rsid w:val="00627B99"/>
    <w:rsid w:val="00633D42"/>
    <w:rsid w:val="00634F0D"/>
    <w:rsid w:val="00640348"/>
    <w:rsid w:val="00655FEF"/>
    <w:rsid w:val="006564CE"/>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103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06F1"/>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13A5"/>
    <w:rsid w:val="00E8597A"/>
    <w:rsid w:val="00E904AF"/>
    <w:rsid w:val="00E91357"/>
    <w:rsid w:val="00E920BD"/>
    <w:rsid w:val="00E92AF3"/>
    <w:rsid w:val="00EB05D1"/>
    <w:rsid w:val="00EB2B73"/>
    <w:rsid w:val="00EC431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1A51"/>
    <w:rsid w:val="00F942F8"/>
    <w:rsid w:val="00F95D9D"/>
    <w:rsid w:val="00FA48B2"/>
    <w:rsid w:val="00FB21AE"/>
    <w:rsid w:val="00FC31C6"/>
    <w:rsid w:val="00FC5FF9"/>
    <w:rsid w:val="00FC6BB4"/>
    <w:rsid w:val="00FD069F"/>
    <w:rsid w:val="00FD06CD"/>
    <w:rsid w:val="00FD226D"/>
    <w:rsid w:val="00FE48E9"/>
    <w:rsid w:val="00FE5C96"/>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189</Pages>
  <Words>48403</Words>
  <Characters>348814</Characters>
  <Application>Microsoft Office Word</Application>
  <DocSecurity>0</DocSecurity>
  <Lines>2906</Lines>
  <Paragraphs>792</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396425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2018-10-12T03:17:00Z</cp:lastPrinted>
  <dcterms:created xsi:type="dcterms:W3CDTF">2024-01-17T20:51:00Z</dcterms:created>
  <dcterms:modified xsi:type="dcterms:W3CDTF">2024-01-17T20:53:00Z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