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457"/>
        <w:gridCol w:w="18"/>
        <w:gridCol w:w="3634"/>
        <w:gridCol w:w="372"/>
        <w:gridCol w:w="4312"/>
      </w:tblGrid>
      <w:tr w:rsidR="006A7AF3" w:rsidRPr="001D439B" w14:paraId="18847093" w14:textId="77777777" w:rsidTr="00C17CB4">
        <w:trPr>
          <w:cantSplit/>
        </w:trPr>
        <w:tc>
          <w:tcPr>
            <w:tcW w:w="1130" w:type="dxa"/>
            <w:vMerge w:val="restart"/>
            <w:vAlign w:val="center"/>
          </w:tcPr>
          <w:p w14:paraId="65D4E747" w14:textId="77777777" w:rsidR="006A7AF3" w:rsidRPr="001D439B" w:rsidRDefault="006A7AF3" w:rsidP="00C17CB4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D43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8BF3BD" wp14:editId="4C125899">
                  <wp:extent cx="647700" cy="705600"/>
                  <wp:effectExtent l="0" t="0" r="0" b="0"/>
                  <wp:docPr id="5" name="Picture 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33B97E83" w14:textId="77777777" w:rsidR="006A7AF3" w:rsidRPr="001D439B" w:rsidRDefault="006A7AF3" w:rsidP="00C17CB4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439B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6E373AC2" w14:textId="77777777" w:rsidR="006A7AF3" w:rsidRPr="001D439B" w:rsidRDefault="006A7AF3" w:rsidP="00C17CB4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4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1D4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7D61624" w14:textId="77777777" w:rsidR="006A7AF3" w:rsidRPr="001D439B" w:rsidRDefault="006A7AF3" w:rsidP="00C17CB4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39B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1D439B">
              <w:rPr>
                <w:rFonts w:ascii="Times New Roman" w:hAnsi="Times New Roman" w:cs="Times New Roman"/>
                <w:sz w:val="20"/>
              </w:rPr>
              <w:t>2022</w:t>
            </w:r>
            <w:r w:rsidRPr="001D43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39B">
              <w:rPr>
                <w:rFonts w:ascii="Times New Roman" w:hAnsi="Times New Roman" w:cs="Times New Roman"/>
                <w:sz w:val="20"/>
              </w:rPr>
              <w:t>2024</w:t>
            </w:r>
            <w:bookmarkEnd w:id="2"/>
          </w:p>
        </w:tc>
        <w:tc>
          <w:tcPr>
            <w:tcW w:w="4312" w:type="dxa"/>
            <w:vAlign w:val="center"/>
          </w:tcPr>
          <w:p w14:paraId="4B1C520C" w14:textId="44F4B2FA" w:rsidR="006A7AF3" w:rsidRPr="001D439B" w:rsidRDefault="006A7AF3" w:rsidP="00C17CB4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proofErr w:type="spellStart"/>
            <w:r>
              <w:rPr>
                <w:sz w:val="32"/>
              </w:rPr>
              <w:t>TD</w:t>
            </w:r>
            <w:r w:rsidR="00670577">
              <w:rPr>
                <w:sz w:val="32"/>
              </w:rPr>
              <w:t>420</w:t>
            </w:r>
            <w:proofErr w:type="spellEnd"/>
          </w:p>
        </w:tc>
      </w:tr>
      <w:tr w:rsidR="006A7AF3" w:rsidRPr="001D439B" w14:paraId="769CA22D" w14:textId="77777777" w:rsidTr="00C17CB4">
        <w:trPr>
          <w:cantSplit/>
        </w:trPr>
        <w:tc>
          <w:tcPr>
            <w:tcW w:w="1130" w:type="dxa"/>
            <w:vMerge/>
          </w:tcPr>
          <w:p w14:paraId="2BDF858E" w14:textId="77777777" w:rsidR="006A7AF3" w:rsidRPr="001D439B" w:rsidRDefault="006A7AF3" w:rsidP="00C17CB4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39135D5F" w14:textId="77777777" w:rsidR="006A7AF3" w:rsidRPr="001D439B" w:rsidRDefault="006A7AF3" w:rsidP="00C17CB4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312" w:type="dxa"/>
          </w:tcPr>
          <w:p w14:paraId="36F1D59C" w14:textId="77777777" w:rsidR="006A7AF3" w:rsidRPr="001D439B" w:rsidRDefault="006A7AF3" w:rsidP="00C17CB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6A7AF3" w:rsidRPr="001D439B" w14:paraId="2ED52341" w14:textId="77777777" w:rsidTr="00C17CB4">
        <w:trPr>
          <w:cantSplit/>
        </w:trPr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720696C0" w14:textId="77777777" w:rsidR="006A7AF3" w:rsidRPr="001D439B" w:rsidRDefault="006A7AF3" w:rsidP="00C17CB4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01D22E14" w14:textId="77777777" w:rsidR="006A7AF3" w:rsidRPr="001D439B" w:rsidRDefault="006A7AF3" w:rsidP="00C17CB4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312" w:type="dxa"/>
            <w:tcBorders>
              <w:bottom w:val="single" w:sz="12" w:space="0" w:color="auto"/>
            </w:tcBorders>
            <w:vAlign w:val="center"/>
          </w:tcPr>
          <w:p w14:paraId="773E5F26" w14:textId="77777777" w:rsidR="006A7AF3" w:rsidRPr="001D439B" w:rsidRDefault="006A7AF3" w:rsidP="00C17CB4">
            <w:pPr>
              <w:pStyle w:val="TSBHeaderRight14"/>
            </w:pPr>
            <w:r w:rsidRPr="001D439B">
              <w:t>Original: English</w:t>
            </w:r>
          </w:p>
        </w:tc>
      </w:tr>
      <w:tr w:rsidR="006A7AF3" w:rsidRPr="001D439B" w14:paraId="4AE17F55" w14:textId="77777777" w:rsidTr="00C17CB4">
        <w:trPr>
          <w:cantSplit/>
        </w:trPr>
        <w:tc>
          <w:tcPr>
            <w:tcW w:w="1587" w:type="dxa"/>
            <w:gridSpan w:val="2"/>
          </w:tcPr>
          <w:p w14:paraId="41B63520" w14:textId="77777777" w:rsidR="006A7AF3" w:rsidRPr="00BB0371" w:rsidRDefault="006A7AF3" w:rsidP="00C17CB4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024" w:type="dxa"/>
            <w:gridSpan w:val="3"/>
          </w:tcPr>
          <w:p w14:paraId="0620F587" w14:textId="77777777" w:rsidR="006A7AF3" w:rsidRPr="00BB0371" w:rsidRDefault="006A7AF3" w:rsidP="00C17CB4">
            <w:pPr>
              <w:pStyle w:val="TSBHeaderQuestion"/>
              <w:rPr>
                <w:rFonts w:asciiTheme="majorBidi" w:hAnsiTheme="majorBidi" w:cstheme="majorBidi"/>
              </w:rPr>
            </w:pPr>
            <w:r w:rsidRPr="00BB0371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12" w:type="dxa"/>
          </w:tcPr>
          <w:p w14:paraId="3977FAE9" w14:textId="27AE8FA1" w:rsidR="006A7AF3" w:rsidRPr="00BB0371" w:rsidRDefault="006A7AF3" w:rsidP="00C17CB4">
            <w:pPr>
              <w:pStyle w:val="VenueDate"/>
              <w:rPr>
                <w:rFonts w:asciiTheme="majorBidi" w:hAnsiTheme="majorBidi" w:cstheme="majorBidi"/>
              </w:rPr>
            </w:pPr>
            <w:r w:rsidRPr="00BB0371">
              <w:rPr>
                <w:rFonts w:asciiTheme="majorBidi" w:hAnsiTheme="majorBidi" w:cstheme="majorBidi"/>
              </w:rPr>
              <w:t xml:space="preserve">Geneva, </w:t>
            </w:r>
            <w:r w:rsidR="00670577">
              <w:rPr>
                <w:rFonts w:asciiTheme="majorBidi" w:hAnsiTheme="majorBidi" w:cstheme="majorBidi"/>
              </w:rPr>
              <w:t>22-26 January 2024</w:t>
            </w:r>
          </w:p>
        </w:tc>
      </w:tr>
      <w:tr w:rsidR="006A7AF3" w:rsidRPr="001D439B" w14:paraId="44937005" w14:textId="77777777" w:rsidTr="00C17CB4">
        <w:trPr>
          <w:cantSplit/>
        </w:trPr>
        <w:tc>
          <w:tcPr>
            <w:tcW w:w="9923" w:type="dxa"/>
            <w:gridSpan w:val="6"/>
          </w:tcPr>
          <w:p w14:paraId="47DEACAE" w14:textId="77777777" w:rsidR="006A7AF3" w:rsidRPr="00BB0371" w:rsidRDefault="006A7AF3" w:rsidP="00C17CB4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/>
            <w:bookmarkEnd w:id="4"/>
            <w:bookmarkEnd w:id="5"/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6A7AF3" w:rsidRPr="001D439B" w14:paraId="3B9093B6" w14:textId="77777777" w:rsidTr="00C17CB4">
        <w:trPr>
          <w:cantSplit/>
        </w:trPr>
        <w:tc>
          <w:tcPr>
            <w:tcW w:w="1587" w:type="dxa"/>
            <w:gridSpan w:val="2"/>
          </w:tcPr>
          <w:p w14:paraId="673D3D5D" w14:textId="77777777" w:rsidR="006A7AF3" w:rsidRPr="00BB0371" w:rsidRDefault="006A7AF3" w:rsidP="00C17CB4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336818EA" w14:textId="77777777" w:rsidR="006A7AF3" w:rsidRPr="00BB0371" w:rsidRDefault="006A7AF3" w:rsidP="00C17CB4">
            <w:pPr>
              <w:pStyle w:val="TSBHeaderSource"/>
              <w:rPr>
                <w:rFonts w:asciiTheme="majorBidi" w:hAnsiTheme="majorBidi" w:cstheme="majorBidi"/>
              </w:rPr>
            </w:pPr>
            <w:r w:rsidRPr="00BB0371">
              <w:rPr>
                <w:rFonts w:asciiTheme="majorBidi" w:hAnsiTheme="majorBidi" w:cstheme="majorBidi"/>
              </w:rPr>
              <w:t>Director, TSB</w:t>
            </w:r>
          </w:p>
        </w:tc>
      </w:tr>
      <w:tr w:rsidR="006A7AF3" w:rsidRPr="001D439B" w14:paraId="49DDA8E1" w14:textId="77777777" w:rsidTr="00C17CB4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347F8AA1" w14:textId="77777777" w:rsidR="006A7AF3" w:rsidRPr="00BB0371" w:rsidRDefault="006A7AF3" w:rsidP="00C17CB4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title1" w:colFirst="1" w:colLast="1"/>
            <w:bookmarkEnd w:id="7"/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1BF61057" w14:textId="3B64275E" w:rsidR="006A7AF3" w:rsidRPr="00BB0371" w:rsidRDefault="006A7AF3" w:rsidP="00C17CB4">
            <w:pPr>
              <w:pStyle w:val="TSBHeaderTitle"/>
              <w:rPr>
                <w:rFonts w:asciiTheme="majorBidi" w:hAnsiTheme="majorBidi" w:cstheme="majorBidi"/>
              </w:rPr>
            </w:pPr>
            <w:r w:rsidRPr="00BB0371">
              <w:rPr>
                <w:rFonts w:asciiTheme="majorBidi" w:hAnsiTheme="majorBidi" w:cstheme="majorBidi"/>
              </w:rPr>
              <w:t xml:space="preserve">Opening address at TSAG Meeting, </w:t>
            </w:r>
            <w:r w:rsidR="00670577">
              <w:rPr>
                <w:rFonts w:asciiTheme="majorBidi" w:hAnsiTheme="majorBidi" w:cstheme="majorBidi"/>
              </w:rPr>
              <w:t>22 Januar</w:t>
            </w:r>
            <w:r>
              <w:rPr>
                <w:rFonts w:asciiTheme="majorBidi" w:hAnsiTheme="majorBidi" w:cstheme="majorBidi"/>
              </w:rPr>
              <w:t>y</w:t>
            </w:r>
            <w:r w:rsidRPr="00BB0371">
              <w:rPr>
                <w:rFonts w:asciiTheme="majorBidi" w:hAnsiTheme="majorBidi" w:cstheme="majorBidi"/>
              </w:rPr>
              <w:t xml:space="preserve"> 202</w:t>
            </w:r>
            <w:r w:rsidR="00670577">
              <w:rPr>
                <w:rFonts w:asciiTheme="majorBidi" w:hAnsiTheme="majorBidi" w:cstheme="majorBidi"/>
              </w:rPr>
              <w:t>4</w:t>
            </w:r>
          </w:p>
        </w:tc>
      </w:tr>
      <w:bookmarkEnd w:id="1"/>
      <w:bookmarkEnd w:id="8"/>
      <w:tr w:rsidR="006A7AF3" w:rsidRPr="008A5A66" w14:paraId="52300DBD" w14:textId="77777777" w:rsidTr="00C17CB4">
        <w:trPr>
          <w:cantSplit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7A4A052" w14:textId="77777777" w:rsidR="006A7AF3" w:rsidRPr="00BB0371" w:rsidRDefault="006A7AF3" w:rsidP="00C17CB4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4" w:type="dxa"/>
            <w:tcBorders>
              <w:top w:val="single" w:sz="8" w:space="0" w:color="auto"/>
              <w:bottom w:val="single" w:sz="8" w:space="0" w:color="auto"/>
            </w:tcBorders>
          </w:tcPr>
          <w:p w14:paraId="61A748CC" w14:textId="77777777" w:rsidR="006A7AF3" w:rsidRPr="00BB0371" w:rsidRDefault="006A7AF3" w:rsidP="00C17C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B0371">
              <w:rPr>
                <w:rFonts w:asciiTheme="majorBidi" w:hAnsiTheme="majorBidi" w:cstheme="majorBidi"/>
                <w:sz w:val="24"/>
                <w:szCs w:val="24"/>
              </w:rPr>
              <w:t>TSB Director</w:t>
            </w:r>
          </w:p>
        </w:tc>
        <w:tc>
          <w:tcPr>
            <w:tcW w:w="46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A0A03C" w14:textId="77777777" w:rsidR="006A7AF3" w:rsidRPr="00BB0371" w:rsidRDefault="006A7AF3" w:rsidP="00C17CB4">
            <w:pPr>
              <w:spacing w:before="120" w:after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B0371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7" w:history="1">
              <w:r w:rsidRPr="00BB0371">
                <w:rPr>
                  <w:rStyle w:val="Hyperlink"/>
                  <w:rFonts w:asciiTheme="majorBidi" w:hAnsiTheme="majorBidi" w:cstheme="majorBidi"/>
                  <w:color w:val="2F5496" w:themeColor="accent1" w:themeShade="BF"/>
                  <w:sz w:val="24"/>
                  <w:szCs w:val="24"/>
                </w:rPr>
                <w:t>tsbdir@itu.int</w:t>
              </w:r>
            </w:hyperlink>
            <w:r w:rsidRPr="00BB03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B0371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93E50AF" w14:textId="77777777" w:rsidR="006A7AF3" w:rsidRDefault="006A7AF3" w:rsidP="00714222">
      <w:pPr>
        <w:spacing w:before="120" w:after="240" w:line="240" w:lineRule="auto"/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0"/>
          <w:lang w:val="en-US" w:eastAsia="zh-CN"/>
          <w14:ligatures w14:val="none"/>
        </w:rPr>
      </w:pPr>
    </w:p>
    <w:p w14:paraId="40C63730" w14:textId="68A97D71" w:rsidR="00714222" w:rsidRPr="00714222" w:rsidRDefault="00714222" w:rsidP="00714222">
      <w:pPr>
        <w:spacing w:before="120" w:after="240" w:line="240" w:lineRule="auto"/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</w:pPr>
      <w:r w:rsidRPr="00714222">
        <w:rPr>
          <w:rFonts w:ascii="Trebuchet MS" w:eastAsia="Times New Roman" w:hAnsi="Trebuchet MS" w:cs="Times New Roman"/>
          <w:b/>
          <w:smallCaps/>
          <w:kern w:val="0"/>
          <w:sz w:val="28"/>
          <w:szCs w:val="20"/>
          <w:lang w:val="en-US" w:eastAsia="zh-CN"/>
          <w14:ligatures w14:val="none"/>
        </w:rPr>
        <w:t>Telecommunication Standardization Advisory Group</w:t>
      </w:r>
    </w:p>
    <w:p w14:paraId="0F3FF87E" w14:textId="77777777" w:rsidR="00714222" w:rsidRPr="00714222" w:rsidRDefault="00714222" w:rsidP="00714222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</w:pPr>
      <w:r w:rsidRPr="00714222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  <w:t>Geneva</w:t>
      </w:r>
    </w:p>
    <w:p w14:paraId="242CBB43" w14:textId="77777777" w:rsidR="00714222" w:rsidRPr="00714222" w:rsidRDefault="00714222" w:rsidP="00714222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</w:pPr>
      <w:r w:rsidRPr="00714222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  <w:t>22 January 2024</w:t>
      </w:r>
    </w:p>
    <w:p w14:paraId="6318C9BC" w14:textId="77777777" w:rsidR="00714222" w:rsidRPr="00714222" w:rsidRDefault="00714222" w:rsidP="00714222">
      <w:pPr>
        <w:spacing w:before="120" w:after="240" w:line="240" w:lineRule="auto"/>
        <w:jc w:val="center"/>
        <w:rPr>
          <w:rFonts w:ascii="Trebuchet MS" w:eastAsia="Times New Roman" w:hAnsi="Trebuchet MS" w:cs="Times New Roman"/>
          <w:b/>
          <w:i/>
          <w:smallCaps/>
          <w:kern w:val="0"/>
          <w:sz w:val="28"/>
          <w:szCs w:val="28"/>
          <w:lang w:eastAsia="zh-CN"/>
          <w14:ligatures w14:val="none"/>
        </w:rPr>
      </w:pPr>
      <w:r w:rsidRPr="00714222">
        <w:rPr>
          <w:rFonts w:ascii="Trebuchet MS" w:eastAsia="Times New Roman" w:hAnsi="Trebuchet MS" w:cs="Times New Roman"/>
          <w:b/>
          <w:i/>
          <w:smallCaps/>
          <w:kern w:val="0"/>
          <w:sz w:val="28"/>
          <w:szCs w:val="28"/>
          <w:lang w:eastAsia="zh-CN"/>
          <w14:ligatures w14:val="none"/>
        </w:rPr>
        <w:t xml:space="preserve">Welcome Remarks  </w:t>
      </w:r>
    </w:p>
    <w:p w14:paraId="49002DAD" w14:textId="51212282" w:rsidR="00714222" w:rsidRPr="00714222" w:rsidRDefault="00714222" w:rsidP="00714222">
      <w:pPr>
        <w:spacing w:before="120" w:after="120" w:line="240" w:lineRule="atLeast"/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u w:val="single"/>
          <w:lang w:eastAsia="zh-CN"/>
          <w14:ligatures w14:val="none"/>
        </w:rPr>
      </w:pPr>
      <w:r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u w:val="single"/>
          <w:lang w:eastAsia="zh-CN"/>
          <w14:ligatures w14:val="none"/>
        </w:rPr>
        <w:t>Seizo Onoe</w:t>
      </w:r>
    </w:p>
    <w:p w14:paraId="26E533C5" w14:textId="22F31F20" w:rsidR="00714222" w:rsidRPr="00714222" w:rsidRDefault="00714222" w:rsidP="00714222">
      <w:pPr>
        <w:snapToGrid w:val="0"/>
        <w:spacing w:after="120" w:line="240" w:lineRule="atLeast"/>
        <w:jc w:val="center"/>
        <w:rPr>
          <w:rFonts w:ascii="Verdana" w:eastAsia="Times New Roman" w:hAnsi="Verdana" w:cs="Times New Roman"/>
          <w:b/>
          <w:smallCaps/>
          <w:kern w:val="0"/>
          <w:sz w:val="28"/>
          <w:szCs w:val="28"/>
          <w:lang w:eastAsia="zh-CN"/>
          <w14:ligatures w14:val="none"/>
        </w:rPr>
      </w:pPr>
      <w:r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  <w:t>Director of the Telecommunication Standardization Bureau</w:t>
      </w:r>
      <w:r w:rsidRPr="00714222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  <w:br/>
        <w:t>International Telecommunication Union</w:t>
      </w:r>
      <w:r w:rsidRPr="00714222">
        <w:rPr>
          <w:rFonts w:ascii="Verdana" w:eastAsia="Times New Roman" w:hAnsi="Verdana" w:cs="Times New Roman"/>
          <w:b/>
          <w:smallCaps/>
          <w:kern w:val="0"/>
          <w:sz w:val="28"/>
          <w:szCs w:val="28"/>
          <w:lang w:eastAsia="zh-CN"/>
          <w14:ligatures w14:val="none"/>
        </w:rPr>
        <w:t xml:space="preserve"> </w:t>
      </w:r>
    </w:p>
    <w:p w14:paraId="41FFD1F3" w14:textId="77777777" w:rsidR="00714222" w:rsidRPr="00714222" w:rsidRDefault="00714222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TSAG Chair</w:t>
      </w:r>
    </w:p>
    <w:p w14:paraId="0E2638C3" w14:textId="6E0FA221" w:rsidR="00714222" w:rsidRPr="00714222" w:rsidRDefault="00714222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ITU Secretary-General</w:t>
      </w:r>
    </w:p>
    <w:p w14:paraId="6B5C5060" w14:textId="58C4FA89" w:rsidR="00714222" w:rsidRPr="00714222" w:rsidRDefault="00994087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C</w:t>
      </w:r>
      <w:r w:rsidR="00714222" w:rsidRP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olleagues and friends, </w:t>
      </w:r>
    </w:p>
    <w:p w14:paraId="4F847447" w14:textId="77777777" w:rsidR="00714222" w:rsidRPr="00714222" w:rsidRDefault="00714222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276D95F2" w14:textId="616FFF4D" w:rsidR="00714222" w:rsidRPr="00714222" w:rsidRDefault="00714222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Good morning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and welcome to Geneva. I wish you all a </w:t>
      </w:r>
      <w:r w:rsidR="00994087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very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happy </w:t>
      </w:r>
      <w:r w:rsidR="00994087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N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ew </w:t>
      </w:r>
      <w:r w:rsidR="00994087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Y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ear</w:t>
      </w:r>
      <w:r w:rsidR="00994087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</w:p>
    <w:p w14:paraId="321E29B3" w14:textId="77777777" w:rsidR="00714222" w:rsidRDefault="00714222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7CE6FF2A" w14:textId="2E647816" w:rsidR="00684837" w:rsidRDefault="00684837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Let me begin by thanking you for the support that you have offered me throughout my first year in office. I</w:t>
      </w:r>
      <w:r w:rsidR="00994087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t's an honour to serve you as TSB Director and I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am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very much looking forward to our work together 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in 2024. </w:t>
      </w:r>
    </w:p>
    <w:p w14:paraId="30DD0654" w14:textId="77777777" w:rsidR="00DD15E4" w:rsidRDefault="00DD15E4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4A328820" w14:textId="787E628B" w:rsidR="00714222" w:rsidRPr="00714222" w:rsidRDefault="00096632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would also like 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to join our Secretary-General in </w:t>
      </w:r>
      <w:r w:rsid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highlighting 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my</w:t>
      </w:r>
      <w:r w:rsid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gratitude to India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for hosting our upcoming </w:t>
      </w:r>
      <w:r w:rsid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WTSA. 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O</w:t>
      </w:r>
      <w:r w:rsid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ur first 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Assembly </w:t>
      </w:r>
      <w:r w:rsid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in Asia</w:t>
      </w:r>
      <w:r w:rsidR="0023356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A51EC5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is certain to be </w:t>
      </w:r>
      <w:r w:rsidR="0023356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one to remember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  <w:r w:rsid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  </w:t>
      </w:r>
    </w:p>
    <w:p w14:paraId="0F9D1423" w14:textId="77777777" w:rsidR="00714222" w:rsidRPr="00714222" w:rsidRDefault="00714222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296058F9" w14:textId="798CB195" w:rsidR="00714222" w:rsidRPr="00714222" w:rsidRDefault="00511796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thank </w:t>
      </w:r>
      <w:r w:rsidR="00684837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Shri </w:t>
      </w:r>
      <w:r w:rsidR="00714222" w:rsidRP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Ritu Ranjan </w:t>
      </w:r>
      <w:proofErr w:type="spellStart"/>
      <w:r w:rsidR="00714222" w:rsidRP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Mittar</w:t>
      </w:r>
      <w:proofErr w:type="spellEnd"/>
      <w:r w:rsidR="0023356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for your commitment to 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chair</w:t>
      </w:r>
      <w:r w:rsidR="0023356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714222" w:rsidRP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WTSA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as well as </w:t>
      </w:r>
      <w:r w:rsidR="00684837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Shri </w:t>
      </w:r>
      <w:r w:rsidR="00714222" w:rsidRP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Ajay Kumar Sahu </w:t>
      </w:r>
      <w:r w:rsid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for joining 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us today </w:t>
      </w:r>
      <w:r w:rsidR="00714222" w:rsidRPr="0071422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as we open registration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We highly appreciate your support. </w:t>
      </w:r>
    </w:p>
    <w:p w14:paraId="70420DB0" w14:textId="77777777" w:rsidR="00714222" w:rsidRPr="00714222" w:rsidRDefault="00714222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7030179C" w14:textId="15A606A4" w:rsidR="000F03A1" w:rsidRDefault="002804FA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Our preparations are well </w:t>
      </w:r>
      <w:r w:rsidR="00DD15E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underway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</w:p>
    <w:p w14:paraId="1926A2F5" w14:textId="77777777" w:rsidR="000F03A1" w:rsidRDefault="000F03A1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11412D9" w14:textId="5D2FA0C1" w:rsidR="00714222" w:rsidRDefault="002804FA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lastRenderedPageBreak/>
        <w:t>Last week</w:t>
      </w:r>
      <w:r w:rsidR="000272AF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,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I had the pleasure of opening the first inter-regional meeting for WTSA preparation, and we see on our agenda 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for this week 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that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TSAG and our study groups are firmly focused 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on achieving a 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productive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WTSA. </w:t>
      </w:r>
    </w:p>
    <w:p w14:paraId="4315994C" w14:textId="77777777" w:rsidR="002804FA" w:rsidRDefault="002804FA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4EC67FDD" w14:textId="556366D4" w:rsidR="002804FA" w:rsidRDefault="002804FA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WTSA is 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 key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opportunity to ensure that 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our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strategy, structure and working methods are fit for the future. </w:t>
      </w:r>
      <w:r w:rsid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We need to continue </w:t>
      </w:r>
      <w:r w:rsidR="003A4E9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evolv</w:t>
      </w:r>
      <w:r w:rsid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ing </w:t>
      </w:r>
      <w:r w:rsidR="003A4E9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in tune with the always fast-evolving ICT industry. </w:t>
      </w:r>
    </w:p>
    <w:p w14:paraId="59038030" w14:textId="77777777" w:rsidR="002804FA" w:rsidRDefault="002804FA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64F04C93" w14:textId="5FD218C4" w:rsidR="002804FA" w:rsidRPr="002804FA" w:rsidRDefault="002804FA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2804FA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We are supported by WTSA-20 Resolution 99 on the consideration of organizational reform of our study groups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and </w:t>
      </w:r>
      <w:r w:rsidR="000A4CBD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our structure will be on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e</w:t>
      </w:r>
      <w:r w:rsidR="000A4CBD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of the key points of discussion at this 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meeting of TSAG</w:t>
      </w:r>
      <w:r w:rsidR="000A4CBD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</w:p>
    <w:p w14:paraId="27CB8E69" w14:textId="77777777" w:rsidR="002804FA" w:rsidRDefault="002804FA" w:rsidP="0071422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5A575888" w14:textId="6505DAED" w:rsidR="00176143" w:rsidRDefault="002804FA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2804FA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Our work must be efficient, </w:t>
      </w:r>
      <w:proofErr w:type="gramStart"/>
      <w:r w:rsidRPr="002804FA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effective</w:t>
      </w:r>
      <w:proofErr w:type="gramEnd"/>
      <w:r w:rsidRPr="002804FA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and focused on global impact.</w:t>
      </w:r>
      <w:r w:rsidR="0017614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Our platform </w:t>
      </w:r>
      <w:r w:rsidR="0017614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must be attractive to all expert communities. 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And our trusted </w:t>
      </w:r>
      <w:r w:rsidRPr="002804FA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standards must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help everyone to benefit from the latest advances in ICT. </w:t>
      </w:r>
    </w:p>
    <w:p w14:paraId="7A37EE26" w14:textId="77777777" w:rsidR="003A4E93" w:rsidRDefault="003A4E93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675AD174" w14:textId="16CF7139" w:rsidR="00530D32" w:rsidRDefault="00530D32" w:rsidP="00530D3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WTSA comes amid increasing recognition of the role that standards play in shaping global technological progress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.</w:t>
      </w:r>
    </w:p>
    <w:p w14:paraId="7B7C4B81" w14:textId="77777777" w:rsidR="00530D32" w:rsidRDefault="00530D32" w:rsidP="00530D3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B9E75E6" w14:textId="089C15C3" w:rsidR="00530D32" w:rsidRDefault="00154B99" w:rsidP="00530D3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Advances in 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fields like AI </w:t>
      </w:r>
      <w:r w:rsidR="003A4E9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and quantum information tech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will continue to drive </w:t>
      </w:r>
      <w:r w:rsidR="00530D32" w:rsidRP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global debate around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530D32" w:rsidRP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hopes and fears for o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u</w:t>
      </w:r>
      <w:r w:rsidR="00530D32" w:rsidRP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r high-tech future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</w:p>
    <w:p w14:paraId="1615013D" w14:textId="77777777" w:rsidR="00530D32" w:rsidRDefault="00530D32" w:rsidP="00530D3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6EEC474C" w14:textId="56760F3C" w:rsidR="00530D32" w:rsidRPr="00530D32" w:rsidRDefault="003A4E93" w:rsidP="00530D32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We are seeing increasing emphasis – from a wide </w:t>
      </w:r>
      <w:r w:rsidR="00154B99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variety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of stakeholders – on the importance of 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standards support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ing</w:t>
      </w:r>
      <w:r w:rsidR="00530D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human rights and responsible AI.  </w:t>
      </w:r>
    </w:p>
    <w:p w14:paraId="0787577D" w14:textId="77777777" w:rsidR="00176143" w:rsidRDefault="00176143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5C3D9AB3" w14:textId="574FCCDF" w:rsidR="00530D32" w:rsidRDefault="00176143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ITU</w:t>
      </w:r>
      <w:r w:rsidR="003A4E9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has a responsibility to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build trust in </w:t>
      </w:r>
      <w:r w:rsidR="003A4E9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ICT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and help everyone benefit from the tech innovation changing our world. </w:t>
      </w:r>
    </w:p>
    <w:p w14:paraId="3DD8FE43" w14:textId="77777777" w:rsidR="000A4CBD" w:rsidRDefault="000A4CBD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1F45714" w14:textId="2AC6794C" w:rsidR="00A323FD" w:rsidRDefault="00530D32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That's why we are so invested in building bridges between different areas of expertise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and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helping everyone to influence our work</w:t>
      </w:r>
      <w:r w:rsidR="003A4E9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</w:p>
    <w:p w14:paraId="5DBA2DF5" w14:textId="6965E0FA" w:rsidR="00154B99" w:rsidRDefault="00154B99" w:rsidP="00154B99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br/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hat's 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also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why 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industry engagement,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bridging the standardization gap and empowering women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are among my highest priorities. </w:t>
      </w:r>
    </w:p>
    <w:p w14:paraId="4006161F" w14:textId="77777777" w:rsidR="000A4CBD" w:rsidRDefault="000A4CBD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4632658" w14:textId="06160F4B" w:rsidR="00071EEE" w:rsidRDefault="000A4CBD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plan to continue 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strengthening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our CxO meetings, building on our productive discussion with industry leaders in Dubai last year. 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These meetings h</w:t>
      </w:r>
      <w:r w:rsidR="007C3A8E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ighlight emerging industry priorities, leading to a valuable exchange of view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</w:t>
      </w:r>
      <w:r w:rsidR="007C3A8E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on </w:t>
      </w:r>
      <w:r w:rsidR="00154B99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the value that our standards can deliver. </w:t>
      </w:r>
      <w:r w:rsidR="007C3A8E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</w:p>
    <w:p w14:paraId="09C0BF2C" w14:textId="77777777" w:rsidR="000F03A1" w:rsidRDefault="000F03A1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0E5BC0D9" w14:textId="073706A0" w:rsidR="00154B99" w:rsidRDefault="00071EEE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We also receive key </w:t>
      </w:r>
      <w:r w:rsidR="003A4E93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support from our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focus groups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collaboration initiatives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and problem-solving challenges</w:t>
      </w:r>
      <w:r w:rsidR="006C0A98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– </w:t>
      </w:r>
      <w:r w:rsidR="00154B99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where we place ITU expertise at the service of converging industries and regulators</w:t>
      </w:r>
      <w:r w:rsid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and </w:t>
      </w:r>
      <w:r w:rsidR="00154B99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the next generation of ICT innovators. </w:t>
      </w:r>
    </w:p>
    <w:p w14:paraId="5F0DF88F" w14:textId="77777777" w:rsidR="00154B99" w:rsidRDefault="00154B99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13EFCC1D" w14:textId="00627A20" w:rsidR="007C3A8E" w:rsidRDefault="007C3A8E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Our work to bridge development </w:t>
      </w:r>
      <w:r w:rsidR="00154B99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and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gender divides is </w:t>
      </w:r>
      <w:r w:rsidR="00154B99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key to 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ITU's mission and values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I very much encourage you to join </w:t>
      </w:r>
      <w:r w:rsidR="006C0A98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tomorrow's 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BSG information session and Network of Women breakfast to discuss the future of ou</w:t>
      </w:r>
      <w:r w:rsidR="006C0A98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r work together in these areas. </w:t>
      </w:r>
      <w:r w:rsidR="000F03A1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 </w:t>
      </w:r>
    </w:p>
    <w:p w14:paraId="0FEBBBBA" w14:textId="77777777" w:rsidR="003A4E93" w:rsidRDefault="003A4E93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F4D7755" w14:textId="1B1CE466" w:rsidR="00530D32" w:rsidRDefault="000272AF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thank </w:t>
      </w:r>
      <w:r w:rsid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our TSAG Chair </w:t>
      </w:r>
      <w:r w:rsidR="00784CB4" w:rsidRP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Abdurahman Al Hassan and his leadership team</w:t>
      </w:r>
      <w:r w:rsid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for your expert guidance of TSAG's work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as well as everyone contributing to this work.  </w:t>
      </w:r>
    </w:p>
    <w:p w14:paraId="534830ED" w14:textId="77777777" w:rsidR="00784CB4" w:rsidRDefault="00784CB4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E973A73" w14:textId="161E6453" w:rsidR="00784CB4" w:rsidRPr="00784CB4" w:rsidRDefault="00784CB4" w:rsidP="00784CB4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TSAG and WTSA help </w:t>
      </w:r>
      <w:r w:rsidRP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us to remain well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P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position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ed</w:t>
      </w:r>
      <w:r w:rsidRP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to meet emerging standardization demands, demands that are growing and evolving very rapidly</w:t>
      </w: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  <w:r w:rsidRPr="00784CB4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</w:p>
    <w:p w14:paraId="0427FEE7" w14:textId="77777777" w:rsidR="00784CB4" w:rsidRDefault="00784CB4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29C23572" w14:textId="0072A699" w:rsidR="00784CB4" w:rsidRDefault="00784CB4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wish you every success in your work to ensure 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that we rise to th</w:t>
      </w:r>
      <w:r w:rsidR="00096632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e </w:t>
      </w:r>
      <w:r w:rsidR="0051179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challenge. </w:t>
      </w:r>
    </w:p>
    <w:p w14:paraId="294362F2" w14:textId="77777777" w:rsidR="00784CB4" w:rsidRDefault="00784CB4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044755B4" w14:textId="2E9B99C5" w:rsidR="00784CB4" w:rsidRDefault="00784CB4" w:rsidP="00176143">
      <w:pPr>
        <w:snapToGrid w:val="0"/>
        <w:spacing w:after="0" w:line="240" w:lineRule="atLeast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Thank you. </w:t>
      </w:r>
    </w:p>
    <w:p w14:paraId="5FCCA6EB" w14:textId="77777777" w:rsidR="00D511B8" w:rsidRPr="00D511B8" w:rsidRDefault="00D511B8" w:rsidP="00176143">
      <w:pPr>
        <w:snapToGrid w:val="0"/>
        <w:spacing w:after="0" w:line="240" w:lineRule="atLeast"/>
        <w:rPr>
          <w:rFonts w:eastAsia="SimSun" w:cstheme="minorHAnsi"/>
          <w:kern w:val="0"/>
          <w:sz w:val="24"/>
          <w:szCs w:val="24"/>
          <w:lang w:val="en-US" w:eastAsia="zh-CN"/>
          <w14:ligatures w14:val="none"/>
        </w:rPr>
      </w:pPr>
    </w:p>
    <w:p w14:paraId="49B1853B" w14:textId="51261620" w:rsidR="00D511B8" w:rsidRPr="00D511B8" w:rsidRDefault="00D511B8" w:rsidP="00D511B8">
      <w:pPr>
        <w:snapToGrid w:val="0"/>
        <w:spacing w:after="0" w:line="240" w:lineRule="atLeast"/>
        <w:jc w:val="center"/>
        <w:rPr>
          <w:rFonts w:eastAsia="SimSun" w:cstheme="minorHAnsi"/>
          <w:kern w:val="0"/>
          <w:sz w:val="24"/>
          <w:szCs w:val="24"/>
          <w:lang w:val="en-US" w:eastAsia="zh-CN"/>
          <w14:ligatures w14:val="none"/>
        </w:rPr>
      </w:pPr>
      <w:r w:rsidRPr="00D511B8">
        <w:rPr>
          <w:rFonts w:eastAsia="SimSun" w:cstheme="minorHAnsi"/>
          <w:kern w:val="0"/>
          <w:sz w:val="24"/>
          <w:szCs w:val="24"/>
          <w:lang w:val="en-US" w:eastAsia="zh-CN"/>
          <w14:ligatures w14:val="none"/>
        </w:rPr>
        <w:t>_________________</w:t>
      </w:r>
    </w:p>
    <w:sectPr w:rsidR="00D511B8" w:rsidRPr="00D511B8" w:rsidSect="00670577">
      <w:headerReference w:type="default" r:id="rId8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37D6" w14:textId="77777777" w:rsidR="00670577" w:rsidRDefault="00670577" w:rsidP="00670577">
      <w:pPr>
        <w:spacing w:after="0" w:line="240" w:lineRule="auto"/>
      </w:pPr>
      <w:r>
        <w:separator/>
      </w:r>
    </w:p>
  </w:endnote>
  <w:endnote w:type="continuationSeparator" w:id="0">
    <w:p w14:paraId="74A6B862" w14:textId="77777777" w:rsidR="00670577" w:rsidRDefault="00670577" w:rsidP="0067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70E7" w14:textId="77777777" w:rsidR="00670577" w:rsidRDefault="00670577" w:rsidP="00670577">
      <w:pPr>
        <w:spacing w:after="0" w:line="240" w:lineRule="auto"/>
      </w:pPr>
      <w:r>
        <w:separator/>
      </w:r>
    </w:p>
  </w:footnote>
  <w:footnote w:type="continuationSeparator" w:id="0">
    <w:p w14:paraId="021ACFE3" w14:textId="77777777" w:rsidR="00670577" w:rsidRDefault="00670577" w:rsidP="0067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25254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763E52B3" w14:textId="6D9A17FE" w:rsidR="00670577" w:rsidRPr="00670577" w:rsidRDefault="00670577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670577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670577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670577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Pr="00670577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670577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TSAG-TD420</w:t>
        </w:r>
      </w:p>
    </w:sdtContent>
  </w:sdt>
  <w:p w14:paraId="5C496390" w14:textId="77777777" w:rsidR="00670577" w:rsidRDefault="0067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22"/>
    <w:rsid w:val="000272AF"/>
    <w:rsid w:val="00071EEE"/>
    <w:rsid w:val="00096632"/>
    <w:rsid w:val="000A4CBD"/>
    <w:rsid w:val="000F03A1"/>
    <w:rsid w:val="00154B99"/>
    <w:rsid w:val="00176143"/>
    <w:rsid w:val="00196A0F"/>
    <w:rsid w:val="00233562"/>
    <w:rsid w:val="002804FA"/>
    <w:rsid w:val="003A4E93"/>
    <w:rsid w:val="00511796"/>
    <w:rsid w:val="00530D32"/>
    <w:rsid w:val="00670577"/>
    <w:rsid w:val="00684837"/>
    <w:rsid w:val="006A7AF3"/>
    <w:rsid w:val="006C0A98"/>
    <w:rsid w:val="00714222"/>
    <w:rsid w:val="00784CB4"/>
    <w:rsid w:val="007C2871"/>
    <w:rsid w:val="007C3A8E"/>
    <w:rsid w:val="00994087"/>
    <w:rsid w:val="00A323FD"/>
    <w:rsid w:val="00A51EC5"/>
    <w:rsid w:val="00D511B8"/>
    <w:rsid w:val="00DB5BDC"/>
    <w:rsid w:val="00D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8C36"/>
  <w15:chartTrackingRefBased/>
  <w15:docId w15:val="{8F4EC3F6-6E76-4281-AA3E-BB67A9DC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AF3"/>
    <w:rPr>
      <w:rFonts w:ascii="Times New Roman" w:hAnsi="Times New Roman" w:cs="Times New Roman" w:hint="default"/>
      <w:color w:val="000000"/>
      <w:u w:val="single"/>
    </w:rPr>
  </w:style>
  <w:style w:type="paragraph" w:customStyle="1" w:styleId="Docnumber">
    <w:name w:val="Docnumber"/>
    <w:basedOn w:val="Normal"/>
    <w:link w:val="DocnumberChar"/>
    <w:qFormat/>
    <w:rsid w:val="006A7A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kern w:val="0"/>
      <w:sz w:val="40"/>
      <w:szCs w:val="20"/>
      <w14:ligatures w14:val="none"/>
    </w:rPr>
  </w:style>
  <w:style w:type="character" w:customStyle="1" w:styleId="DocnumberChar">
    <w:name w:val="Docnumber Char"/>
    <w:basedOn w:val="DefaultParagraphFont"/>
    <w:link w:val="Docnumber"/>
    <w:rsid w:val="006A7AF3"/>
    <w:rPr>
      <w:rFonts w:ascii="Times New Roman" w:eastAsia="Times New Roman" w:hAnsi="Times New Roman" w:cs="Times New Roman"/>
      <w:b/>
      <w:bCs/>
      <w:kern w:val="0"/>
      <w:sz w:val="40"/>
      <w:szCs w:val="20"/>
      <w14:ligatures w14:val="none"/>
    </w:rPr>
  </w:style>
  <w:style w:type="paragraph" w:customStyle="1" w:styleId="TSBHeaderQuestion">
    <w:name w:val="TSBHeaderQuestion"/>
    <w:basedOn w:val="Normal"/>
    <w:qFormat/>
    <w:rsid w:val="006A7A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SBHeaderSource">
    <w:name w:val="TSBHeaderSource"/>
    <w:basedOn w:val="Normal"/>
    <w:qFormat/>
    <w:rsid w:val="006A7A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SBHeaderTitle">
    <w:name w:val="TSBHeaderTitle"/>
    <w:basedOn w:val="Normal"/>
    <w:qFormat/>
    <w:rsid w:val="006A7A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SBHeaderRight14">
    <w:name w:val="TSBHeaderRight14"/>
    <w:basedOn w:val="Normal"/>
    <w:qFormat/>
    <w:rsid w:val="006A7A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VenueDate">
    <w:name w:val="VenueDate"/>
    <w:basedOn w:val="Normal"/>
    <w:qFormat/>
    <w:rsid w:val="006A7A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77"/>
  </w:style>
  <w:style w:type="paragraph" w:styleId="Footer">
    <w:name w:val="footer"/>
    <w:basedOn w:val="Normal"/>
    <w:link w:val="FooterChar"/>
    <w:uiPriority w:val="99"/>
    <w:unhideWhenUsed/>
    <w:rsid w:val="0067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dir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3461</Characters>
  <Application>Microsoft Office Word</Application>
  <DocSecurity>0</DocSecurity>
  <Lines>164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Al-Mnini, Lara</cp:lastModifiedBy>
  <cp:revision>4</cp:revision>
  <dcterms:created xsi:type="dcterms:W3CDTF">2024-01-22T14:19:00Z</dcterms:created>
  <dcterms:modified xsi:type="dcterms:W3CDTF">2024-01-22T14:22:00Z</dcterms:modified>
</cp:coreProperties>
</file>