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89"/>
        <w:gridCol w:w="426"/>
        <w:gridCol w:w="3622"/>
        <w:gridCol w:w="154"/>
        <w:gridCol w:w="4532"/>
      </w:tblGrid>
      <w:tr w:rsidR="00BE3959" w:rsidRPr="00BE3959" w14:paraId="51063D7B" w14:textId="77777777" w:rsidTr="003671A2">
        <w:trPr>
          <w:cantSplit/>
        </w:trPr>
        <w:tc>
          <w:tcPr>
            <w:tcW w:w="1191" w:type="dxa"/>
            <w:vMerge w:val="restart"/>
          </w:tcPr>
          <w:p w14:paraId="2A46D3EA" w14:textId="0F2A19CE" w:rsidR="00BE3959" w:rsidRPr="00BE3959" w:rsidRDefault="000670C5" w:rsidP="00BE3959">
            <w:pPr>
              <w:rPr>
                <w:sz w:val="20"/>
                <w:szCs w:val="20"/>
              </w:rPr>
            </w:pPr>
            <w:bookmarkStart w:id="0" w:name="dnum" w:colFirst="2" w:colLast="2"/>
            <w:bookmarkStart w:id="1" w:name="dtableau"/>
            <w:r w:rsidRPr="00A17B7C">
              <w:rPr>
                <w:noProof/>
              </w:rPr>
              <w:drawing>
                <wp:inline distT="0" distB="0" distL="0" distR="0" wp14:anchorId="5D2CABF5" wp14:editId="15CDB1B8">
                  <wp:extent cx="647700" cy="704850"/>
                  <wp:effectExtent l="0" t="0" r="0" b="0"/>
                  <wp:docPr id="1" name="Picture 1"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051" w:type="dxa"/>
            <w:gridSpan w:val="2"/>
            <w:vMerge w:val="restart"/>
          </w:tcPr>
          <w:p w14:paraId="7A3C7F1D" w14:textId="77777777" w:rsidR="00BE3959" w:rsidRPr="00BE3959" w:rsidRDefault="00BE3959" w:rsidP="00BE3959">
            <w:pPr>
              <w:rPr>
                <w:sz w:val="16"/>
                <w:szCs w:val="16"/>
              </w:rPr>
            </w:pPr>
            <w:r w:rsidRPr="00BE3959">
              <w:rPr>
                <w:sz w:val="16"/>
                <w:szCs w:val="16"/>
              </w:rPr>
              <w:t>INTERNATIONAL TELECOMMUNICATION UNION</w:t>
            </w:r>
          </w:p>
          <w:p w14:paraId="7DE563D5" w14:textId="77777777" w:rsidR="00BE3959" w:rsidRPr="00BE3959" w:rsidRDefault="00BE3959" w:rsidP="00BE3959">
            <w:pPr>
              <w:rPr>
                <w:b/>
                <w:bCs/>
                <w:sz w:val="26"/>
                <w:szCs w:val="26"/>
              </w:rPr>
            </w:pPr>
            <w:r w:rsidRPr="00BE3959">
              <w:rPr>
                <w:b/>
                <w:bCs/>
                <w:sz w:val="26"/>
                <w:szCs w:val="26"/>
              </w:rPr>
              <w:t>TELECOMMUNICATION</w:t>
            </w:r>
            <w:r w:rsidRPr="00BE3959">
              <w:rPr>
                <w:b/>
                <w:bCs/>
                <w:sz w:val="26"/>
                <w:szCs w:val="26"/>
              </w:rPr>
              <w:br/>
              <w:t>STANDARDIZATION SECTOR</w:t>
            </w:r>
          </w:p>
          <w:p w14:paraId="6433DC96" w14:textId="162498AC" w:rsidR="00BE3959" w:rsidRPr="00BE3959" w:rsidRDefault="00BE3959" w:rsidP="00BE3959">
            <w:pPr>
              <w:rPr>
                <w:sz w:val="20"/>
                <w:szCs w:val="20"/>
              </w:rPr>
            </w:pPr>
            <w:r w:rsidRPr="00030C10">
              <w:rPr>
                <w:sz w:val="20"/>
                <w:szCs w:val="20"/>
              </w:rPr>
              <w:t xml:space="preserve">STUDY PERIOD </w:t>
            </w:r>
            <w:bookmarkStart w:id="2" w:name="dstudyperiod"/>
            <w:r w:rsidRPr="00030C10">
              <w:rPr>
                <w:sz w:val="20"/>
                <w:szCs w:val="20"/>
              </w:rPr>
              <w:t>20</w:t>
            </w:r>
            <w:r w:rsidR="00030C10" w:rsidRPr="00030C10">
              <w:rPr>
                <w:sz w:val="20"/>
                <w:szCs w:val="20"/>
              </w:rPr>
              <w:t>22</w:t>
            </w:r>
            <w:r w:rsidRPr="00030C10">
              <w:rPr>
                <w:sz w:val="20"/>
                <w:szCs w:val="20"/>
              </w:rPr>
              <w:t>-202</w:t>
            </w:r>
            <w:bookmarkEnd w:id="2"/>
            <w:r w:rsidR="00030C10" w:rsidRPr="00030C10">
              <w:rPr>
                <w:sz w:val="20"/>
                <w:szCs w:val="20"/>
              </w:rPr>
              <w:t>4</w:t>
            </w:r>
          </w:p>
        </w:tc>
        <w:tc>
          <w:tcPr>
            <w:tcW w:w="4681" w:type="dxa"/>
            <w:gridSpan w:val="2"/>
            <w:vAlign w:val="center"/>
          </w:tcPr>
          <w:p w14:paraId="34A24A39" w14:textId="14C0C307" w:rsidR="00BE3959" w:rsidRPr="00A73C42" w:rsidRDefault="00732AE9" w:rsidP="009F474C">
            <w:pPr>
              <w:pStyle w:val="Docnumber"/>
              <w:rPr>
                <w:szCs w:val="32"/>
              </w:rPr>
            </w:pPr>
            <w:r w:rsidRPr="004F7144">
              <w:rPr>
                <w:szCs w:val="32"/>
              </w:rPr>
              <w:t>TSAG-</w:t>
            </w:r>
            <w:proofErr w:type="spellStart"/>
            <w:r w:rsidR="00B74EA2" w:rsidRPr="004F7144">
              <w:rPr>
                <w:szCs w:val="32"/>
              </w:rPr>
              <w:t>TD</w:t>
            </w:r>
            <w:r w:rsidR="004D7B40">
              <w:rPr>
                <w:szCs w:val="32"/>
              </w:rPr>
              <w:t>4</w:t>
            </w:r>
            <w:r w:rsidR="00D868E6">
              <w:rPr>
                <w:szCs w:val="32"/>
              </w:rPr>
              <w:t>22</w:t>
            </w:r>
            <w:proofErr w:type="spellEnd"/>
          </w:p>
        </w:tc>
      </w:tr>
      <w:tr w:rsidR="00BE3959" w:rsidRPr="00BE3959" w14:paraId="62506F58" w14:textId="77777777" w:rsidTr="003671A2">
        <w:trPr>
          <w:cantSplit/>
        </w:trPr>
        <w:tc>
          <w:tcPr>
            <w:tcW w:w="1191" w:type="dxa"/>
            <w:vMerge/>
          </w:tcPr>
          <w:p w14:paraId="77716A2D" w14:textId="77777777" w:rsidR="00BE3959" w:rsidRPr="00BE3959" w:rsidRDefault="00BE3959" w:rsidP="00BE3959">
            <w:pPr>
              <w:rPr>
                <w:smallCaps/>
                <w:sz w:val="20"/>
              </w:rPr>
            </w:pPr>
            <w:bookmarkStart w:id="3" w:name="dsg" w:colFirst="2" w:colLast="2"/>
            <w:bookmarkEnd w:id="0"/>
          </w:p>
        </w:tc>
        <w:tc>
          <w:tcPr>
            <w:tcW w:w="4051" w:type="dxa"/>
            <w:gridSpan w:val="2"/>
            <w:vMerge/>
          </w:tcPr>
          <w:p w14:paraId="55034006" w14:textId="77777777" w:rsidR="00BE3959" w:rsidRPr="00BE3959" w:rsidRDefault="00BE3959" w:rsidP="00BE3959">
            <w:pPr>
              <w:rPr>
                <w:smallCaps/>
                <w:sz w:val="20"/>
              </w:rPr>
            </w:pPr>
          </w:p>
        </w:tc>
        <w:tc>
          <w:tcPr>
            <w:tcW w:w="4681" w:type="dxa"/>
            <w:gridSpan w:val="2"/>
          </w:tcPr>
          <w:p w14:paraId="78BC13CC" w14:textId="3FBFF471" w:rsidR="00BE3959" w:rsidRPr="00BE3959" w:rsidRDefault="00732AE9" w:rsidP="00BE3959">
            <w:pPr>
              <w:jc w:val="right"/>
              <w:rPr>
                <w:b/>
                <w:bCs/>
                <w:smallCaps/>
                <w:sz w:val="28"/>
                <w:szCs w:val="28"/>
              </w:rPr>
            </w:pPr>
            <w:r w:rsidRPr="00732AE9">
              <w:rPr>
                <w:b/>
                <w:bCs/>
                <w:smallCaps/>
                <w:sz w:val="28"/>
                <w:szCs w:val="28"/>
              </w:rPr>
              <w:t>TSAG</w:t>
            </w:r>
          </w:p>
        </w:tc>
      </w:tr>
      <w:bookmarkEnd w:id="3"/>
      <w:tr w:rsidR="00BE3959" w:rsidRPr="00BE3959" w14:paraId="2BDF4557" w14:textId="77777777" w:rsidTr="003671A2">
        <w:trPr>
          <w:cantSplit/>
        </w:trPr>
        <w:tc>
          <w:tcPr>
            <w:tcW w:w="1191" w:type="dxa"/>
            <w:vMerge/>
            <w:tcBorders>
              <w:bottom w:val="single" w:sz="12" w:space="0" w:color="auto"/>
            </w:tcBorders>
          </w:tcPr>
          <w:p w14:paraId="42CC7516" w14:textId="77777777" w:rsidR="00BE3959" w:rsidRPr="00BE3959" w:rsidRDefault="00BE3959" w:rsidP="00BE3959">
            <w:pPr>
              <w:rPr>
                <w:b/>
                <w:bCs/>
                <w:sz w:val="26"/>
              </w:rPr>
            </w:pPr>
          </w:p>
        </w:tc>
        <w:tc>
          <w:tcPr>
            <w:tcW w:w="4051" w:type="dxa"/>
            <w:gridSpan w:val="2"/>
            <w:vMerge/>
            <w:tcBorders>
              <w:bottom w:val="single" w:sz="12" w:space="0" w:color="auto"/>
            </w:tcBorders>
          </w:tcPr>
          <w:p w14:paraId="38B498F8" w14:textId="77777777" w:rsidR="00BE3959" w:rsidRPr="00BE3959" w:rsidRDefault="00BE3959" w:rsidP="00BE3959">
            <w:pPr>
              <w:rPr>
                <w:b/>
                <w:bCs/>
                <w:sz w:val="26"/>
              </w:rPr>
            </w:pPr>
          </w:p>
        </w:tc>
        <w:tc>
          <w:tcPr>
            <w:tcW w:w="4681" w:type="dxa"/>
            <w:gridSpan w:val="2"/>
            <w:tcBorders>
              <w:bottom w:val="single" w:sz="12" w:space="0" w:color="auto"/>
            </w:tcBorders>
            <w:vAlign w:val="center"/>
          </w:tcPr>
          <w:p w14:paraId="035D42FB" w14:textId="77777777" w:rsidR="00BE3959" w:rsidRPr="00BE3959" w:rsidRDefault="00BE3959" w:rsidP="00BE3959">
            <w:pPr>
              <w:jc w:val="right"/>
              <w:rPr>
                <w:b/>
                <w:bCs/>
                <w:sz w:val="28"/>
                <w:szCs w:val="28"/>
              </w:rPr>
            </w:pPr>
            <w:r w:rsidRPr="00BE3959">
              <w:rPr>
                <w:b/>
                <w:bCs/>
                <w:sz w:val="28"/>
                <w:szCs w:val="28"/>
              </w:rPr>
              <w:t>Original: English</w:t>
            </w:r>
          </w:p>
        </w:tc>
      </w:tr>
      <w:tr w:rsidR="00BE3959" w:rsidRPr="003633EE" w14:paraId="73AE8678" w14:textId="77777777" w:rsidTr="003671A2">
        <w:trPr>
          <w:cantSplit/>
        </w:trPr>
        <w:tc>
          <w:tcPr>
            <w:tcW w:w="1617" w:type="dxa"/>
            <w:gridSpan w:val="2"/>
          </w:tcPr>
          <w:p w14:paraId="2F73F040" w14:textId="77777777" w:rsidR="00BE3959" w:rsidRPr="003633EE" w:rsidRDefault="00BE3959" w:rsidP="00BE3959">
            <w:pPr>
              <w:rPr>
                <w:rFonts w:asciiTheme="majorBidi" w:hAnsiTheme="majorBidi" w:cstheme="majorBidi"/>
                <w:b/>
                <w:bCs/>
              </w:rPr>
            </w:pPr>
            <w:bookmarkStart w:id="4" w:name="dbluepink" w:colFirst="1" w:colLast="1"/>
            <w:bookmarkStart w:id="5" w:name="dmeeting" w:colFirst="2" w:colLast="2"/>
            <w:r w:rsidRPr="003633EE">
              <w:rPr>
                <w:rFonts w:asciiTheme="majorBidi" w:hAnsiTheme="majorBidi" w:cstheme="majorBidi"/>
                <w:b/>
                <w:bCs/>
              </w:rPr>
              <w:t>Question(s):</w:t>
            </w:r>
          </w:p>
        </w:tc>
        <w:tc>
          <w:tcPr>
            <w:tcW w:w="3625" w:type="dxa"/>
          </w:tcPr>
          <w:p w14:paraId="0DD49255" w14:textId="77777777" w:rsidR="00BE3959" w:rsidRPr="003633EE" w:rsidRDefault="00BE3959" w:rsidP="00BE3959">
            <w:pPr>
              <w:rPr>
                <w:rFonts w:asciiTheme="majorBidi" w:hAnsiTheme="majorBidi" w:cstheme="majorBidi"/>
              </w:rPr>
            </w:pPr>
            <w:r w:rsidRPr="003633EE">
              <w:rPr>
                <w:rFonts w:asciiTheme="majorBidi" w:hAnsiTheme="majorBidi" w:cstheme="majorBidi"/>
              </w:rPr>
              <w:t>N/A</w:t>
            </w:r>
          </w:p>
        </w:tc>
        <w:tc>
          <w:tcPr>
            <w:tcW w:w="4681" w:type="dxa"/>
            <w:gridSpan w:val="2"/>
          </w:tcPr>
          <w:p w14:paraId="2EFE7A82" w14:textId="7F958733" w:rsidR="00BE3959" w:rsidRPr="003633EE" w:rsidRDefault="00A755F3" w:rsidP="006B7AEF">
            <w:pPr>
              <w:ind w:left="720" w:hanging="720"/>
              <w:jc w:val="right"/>
              <w:rPr>
                <w:rFonts w:asciiTheme="majorBidi" w:hAnsiTheme="majorBidi" w:cstheme="majorBidi"/>
              </w:rPr>
            </w:pPr>
            <w:r>
              <w:t>Geneva</w:t>
            </w:r>
            <w:r w:rsidR="00732AE9">
              <w:t>,</w:t>
            </w:r>
            <w:r>
              <w:t xml:space="preserve"> </w:t>
            </w:r>
            <w:r w:rsidR="00DC1203">
              <w:t>22</w:t>
            </w:r>
            <w:r w:rsidR="00732AE9">
              <w:t xml:space="preserve"> -</w:t>
            </w:r>
            <w:r>
              <w:t xml:space="preserve"> </w:t>
            </w:r>
            <w:r w:rsidR="002E572E">
              <w:t>2</w:t>
            </w:r>
            <w:r w:rsidR="00DC1203">
              <w:t>6</w:t>
            </w:r>
            <w:r w:rsidR="00732AE9">
              <w:t xml:space="preserve"> </w:t>
            </w:r>
            <w:r w:rsidR="002E572E">
              <w:t>J</w:t>
            </w:r>
            <w:r w:rsidR="00DC1203">
              <w:t>a</w:t>
            </w:r>
            <w:r w:rsidR="002E572E">
              <w:t>n</w:t>
            </w:r>
            <w:r w:rsidR="00DC1203">
              <w:t>uary</w:t>
            </w:r>
            <w:r w:rsidR="00732AE9" w:rsidRPr="00701B54">
              <w:t xml:space="preserve"> 20</w:t>
            </w:r>
            <w:r w:rsidR="00732AE9">
              <w:t>2</w:t>
            </w:r>
            <w:r w:rsidR="00DC1203">
              <w:t>4</w:t>
            </w:r>
          </w:p>
        </w:tc>
      </w:tr>
      <w:tr w:rsidR="00BE3959" w:rsidRPr="003633EE" w14:paraId="345657DC" w14:textId="77777777" w:rsidTr="003671A2">
        <w:trPr>
          <w:cantSplit/>
        </w:trPr>
        <w:tc>
          <w:tcPr>
            <w:tcW w:w="9923" w:type="dxa"/>
            <w:gridSpan w:val="5"/>
          </w:tcPr>
          <w:p w14:paraId="0969A11C" w14:textId="77777777" w:rsidR="00BE3959" w:rsidRPr="003633EE" w:rsidRDefault="00BE3959" w:rsidP="00BE3959">
            <w:pPr>
              <w:jc w:val="center"/>
              <w:rPr>
                <w:rFonts w:asciiTheme="majorBidi" w:hAnsiTheme="majorBidi" w:cstheme="majorBidi"/>
                <w:b/>
                <w:bCs/>
              </w:rPr>
            </w:pPr>
            <w:bookmarkStart w:id="6" w:name="ddoctype" w:colFirst="0" w:colLast="0"/>
            <w:bookmarkEnd w:id="4"/>
            <w:bookmarkEnd w:id="5"/>
            <w:r w:rsidRPr="003633EE">
              <w:rPr>
                <w:rFonts w:asciiTheme="majorBidi" w:hAnsiTheme="majorBidi" w:cstheme="majorBidi"/>
                <w:b/>
                <w:bCs/>
              </w:rPr>
              <w:t>TD</w:t>
            </w:r>
          </w:p>
        </w:tc>
      </w:tr>
      <w:tr w:rsidR="00BE3959" w:rsidRPr="003633EE" w14:paraId="14D3BBB9" w14:textId="77777777" w:rsidTr="003671A2">
        <w:trPr>
          <w:cantSplit/>
        </w:trPr>
        <w:tc>
          <w:tcPr>
            <w:tcW w:w="1617" w:type="dxa"/>
            <w:gridSpan w:val="2"/>
          </w:tcPr>
          <w:p w14:paraId="6F755E99" w14:textId="77777777" w:rsidR="00BE3959" w:rsidRPr="003633EE" w:rsidRDefault="00BE3959" w:rsidP="00BE3959">
            <w:pPr>
              <w:rPr>
                <w:rFonts w:asciiTheme="majorBidi" w:hAnsiTheme="majorBidi" w:cstheme="majorBidi"/>
                <w:b/>
                <w:bCs/>
              </w:rPr>
            </w:pPr>
            <w:bookmarkStart w:id="7" w:name="dsource" w:colFirst="1" w:colLast="1"/>
            <w:bookmarkEnd w:id="6"/>
            <w:r w:rsidRPr="003633EE">
              <w:rPr>
                <w:rFonts w:asciiTheme="majorBidi" w:hAnsiTheme="majorBidi" w:cstheme="majorBidi"/>
                <w:b/>
                <w:bCs/>
              </w:rPr>
              <w:t>Source:</w:t>
            </w:r>
          </w:p>
        </w:tc>
        <w:tc>
          <w:tcPr>
            <w:tcW w:w="8306" w:type="dxa"/>
            <w:gridSpan w:val="3"/>
          </w:tcPr>
          <w:p w14:paraId="04BAFEF5" w14:textId="218C2D1E" w:rsidR="00BE3959" w:rsidRPr="003633EE" w:rsidRDefault="00AB1228" w:rsidP="00BE3959">
            <w:pPr>
              <w:rPr>
                <w:rFonts w:asciiTheme="majorBidi" w:hAnsiTheme="majorBidi" w:cstheme="majorBidi"/>
              </w:rPr>
            </w:pPr>
            <w:r>
              <w:rPr>
                <w:rFonts w:asciiTheme="majorBidi" w:hAnsiTheme="majorBidi" w:cstheme="majorBidi"/>
              </w:rPr>
              <w:t xml:space="preserve">TSB </w:t>
            </w:r>
          </w:p>
        </w:tc>
      </w:tr>
      <w:tr w:rsidR="00BE3959" w:rsidRPr="003633EE" w14:paraId="4847C46B" w14:textId="77777777" w:rsidTr="003671A2">
        <w:trPr>
          <w:cantSplit/>
        </w:trPr>
        <w:tc>
          <w:tcPr>
            <w:tcW w:w="1617" w:type="dxa"/>
            <w:gridSpan w:val="2"/>
          </w:tcPr>
          <w:p w14:paraId="19D55CF6" w14:textId="77777777" w:rsidR="00BE3959" w:rsidRPr="003633EE" w:rsidRDefault="00BE3959" w:rsidP="00BE3959">
            <w:pPr>
              <w:rPr>
                <w:rFonts w:asciiTheme="majorBidi" w:hAnsiTheme="majorBidi" w:cstheme="majorBidi"/>
              </w:rPr>
            </w:pPr>
            <w:bookmarkStart w:id="8" w:name="dtitle1" w:colFirst="1" w:colLast="1"/>
            <w:bookmarkEnd w:id="7"/>
            <w:r w:rsidRPr="003633EE">
              <w:rPr>
                <w:rFonts w:asciiTheme="majorBidi" w:hAnsiTheme="majorBidi" w:cstheme="majorBidi"/>
                <w:b/>
                <w:bCs/>
              </w:rPr>
              <w:t>Title:</w:t>
            </w:r>
          </w:p>
        </w:tc>
        <w:tc>
          <w:tcPr>
            <w:tcW w:w="8306" w:type="dxa"/>
            <w:gridSpan w:val="3"/>
          </w:tcPr>
          <w:p w14:paraId="295BF80D" w14:textId="202AF51D" w:rsidR="00BE3959" w:rsidRPr="003633EE" w:rsidRDefault="00AB1228" w:rsidP="00BE3959">
            <w:pPr>
              <w:rPr>
                <w:rFonts w:asciiTheme="majorBidi" w:hAnsiTheme="majorBidi" w:cstheme="majorBidi"/>
              </w:rPr>
            </w:pPr>
            <w:r>
              <w:rPr>
                <w:rFonts w:asciiTheme="majorBidi" w:hAnsiTheme="majorBidi" w:cstheme="majorBidi"/>
              </w:rPr>
              <w:t>New BSG Program</w:t>
            </w:r>
          </w:p>
        </w:tc>
      </w:tr>
      <w:bookmarkEnd w:id="1"/>
      <w:bookmarkEnd w:id="8"/>
      <w:tr w:rsidR="00856C7A" w:rsidRPr="00D868E6" w14:paraId="06199536" w14:textId="77777777" w:rsidTr="00856C7A">
        <w:trPr>
          <w:cantSplit/>
        </w:trPr>
        <w:tc>
          <w:tcPr>
            <w:tcW w:w="1608" w:type="dxa"/>
            <w:gridSpan w:val="2"/>
            <w:tcBorders>
              <w:top w:val="single" w:sz="8" w:space="0" w:color="auto"/>
              <w:bottom w:val="single" w:sz="8" w:space="0" w:color="auto"/>
            </w:tcBorders>
          </w:tcPr>
          <w:p w14:paraId="4E72EEF6" w14:textId="77777777" w:rsidR="00856C7A" w:rsidRPr="003633EE" w:rsidRDefault="00856C7A" w:rsidP="00856C7A">
            <w:pPr>
              <w:rPr>
                <w:rFonts w:asciiTheme="majorBidi" w:hAnsiTheme="majorBidi" w:cstheme="majorBidi"/>
                <w:b/>
                <w:bCs/>
              </w:rPr>
            </w:pPr>
            <w:r w:rsidRPr="003633EE">
              <w:rPr>
                <w:rFonts w:asciiTheme="majorBidi" w:hAnsiTheme="majorBidi" w:cstheme="majorBidi"/>
                <w:b/>
                <w:bCs/>
              </w:rPr>
              <w:t>Contact:</w:t>
            </w:r>
          </w:p>
        </w:tc>
        <w:tc>
          <w:tcPr>
            <w:tcW w:w="3779" w:type="dxa"/>
            <w:gridSpan w:val="2"/>
            <w:tcBorders>
              <w:top w:val="single" w:sz="8" w:space="0" w:color="auto"/>
              <w:bottom w:val="single" w:sz="8" w:space="0" w:color="auto"/>
            </w:tcBorders>
          </w:tcPr>
          <w:p w14:paraId="2A462F75" w14:textId="0E6C0C69" w:rsidR="00856C7A" w:rsidRPr="008E3C05" w:rsidRDefault="00AB1228" w:rsidP="0047439E">
            <w:pPr>
              <w:rPr>
                <w:rFonts w:asciiTheme="majorBidi" w:hAnsiTheme="majorBidi" w:cstheme="majorBidi"/>
                <w:lang w:val="de-CH"/>
              </w:rPr>
            </w:pPr>
            <w:r>
              <w:rPr>
                <w:rFonts w:asciiTheme="majorBidi" w:hAnsiTheme="majorBidi" w:cstheme="majorBidi"/>
                <w:lang w:val="de-CH"/>
              </w:rPr>
              <w:t>Seizo Onoe</w:t>
            </w:r>
            <w:r>
              <w:rPr>
                <w:rFonts w:asciiTheme="majorBidi" w:hAnsiTheme="majorBidi" w:cstheme="majorBidi"/>
                <w:lang w:val="de-CH"/>
              </w:rPr>
              <w:br/>
              <w:t>Telecommunication Standardization Bureau</w:t>
            </w:r>
          </w:p>
        </w:tc>
        <w:tc>
          <w:tcPr>
            <w:tcW w:w="4536" w:type="dxa"/>
            <w:tcBorders>
              <w:top w:val="single" w:sz="8" w:space="0" w:color="auto"/>
              <w:bottom w:val="single" w:sz="8" w:space="0" w:color="auto"/>
            </w:tcBorders>
          </w:tcPr>
          <w:p w14:paraId="6197580B" w14:textId="3C686BE9" w:rsidR="00856C7A" w:rsidRPr="00030C10" w:rsidRDefault="00856C7A" w:rsidP="00BE3959">
            <w:pPr>
              <w:rPr>
                <w:rFonts w:asciiTheme="majorBidi" w:hAnsiTheme="majorBidi" w:cstheme="majorBidi"/>
                <w:lang w:val="it-IT"/>
              </w:rPr>
            </w:pPr>
            <w:r w:rsidRPr="003633EE">
              <w:rPr>
                <w:rFonts w:asciiTheme="majorBidi" w:hAnsiTheme="majorBidi" w:cstheme="majorBidi"/>
                <w:lang w:val="pt-BR"/>
              </w:rPr>
              <w:t xml:space="preserve">E-mail: </w:t>
            </w:r>
            <w:r w:rsidR="00D868E6">
              <w:fldChar w:fldCharType="begin"/>
            </w:r>
            <w:r w:rsidR="00D868E6" w:rsidRPr="00D868E6">
              <w:rPr>
                <w:lang w:val="de-DE"/>
              </w:rPr>
              <w:instrText>HYPERLINK "mailto:TSBDir@itu.int"</w:instrText>
            </w:r>
            <w:r w:rsidR="00D868E6">
              <w:fldChar w:fldCharType="separate"/>
            </w:r>
            <w:r w:rsidR="00AB1228" w:rsidRPr="004A28B5">
              <w:rPr>
                <w:rStyle w:val="Hyperlink"/>
                <w:rFonts w:cstheme="majorBidi"/>
                <w:lang w:val="pt-BR"/>
              </w:rPr>
              <w:t>TSBDir@itu.int</w:t>
            </w:r>
            <w:r w:rsidR="00D868E6">
              <w:rPr>
                <w:rStyle w:val="Hyperlink"/>
                <w:rFonts w:cstheme="majorBidi"/>
                <w:lang w:val="pt-BR"/>
              </w:rPr>
              <w:fldChar w:fldCharType="end"/>
            </w:r>
            <w:r w:rsidR="00AB1228">
              <w:rPr>
                <w:rFonts w:asciiTheme="majorBidi" w:hAnsiTheme="majorBidi" w:cstheme="majorBidi"/>
                <w:lang w:val="pt-BR"/>
              </w:rPr>
              <w:t xml:space="preserve"> </w:t>
            </w:r>
          </w:p>
        </w:tc>
      </w:tr>
    </w:tbl>
    <w:p w14:paraId="1E7DEBB8" w14:textId="77777777" w:rsidR="00DB0706" w:rsidRPr="003633EE" w:rsidRDefault="00DB0706" w:rsidP="0089088E">
      <w:pPr>
        <w:rPr>
          <w:rFonts w:asciiTheme="majorBidi" w:hAnsiTheme="majorBidi" w:cstheme="majorBidi"/>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3633EE" w14:paraId="5708958F" w14:textId="77777777" w:rsidTr="00732AE9">
        <w:trPr>
          <w:cantSplit/>
        </w:trPr>
        <w:tc>
          <w:tcPr>
            <w:tcW w:w="1607" w:type="dxa"/>
          </w:tcPr>
          <w:p w14:paraId="5CFB8172" w14:textId="77777777" w:rsidR="0089088E" w:rsidRPr="003633EE" w:rsidRDefault="0089088E" w:rsidP="005976A1">
            <w:pPr>
              <w:rPr>
                <w:rFonts w:asciiTheme="majorBidi" w:hAnsiTheme="majorBidi" w:cstheme="majorBidi"/>
                <w:b/>
                <w:bCs/>
              </w:rPr>
            </w:pPr>
            <w:r w:rsidRPr="003633EE">
              <w:rPr>
                <w:rFonts w:asciiTheme="majorBidi" w:hAnsiTheme="majorBidi" w:cstheme="majorBidi"/>
                <w:b/>
                <w:bCs/>
              </w:rPr>
              <w:t>Abstract:</w:t>
            </w:r>
          </w:p>
        </w:tc>
        <w:tc>
          <w:tcPr>
            <w:tcW w:w="8316" w:type="dxa"/>
          </w:tcPr>
          <w:p w14:paraId="37A1D8D8" w14:textId="3BD83115" w:rsidR="0089088E" w:rsidRPr="003633EE" w:rsidRDefault="00D868E6" w:rsidP="0047439E">
            <w:pPr>
              <w:rPr>
                <w:rFonts w:asciiTheme="majorBidi" w:hAnsiTheme="majorBidi" w:cstheme="majorBidi"/>
              </w:rPr>
            </w:pPr>
            <w:sdt>
              <w:sdtPr>
                <w:rPr>
                  <w:rFonts w:asciiTheme="majorBidi" w:hAnsiTheme="majorBidi" w:cstheme="majorBidi"/>
                </w:r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8479D6" w:rsidRPr="00AB1228">
                  <w:rPr>
                    <w:rFonts w:asciiTheme="majorBidi" w:hAnsiTheme="majorBidi" w:cstheme="majorBidi"/>
                  </w:rPr>
                  <w:t>This TD provides an overview of the newly envisioned Bridging the Standardization Gap (BSG)</w:t>
                </w:r>
                <w:r w:rsidR="008479D6">
                  <w:rPr>
                    <w:rFonts w:asciiTheme="majorBidi" w:hAnsiTheme="majorBidi" w:cstheme="majorBidi"/>
                  </w:rPr>
                  <w:t xml:space="preserve"> Program</w:t>
                </w:r>
              </w:sdtContent>
            </w:sdt>
          </w:p>
        </w:tc>
      </w:tr>
    </w:tbl>
    <w:p w14:paraId="5E171525" w14:textId="77777777" w:rsidR="00AB1228" w:rsidRPr="00AB1228" w:rsidRDefault="00AB1228" w:rsidP="00AB1228">
      <w:pPr>
        <w:keepNext/>
        <w:keepLines/>
        <w:numPr>
          <w:ilvl w:val="0"/>
          <w:numId w:val="36"/>
        </w:numPr>
        <w:tabs>
          <w:tab w:val="left" w:pos="1021"/>
          <w:tab w:val="left" w:pos="1191"/>
          <w:tab w:val="left" w:pos="1588"/>
          <w:tab w:val="left" w:pos="1985"/>
        </w:tabs>
        <w:overflowPunct w:val="0"/>
        <w:autoSpaceDE w:val="0"/>
        <w:autoSpaceDN w:val="0"/>
        <w:adjustRightInd w:val="0"/>
        <w:spacing w:before="160"/>
        <w:textAlignment w:val="baseline"/>
        <w:outlineLvl w:val="3"/>
        <w:rPr>
          <w:rFonts w:eastAsia="Times New Roman"/>
          <w:b/>
          <w:szCs w:val="20"/>
          <w:lang w:eastAsia="en-US"/>
        </w:rPr>
      </w:pPr>
      <w:r w:rsidRPr="00AB1228">
        <w:rPr>
          <w:rFonts w:eastAsia="Times New Roman"/>
          <w:b/>
          <w:szCs w:val="20"/>
          <w:lang w:eastAsia="en-US"/>
        </w:rPr>
        <w:t>Background</w:t>
      </w:r>
    </w:p>
    <w:p w14:paraId="36931B30" w14:textId="77176B90" w:rsidR="00AB1228" w:rsidRPr="00AB1228" w:rsidRDefault="00AB1228" w:rsidP="00AB1228">
      <w:pPr>
        <w:jc w:val="both"/>
      </w:pPr>
      <w:bookmarkStart w:id="9" w:name="_Hlk155951308"/>
      <w:r w:rsidRPr="00AB1228">
        <w:t xml:space="preserve">Bridging the Standardization Gap (BSG) </w:t>
      </w:r>
      <w:r w:rsidRPr="00AB1228">
        <w:rPr>
          <w:rFonts w:eastAsia="Times New Roman"/>
        </w:rPr>
        <w:t xml:space="preserve">constitutes a pivotal element of the ITU's overarching aims to foster global connectivity and drive digital transformation. The primary objective of the BSG program is to address the disparities in ITU’s member countries, developing countries </w:t>
      </w:r>
      <w:r w:rsidRPr="00AB1228">
        <w:rPr>
          <w:rFonts w:eastAsia="Times New Roman"/>
          <w:i/>
          <w:iCs/>
        </w:rPr>
        <w:t>inter alia</w:t>
      </w:r>
      <w:r w:rsidRPr="00AB1228">
        <w:rPr>
          <w:rFonts w:eastAsia="Times New Roman"/>
        </w:rPr>
        <w:t>, in terms of developing and implementing the international standards set by the International Telecommunication Union (ITU), ITU-T Recommendations in particular</w:t>
      </w:r>
      <w:bookmarkEnd w:id="9"/>
      <w:r w:rsidRPr="00AB1228">
        <w:rPr>
          <w:rFonts w:eastAsia="Times New Roman"/>
        </w:rPr>
        <w:t xml:space="preserve">, pursuant to the ITU Constitution (i.e., Article 17) and Resolutions (e.g., </w:t>
      </w:r>
      <w:hyperlink r:id="rId12" w:history="1">
        <w:r w:rsidRPr="00AB1228">
          <w:rPr>
            <w:color w:val="0000FF"/>
            <w:u w:val="single"/>
          </w:rPr>
          <w:t>Resolution 123 (Rev. Bucharest, 2022)</w:t>
        </w:r>
      </w:hyperlink>
      <w:r w:rsidRPr="00AB1228">
        <w:rPr>
          <w:color w:val="0000FF"/>
          <w:u w:val="single"/>
        </w:rPr>
        <w:t xml:space="preserve"> </w:t>
      </w:r>
      <w:r w:rsidRPr="00AB1228">
        <w:t xml:space="preserve">and </w:t>
      </w:r>
      <w:hyperlink r:id="rId13" w:history="1">
        <w:r w:rsidRPr="00AB1228">
          <w:rPr>
            <w:color w:val="0000FF"/>
            <w:u w:val="single"/>
          </w:rPr>
          <w:t>Resolution 44 (Rev. Geneva, 2022)</w:t>
        </w:r>
      </w:hyperlink>
      <w:r w:rsidRPr="00AB1228">
        <w:rPr>
          <w:color w:val="0000FF"/>
          <w:u w:val="single"/>
        </w:rPr>
        <w:t xml:space="preserve">) </w:t>
      </w:r>
      <w:r w:rsidRPr="00AB1228">
        <w:rPr>
          <w:rFonts w:eastAsia="Times New Roman"/>
        </w:rPr>
        <w:t xml:space="preserve">adopted by the </w:t>
      </w:r>
      <w:r w:rsidRPr="00AB1228">
        <w:t>Plenipotentiary Conference (PP) and the World Telecommunication Standardization Assembly (WTSA) respectively.</w:t>
      </w:r>
    </w:p>
    <w:p w14:paraId="4486C5BF" w14:textId="77777777" w:rsidR="00AB1228" w:rsidRPr="00AB1228" w:rsidRDefault="00AB1228" w:rsidP="00AB1228">
      <w:r w:rsidRPr="00AB1228">
        <w:t xml:space="preserve">The PP-22 Resolution 71 further indicated the outcome indicators to measure the BSG: e.g., </w:t>
      </w:r>
    </w:p>
    <w:p w14:paraId="015D0AE7" w14:textId="77777777" w:rsidR="00AB1228" w:rsidRPr="00AB1228" w:rsidRDefault="00AB1228" w:rsidP="00AB1228">
      <w:pPr>
        <w:numPr>
          <w:ilvl w:val="0"/>
          <w:numId w:val="35"/>
        </w:numPr>
      </w:pPr>
      <w:r w:rsidRPr="00AB1228">
        <w:t xml:space="preserve">Total number of ITU-T study group </w:t>
      </w:r>
      <w:r w:rsidRPr="00AB1228">
        <w:rPr>
          <w:b/>
          <w:bCs/>
        </w:rPr>
        <w:t>leadership</w:t>
      </w:r>
      <w:r w:rsidRPr="00AB1228">
        <w:t xml:space="preserve"> positions </w:t>
      </w:r>
      <w:proofErr w:type="gramStart"/>
      <w:r w:rsidRPr="00AB1228">
        <w:t>held;</w:t>
      </w:r>
      <w:proofErr w:type="gramEnd"/>
      <w:r w:rsidRPr="00AB1228">
        <w:t xml:space="preserve"> </w:t>
      </w:r>
    </w:p>
    <w:p w14:paraId="69780393" w14:textId="77777777" w:rsidR="00AB1228" w:rsidRPr="00AB1228" w:rsidRDefault="00AB1228" w:rsidP="00AB1228">
      <w:pPr>
        <w:numPr>
          <w:ilvl w:val="0"/>
          <w:numId w:val="35"/>
        </w:numPr>
      </w:pPr>
      <w:r w:rsidRPr="00AB1228">
        <w:t xml:space="preserve">Total number of ITU-T study group </w:t>
      </w:r>
      <w:r w:rsidRPr="00AB1228">
        <w:rPr>
          <w:b/>
          <w:bCs/>
        </w:rPr>
        <w:t>meetings</w:t>
      </w:r>
      <w:r w:rsidRPr="00AB1228">
        <w:t>/</w:t>
      </w:r>
      <w:proofErr w:type="gramStart"/>
      <w:r w:rsidRPr="00AB1228">
        <w:rPr>
          <w:b/>
          <w:bCs/>
        </w:rPr>
        <w:t>participants</w:t>
      </w:r>
      <w:r w:rsidRPr="00AB1228">
        <w:t>;</w:t>
      </w:r>
      <w:proofErr w:type="gramEnd"/>
    </w:p>
    <w:p w14:paraId="3C2E1F6E" w14:textId="77777777" w:rsidR="00AB1228" w:rsidRPr="00AB1228" w:rsidRDefault="00AB1228" w:rsidP="00AB1228">
      <w:pPr>
        <w:numPr>
          <w:ilvl w:val="0"/>
          <w:numId w:val="35"/>
        </w:numPr>
      </w:pPr>
      <w:r w:rsidRPr="00AB1228">
        <w:t xml:space="preserve">Total number of </w:t>
      </w:r>
      <w:r w:rsidRPr="00AB1228">
        <w:rPr>
          <w:b/>
          <w:bCs/>
        </w:rPr>
        <w:t>countries</w:t>
      </w:r>
      <w:r w:rsidRPr="00AB1228">
        <w:t xml:space="preserve"> represented in ITU-T study group </w:t>
      </w:r>
      <w:proofErr w:type="gramStart"/>
      <w:r w:rsidRPr="00AB1228">
        <w:t>meetings;</w:t>
      </w:r>
      <w:proofErr w:type="gramEnd"/>
    </w:p>
    <w:p w14:paraId="50789C05" w14:textId="77777777" w:rsidR="00AB1228" w:rsidRPr="00AB1228" w:rsidRDefault="00AB1228" w:rsidP="00AB1228">
      <w:pPr>
        <w:numPr>
          <w:ilvl w:val="0"/>
          <w:numId w:val="35"/>
        </w:numPr>
      </w:pPr>
      <w:r w:rsidRPr="00AB1228">
        <w:t xml:space="preserve">Total number of </w:t>
      </w:r>
      <w:r w:rsidRPr="00AB1228">
        <w:rPr>
          <w:b/>
          <w:bCs/>
        </w:rPr>
        <w:t>contributions</w:t>
      </w:r>
      <w:r w:rsidRPr="00AB1228">
        <w:t xml:space="preserve"> submitted to ITU-T study group </w:t>
      </w:r>
      <w:proofErr w:type="gramStart"/>
      <w:r w:rsidRPr="00AB1228">
        <w:t>meetings;</w:t>
      </w:r>
      <w:proofErr w:type="gramEnd"/>
    </w:p>
    <w:p w14:paraId="3E065C95" w14:textId="77777777" w:rsidR="00AB1228" w:rsidRPr="00AB1228" w:rsidRDefault="00AB1228" w:rsidP="00AB1228">
      <w:pPr>
        <w:numPr>
          <w:ilvl w:val="0"/>
          <w:numId w:val="35"/>
        </w:numPr>
      </w:pPr>
      <w:r w:rsidRPr="00AB1228">
        <w:t xml:space="preserve">Total number of ITU-T recommendation </w:t>
      </w:r>
      <w:r w:rsidRPr="00AB1228">
        <w:rPr>
          <w:b/>
          <w:bCs/>
        </w:rPr>
        <w:t>downloads</w:t>
      </w:r>
      <w:r w:rsidRPr="00AB1228">
        <w:t>; and</w:t>
      </w:r>
    </w:p>
    <w:p w14:paraId="151AA822" w14:textId="77777777" w:rsidR="00AB1228" w:rsidRPr="00AB1228" w:rsidRDefault="00AB1228" w:rsidP="00AB1228">
      <w:pPr>
        <w:numPr>
          <w:ilvl w:val="0"/>
          <w:numId w:val="35"/>
        </w:numPr>
      </w:pPr>
      <w:r w:rsidRPr="00AB1228">
        <w:t xml:space="preserve">Total number of workshops and other </w:t>
      </w:r>
      <w:r w:rsidRPr="00AB1228">
        <w:rPr>
          <w:b/>
          <w:bCs/>
        </w:rPr>
        <w:t>events</w:t>
      </w:r>
      <w:r w:rsidRPr="00AB1228">
        <w:t xml:space="preserve"> in support of ITU-T study groups/participants.</w:t>
      </w:r>
    </w:p>
    <w:p w14:paraId="3AB0D853" w14:textId="77777777" w:rsidR="00AB1228" w:rsidRPr="00AB1228" w:rsidRDefault="00AB1228" w:rsidP="00AB1228">
      <w:pPr>
        <w:keepNext/>
        <w:keepLines/>
        <w:numPr>
          <w:ilvl w:val="0"/>
          <w:numId w:val="36"/>
        </w:numPr>
        <w:tabs>
          <w:tab w:val="left" w:pos="1021"/>
          <w:tab w:val="left" w:pos="1191"/>
          <w:tab w:val="left" w:pos="1588"/>
          <w:tab w:val="left" w:pos="1985"/>
        </w:tabs>
        <w:overflowPunct w:val="0"/>
        <w:autoSpaceDE w:val="0"/>
        <w:autoSpaceDN w:val="0"/>
        <w:adjustRightInd w:val="0"/>
        <w:spacing w:before="160"/>
        <w:textAlignment w:val="baseline"/>
        <w:outlineLvl w:val="3"/>
        <w:rPr>
          <w:rFonts w:eastAsia="Times New Roman"/>
          <w:b/>
          <w:szCs w:val="20"/>
          <w:lang w:eastAsia="en-US"/>
        </w:rPr>
      </w:pPr>
      <w:r w:rsidRPr="00AB1228">
        <w:rPr>
          <w:rFonts w:eastAsia="Times New Roman"/>
          <w:b/>
          <w:szCs w:val="20"/>
          <w:lang w:eastAsia="en-US"/>
        </w:rPr>
        <w:t>Analytics: Outcome Indicators</w:t>
      </w:r>
    </w:p>
    <w:p w14:paraId="2D67B5EE" w14:textId="77777777" w:rsidR="00AB1228" w:rsidRPr="00AB1228" w:rsidRDefault="00AB1228" w:rsidP="00AB1228">
      <w:pPr>
        <w:jc w:val="both"/>
      </w:pPr>
      <w:r w:rsidRPr="00AB1228">
        <w:t>The analytics based on the outcome indicators above at Annex 1 demonstrate that there are standardization gaps from leadership, participants, contributions, downloads to meetings and events including gender: i.e.,</w:t>
      </w:r>
    </w:p>
    <w:p w14:paraId="7EBB33C3" w14:textId="6D1D0CC3" w:rsidR="00AB1228" w:rsidRPr="00EC6C0F" w:rsidRDefault="00AB1228" w:rsidP="008479D6">
      <w:pPr>
        <w:jc w:val="both"/>
      </w:pPr>
      <w:r w:rsidRPr="00EC6C0F">
        <w:rPr>
          <w:b/>
          <w:bCs/>
        </w:rPr>
        <w:t>Leadership</w:t>
      </w:r>
      <w:r w:rsidRPr="00EC6C0F">
        <w:t xml:space="preserve">: </w:t>
      </w:r>
      <w:r w:rsidR="008479D6" w:rsidRPr="008479D6">
        <w:rPr>
          <w:lang w:val="en-US"/>
        </w:rPr>
        <w:t>leadership can be in part demonstrated by their positions as Contributors, of which total number was 230</w:t>
      </w:r>
      <w:r w:rsidR="00EC6C0F">
        <w:rPr>
          <w:lang w:val="en-US"/>
        </w:rPr>
        <w:t xml:space="preserve"> between 2020 and 2024</w:t>
      </w:r>
      <w:r w:rsidR="008479D6" w:rsidRPr="008479D6">
        <w:rPr>
          <w:lang w:val="en-US"/>
        </w:rPr>
        <w:t>.</w:t>
      </w:r>
      <w:r w:rsidR="008479D6">
        <w:rPr>
          <w:lang w:val="en-US"/>
        </w:rPr>
        <w:t xml:space="preserve"> </w:t>
      </w:r>
      <w:r w:rsidR="008479D6" w:rsidRPr="008479D6">
        <w:rPr>
          <w:lang w:val="en-US"/>
        </w:rPr>
        <w:t>There are gaps from developed</w:t>
      </w:r>
      <w:r w:rsidR="008479D6">
        <w:rPr>
          <w:lang w:val="en-US"/>
        </w:rPr>
        <w:t xml:space="preserve"> countries</w:t>
      </w:r>
      <w:r w:rsidR="008479D6" w:rsidRPr="008479D6">
        <w:rPr>
          <w:lang w:val="en-US"/>
        </w:rPr>
        <w:t xml:space="preserve"> </w:t>
      </w:r>
      <w:r w:rsidR="008479D6">
        <w:rPr>
          <w:lang w:val="en-US"/>
        </w:rPr>
        <w:t xml:space="preserve">to </w:t>
      </w:r>
      <w:r w:rsidR="008479D6" w:rsidRPr="008479D6">
        <w:rPr>
          <w:lang w:val="en-US"/>
        </w:rPr>
        <w:t>developing countries</w:t>
      </w:r>
      <w:r w:rsidR="008479D6">
        <w:rPr>
          <w:lang w:val="en-US"/>
        </w:rPr>
        <w:t>.</w:t>
      </w:r>
      <w:r w:rsidRPr="00EC6C0F">
        <w:t xml:space="preserve"> A gender gap </w:t>
      </w:r>
      <w:r w:rsidR="008479D6">
        <w:t xml:space="preserve">also </w:t>
      </w:r>
      <w:r w:rsidRPr="00EC6C0F">
        <w:t>exists</w:t>
      </w:r>
      <w:r w:rsidRPr="00AB1228">
        <w:t xml:space="preserve"> as only approximately 25% of the leadership positions are occupied by women. In terms of regional distribution, 43% of the roles were occupied by representatives from the Asia </w:t>
      </w:r>
      <w:r w:rsidRPr="00EC6C0F">
        <w:t>Pacific, followed by 23% (Africa), 13% (Americas), 13% (Europe), 5% (Arab States) and 3% (CIS).</w:t>
      </w:r>
    </w:p>
    <w:p w14:paraId="6EBDCAE7" w14:textId="65336F12" w:rsidR="00AB1228" w:rsidRPr="00AB1228" w:rsidRDefault="00AB1228" w:rsidP="00AB1228">
      <w:pPr>
        <w:jc w:val="both"/>
      </w:pPr>
      <w:r w:rsidRPr="00AB1228">
        <w:rPr>
          <w:b/>
          <w:bCs/>
        </w:rPr>
        <w:lastRenderedPageBreak/>
        <w:t xml:space="preserve">Meetings: </w:t>
      </w:r>
      <w:r w:rsidRPr="00AB1228">
        <w:t xml:space="preserve">the number of ITU-T study group meetings </w:t>
      </w:r>
      <w:r w:rsidR="00EC6C0F">
        <w:t>wa</w:t>
      </w:r>
      <w:r w:rsidRPr="00AB1228">
        <w:t xml:space="preserve">s 158 </w:t>
      </w:r>
      <w:r w:rsidR="00EC6C0F">
        <w:t xml:space="preserve">between </w:t>
      </w:r>
      <w:r w:rsidRPr="00AB1228">
        <w:t>2020 and 2023, which is around 32% of the total number of both statutory meetings and non-statutory events (i.e., 499).</w:t>
      </w:r>
    </w:p>
    <w:p w14:paraId="021E04EB" w14:textId="1C0D7B0B" w:rsidR="00AB1228" w:rsidRPr="00AB1228" w:rsidRDefault="00AB1228" w:rsidP="00AB1228">
      <w:pPr>
        <w:jc w:val="both"/>
      </w:pPr>
      <w:r w:rsidRPr="00AB1228">
        <w:rPr>
          <w:b/>
          <w:bCs/>
        </w:rPr>
        <w:t>Participants</w:t>
      </w:r>
      <w:r w:rsidRPr="00AB1228">
        <w:t>: the top five countries remined the same for both statutory meetings and non-statutory events of ITU-T. Member States participated most at the statutory meeting, while non-members did at the non-statutory events. Asia-Pacific participated most at the statutory meetings, while Western Europe participated most at the non-statutory events. Gender gaps exist (e.g., some 30% of female; and some 70</w:t>
      </w:r>
      <w:r>
        <w:t>%</w:t>
      </w:r>
      <w:r w:rsidRPr="00AB1228">
        <w:t xml:space="preserve"> of male for both physical and remote meetings. However, female participants were increased to 35% when the events were held by Regional Groups at the relevant regions. It is also worth noting that there are more participants at the remote meetings even after the COVID-19 through </w:t>
      </w:r>
      <w:proofErr w:type="spellStart"/>
      <w:r w:rsidRPr="00AB1228">
        <w:t>MyWorkspace</w:t>
      </w:r>
      <w:proofErr w:type="spellEnd"/>
      <w:r w:rsidRPr="00AB1228">
        <w:t xml:space="preserve"> by both developed and developing countries.</w:t>
      </w:r>
    </w:p>
    <w:p w14:paraId="54AF6EBB" w14:textId="790BC2D1" w:rsidR="00AB1228" w:rsidRPr="00AB1228" w:rsidRDefault="00AB1228" w:rsidP="00AB1228">
      <w:pPr>
        <w:jc w:val="both"/>
      </w:pPr>
      <w:r w:rsidRPr="00AB1228">
        <w:rPr>
          <w:b/>
          <w:bCs/>
        </w:rPr>
        <w:t>Countries</w:t>
      </w:r>
      <w:r w:rsidRPr="00AB1228">
        <w:t>: 171 countries represented at the ITU-T’s statutory meetings, while 184 countries represented at the non-statutory events</w:t>
      </w:r>
      <w:r w:rsidR="008479D6">
        <w:t xml:space="preserve"> between 2020 and 2023</w:t>
      </w:r>
      <w:r w:rsidRPr="00AB1228">
        <w:t>.</w:t>
      </w:r>
    </w:p>
    <w:p w14:paraId="6937E116" w14:textId="279492C1" w:rsidR="00AB1228" w:rsidRPr="00AB1228" w:rsidRDefault="00AB1228" w:rsidP="00AB1228">
      <w:pPr>
        <w:jc w:val="both"/>
      </w:pPr>
      <w:r w:rsidRPr="00AB1228">
        <w:rPr>
          <w:b/>
          <w:bCs/>
        </w:rPr>
        <w:t>Contributions</w:t>
      </w:r>
      <w:r w:rsidRPr="00AB1228">
        <w:t xml:space="preserve">: </w:t>
      </w:r>
      <w:r w:rsidR="00EC6C0F">
        <w:t xml:space="preserve">the </w:t>
      </w:r>
      <w:r w:rsidRPr="00AB1228">
        <w:t>contributions w</w:t>
      </w:r>
      <w:r w:rsidR="00EC6C0F">
        <w:t xml:space="preserve">ere </w:t>
      </w:r>
      <w:r w:rsidRPr="00AB1228">
        <w:t xml:space="preserve">made most to SG13 followed by SG16, for which China was contributed most followed by Republic of Korea, Japan and so forth, between 2020 and 2023. </w:t>
      </w:r>
    </w:p>
    <w:p w14:paraId="1FC30214" w14:textId="641581DC" w:rsidR="00AB1228" w:rsidRPr="00AB1228" w:rsidRDefault="00AB1228" w:rsidP="00AB1228">
      <w:pPr>
        <w:jc w:val="both"/>
      </w:pPr>
      <w:r w:rsidRPr="00AB1228">
        <w:rPr>
          <w:b/>
          <w:bCs/>
        </w:rPr>
        <w:t>Downloads</w:t>
      </w:r>
      <w:r w:rsidRPr="00AB1228">
        <w:t xml:space="preserve">: the level of downloads </w:t>
      </w:r>
      <w:r w:rsidR="00EC6C0F">
        <w:t>wa</w:t>
      </w:r>
      <w:r w:rsidRPr="00AB1228">
        <w:t>s at average around 2.4 million in each year (e.g., 2020, 2021 &amp; 2023), while downloads of G series reached to 4 million from 2018 till 2023. There are gaps of downloads among developed, developing, and least developed countries; and languages from English followed by Spanish, French, Russian, Arabic to Chinese.</w:t>
      </w:r>
    </w:p>
    <w:p w14:paraId="17338120" w14:textId="77777777" w:rsidR="00AB1228" w:rsidRPr="00AB1228" w:rsidRDefault="00AB1228" w:rsidP="00AB1228">
      <w:pPr>
        <w:jc w:val="both"/>
      </w:pPr>
      <w:r w:rsidRPr="00AB1228">
        <w:rPr>
          <w:b/>
          <w:bCs/>
        </w:rPr>
        <w:t>Events</w:t>
      </w:r>
      <w:r w:rsidRPr="00AB1228">
        <w:t>: non-statuary meetings (e.g., workshops and other events</w:t>
      </w:r>
      <w:r w:rsidRPr="00AB1228">
        <w:rPr>
          <w:b/>
          <w:bCs/>
        </w:rPr>
        <w:t xml:space="preserve">) </w:t>
      </w:r>
      <w:r w:rsidRPr="00AB1228">
        <w:t>in support of ITU-T study groups/participants</w:t>
      </w:r>
      <w:r w:rsidRPr="00AB1228">
        <w:rPr>
          <w:b/>
          <w:bCs/>
        </w:rPr>
        <w:t xml:space="preserve"> </w:t>
      </w:r>
      <w:r w:rsidRPr="00AB1228">
        <w:t xml:space="preserve">were 53.71% out of a total of 499 meetings. </w:t>
      </w:r>
    </w:p>
    <w:p w14:paraId="2DED6385" w14:textId="77777777" w:rsidR="00AB1228" w:rsidRPr="00AB1228" w:rsidRDefault="00AB1228" w:rsidP="00AB1228">
      <w:pPr>
        <w:jc w:val="both"/>
      </w:pPr>
      <w:r w:rsidRPr="00AB1228">
        <w:rPr>
          <w:b/>
          <w:bCs/>
        </w:rPr>
        <w:t xml:space="preserve">Fellowship: </w:t>
      </w:r>
      <w:r w:rsidRPr="00AB1228">
        <w:t>Fellowship was increased over the years particularly in 2023, when 152 fellowships were granted to the eligible delegates in Africa followed by Arab, Asia-Pacific, CIS, the Americas, and Europe according to the available funds and conditions, while gender gaps exist.</w:t>
      </w:r>
    </w:p>
    <w:p w14:paraId="070FB651" w14:textId="38040DE7" w:rsidR="00AB1228" w:rsidRPr="00AB1228" w:rsidRDefault="00AB1228" w:rsidP="00AB1228">
      <w:pPr>
        <w:keepNext/>
        <w:keepLines/>
        <w:numPr>
          <w:ilvl w:val="0"/>
          <w:numId w:val="36"/>
        </w:numPr>
        <w:tabs>
          <w:tab w:val="left" w:pos="1021"/>
          <w:tab w:val="left" w:pos="1191"/>
          <w:tab w:val="left" w:pos="1588"/>
          <w:tab w:val="left" w:pos="1985"/>
        </w:tabs>
        <w:overflowPunct w:val="0"/>
        <w:autoSpaceDE w:val="0"/>
        <w:autoSpaceDN w:val="0"/>
        <w:adjustRightInd w:val="0"/>
        <w:spacing w:before="160"/>
        <w:textAlignment w:val="baseline"/>
        <w:outlineLvl w:val="3"/>
        <w:rPr>
          <w:rFonts w:eastAsia="Times New Roman"/>
          <w:b/>
          <w:szCs w:val="20"/>
          <w:lang w:eastAsia="en-US"/>
        </w:rPr>
      </w:pPr>
      <w:r w:rsidRPr="00AB1228">
        <w:rPr>
          <w:rFonts w:eastAsia="Times New Roman"/>
          <w:b/>
          <w:szCs w:val="20"/>
          <w:lang w:eastAsia="en-US"/>
        </w:rPr>
        <w:t>New BSG</w:t>
      </w:r>
      <w:r w:rsidR="00415516">
        <w:rPr>
          <w:rFonts w:eastAsia="Times New Roman"/>
          <w:b/>
          <w:szCs w:val="20"/>
          <w:lang w:eastAsia="en-US"/>
        </w:rPr>
        <w:t xml:space="preserve"> Program</w:t>
      </w:r>
    </w:p>
    <w:p w14:paraId="00D20278" w14:textId="325AE83A" w:rsidR="00AB1228" w:rsidRPr="00AB1228" w:rsidRDefault="00AB1228" w:rsidP="00AB1228">
      <w:pPr>
        <w:jc w:val="both"/>
        <w:rPr>
          <w:rFonts w:eastAsia="Times New Roman"/>
        </w:rPr>
      </w:pPr>
      <w:r w:rsidRPr="00AB1228">
        <w:t>In 2023, the new Bridging the Standardization Gap (BSG) Program was conceptualized under the guidance and support of TSB Management to bridge the gap and make it more “</w:t>
      </w:r>
      <w:r w:rsidRPr="00AB1228">
        <w:rPr>
          <w:i/>
          <w:iCs/>
        </w:rPr>
        <w:t>fit for purpose</w:t>
      </w:r>
      <w:r w:rsidRPr="00AB1228">
        <w:t xml:space="preserve">” </w:t>
      </w:r>
      <w:r w:rsidRPr="00AB1228">
        <w:rPr>
          <w:rFonts w:eastAsia="Times New Roman"/>
        </w:rPr>
        <w:t xml:space="preserve">to foster meaningful connectivity and sustainable development through ITU-T standards with strategic pillars: i.e., </w:t>
      </w:r>
      <w:r w:rsidRPr="00AB1228">
        <w:rPr>
          <w:rFonts w:eastAsia="Times New Roman"/>
          <w:i/>
          <w:iCs/>
        </w:rPr>
        <w:t>development</w:t>
      </w:r>
      <w:r w:rsidRPr="00AB1228">
        <w:rPr>
          <w:rFonts w:eastAsia="Times New Roman"/>
        </w:rPr>
        <w:t xml:space="preserve"> and </w:t>
      </w:r>
      <w:r w:rsidRPr="00AB1228">
        <w:rPr>
          <w:rFonts w:eastAsia="Times New Roman"/>
          <w:i/>
          <w:iCs/>
        </w:rPr>
        <w:t>implementation</w:t>
      </w:r>
      <w:r w:rsidRPr="00AB1228">
        <w:rPr>
          <w:rFonts w:eastAsia="Times New Roman"/>
        </w:rPr>
        <w:t xml:space="preserve"> facilitated by resources and partnerships with initial support by the MIC, Japan, </w:t>
      </w:r>
      <w:r w:rsidRPr="00AB1228">
        <w:rPr>
          <w:rFonts w:eastAsia="SimSun"/>
        </w:rPr>
        <w:t>encouraging others to join the new program</w:t>
      </w:r>
      <w:r w:rsidRPr="00AB1228">
        <w:rPr>
          <w:rFonts w:eastAsia="Times New Roman"/>
        </w:rPr>
        <w:t xml:space="preserve"> (see Annex 1 and TSAG </w:t>
      </w:r>
      <w:hyperlink r:id="rId14" w:history="1">
        <w:proofErr w:type="spellStart"/>
        <w:r w:rsidRPr="00AB1228">
          <w:rPr>
            <w:rFonts w:eastAsia="Times New Roman"/>
            <w:color w:val="0000FF"/>
            <w:u w:val="single"/>
          </w:rPr>
          <w:t>TD409</w:t>
        </w:r>
        <w:proofErr w:type="spellEnd"/>
      </w:hyperlink>
      <w:r w:rsidRPr="00AB1228">
        <w:rPr>
          <w:rFonts w:eastAsia="Times New Roman"/>
        </w:rPr>
        <w:t>, Section 12).</w:t>
      </w:r>
    </w:p>
    <w:p w14:paraId="13B55C2F" w14:textId="75674DC6" w:rsidR="00AB1228" w:rsidRPr="00AB1228" w:rsidRDefault="00AB1228" w:rsidP="00AB1228">
      <w:pPr>
        <w:jc w:val="both"/>
        <w:rPr>
          <w:rFonts w:eastAsia="Times New Roman"/>
        </w:rPr>
      </w:pPr>
      <w:r w:rsidRPr="00AB1228">
        <w:rPr>
          <w:rFonts w:eastAsia="Times New Roman"/>
        </w:rPr>
        <w:t xml:space="preserve">The new BSG </w:t>
      </w:r>
      <w:r w:rsidR="00CD1089">
        <w:rPr>
          <w:rFonts w:eastAsia="Times New Roman"/>
        </w:rPr>
        <w:t xml:space="preserve">program </w:t>
      </w:r>
      <w:r w:rsidRPr="00AB1228">
        <w:rPr>
          <w:rFonts w:eastAsia="Times New Roman"/>
        </w:rPr>
        <w:t>aims for the result-based management by analysing the gaps, trends, and strengths (Annex 1). This has been progressing since 2023, with on-going endeavours in close coordination and cooperation across TSB and with BDT for both pillars, which are inter-twined with each other, supported by resources and partnerships.</w:t>
      </w:r>
    </w:p>
    <w:p w14:paraId="2F9E3F75" w14:textId="1991E2E6" w:rsidR="00AB1228" w:rsidRPr="00AB1228" w:rsidRDefault="00AB1228" w:rsidP="00AB1228">
      <w:pPr>
        <w:jc w:val="both"/>
        <w:rPr>
          <w:rFonts w:eastAsia="Times New Roman"/>
        </w:rPr>
      </w:pPr>
      <w:r w:rsidRPr="00AB1228">
        <w:rPr>
          <w:rFonts w:eastAsia="Times New Roman"/>
          <w:b/>
          <w:bCs/>
        </w:rPr>
        <w:t>Development</w:t>
      </w:r>
      <w:r w:rsidRPr="00AB1228">
        <w:rPr>
          <w:rFonts w:eastAsia="Times New Roman"/>
        </w:rPr>
        <w:t xml:space="preserve">: TSB </w:t>
      </w:r>
      <w:r w:rsidRPr="00AB1228">
        <w:rPr>
          <w:rFonts w:eastAsia="SimSun"/>
        </w:rPr>
        <w:t xml:space="preserve">enhanced the standards-formulation capabilities of delegates from member states, developing countries </w:t>
      </w:r>
      <w:r w:rsidRPr="00AB1228">
        <w:rPr>
          <w:rFonts w:eastAsia="SimSun"/>
          <w:i/>
          <w:iCs/>
        </w:rPr>
        <w:t>inter alia</w:t>
      </w:r>
      <w:r w:rsidRPr="00AB1228">
        <w:rPr>
          <w:rFonts w:eastAsia="SimSun"/>
        </w:rPr>
        <w:t xml:space="preserve">, improved data analytic tools in close coordination and cooperation within TSB (e.g., SGD &amp; </w:t>
      </w:r>
      <w:proofErr w:type="spellStart"/>
      <w:r w:rsidRPr="00AB1228">
        <w:rPr>
          <w:rFonts w:eastAsia="SimSun"/>
        </w:rPr>
        <w:t>OPD</w:t>
      </w:r>
      <w:proofErr w:type="spellEnd"/>
      <w:r w:rsidRPr="00AB1228">
        <w:rPr>
          <w:rFonts w:eastAsia="SimSun"/>
        </w:rPr>
        <w:t xml:space="preserve">); </w:t>
      </w:r>
      <w:r w:rsidRPr="00AB1228">
        <w:rPr>
          <w:rFonts w:eastAsia="Times New Roman"/>
        </w:rPr>
        <w:t xml:space="preserve">updated its </w:t>
      </w:r>
      <w:r w:rsidRPr="00CD1089">
        <w:rPr>
          <w:rFonts w:eastAsia="Times New Roman"/>
        </w:rPr>
        <w:t>website (</w:t>
      </w:r>
      <w:hyperlink r:id="rId15" w:history="1">
        <w:r w:rsidRPr="00EC6C0F">
          <w:t>https://www.itu.int/bsg/</w:t>
        </w:r>
      </w:hyperlink>
      <w:r w:rsidRPr="00CD1089">
        <w:rPr>
          <w:rFonts w:eastAsia="Times New Roman"/>
        </w:rPr>
        <w:t>)</w:t>
      </w:r>
      <w:r w:rsidRPr="00AB1228">
        <w:rPr>
          <w:rFonts w:eastAsia="Times New Roman"/>
        </w:rPr>
        <w:t xml:space="preserve"> including new interviews with ITU-T SG leaders</w:t>
      </w:r>
      <w:r w:rsidR="00840B88">
        <w:rPr>
          <w:rFonts w:eastAsia="Times New Roman"/>
        </w:rPr>
        <w:t>;</w:t>
      </w:r>
      <w:r w:rsidRPr="00AB1228">
        <w:rPr>
          <w:rFonts w:eastAsia="Times New Roman"/>
        </w:rPr>
        <w:t xml:space="preserve"> increased fellowship </w:t>
      </w:r>
      <w:r w:rsidRPr="00AB1228">
        <w:rPr>
          <w:rFonts w:eastAsia="SimSun"/>
        </w:rPr>
        <w:t>for which systemic coordination and collaboration was established between TSB (</w:t>
      </w:r>
      <w:proofErr w:type="spellStart"/>
      <w:r w:rsidRPr="00AB1228">
        <w:rPr>
          <w:rFonts w:eastAsia="SimSun"/>
        </w:rPr>
        <w:t>OPD</w:t>
      </w:r>
      <w:proofErr w:type="spellEnd"/>
      <w:r w:rsidRPr="00AB1228">
        <w:rPr>
          <w:rFonts w:eastAsia="SimSun"/>
        </w:rPr>
        <w:t xml:space="preserve">) and BDT (DDR); and organized </w:t>
      </w:r>
      <w:r w:rsidRPr="00AB1228">
        <w:rPr>
          <w:rFonts w:eastAsia="Times New Roman"/>
        </w:rPr>
        <w:t xml:space="preserve">increased the number of </w:t>
      </w:r>
      <w:r w:rsidRPr="00AB1228">
        <w:rPr>
          <w:rFonts w:eastAsia="SimSun"/>
        </w:rPr>
        <w:t xml:space="preserve">physical and remote </w:t>
      </w:r>
      <w:r w:rsidRPr="00AB1228">
        <w:rPr>
          <w:rFonts w:eastAsia="Times New Roman"/>
        </w:rPr>
        <w:t>BSG</w:t>
      </w:r>
      <w:r w:rsidRPr="00AB1228">
        <w:rPr>
          <w:rFonts w:eastAsia="SimSun"/>
        </w:rPr>
        <w:t xml:space="preserve"> trainings with </w:t>
      </w:r>
      <w:r w:rsidRPr="00AB1228">
        <w:rPr>
          <w:rFonts w:eastAsia="Times New Roman"/>
        </w:rPr>
        <w:t xml:space="preserve">updated training content and modules </w:t>
      </w:r>
      <w:r w:rsidRPr="00AB1228">
        <w:rPr>
          <w:rFonts w:eastAsia="SimSun"/>
        </w:rPr>
        <w:t xml:space="preserve">in co-location and </w:t>
      </w:r>
      <w:r w:rsidRPr="00AB1228">
        <w:rPr>
          <w:rFonts w:eastAsia="Times New Roman"/>
        </w:rPr>
        <w:t xml:space="preserve">close collaboration and cooperation with ITU-T </w:t>
      </w:r>
      <w:proofErr w:type="spellStart"/>
      <w:r w:rsidRPr="00AB1228">
        <w:rPr>
          <w:rFonts w:eastAsia="Times New Roman"/>
        </w:rPr>
        <w:t>SGs</w:t>
      </w:r>
      <w:proofErr w:type="spellEnd"/>
      <w:r w:rsidRPr="00AB1228">
        <w:rPr>
          <w:rFonts w:eastAsia="Times New Roman"/>
        </w:rPr>
        <w:t xml:space="preserve">, Regional Groups, and Regional Offices in ITU-D (e.g., Regional Development Forum) for effective results and optimization of resources as indicated below: </w:t>
      </w:r>
    </w:p>
    <w:p w14:paraId="64F53C50" w14:textId="77777777" w:rsidR="00AB1228" w:rsidRPr="00D868E6" w:rsidRDefault="00AB1228" w:rsidP="00AB1228">
      <w:pPr>
        <w:numPr>
          <w:ilvl w:val="0"/>
          <w:numId w:val="37"/>
        </w:numPr>
        <w:tabs>
          <w:tab w:val="left" w:pos="1134"/>
          <w:tab w:val="left" w:pos="1871"/>
          <w:tab w:val="left" w:pos="2268"/>
        </w:tabs>
        <w:overflowPunct w:val="0"/>
        <w:autoSpaceDE w:val="0"/>
        <w:autoSpaceDN w:val="0"/>
        <w:adjustRightInd w:val="0"/>
        <w:spacing w:before="0"/>
        <w:contextualSpacing/>
        <w:jc w:val="both"/>
        <w:textAlignment w:val="baseline"/>
        <w:rPr>
          <w:rFonts w:eastAsia="SimSun"/>
        </w:rPr>
      </w:pPr>
      <w:r w:rsidRPr="00D868E6">
        <w:rPr>
          <w:rFonts w:eastAsia="SimSun"/>
        </w:rPr>
        <w:t>SG5RG-AP, Bangkok, Thailand, 11-12 September 2023, in close collaboration with RDF;</w:t>
      </w:r>
    </w:p>
    <w:p w14:paraId="2F17B23A" w14:textId="77777777" w:rsidR="00AB1228" w:rsidRPr="00AB1228" w:rsidRDefault="00AB1228" w:rsidP="00AB1228">
      <w:pPr>
        <w:numPr>
          <w:ilvl w:val="0"/>
          <w:numId w:val="37"/>
        </w:numPr>
        <w:tabs>
          <w:tab w:val="left" w:pos="1134"/>
          <w:tab w:val="left" w:pos="1871"/>
          <w:tab w:val="left" w:pos="2268"/>
        </w:tabs>
        <w:overflowPunct w:val="0"/>
        <w:autoSpaceDE w:val="0"/>
        <w:autoSpaceDN w:val="0"/>
        <w:adjustRightInd w:val="0"/>
        <w:spacing w:before="0"/>
        <w:contextualSpacing/>
        <w:jc w:val="both"/>
        <w:textAlignment w:val="baseline"/>
        <w:rPr>
          <w:rFonts w:eastAsia="SimSun"/>
          <w:lang w:val="de-DE"/>
        </w:rPr>
      </w:pPr>
      <w:r w:rsidRPr="00AB1228">
        <w:rPr>
          <w:rFonts w:eastAsia="SimSun"/>
          <w:lang w:val="de-DE"/>
        </w:rPr>
        <w:t>SG11, Geneva, 10-20 October 2023;</w:t>
      </w:r>
    </w:p>
    <w:p w14:paraId="3B1D1F1B" w14:textId="77777777" w:rsidR="00AB1228" w:rsidRPr="00D868E6" w:rsidRDefault="00AB1228" w:rsidP="00AB1228">
      <w:pPr>
        <w:numPr>
          <w:ilvl w:val="0"/>
          <w:numId w:val="37"/>
        </w:numPr>
        <w:tabs>
          <w:tab w:val="left" w:pos="1134"/>
          <w:tab w:val="left" w:pos="1871"/>
          <w:tab w:val="left" w:pos="2268"/>
        </w:tabs>
        <w:overflowPunct w:val="0"/>
        <w:autoSpaceDE w:val="0"/>
        <w:autoSpaceDN w:val="0"/>
        <w:adjustRightInd w:val="0"/>
        <w:spacing w:before="0"/>
        <w:contextualSpacing/>
        <w:jc w:val="both"/>
        <w:textAlignment w:val="baseline"/>
        <w:rPr>
          <w:rFonts w:eastAsia="SimSun"/>
          <w:lang w:val="fr-FR"/>
        </w:rPr>
      </w:pPr>
      <w:r w:rsidRPr="00D868E6">
        <w:rPr>
          <w:rFonts w:eastAsia="SimSun"/>
          <w:lang w:val="fr-FR"/>
        </w:rPr>
        <w:t>SG2RG-AFR, Abidjan, Côte d'Ivoire, 21-22 September 2023;</w:t>
      </w:r>
    </w:p>
    <w:p w14:paraId="673F25F3" w14:textId="77777777" w:rsidR="00AB1228" w:rsidRPr="00AB1228" w:rsidRDefault="00AB1228" w:rsidP="00AB1228">
      <w:pPr>
        <w:numPr>
          <w:ilvl w:val="0"/>
          <w:numId w:val="37"/>
        </w:numPr>
        <w:tabs>
          <w:tab w:val="left" w:pos="1134"/>
          <w:tab w:val="left" w:pos="1871"/>
          <w:tab w:val="left" w:pos="2268"/>
        </w:tabs>
        <w:overflowPunct w:val="0"/>
        <w:autoSpaceDE w:val="0"/>
        <w:autoSpaceDN w:val="0"/>
        <w:adjustRightInd w:val="0"/>
        <w:spacing w:before="0"/>
        <w:contextualSpacing/>
        <w:jc w:val="both"/>
        <w:textAlignment w:val="baseline"/>
        <w:rPr>
          <w:rFonts w:eastAsia="SimSun"/>
          <w:lang w:val="de-DE"/>
        </w:rPr>
      </w:pPr>
      <w:r w:rsidRPr="00AB1228">
        <w:rPr>
          <w:rFonts w:eastAsia="SimSun"/>
          <w:lang w:val="de-DE"/>
        </w:rPr>
        <w:lastRenderedPageBreak/>
        <w:t>SG13, Geneva, 23 October – 3 November 2023; and</w:t>
      </w:r>
    </w:p>
    <w:p w14:paraId="7C9FBEA1" w14:textId="77777777" w:rsidR="00AB1228" w:rsidRPr="00D868E6" w:rsidRDefault="00AB1228" w:rsidP="00AB1228">
      <w:pPr>
        <w:numPr>
          <w:ilvl w:val="0"/>
          <w:numId w:val="37"/>
        </w:numPr>
        <w:tabs>
          <w:tab w:val="left" w:pos="1134"/>
          <w:tab w:val="left" w:pos="1871"/>
          <w:tab w:val="left" w:pos="2268"/>
        </w:tabs>
        <w:overflowPunct w:val="0"/>
        <w:autoSpaceDE w:val="0"/>
        <w:autoSpaceDN w:val="0"/>
        <w:adjustRightInd w:val="0"/>
        <w:spacing w:before="0"/>
        <w:contextualSpacing/>
        <w:jc w:val="both"/>
        <w:textAlignment w:val="baseline"/>
        <w:rPr>
          <w:rFonts w:eastAsia="SimSun"/>
        </w:rPr>
      </w:pPr>
      <w:r w:rsidRPr="00D868E6">
        <w:rPr>
          <w:rFonts w:eastAsia="SimSun"/>
        </w:rPr>
        <w:t>SG17RG-AFR and Regional Cybersecurity Summit for Africa, Kampala, Uganda, 20-23 November 2023,</w:t>
      </w:r>
    </w:p>
    <w:p w14:paraId="17612126" w14:textId="6EB794CB" w:rsidR="00AB1228" w:rsidRPr="00AB1228" w:rsidRDefault="00AB1228" w:rsidP="00AB1228">
      <w:pPr>
        <w:jc w:val="both"/>
        <w:rPr>
          <w:rFonts w:eastAsia="Times New Roman"/>
        </w:rPr>
      </w:pPr>
      <w:r w:rsidRPr="00AB1228">
        <w:rPr>
          <w:rFonts w:eastAsia="Times New Roman"/>
          <w:b/>
          <w:bCs/>
        </w:rPr>
        <w:t>Implementation</w:t>
      </w:r>
      <w:r w:rsidRPr="00AB1228">
        <w:rPr>
          <w:rFonts w:eastAsia="Times New Roman"/>
        </w:rPr>
        <w:t>: TSB developed and conducted an interactive quiz</w:t>
      </w:r>
      <w:r w:rsidR="00B35A0C">
        <w:rPr>
          <w:rStyle w:val="FootnoteReference"/>
          <w:rFonts w:eastAsia="Times New Roman"/>
        </w:rPr>
        <w:footnoteReference w:id="2"/>
      </w:r>
      <w:r w:rsidRPr="00AB1228">
        <w:rPr>
          <w:rFonts w:eastAsia="Times New Roman"/>
        </w:rPr>
        <w:t xml:space="preserve"> as a trial during the BSG training with the support of ITU-T SG1</w:t>
      </w:r>
      <w:r w:rsidR="00B35A0C">
        <w:rPr>
          <w:rFonts w:eastAsia="Times New Roman"/>
        </w:rPr>
        <w:t>3</w:t>
      </w:r>
      <w:r w:rsidRPr="00AB1228">
        <w:rPr>
          <w:rFonts w:eastAsia="Times New Roman"/>
        </w:rPr>
        <w:t xml:space="preserve">, which </w:t>
      </w:r>
      <w:r w:rsidR="00B35A0C">
        <w:rPr>
          <w:rFonts w:eastAsia="Times New Roman"/>
        </w:rPr>
        <w:t>wa</w:t>
      </w:r>
      <w:r w:rsidRPr="00AB1228">
        <w:rPr>
          <w:rFonts w:eastAsia="Times New Roman"/>
        </w:rPr>
        <w:t xml:space="preserve">s planned with customized questionnaires to expand to wider groups and events, so as to </w:t>
      </w:r>
      <w:r w:rsidRPr="00AB1228">
        <w:rPr>
          <w:rFonts w:eastAsia="SimSun"/>
        </w:rPr>
        <w:t>identify the adoption of ITU-T standards in alignment with national plans, policies, and regulations as well as the utilization by ITU-T members and associates including private industry in particular and academia among others</w:t>
      </w:r>
      <w:r w:rsidRPr="00AB1228">
        <w:rPr>
          <w:rFonts w:eastAsia="Times New Roman"/>
        </w:rPr>
        <w:t xml:space="preserve">; identified thematic initiatives (e.g., </w:t>
      </w:r>
      <w:r w:rsidRPr="00AB1228">
        <w:rPr>
          <w:rFonts w:eastAsia="SimSun"/>
        </w:rPr>
        <w:t xml:space="preserve">DFS Security Lab, Cyber Defence </w:t>
      </w:r>
      <w:proofErr w:type="spellStart"/>
      <w:r w:rsidRPr="00AB1228">
        <w:rPr>
          <w:rFonts w:eastAsia="SimSun"/>
        </w:rPr>
        <w:t>Center</w:t>
      </w:r>
      <w:proofErr w:type="spellEnd"/>
      <w:r w:rsidRPr="00AB1228">
        <w:rPr>
          <w:rFonts w:eastAsia="SimSun"/>
        </w:rPr>
        <w:t xml:space="preserve"> 4 Developing Countries (</w:t>
      </w:r>
      <w:proofErr w:type="spellStart"/>
      <w:r w:rsidRPr="00AB1228">
        <w:rPr>
          <w:rFonts w:eastAsia="SimSun"/>
        </w:rPr>
        <w:t>CDCP</w:t>
      </w:r>
      <w:proofErr w:type="spellEnd"/>
      <w:r w:rsidRPr="00AB1228">
        <w:rPr>
          <w:rFonts w:eastAsia="SimSun"/>
        </w:rPr>
        <w:t>), The United for Smart Sustainable Cities (</w:t>
      </w:r>
      <w:proofErr w:type="spellStart"/>
      <w:r w:rsidRPr="00AB1228">
        <w:rPr>
          <w:rFonts w:eastAsia="SimSun"/>
        </w:rPr>
        <w:t>U4SCC</w:t>
      </w:r>
      <w:proofErr w:type="spellEnd"/>
      <w:r w:rsidRPr="00AB1228">
        <w:rPr>
          <w:rFonts w:eastAsia="SimSun"/>
        </w:rPr>
        <w:t>), Making Listening Safe (MLS), Testing Lab etc.</w:t>
      </w:r>
      <w:r w:rsidRPr="00AB1228">
        <w:rPr>
          <w:rFonts w:eastAsia="Times New Roman"/>
        </w:rPr>
        <w:t xml:space="preserve">) in close cooperation and support from the ITU-T </w:t>
      </w:r>
      <w:proofErr w:type="spellStart"/>
      <w:r w:rsidRPr="00AB1228">
        <w:rPr>
          <w:rFonts w:eastAsia="Times New Roman"/>
        </w:rPr>
        <w:t>SGs</w:t>
      </w:r>
      <w:proofErr w:type="spellEnd"/>
      <w:r w:rsidRPr="00AB1228">
        <w:rPr>
          <w:rFonts w:eastAsia="Times New Roman"/>
        </w:rPr>
        <w:t xml:space="preserve"> as a way to raise awareness, facilitate partnership, and implement ITU-T standards; mobilized resources to kick-off and re-envision the BSG</w:t>
      </w:r>
      <w:r w:rsidR="00840B88">
        <w:rPr>
          <w:rFonts w:eastAsia="Times New Roman"/>
        </w:rPr>
        <w:t>;</w:t>
      </w:r>
      <w:r w:rsidRPr="00AB1228">
        <w:rPr>
          <w:rFonts w:eastAsia="Times New Roman"/>
        </w:rPr>
        <w:t xml:space="preserve"> and explored outreaching partnership, for which coordination with Regional Offices in BDT, Regional Standards Organizations, and Regional Telecommunication Organization </w:t>
      </w:r>
      <w:r w:rsidR="00840B88">
        <w:rPr>
          <w:rFonts w:eastAsia="Times New Roman"/>
        </w:rPr>
        <w:t>wa</w:t>
      </w:r>
      <w:r w:rsidRPr="00AB1228">
        <w:rPr>
          <w:rFonts w:eastAsia="Times New Roman"/>
        </w:rPr>
        <w:t>s initiated and on-going in close cooperation across TSB (e.g., SGD and TSP) for the journey towards successful WTSA 2024 (e.g., roadmap in Annex 1).</w:t>
      </w:r>
    </w:p>
    <w:p w14:paraId="04416F9F" w14:textId="77777777" w:rsidR="00AB1228" w:rsidRPr="00AB1228" w:rsidRDefault="00AB1228" w:rsidP="00AB1228">
      <w:pPr>
        <w:keepNext/>
        <w:keepLines/>
        <w:numPr>
          <w:ilvl w:val="0"/>
          <w:numId w:val="36"/>
        </w:numPr>
        <w:tabs>
          <w:tab w:val="left" w:pos="1021"/>
          <w:tab w:val="left" w:pos="1191"/>
          <w:tab w:val="left" w:pos="1588"/>
          <w:tab w:val="left" w:pos="1985"/>
        </w:tabs>
        <w:overflowPunct w:val="0"/>
        <w:autoSpaceDE w:val="0"/>
        <w:autoSpaceDN w:val="0"/>
        <w:adjustRightInd w:val="0"/>
        <w:spacing w:before="160"/>
        <w:jc w:val="both"/>
        <w:textAlignment w:val="baseline"/>
        <w:outlineLvl w:val="3"/>
        <w:rPr>
          <w:rFonts w:eastAsia="Times New Roman"/>
          <w:b/>
          <w:szCs w:val="20"/>
          <w:lang w:eastAsia="en-US"/>
        </w:rPr>
      </w:pPr>
      <w:r w:rsidRPr="00AB1228">
        <w:rPr>
          <w:rFonts w:eastAsia="Times New Roman"/>
          <w:b/>
          <w:szCs w:val="20"/>
          <w:lang w:eastAsia="en-US"/>
        </w:rPr>
        <w:t>Conclusion</w:t>
      </w:r>
    </w:p>
    <w:p w14:paraId="5D63DECE" w14:textId="77777777" w:rsidR="00AB1228" w:rsidRPr="00AB1228" w:rsidRDefault="00AB1228" w:rsidP="00AB1228">
      <w:pPr>
        <w:jc w:val="both"/>
      </w:pPr>
      <w:r w:rsidRPr="00AB1228">
        <w:rPr>
          <w:rFonts w:eastAsia="Times New Roman"/>
        </w:rPr>
        <w:t xml:space="preserve">Considering the above, the TSAG is invited to note the </w:t>
      </w:r>
      <w:proofErr w:type="spellStart"/>
      <w:r w:rsidRPr="00AB1228">
        <w:rPr>
          <w:rFonts w:eastAsia="Times New Roman"/>
        </w:rPr>
        <w:t>TD422</w:t>
      </w:r>
      <w:proofErr w:type="spellEnd"/>
      <w:r w:rsidRPr="00AB1228">
        <w:rPr>
          <w:rFonts w:eastAsia="Times New Roman"/>
        </w:rPr>
        <w:t xml:space="preserve"> and provide guidance and support to achieve the BSG together.</w:t>
      </w:r>
    </w:p>
    <w:p w14:paraId="5B677FF1" w14:textId="77777777" w:rsidR="00AB1228" w:rsidRPr="00AB1228" w:rsidRDefault="00AB1228" w:rsidP="00AB1228">
      <w:pPr>
        <w:jc w:val="center"/>
      </w:pPr>
    </w:p>
    <w:p w14:paraId="2CA42B1A" w14:textId="77777777" w:rsidR="00AB1228" w:rsidRPr="00AB1228" w:rsidRDefault="00AB1228" w:rsidP="00AB1228">
      <w:pPr>
        <w:jc w:val="center"/>
      </w:pPr>
    </w:p>
    <w:p w14:paraId="31164329" w14:textId="61BDFF01" w:rsidR="00AB1228" w:rsidRPr="00AB1228" w:rsidRDefault="00AB1228" w:rsidP="00AB1228">
      <w:pPr>
        <w:jc w:val="center"/>
      </w:pPr>
      <w:r w:rsidRPr="00AB1228">
        <w:t xml:space="preserve">Annex 1: </w:t>
      </w:r>
      <w:r w:rsidR="00CD1089">
        <w:t xml:space="preserve">New </w:t>
      </w:r>
      <w:r w:rsidRPr="00AB1228">
        <w:t>Bridging the Standardization Gap (BSG)</w:t>
      </w:r>
      <w:r w:rsidR="00CD1089">
        <w:t xml:space="preserve"> Program</w:t>
      </w:r>
    </w:p>
    <w:p w14:paraId="6F66E072" w14:textId="7A314AE4" w:rsidR="0001421D" w:rsidRPr="004B29C4" w:rsidRDefault="00C24680" w:rsidP="00C24680">
      <w:pPr>
        <w:jc w:val="center"/>
        <w:rPr>
          <w:lang w:eastAsia="en-US"/>
        </w:rPr>
      </w:pPr>
      <w:r>
        <w:rPr>
          <w:lang w:eastAsia="en-US"/>
        </w:rPr>
        <w:t>______________</w:t>
      </w:r>
    </w:p>
    <w:sectPr w:rsidR="0001421D" w:rsidRPr="004B29C4" w:rsidSect="00BE3959">
      <w:headerReference w:type="default" r:id="rId1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DDC2D" w14:textId="77777777" w:rsidR="00346126" w:rsidRDefault="00346126" w:rsidP="00C42125">
      <w:pPr>
        <w:spacing w:before="0"/>
      </w:pPr>
      <w:r>
        <w:separator/>
      </w:r>
    </w:p>
  </w:endnote>
  <w:endnote w:type="continuationSeparator" w:id="0">
    <w:p w14:paraId="2267BD40" w14:textId="77777777" w:rsidR="00346126" w:rsidRDefault="00346126" w:rsidP="00C42125">
      <w:pPr>
        <w:spacing w:before="0"/>
      </w:pPr>
      <w:r>
        <w:continuationSeparator/>
      </w:r>
    </w:p>
  </w:endnote>
  <w:endnote w:type="continuationNotice" w:id="1">
    <w:p w14:paraId="5E7C1544" w14:textId="77777777" w:rsidR="00346126" w:rsidRDefault="003461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D20A5" w14:textId="77777777" w:rsidR="00346126" w:rsidRDefault="00346126" w:rsidP="00C42125">
      <w:pPr>
        <w:spacing w:before="0"/>
      </w:pPr>
      <w:r>
        <w:separator/>
      </w:r>
    </w:p>
  </w:footnote>
  <w:footnote w:type="continuationSeparator" w:id="0">
    <w:p w14:paraId="294544EA" w14:textId="77777777" w:rsidR="00346126" w:rsidRDefault="00346126" w:rsidP="00C42125">
      <w:pPr>
        <w:spacing w:before="0"/>
      </w:pPr>
      <w:r>
        <w:continuationSeparator/>
      </w:r>
    </w:p>
  </w:footnote>
  <w:footnote w:type="continuationNotice" w:id="1">
    <w:p w14:paraId="5D0A91F8" w14:textId="77777777" w:rsidR="00346126" w:rsidRDefault="00346126">
      <w:pPr>
        <w:spacing w:before="0"/>
      </w:pPr>
    </w:p>
  </w:footnote>
  <w:footnote w:id="2">
    <w:p w14:paraId="42A80B76" w14:textId="036A1D82" w:rsidR="00B35A0C" w:rsidRPr="00EC6C0F" w:rsidRDefault="00B35A0C">
      <w:pPr>
        <w:pStyle w:val="FootnoteText"/>
        <w:rPr>
          <w:lang w:val="en-US"/>
        </w:rPr>
      </w:pPr>
      <w:r>
        <w:rPr>
          <w:rStyle w:val="FootnoteReference"/>
        </w:rPr>
        <w:footnoteRef/>
      </w:r>
      <w:r>
        <w:t xml:space="preserve"> </w:t>
      </w:r>
      <w:r>
        <w:rPr>
          <w:lang w:val="en-US"/>
        </w:rPr>
        <w:t xml:space="preserve">The results of the Quiz are available </w:t>
      </w:r>
      <w:hyperlink r:id="rId1" w:history="1">
        <w:r w:rsidRPr="00B35A0C">
          <w:rPr>
            <w:rStyle w:val="Hyperlink"/>
            <w:rFonts w:ascii="Times New Roman" w:hAnsi="Times New Roman"/>
            <w:lang w:val="en-US"/>
          </w:rPr>
          <w:t>here</w:t>
        </w:r>
      </w:hyperlink>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C0C48" w14:textId="44CB870D" w:rsidR="00CD075F" w:rsidRPr="00BE3959" w:rsidRDefault="00CD075F" w:rsidP="00BE3959">
    <w:pPr>
      <w:pStyle w:val="Header"/>
      <w:rPr>
        <w:sz w:val="18"/>
      </w:rPr>
    </w:pPr>
    <w:r w:rsidRPr="00BE3959">
      <w:rPr>
        <w:sz w:val="18"/>
      </w:rPr>
      <w:t xml:space="preserve">- </w:t>
    </w:r>
    <w:r w:rsidRPr="00BE3959">
      <w:rPr>
        <w:sz w:val="18"/>
      </w:rPr>
      <w:fldChar w:fldCharType="begin"/>
    </w:r>
    <w:r w:rsidRPr="00BE3959">
      <w:rPr>
        <w:sz w:val="18"/>
      </w:rPr>
      <w:instrText xml:space="preserve"> PAGE  \* MERGEFORMAT </w:instrText>
    </w:r>
    <w:r w:rsidRPr="00BE3959">
      <w:rPr>
        <w:sz w:val="18"/>
      </w:rPr>
      <w:fldChar w:fldCharType="separate"/>
    </w:r>
    <w:r>
      <w:rPr>
        <w:noProof/>
        <w:sz w:val="18"/>
      </w:rPr>
      <w:t>7</w:t>
    </w:r>
    <w:r w:rsidRPr="00BE3959">
      <w:rPr>
        <w:sz w:val="18"/>
      </w:rPr>
      <w:fldChar w:fldCharType="end"/>
    </w:r>
    <w:r w:rsidRPr="00BE3959">
      <w:rPr>
        <w:sz w:val="18"/>
      </w:rPr>
      <w:t xml:space="preserve"> -</w:t>
    </w:r>
  </w:p>
  <w:p w14:paraId="7FAFDF2C" w14:textId="34F9FD25" w:rsidR="00CD075F" w:rsidRPr="00BE3959" w:rsidRDefault="00CD075F" w:rsidP="00BE3959">
    <w:pPr>
      <w:pStyle w:val="Header"/>
      <w:spacing w:after="240"/>
      <w:rPr>
        <w:sz w:val="18"/>
      </w:rPr>
    </w:pPr>
    <w:r w:rsidRPr="00BE3959">
      <w:rPr>
        <w:sz w:val="18"/>
      </w:rPr>
      <w:fldChar w:fldCharType="begin"/>
    </w:r>
    <w:r w:rsidRPr="00BE3959">
      <w:rPr>
        <w:sz w:val="18"/>
      </w:rPr>
      <w:instrText xml:space="preserve"> STYLEREF  Docnumber  </w:instrText>
    </w:r>
    <w:r w:rsidRPr="00BE3959">
      <w:rPr>
        <w:sz w:val="18"/>
      </w:rPr>
      <w:fldChar w:fldCharType="separate"/>
    </w:r>
    <w:r w:rsidR="00D868E6">
      <w:rPr>
        <w:noProof/>
        <w:sz w:val="18"/>
      </w:rPr>
      <w:t>TSAG-TD422</w:t>
    </w:r>
    <w:r w:rsidRPr="00BE395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22FB"/>
    <w:multiLevelType w:val="hybridMultilevel"/>
    <w:tmpl w:val="2F02CBCE"/>
    <w:lvl w:ilvl="0" w:tplc="8EC6BB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195C62"/>
    <w:multiLevelType w:val="hybridMultilevel"/>
    <w:tmpl w:val="A8D8E9A8"/>
    <w:lvl w:ilvl="0" w:tplc="5FACE66E">
      <w:numFmt w:val="bullet"/>
      <w:lvlText w:val="–"/>
      <w:lvlJc w:val="left"/>
      <w:pPr>
        <w:ind w:left="720" w:hanging="360"/>
      </w:pPr>
      <w:rPr>
        <w:rFonts w:ascii="Times New Roman" w:eastAsiaTheme="minorHAnsi" w:hAnsi="Times New Roman" w:cs="Times New Roman" w:hint="default"/>
      </w:rPr>
    </w:lvl>
    <w:lvl w:ilvl="1" w:tplc="8834B2B0">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8A6CBA"/>
    <w:multiLevelType w:val="hybridMultilevel"/>
    <w:tmpl w:val="4CEC72E8"/>
    <w:lvl w:ilvl="0" w:tplc="A5B0D41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64027"/>
    <w:multiLevelType w:val="hybridMultilevel"/>
    <w:tmpl w:val="B91C14F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880681"/>
    <w:multiLevelType w:val="hybridMultilevel"/>
    <w:tmpl w:val="5DACE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8A25AB"/>
    <w:multiLevelType w:val="hybridMultilevel"/>
    <w:tmpl w:val="802A3F6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957457"/>
    <w:multiLevelType w:val="hybridMultilevel"/>
    <w:tmpl w:val="137C0232"/>
    <w:lvl w:ilvl="0" w:tplc="731455E2">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2EDD1F39"/>
    <w:multiLevelType w:val="hybridMultilevel"/>
    <w:tmpl w:val="2946C1B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2A74C7"/>
    <w:multiLevelType w:val="multilevel"/>
    <w:tmpl w:val="7502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570416"/>
    <w:multiLevelType w:val="hybridMultilevel"/>
    <w:tmpl w:val="2EE2167A"/>
    <w:lvl w:ilvl="0" w:tplc="BFE2D45A">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1582E59"/>
    <w:multiLevelType w:val="multilevel"/>
    <w:tmpl w:val="A008D5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3CF3A59"/>
    <w:multiLevelType w:val="hybridMultilevel"/>
    <w:tmpl w:val="7646B512"/>
    <w:lvl w:ilvl="0" w:tplc="10E43B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456941"/>
    <w:multiLevelType w:val="hybridMultilevel"/>
    <w:tmpl w:val="E100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0C2589"/>
    <w:multiLevelType w:val="hybridMultilevel"/>
    <w:tmpl w:val="7310CB20"/>
    <w:lvl w:ilvl="0" w:tplc="AE3CCE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2044410"/>
    <w:multiLevelType w:val="hybridMultilevel"/>
    <w:tmpl w:val="A7BA2FE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5" w15:restartNumberingAfterBreak="0">
    <w:nsid w:val="425A281A"/>
    <w:multiLevelType w:val="hybridMultilevel"/>
    <w:tmpl w:val="353A78D6"/>
    <w:lvl w:ilvl="0" w:tplc="5FACE66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533E3C"/>
    <w:multiLevelType w:val="hybridMultilevel"/>
    <w:tmpl w:val="74FC7D60"/>
    <w:lvl w:ilvl="0" w:tplc="5FACE66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2B4C11"/>
    <w:multiLevelType w:val="hybridMultilevel"/>
    <w:tmpl w:val="F1D63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355EB"/>
    <w:multiLevelType w:val="hybridMultilevel"/>
    <w:tmpl w:val="3F2E300C"/>
    <w:lvl w:ilvl="0" w:tplc="4CCEDB9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036804"/>
    <w:multiLevelType w:val="hybridMultilevel"/>
    <w:tmpl w:val="A5B6AAA6"/>
    <w:lvl w:ilvl="0" w:tplc="BCA831E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D280408"/>
    <w:multiLevelType w:val="multilevel"/>
    <w:tmpl w:val="A7FA92A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50119C"/>
    <w:multiLevelType w:val="hybridMultilevel"/>
    <w:tmpl w:val="9618C3E2"/>
    <w:lvl w:ilvl="0" w:tplc="08090005">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2" w15:restartNumberingAfterBreak="0">
    <w:nsid w:val="673F3582"/>
    <w:multiLevelType w:val="hybridMultilevel"/>
    <w:tmpl w:val="D3D4179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024C61"/>
    <w:multiLevelType w:val="hybridMultilevel"/>
    <w:tmpl w:val="BD5ADF5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201EA8"/>
    <w:multiLevelType w:val="hybridMultilevel"/>
    <w:tmpl w:val="9536A382"/>
    <w:lvl w:ilvl="0" w:tplc="5FACE66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E47761"/>
    <w:multiLevelType w:val="hybridMultilevel"/>
    <w:tmpl w:val="51E05724"/>
    <w:lvl w:ilvl="0" w:tplc="5FACE66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69238E"/>
    <w:multiLevelType w:val="hybridMultilevel"/>
    <w:tmpl w:val="760E8EC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3311146">
    <w:abstractNumId w:val="9"/>
  </w:num>
  <w:num w:numId="2" w16cid:durableId="1777018580">
    <w:abstractNumId w:val="7"/>
  </w:num>
  <w:num w:numId="3" w16cid:durableId="1641416671">
    <w:abstractNumId w:val="6"/>
  </w:num>
  <w:num w:numId="4" w16cid:durableId="162823024">
    <w:abstractNumId w:val="5"/>
  </w:num>
  <w:num w:numId="5" w16cid:durableId="1938053647">
    <w:abstractNumId w:val="4"/>
  </w:num>
  <w:num w:numId="6" w16cid:durableId="1983387261">
    <w:abstractNumId w:val="8"/>
  </w:num>
  <w:num w:numId="7" w16cid:durableId="254173140">
    <w:abstractNumId w:val="3"/>
  </w:num>
  <w:num w:numId="8" w16cid:durableId="561136414">
    <w:abstractNumId w:val="2"/>
  </w:num>
  <w:num w:numId="9" w16cid:durableId="1474371748">
    <w:abstractNumId w:val="1"/>
  </w:num>
  <w:num w:numId="10" w16cid:durableId="2043166732">
    <w:abstractNumId w:val="0"/>
  </w:num>
  <w:num w:numId="11" w16cid:durableId="931888481">
    <w:abstractNumId w:val="18"/>
  </w:num>
  <w:num w:numId="12" w16cid:durableId="1956212191">
    <w:abstractNumId w:val="10"/>
  </w:num>
  <w:num w:numId="13" w16cid:durableId="446701756">
    <w:abstractNumId w:val="14"/>
  </w:num>
  <w:num w:numId="14" w16cid:durableId="960769759">
    <w:abstractNumId w:val="22"/>
  </w:num>
  <w:num w:numId="15" w16cid:durableId="605119408">
    <w:abstractNumId w:val="11"/>
  </w:num>
  <w:num w:numId="16" w16cid:durableId="311183810">
    <w:abstractNumId w:val="26"/>
  </w:num>
  <w:num w:numId="17" w16cid:durableId="1432968433">
    <w:abstractNumId w:val="12"/>
  </w:num>
  <w:num w:numId="18" w16cid:durableId="1853102788">
    <w:abstractNumId w:val="32"/>
  </w:num>
  <w:num w:numId="19" w16cid:durableId="1990865799">
    <w:abstractNumId w:val="34"/>
  </w:num>
  <w:num w:numId="20" w16cid:durableId="2088846401">
    <w:abstractNumId w:val="30"/>
  </w:num>
  <w:num w:numId="21" w16cid:durableId="933439649">
    <w:abstractNumId w:val="28"/>
  </w:num>
  <w:num w:numId="22" w16cid:durableId="1915698822">
    <w:abstractNumId w:val="15"/>
  </w:num>
  <w:num w:numId="23" w16cid:durableId="2098404548">
    <w:abstractNumId w:val="31"/>
  </w:num>
  <w:num w:numId="24" w16cid:durableId="1542743731">
    <w:abstractNumId w:val="33"/>
  </w:num>
  <w:num w:numId="25" w16cid:durableId="1888299294">
    <w:abstractNumId w:val="17"/>
  </w:num>
  <w:num w:numId="26" w16cid:durableId="1571697587">
    <w:abstractNumId w:val="24"/>
  </w:num>
  <w:num w:numId="27" w16cid:durableId="135340034">
    <w:abstractNumId w:val="13"/>
  </w:num>
  <w:num w:numId="28" w16cid:durableId="1419714203">
    <w:abstractNumId w:val="23"/>
  </w:num>
  <w:num w:numId="29" w16cid:durableId="984090773">
    <w:abstractNumId w:val="29"/>
  </w:num>
  <w:num w:numId="30" w16cid:durableId="1790591528">
    <w:abstractNumId w:val="25"/>
  </w:num>
  <w:num w:numId="31" w16cid:durableId="13843520">
    <w:abstractNumId w:val="35"/>
  </w:num>
  <w:num w:numId="32" w16cid:durableId="1100488170">
    <w:abstractNumId w:val="21"/>
  </w:num>
  <w:num w:numId="33" w16cid:durableId="448360632">
    <w:abstractNumId w:val="36"/>
  </w:num>
  <w:num w:numId="34" w16cid:durableId="4268505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3553538">
    <w:abstractNumId w:val="16"/>
  </w:num>
  <w:num w:numId="36" w16cid:durableId="1755976130">
    <w:abstractNumId w:val="19"/>
  </w:num>
  <w:num w:numId="37" w16cid:durableId="175874815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YxszS0MDA2NjW0NDRQ0lEKTi0uzszPAykwrgUAYwExECwAAAA="/>
  </w:docVars>
  <w:rsids>
    <w:rsidRoot w:val="00A96899"/>
    <w:rsid w:val="000044C8"/>
    <w:rsid w:val="00004E2F"/>
    <w:rsid w:val="0000752B"/>
    <w:rsid w:val="0001098D"/>
    <w:rsid w:val="0001421D"/>
    <w:rsid w:val="00014F69"/>
    <w:rsid w:val="000171DB"/>
    <w:rsid w:val="00023D9A"/>
    <w:rsid w:val="000309BC"/>
    <w:rsid w:val="00030C10"/>
    <w:rsid w:val="0003582E"/>
    <w:rsid w:val="000372A2"/>
    <w:rsid w:val="00037CD3"/>
    <w:rsid w:val="000407FF"/>
    <w:rsid w:val="00043D75"/>
    <w:rsid w:val="000446CF"/>
    <w:rsid w:val="00052AA2"/>
    <w:rsid w:val="00057000"/>
    <w:rsid w:val="00061B4A"/>
    <w:rsid w:val="00063D7F"/>
    <w:rsid w:val="000640E0"/>
    <w:rsid w:val="00064216"/>
    <w:rsid w:val="000670C5"/>
    <w:rsid w:val="0007498F"/>
    <w:rsid w:val="00081DEE"/>
    <w:rsid w:val="00081E16"/>
    <w:rsid w:val="00086D80"/>
    <w:rsid w:val="000966A8"/>
    <w:rsid w:val="00097543"/>
    <w:rsid w:val="000A0A5C"/>
    <w:rsid w:val="000A20B1"/>
    <w:rsid w:val="000A552F"/>
    <w:rsid w:val="000A5CA2"/>
    <w:rsid w:val="000B209B"/>
    <w:rsid w:val="000C368C"/>
    <w:rsid w:val="000C761E"/>
    <w:rsid w:val="000E00DA"/>
    <w:rsid w:val="000E346A"/>
    <w:rsid w:val="000E3C61"/>
    <w:rsid w:val="000E3E55"/>
    <w:rsid w:val="000E6083"/>
    <w:rsid w:val="000E6125"/>
    <w:rsid w:val="000F0199"/>
    <w:rsid w:val="000F0D48"/>
    <w:rsid w:val="000F2EA5"/>
    <w:rsid w:val="000F33D8"/>
    <w:rsid w:val="000F4945"/>
    <w:rsid w:val="00100BAF"/>
    <w:rsid w:val="00100E72"/>
    <w:rsid w:val="00113DBE"/>
    <w:rsid w:val="00117441"/>
    <w:rsid w:val="001200A6"/>
    <w:rsid w:val="001229AF"/>
    <w:rsid w:val="00122CA9"/>
    <w:rsid w:val="00123285"/>
    <w:rsid w:val="001234BE"/>
    <w:rsid w:val="00123F54"/>
    <w:rsid w:val="001251DA"/>
    <w:rsid w:val="001252BB"/>
    <w:rsid w:val="00125432"/>
    <w:rsid w:val="00126C95"/>
    <w:rsid w:val="001317C8"/>
    <w:rsid w:val="00131ADD"/>
    <w:rsid w:val="00133200"/>
    <w:rsid w:val="0013512B"/>
    <w:rsid w:val="00136A0D"/>
    <w:rsid w:val="00136DBB"/>
    <w:rsid w:val="00136DDD"/>
    <w:rsid w:val="00137F40"/>
    <w:rsid w:val="001443D6"/>
    <w:rsid w:val="00144BDF"/>
    <w:rsid w:val="001547C7"/>
    <w:rsid w:val="00155DDC"/>
    <w:rsid w:val="0016034D"/>
    <w:rsid w:val="00163A97"/>
    <w:rsid w:val="00164DB6"/>
    <w:rsid w:val="00165266"/>
    <w:rsid w:val="001668D5"/>
    <w:rsid w:val="001710A3"/>
    <w:rsid w:val="0018238D"/>
    <w:rsid w:val="00183054"/>
    <w:rsid w:val="001871EC"/>
    <w:rsid w:val="0019003B"/>
    <w:rsid w:val="00190CDD"/>
    <w:rsid w:val="00190D69"/>
    <w:rsid w:val="00193DA2"/>
    <w:rsid w:val="00196A97"/>
    <w:rsid w:val="001A20C3"/>
    <w:rsid w:val="001A4A44"/>
    <w:rsid w:val="001A670F"/>
    <w:rsid w:val="001B018B"/>
    <w:rsid w:val="001B2C4C"/>
    <w:rsid w:val="001B6A45"/>
    <w:rsid w:val="001B7E62"/>
    <w:rsid w:val="001C1003"/>
    <w:rsid w:val="001C62B8"/>
    <w:rsid w:val="001C7729"/>
    <w:rsid w:val="001C7FC7"/>
    <w:rsid w:val="001D087B"/>
    <w:rsid w:val="001D22D8"/>
    <w:rsid w:val="001D3825"/>
    <w:rsid w:val="001D4296"/>
    <w:rsid w:val="001D7114"/>
    <w:rsid w:val="001E01D7"/>
    <w:rsid w:val="001E6142"/>
    <w:rsid w:val="001E7B0E"/>
    <w:rsid w:val="001F141D"/>
    <w:rsid w:val="00200A06"/>
    <w:rsid w:val="00200A98"/>
    <w:rsid w:val="00201AFA"/>
    <w:rsid w:val="00201FA2"/>
    <w:rsid w:val="0020780E"/>
    <w:rsid w:val="0022089D"/>
    <w:rsid w:val="002214D8"/>
    <w:rsid w:val="002229F1"/>
    <w:rsid w:val="002239EB"/>
    <w:rsid w:val="00225C8F"/>
    <w:rsid w:val="002262C2"/>
    <w:rsid w:val="002268A9"/>
    <w:rsid w:val="00233378"/>
    <w:rsid w:val="00233EB7"/>
    <w:rsid w:val="00233F75"/>
    <w:rsid w:val="00240A80"/>
    <w:rsid w:val="00243395"/>
    <w:rsid w:val="0024494E"/>
    <w:rsid w:val="00250188"/>
    <w:rsid w:val="002504AE"/>
    <w:rsid w:val="00253DBE"/>
    <w:rsid w:val="00253DC6"/>
    <w:rsid w:val="0025489C"/>
    <w:rsid w:val="002573F3"/>
    <w:rsid w:val="00257A00"/>
    <w:rsid w:val="002602BD"/>
    <w:rsid w:val="002608C1"/>
    <w:rsid w:val="00260EBE"/>
    <w:rsid w:val="002622FA"/>
    <w:rsid w:val="00263518"/>
    <w:rsid w:val="002655AA"/>
    <w:rsid w:val="00267783"/>
    <w:rsid w:val="00271CE4"/>
    <w:rsid w:val="00273E31"/>
    <w:rsid w:val="002759E7"/>
    <w:rsid w:val="00277326"/>
    <w:rsid w:val="00281A5A"/>
    <w:rsid w:val="002922EF"/>
    <w:rsid w:val="002A018D"/>
    <w:rsid w:val="002A08CC"/>
    <w:rsid w:val="002A11C4"/>
    <w:rsid w:val="002A399B"/>
    <w:rsid w:val="002B2E1E"/>
    <w:rsid w:val="002B4215"/>
    <w:rsid w:val="002C1FFE"/>
    <w:rsid w:val="002C26C0"/>
    <w:rsid w:val="002C2BC5"/>
    <w:rsid w:val="002D0A74"/>
    <w:rsid w:val="002E0407"/>
    <w:rsid w:val="002E393E"/>
    <w:rsid w:val="002E572E"/>
    <w:rsid w:val="002E79C3"/>
    <w:rsid w:val="002E79CB"/>
    <w:rsid w:val="002F0471"/>
    <w:rsid w:val="002F1714"/>
    <w:rsid w:val="002F5401"/>
    <w:rsid w:val="002F7F55"/>
    <w:rsid w:val="00300AA7"/>
    <w:rsid w:val="0030157A"/>
    <w:rsid w:val="003036C9"/>
    <w:rsid w:val="003068C8"/>
    <w:rsid w:val="0030745F"/>
    <w:rsid w:val="00314630"/>
    <w:rsid w:val="0031535E"/>
    <w:rsid w:val="0032090A"/>
    <w:rsid w:val="00321CDE"/>
    <w:rsid w:val="003235F6"/>
    <w:rsid w:val="00324F9D"/>
    <w:rsid w:val="00327661"/>
    <w:rsid w:val="00327C66"/>
    <w:rsid w:val="00330513"/>
    <w:rsid w:val="00333E15"/>
    <w:rsid w:val="00334B26"/>
    <w:rsid w:val="00334B64"/>
    <w:rsid w:val="00340571"/>
    <w:rsid w:val="00343440"/>
    <w:rsid w:val="00346126"/>
    <w:rsid w:val="003571BC"/>
    <w:rsid w:val="0036090C"/>
    <w:rsid w:val="003633EE"/>
    <w:rsid w:val="00364146"/>
    <w:rsid w:val="00364979"/>
    <w:rsid w:val="003671A2"/>
    <w:rsid w:val="003700B8"/>
    <w:rsid w:val="0037562C"/>
    <w:rsid w:val="003856C5"/>
    <w:rsid w:val="00385B9C"/>
    <w:rsid w:val="00385FB5"/>
    <w:rsid w:val="0038715D"/>
    <w:rsid w:val="00387FB6"/>
    <w:rsid w:val="00392E84"/>
    <w:rsid w:val="003934E7"/>
    <w:rsid w:val="00393D42"/>
    <w:rsid w:val="00394DBF"/>
    <w:rsid w:val="003956DE"/>
    <w:rsid w:val="003957A6"/>
    <w:rsid w:val="00396F69"/>
    <w:rsid w:val="003A08C2"/>
    <w:rsid w:val="003A43EF"/>
    <w:rsid w:val="003B1B63"/>
    <w:rsid w:val="003B60A2"/>
    <w:rsid w:val="003C4BDB"/>
    <w:rsid w:val="003C7445"/>
    <w:rsid w:val="003D142B"/>
    <w:rsid w:val="003D536E"/>
    <w:rsid w:val="003E020A"/>
    <w:rsid w:val="003E2807"/>
    <w:rsid w:val="003E39A2"/>
    <w:rsid w:val="003E4994"/>
    <w:rsid w:val="003E57AB"/>
    <w:rsid w:val="003F00B4"/>
    <w:rsid w:val="003F2BED"/>
    <w:rsid w:val="003F3D3B"/>
    <w:rsid w:val="00400B49"/>
    <w:rsid w:val="00402019"/>
    <w:rsid w:val="00403135"/>
    <w:rsid w:val="00404818"/>
    <w:rsid w:val="00405F96"/>
    <w:rsid w:val="00407920"/>
    <w:rsid w:val="0041200C"/>
    <w:rsid w:val="00415516"/>
    <w:rsid w:val="00416CBC"/>
    <w:rsid w:val="00421512"/>
    <w:rsid w:val="00423478"/>
    <w:rsid w:val="004252F9"/>
    <w:rsid w:val="0043323E"/>
    <w:rsid w:val="00440CE2"/>
    <w:rsid w:val="00443878"/>
    <w:rsid w:val="00445173"/>
    <w:rsid w:val="00446BA0"/>
    <w:rsid w:val="004471A6"/>
    <w:rsid w:val="00447406"/>
    <w:rsid w:val="0045334A"/>
    <w:rsid w:val="004539A8"/>
    <w:rsid w:val="00457A87"/>
    <w:rsid w:val="004712CA"/>
    <w:rsid w:val="0047422E"/>
    <w:rsid w:val="0047439E"/>
    <w:rsid w:val="00475204"/>
    <w:rsid w:val="00477F42"/>
    <w:rsid w:val="004815CD"/>
    <w:rsid w:val="00487F88"/>
    <w:rsid w:val="00493C30"/>
    <w:rsid w:val="00496035"/>
    <w:rsid w:val="0049674B"/>
    <w:rsid w:val="004A0E62"/>
    <w:rsid w:val="004A5206"/>
    <w:rsid w:val="004A5E79"/>
    <w:rsid w:val="004A637F"/>
    <w:rsid w:val="004B0B4D"/>
    <w:rsid w:val="004B1A1E"/>
    <w:rsid w:val="004B27F8"/>
    <w:rsid w:val="004B29C4"/>
    <w:rsid w:val="004C0673"/>
    <w:rsid w:val="004C4E4E"/>
    <w:rsid w:val="004C7F97"/>
    <w:rsid w:val="004D0873"/>
    <w:rsid w:val="004D7B40"/>
    <w:rsid w:val="004E301C"/>
    <w:rsid w:val="004F2461"/>
    <w:rsid w:val="004F3816"/>
    <w:rsid w:val="004F3EDA"/>
    <w:rsid w:val="004F500A"/>
    <w:rsid w:val="004F7144"/>
    <w:rsid w:val="00505C3A"/>
    <w:rsid w:val="005126A0"/>
    <w:rsid w:val="005179B9"/>
    <w:rsid w:val="00522D80"/>
    <w:rsid w:val="005241E8"/>
    <w:rsid w:val="00530AC3"/>
    <w:rsid w:val="00530E99"/>
    <w:rsid w:val="005343F7"/>
    <w:rsid w:val="00534E9B"/>
    <w:rsid w:val="005354EA"/>
    <w:rsid w:val="005356EA"/>
    <w:rsid w:val="005400C6"/>
    <w:rsid w:val="00540F4B"/>
    <w:rsid w:val="00543D41"/>
    <w:rsid w:val="00543ED8"/>
    <w:rsid w:val="00545472"/>
    <w:rsid w:val="005473E5"/>
    <w:rsid w:val="00550B1A"/>
    <w:rsid w:val="00553466"/>
    <w:rsid w:val="00555DDF"/>
    <w:rsid w:val="005571A4"/>
    <w:rsid w:val="00566EDA"/>
    <w:rsid w:val="0056783D"/>
    <w:rsid w:val="0057081A"/>
    <w:rsid w:val="005708E5"/>
    <w:rsid w:val="00572654"/>
    <w:rsid w:val="0057453A"/>
    <w:rsid w:val="00575E07"/>
    <w:rsid w:val="00576327"/>
    <w:rsid w:val="00576428"/>
    <w:rsid w:val="00583DC1"/>
    <w:rsid w:val="00592102"/>
    <w:rsid w:val="00595A4F"/>
    <w:rsid w:val="005976A1"/>
    <w:rsid w:val="005A05C8"/>
    <w:rsid w:val="005A0CE8"/>
    <w:rsid w:val="005A2D6F"/>
    <w:rsid w:val="005A34E7"/>
    <w:rsid w:val="005B3020"/>
    <w:rsid w:val="005B5629"/>
    <w:rsid w:val="005B6C09"/>
    <w:rsid w:val="005C0300"/>
    <w:rsid w:val="005C1C4B"/>
    <w:rsid w:val="005C221D"/>
    <w:rsid w:val="005C27A2"/>
    <w:rsid w:val="005D4FEB"/>
    <w:rsid w:val="005D5E99"/>
    <w:rsid w:val="005D65ED"/>
    <w:rsid w:val="005D756D"/>
    <w:rsid w:val="005E0DBB"/>
    <w:rsid w:val="005E0E6C"/>
    <w:rsid w:val="005E320A"/>
    <w:rsid w:val="005E5E16"/>
    <w:rsid w:val="005F4B6A"/>
    <w:rsid w:val="005F6444"/>
    <w:rsid w:val="006010F3"/>
    <w:rsid w:val="00610B5B"/>
    <w:rsid w:val="00615A0A"/>
    <w:rsid w:val="00617E0A"/>
    <w:rsid w:val="006333D4"/>
    <w:rsid w:val="0063358C"/>
    <w:rsid w:val="00634E68"/>
    <w:rsid w:val="006369B2"/>
    <w:rsid w:val="0063718D"/>
    <w:rsid w:val="006420A3"/>
    <w:rsid w:val="00647525"/>
    <w:rsid w:val="00647A71"/>
    <w:rsid w:val="00652184"/>
    <w:rsid w:val="006530A8"/>
    <w:rsid w:val="0065697C"/>
    <w:rsid w:val="006570B0"/>
    <w:rsid w:val="0066022F"/>
    <w:rsid w:val="006723BA"/>
    <w:rsid w:val="006742B2"/>
    <w:rsid w:val="006760CE"/>
    <w:rsid w:val="00676EB4"/>
    <w:rsid w:val="00677B8B"/>
    <w:rsid w:val="006823F3"/>
    <w:rsid w:val="00687846"/>
    <w:rsid w:val="0069210B"/>
    <w:rsid w:val="00692C2F"/>
    <w:rsid w:val="00693AD8"/>
    <w:rsid w:val="00695DD7"/>
    <w:rsid w:val="006970B6"/>
    <w:rsid w:val="006A01AE"/>
    <w:rsid w:val="006A11F7"/>
    <w:rsid w:val="006A4055"/>
    <w:rsid w:val="006A7C27"/>
    <w:rsid w:val="006B2FE4"/>
    <w:rsid w:val="006B37B0"/>
    <w:rsid w:val="006B7AEF"/>
    <w:rsid w:val="006C103E"/>
    <w:rsid w:val="006C5641"/>
    <w:rsid w:val="006D0CA2"/>
    <w:rsid w:val="006D1089"/>
    <w:rsid w:val="006D1B86"/>
    <w:rsid w:val="006D7355"/>
    <w:rsid w:val="006E452E"/>
    <w:rsid w:val="006E4762"/>
    <w:rsid w:val="006F06D6"/>
    <w:rsid w:val="006F7DEE"/>
    <w:rsid w:val="00700CDE"/>
    <w:rsid w:val="00701E3B"/>
    <w:rsid w:val="00702519"/>
    <w:rsid w:val="007026F0"/>
    <w:rsid w:val="007108A5"/>
    <w:rsid w:val="00715CA6"/>
    <w:rsid w:val="007207BB"/>
    <w:rsid w:val="007217D2"/>
    <w:rsid w:val="00721AFB"/>
    <w:rsid w:val="0072269D"/>
    <w:rsid w:val="0072701F"/>
    <w:rsid w:val="00731135"/>
    <w:rsid w:val="007324AF"/>
    <w:rsid w:val="00732AE9"/>
    <w:rsid w:val="0073440C"/>
    <w:rsid w:val="00737154"/>
    <w:rsid w:val="007409B4"/>
    <w:rsid w:val="00741974"/>
    <w:rsid w:val="00741BAD"/>
    <w:rsid w:val="0074523E"/>
    <w:rsid w:val="0075525E"/>
    <w:rsid w:val="007558CB"/>
    <w:rsid w:val="00756D3D"/>
    <w:rsid w:val="00757A32"/>
    <w:rsid w:val="00762C3B"/>
    <w:rsid w:val="0076345B"/>
    <w:rsid w:val="007713D9"/>
    <w:rsid w:val="00776BED"/>
    <w:rsid w:val="00780072"/>
    <w:rsid w:val="007806C2"/>
    <w:rsid w:val="00781FEE"/>
    <w:rsid w:val="00782769"/>
    <w:rsid w:val="00786141"/>
    <w:rsid w:val="007901E5"/>
    <w:rsid w:val="007903F8"/>
    <w:rsid w:val="00790D46"/>
    <w:rsid w:val="00791388"/>
    <w:rsid w:val="00793D1B"/>
    <w:rsid w:val="00794F4F"/>
    <w:rsid w:val="00795527"/>
    <w:rsid w:val="007974BE"/>
    <w:rsid w:val="007A004A"/>
    <w:rsid w:val="007A0916"/>
    <w:rsid w:val="007A0DFD"/>
    <w:rsid w:val="007A0ED6"/>
    <w:rsid w:val="007A1643"/>
    <w:rsid w:val="007A5784"/>
    <w:rsid w:val="007A69DA"/>
    <w:rsid w:val="007B356A"/>
    <w:rsid w:val="007B7FAE"/>
    <w:rsid w:val="007C02F4"/>
    <w:rsid w:val="007C269C"/>
    <w:rsid w:val="007C5B26"/>
    <w:rsid w:val="007C7122"/>
    <w:rsid w:val="007C7D9E"/>
    <w:rsid w:val="007D3F11"/>
    <w:rsid w:val="007D72B7"/>
    <w:rsid w:val="007E14F1"/>
    <w:rsid w:val="007E25C4"/>
    <w:rsid w:val="007E28BE"/>
    <w:rsid w:val="007E2C69"/>
    <w:rsid w:val="007E53E4"/>
    <w:rsid w:val="007E656A"/>
    <w:rsid w:val="007F026C"/>
    <w:rsid w:val="007F0F82"/>
    <w:rsid w:val="007F135A"/>
    <w:rsid w:val="007F3CAA"/>
    <w:rsid w:val="007F664D"/>
    <w:rsid w:val="007F6D2F"/>
    <w:rsid w:val="00806C24"/>
    <w:rsid w:val="00810C9F"/>
    <w:rsid w:val="008214E4"/>
    <w:rsid w:val="0082368B"/>
    <w:rsid w:val="0082472D"/>
    <w:rsid w:val="00824EA9"/>
    <w:rsid w:val="008264E8"/>
    <w:rsid w:val="00827E82"/>
    <w:rsid w:val="008328BB"/>
    <w:rsid w:val="00834D65"/>
    <w:rsid w:val="00837203"/>
    <w:rsid w:val="00837417"/>
    <w:rsid w:val="008379F0"/>
    <w:rsid w:val="008405C4"/>
    <w:rsid w:val="00840B88"/>
    <w:rsid w:val="00842137"/>
    <w:rsid w:val="00845F60"/>
    <w:rsid w:val="008479D6"/>
    <w:rsid w:val="00853F5F"/>
    <w:rsid w:val="00856C7A"/>
    <w:rsid w:val="008573B3"/>
    <w:rsid w:val="00857CA2"/>
    <w:rsid w:val="008611B8"/>
    <w:rsid w:val="008615DA"/>
    <w:rsid w:val="00861E87"/>
    <w:rsid w:val="008623ED"/>
    <w:rsid w:val="008675F3"/>
    <w:rsid w:val="008702B6"/>
    <w:rsid w:val="0087584E"/>
    <w:rsid w:val="00875AA6"/>
    <w:rsid w:val="00876C9F"/>
    <w:rsid w:val="00880944"/>
    <w:rsid w:val="00881427"/>
    <w:rsid w:val="00882547"/>
    <w:rsid w:val="0089088E"/>
    <w:rsid w:val="00892297"/>
    <w:rsid w:val="008964D6"/>
    <w:rsid w:val="0089661B"/>
    <w:rsid w:val="0089733C"/>
    <w:rsid w:val="0089792D"/>
    <w:rsid w:val="008A41C4"/>
    <w:rsid w:val="008A6587"/>
    <w:rsid w:val="008B0017"/>
    <w:rsid w:val="008B46F9"/>
    <w:rsid w:val="008B5123"/>
    <w:rsid w:val="008B652F"/>
    <w:rsid w:val="008B71FD"/>
    <w:rsid w:val="008C1A20"/>
    <w:rsid w:val="008C4A62"/>
    <w:rsid w:val="008C66A7"/>
    <w:rsid w:val="008D025F"/>
    <w:rsid w:val="008D3E44"/>
    <w:rsid w:val="008D7D4E"/>
    <w:rsid w:val="008E0172"/>
    <w:rsid w:val="008E27F8"/>
    <w:rsid w:val="008E3C05"/>
    <w:rsid w:val="008F1B4A"/>
    <w:rsid w:val="008F2937"/>
    <w:rsid w:val="00902B1B"/>
    <w:rsid w:val="009033BE"/>
    <w:rsid w:val="00905EAD"/>
    <w:rsid w:val="0093162D"/>
    <w:rsid w:val="00932961"/>
    <w:rsid w:val="009329FF"/>
    <w:rsid w:val="009354CF"/>
    <w:rsid w:val="00936852"/>
    <w:rsid w:val="0094045D"/>
    <w:rsid w:val="009406B5"/>
    <w:rsid w:val="00946166"/>
    <w:rsid w:val="00961070"/>
    <w:rsid w:val="00962C88"/>
    <w:rsid w:val="009632EB"/>
    <w:rsid w:val="00967619"/>
    <w:rsid w:val="00974E0E"/>
    <w:rsid w:val="009800D9"/>
    <w:rsid w:val="00983164"/>
    <w:rsid w:val="0098553E"/>
    <w:rsid w:val="00991F39"/>
    <w:rsid w:val="00995478"/>
    <w:rsid w:val="0099668D"/>
    <w:rsid w:val="009972D1"/>
    <w:rsid w:val="009972EF"/>
    <w:rsid w:val="009A41DB"/>
    <w:rsid w:val="009A6D7D"/>
    <w:rsid w:val="009B5035"/>
    <w:rsid w:val="009C3160"/>
    <w:rsid w:val="009D644B"/>
    <w:rsid w:val="009D6F2F"/>
    <w:rsid w:val="009E63CE"/>
    <w:rsid w:val="009E766E"/>
    <w:rsid w:val="009F1960"/>
    <w:rsid w:val="009F239D"/>
    <w:rsid w:val="009F2C0A"/>
    <w:rsid w:val="009F474C"/>
    <w:rsid w:val="009F4B1A"/>
    <w:rsid w:val="009F5A64"/>
    <w:rsid w:val="009F715E"/>
    <w:rsid w:val="009F79E0"/>
    <w:rsid w:val="00A1003B"/>
    <w:rsid w:val="00A10DBB"/>
    <w:rsid w:val="00A11720"/>
    <w:rsid w:val="00A21247"/>
    <w:rsid w:val="00A232DE"/>
    <w:rsid w:val="00A24E35"/>
    <w:rsid w:val="00A25988"/>
    <w:rsid w:val="00A31D47"/>
    <w:rsid w:val="00A33145"/>
    <w:rsid w:val="00A3675C"/>
    <w:rsid w:val="00A4013E"/>
    <w:rsid w:val="00A4045F"/>
    <w:rsid w:val="00A427CD"/>
    <w:rsid w:val="00A42C40"/>
    <w:rsid w:val="00A437A3"/>
    <w:rsid w:val="00A43FE8"/>
    <w:rsid w:val="00A44456"/>
    <w:rsid w:val="00A45FEE"/>
    <w:rsid w:val="00A4600B"/>
    <w:rsid w:val="00A50316"/>
    <w:rsid w:val="00A50506"/>
    <w:rsid w:val="00A51EF0"/>
    <w:rsid w:val="00A604D4"/>
    <w:rsid w:val="00A610D3"/>
    <w:rsid w:val="00A67A81"/>
    <w:rsid w:val="00A7032B"/>
    <w:rsid w:val="00A70B27"/>
    <w:rsid w:val="00A723C3"/>
    <w:rsid w:val="00A730A6"/>
    <w:rsid w:val="00A73C42"/>
    <w:rsid w:val="00A755F3"/>
    <w:rsid w:val="00A82432"/>
    <w:rsid w:val="00A82990"/>
    <w:rsid w:val="00A84345"/>
    <w:rsid w:val="00A87647"/>
    <w:rsid w:val="00A95506"/>
    <w:rsid w:val="00A96899"/>
    <w:rsid w:val="00A971A0"/>
    <w:rsid w:val="00AA04DA"/>
    <w:rsid w:val="00AA0901"/>
    <w:rsid w:val="00AA0D5F"/>
    <w:rsid w:val="00AA0F3F"/>
    <w:rsid w:val="00AA1186"/>
    <w:rsid w:val="00AA1F22"/>
    <w:rsid w:val="00AB1228"/>
    <w:rsid w:val="00AB3EC1"/>
    <w:rsid w:val="00AC0EAD"/>
    <w:rsid w:val="00AC4F83"/>
    <w:rsid w:val="00AD08B8"/>
    <w:rsid w:val="00AD26D2"/>
    <w:rsid w:val="00AD5515"/>
    <w:rsid w:val="00AE014A"/>
    <w:rsid w:val="00AE0C8E"/>
    <w:rsid w:val="00AE2815"/>
    <w:rsid w:val="00AF2567"/>
    <w:rsid w:val="00AF4251"/>
    <w:rsid w:val="00B03A12"/>
    <w:rsid w:val="00B05821"/>
    <w:rsid w:val="00B100D6"/>
    <w:rsid w:val="00B13C67"/>
    <w:rsid w:val="00B151D1"/>
    <w:rsid w:val="00B164C9"/>
    <w:rsid w:val="00B21C4D"/>
    <w:rsid w:val="00B23840"/>
    <w:rsid w:val="00B25947"/>
    <w:rsid w:val="00B26C28"/>
    <w:rsid w:val="00B34E4B"/>
    <w:rsid w:val="00B35A0C"/>
    <w:rsid w:val="00B4174C"/>
    <w:rsid w:val="00B453F5"/>
    <w:rsid w:val="00B4778F"/>
    <w:rsid w:val="00B504A9"/>
    <w:rsid w:val="00B52C84"/>
    <w:rsid w:val="00B61624"/>
    <w:rsid w:val="00B62526"/>
    <w:rsid w:val="00B64B23"/>
    <w:rsid w:val="00B658CC"/>
    <w:rsid w:val="00B66481"/>
    <w:rsid w:val="00B67F95"/>
    <w:rsid w:val="00B7189C"/>
    <w:rsid w:val="00B718A5"/>
    <w:rsid w:val="00B737D6"/>
    <w:rsid w:val="00B74EA2"/>
    <w:rsid w:val="00B82C1A"/>
    <w:rsid w:val="00B856B8"/>
    <w:rsid w:val="00B97BBD"/>
    <w:rsid w:val="00BA0348"/>
    <w:rsid w:val="00BA788A"/>
    <w:rsid w:val="00BB4983"/>
    <w:rsid w:val="00BB714C"/>
    <w:rsid w:val="00BB7597"/>
    <w:rsid w:val="00BC5E17"/>
    <w:rsid w:val="00BC62E2"/>
    <w:rsid w:val="00BD7268"/>
    <w:rsid w:val="00BE0F6B"/>
    <w:rsid w:val="00BE17BB"/>
    <w:rsid w:val="00BE2DA2"/>
    <w:rsid w:val="00BE3959"/>
    <w:rsid w:val="00BE4C8B"/>
    <w:rsid w:val="00BE5109"/>
    <w:rsid w:val="00BF697A"/>
    <w:rsid w:val="00C0053C"/>
    <w:rsid w:val="00C122EC"/>
    <w:rsid w:val="00C1502E"/>
    <w:rsid w:val="00C240B0"/>
    <w:rsid w:val="00C24680"/>
    <w:rsid w:val="00C26FFE"/>
    <w:rsid w:val="00C31D34"/>
    <w:rsid w:val="00C32ED0"/>
    <w:rsid w:val="00C34FAF"/>
    <w:rsid w:val="00C42125"/>
    <w:rsid w:val="00C610E0"/>
    <w:rsid w:val="00C62814"/>
    <w:rsid w:val="00C667B3"/>
    <w:rsid w:val="00C67B25"/>
    <w:rsid w:val="00C67CB3"/>
    <w:rsid w:val="00C74034"/>
    <w:rsid w:val="00C748F7"/>
    <w:rsid w:val="00C74937"/>
    <w:rsid w:val="00C80B11"/>
    <w:rsid w:val="00C84799"/>
    <w:rsid w:val="00CA0656"/>
    <w:rsid w:val="00CA25C9"/>
    <w:rsid w:val="00CA2B99"/>
    <w:rsid w:val="00CA5DD4"/>
    <w:rsid w:val="00CA7FCD"/>
    <w:rsid w:val="00CB2599"/>
    <w:rsid w:val="00CB35DE"/>
    <w:rsid w:val="00CB541E"/>
    <w:rsid w:val="00CB5AEE"/>
    <w:rsid w:val="00CB7876"/>
    <w:rsid w:val="00CC2095"/>
    <w:rsid w:val="00CC2B00"/>
    <w:rsid w:val="00CC386F"/>
    <w:rsid w:val="00CC428D"/>
    <w:rsid w:val="00CD075F"/>
    <w:rsid w:val="00CD1089"/>
    <w:rsid w:val="00CD2139"/>
    <w:rsid w:val="00CD3D14"/>
    <w:rsid w:val="00CE0E5A"/>
    <w:rsid w:val="00CE156B"/>
    <w:rsid w:val="00CE5986"/>
    <w:rsid w:val="00CF0592"/>
    <w:rsid w:val="00CF341E"/>
    <w:rsid w:val="00CF5EBA"/>
    <w:rsid w:val="00D00ABE"/>
    <w:rsid w:val="00D077D5"/>
    <w:rsid w:val="00D21192"/>
    <w:rsid w:val="00D22B9D"/>
    <w:rsid w:val="00D22E12"/>
    <w:rsid w:val="00D2486A"/>
    <w:rsid w:val="00D24F83"/>
    <w:rsid w:val="00D26477"/>
    <w:rsid w:val="00D30F7C"/>
    <w:rsid w:val="00D318E8"/>
    <w:rsid w:val="00D32466"/>
    <w:rsid w:val="00D374B8"/>
    <w:rsid w:val="00D411EF"/>
    <w:rsid w:val="00D502AD"/>
    <w:rsid w:val="00D55FAE"/>
    <w:rsid w:val="00D5751A"/>
    <w:rsid w:val="00D57B03"/>
    <w:rsid w:val="00D6358D"/>
    <w:rsid w:val="00D647EF"/>
    <w:rsid w:val="00D72A61"/>
    <w:rsid w:val="00D73137"/>
    <w:rsid w:val="00D7718D"/>
    <w:rsid w:val="00D8145D"/>
    <w:rsid w:val="00D84188"/>
    <w:rsid w:val="00D868E6"/>
    <w:rsid w:val="00D91AD7"/>
    <w:rsid w:val="00D92731"/>
    <w:rsid w:val="00D977A2"/>
    <w:rsid w:val="00D97A98"/>
    <w:rsid w:val="00DA0B76"/>
    <w:rsid w:val="00DA1D47"/>
    <w:rsid w:val="00DA284D"/>
    <w:rsid w:val="00DA67DE"/>
    <w:rsid w:val="00DB0706"/>
    <w:rsid w:val="00DB48B8"/>
    <w:rsid w:val="00DC1203"/>
    <w:rsid w:val="00DC6F35"/>
    <w:rsid w:val="00DC7517"/>
    <w:rsid w:val="00DD50DE"/>
    <w:rsid w:val="00DD7A20"/>
    <w:rsid w:val="00DE2425"/>
    <w:rsid w:val="00DE3062"/>
    <w:rsid w:val="00DF35CA"/>
    <w:rsid w:val="00DF4B47"/>
    <w:rsid w:val="00E0581D"/>
    <w:rsid w:val="00E11462"/>
    <w:rsid w:val="00E1590B"/>
    <w:rsid w:val="00E204DD"/>
    <w:rsid w:val="00E228B7"/>
    <w:rsid w:val="00E25C76"/>
    <w:rsid w:val="00E30367"/>
    <w:rsid w:val="00E34E20"/>
    <w:rsid w:val="00E353EC"/>
    <w:rsid w:val="00E353ED"/>
    <w:rsid w:val="00E37672"/>
    <w:rsid w:val="00E40FF8"/>
    <w:rsid w:val="00E4368B"/>
    <w:rsid w:val="00E44D15"/>
    <w:rsid w:val="00E47546"/>
    <w:rsid w:val="00E51F61"/>
    <w:rsid w:val="00E53C24"/>
    <w:rsid w:val="00E56E77"/>
    <w:rsid w:val="00E6415F"/>
    <w:rsid w:val="00E66987"/>
    <w:rsid w:val="00E678ED"/>
    <w:rsid w:val="00E723C7"/>
    <w:rsid w:val="00E735D0"/>
    <w:rsid w:val="00E757CD"/>
    <w:rsid w:val="00E77DF8"/>
    <w:rsid w:val="00E81B98"/>
    <w:rsid w:val="00E81CD5"/>
    <w:rsid w:val="00E916AF"/>
    <w:rsid w:val="00E91DF9"/>
    <w:rsid w:val="00E96D87"/>
    <w:rsid w:val="00EA0BE7"/>
    <w:rsid w:val="00EA20CC"/>
    <w:rsid w:val="00EB016D"/>
    <w:rsid w:val="00EB444D"/>
    <w:rsid w:val="00EC3F78"/>
    <w:rsid w:val="00EC49D2"/>
    <w:rsid w:val="00EC6C0F"/>
    <w:rsid w:val="00EE038D"/>
    <w:rsid w:val="00EE1A06"/>
    <w:rsid w:val="00EE2008"/>
    <w:rsid w:val="00EE5201"/>
    <w:rsid w:val="00EE5C0D"/>
    <w:rsid w:val="00EE79EF"/>
    <w:rsid w:val="00EF0750"/>
    <w:rsid w:val="00EF1FC4"/>
    <w:rsid w:val="00EF2AC4"/>
    <w:rsid w:val="00EF4792"/>
    <w:rsid w:val="00F02294"/>
    <w:rsid w:val="00F07CAA"/>
    <w:rsid w:val="00F07F54"/>
    <w:rsid w:val="00F149BB"/>
    <w:rsid w:val="00F17A30"/>
    <w:rsid w:val="00F20D71"/>
    <w:rsid w:val="00F24DFE"/>
    <w:rsid w:val="00F25D3D"/>
    <w:rsid w:val="00F30DE7"/>
    <w:rsid w:val="00F3216C"/>
    <w:rsid w:val="00F35F57"/>
    <w:rsid w:val="00F41844"/>
    <w:rsid w:val="00F440D7"/>
    <w:rsid w:val="00F4464E"/>
    <w:rsid w:val="00F50467"/>
    <w:rsid w:val="00F562A0"/>
    <w:rsid w:val="00F57FA4"/>
    <w:rsid w:val="00F66570"/>
    <w:rsid w:val="00F741DB"/>
    <w:rsid w:val="00F85BC9"/>
    <w:rsid w:val="00F85FEF"/>
    <w:rsid w:val="00F90763"/>
    <w:rsid w:val="00F9181A"/>
    <w:rsid w:val="00F93855"/>
    <w:rsid w:val="00F97827"/>
    <w:rsid w:val="00FA02CB"/>
    <w:rsid w:val="00FA2177"/>
    <w:rsid w:val="00FA7723"/>
    <w:rsid w:val="00FB0783"/>
    <w:rsid w:val="00FB2FC0"/>
    <w:rsid w:val="00FB7A8B"/>
    <w:rsid w:val="00FC2452"/>
    <w:rsid w:val="00FC2485"/>
    <w:rsid w:val="00FC7368"/>
    <w:rsid w:val="00FD1645"/>
    <w:rsid w:val="00FD439E"/>
    <w:rsid w:val="00FD54AC"/>
    <w:rsid w:val="00FD69E3"/>
    <w:rsid w:val="00FD76CB"/>
    <w:rsid w:val="00FD7AB6"/>
    <w:rsid w:val="00FE1015"/>
    <w:rsid w:val="00FE152B"/>
    <w:rsid w:val="00FE239E"/>
    <w:rsid w:val="00FE73BA"/>
    <w:rsid w:val="00FE76CA"/>
    <w:rsid w:val="00FF1151"/>
    <w:rsid w:val="00FF343B"/>
    <w:rsid w:val="00FF4546"/>
    <w:rsid w:val="00FF4FF7"/>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36B43"/>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3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uiPriority w:val="39"/>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character" w:styleId="FollowedHyperlink">
    <w:name w:val="FollowedHyperlink"/>
    <w:basedOn w:val="DefaultParagraphFont"/>
    <w:uiPriority w:val="99"/>
    <w:semiHidden/>
    <w:unhideWhenUsed/>
    <w:rsid w:val="00AD26D2"/>
    <w:rPr>
      <w:color w:val="954F72" w:themeColor="followedHyperlink"/>
      <w:u w:val="single"/>
    </w:rPr>
  </w:style>
  <w:style w:type="paragraph" w:styleId="ListParagraph">
    <w:name w:val="List Paragraph"/>
    <w:basedOn w:val="Normal"/>
    <w:uiPriority w:val="34"/>
    <w:qFormat/>
    <w:rsid w:val="00A87647"/>
    <w:pPr>
      <w:ind w:left="720"/>
      <w:contextualSpacing/>
    </w:pPr>
  </w:style>
  <w:style w:type="table" w:styleId="TableGrid">
    <w:name w:val="Table Grid"/>
    <w:basedOn w:val="TableNormal"/>
    <w:uiPriority w:val="39"/>
    <w:rsid w:val="00FE1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702B6"/>
    <w:rPr>
      <w:color w:val="605E5C"/>
      <w:shd w:val="clear" w:color="auto" w:fill="E1DFDD"/>
    </w:rPr>
  </w:style>
  <w:style w:type="character" w:customStyle="1" w:styleId="UnresolvedMention2">
    <w:name w:val="Unresolved Mention2"/>
    <w:basedOn w:val="DefaultParagraphFont"/>
    <w:uiPriority w:val="99"/>
    <w:semiHidden/>
    <w:unhideWhenUsed/>
    <w:rsid w:val="00364146"/>
    <w:rPr>
      <w:color w:val="605E5C"/>
      <w:shd w:val="clear" w:color="auto" w:fill="E1DFDD"/>
    </w:rPr>
  </w:style>
  <w:style w:type="character" w:styleId="CommentReference">
    <w:name w:val="annotation reference"/>
    <w:basedOn w:val="DefaultParagraphFont"/>
    <w:uiPriority w:val="99"/>
    <w:semiHidden/>
    <w:unhideWhenUsed/>
    <w:rsid w:val="007F6D2F"/>
    <w:rPr>
      <w:sz w:val="16"/>
      <w:szCs w:val="16"/>
    </w:rPr>
  </w:style>
  <w:style w:type="paragraph" w:styleId="CommentText">
    <w:name w:val="annotation text"/>
    <w:basedOn w:val="Normal"/>
    <w:link w:val="CommentTextChar"/>
    <w:uiPriority w:val="99"/>
    <w:semiHidden/>
    <w:unhideWhenUsed/>
    <w:rsid w:val="007F6D2F"/>
    <w:rPr>
      <w:sz w:val="20"/>
      <w:szCs w:val="20"/>
    </w:rPr>
  </w:style>
  <w:style w:type="character" w:customStyle="1" w:styleId="CommentTextChar">
    <w:name w:val="Comment Text Char"/>
    <w:basedOn w:val="DefaultParagraphFont"/>
    <w:link w:val="CommentText"/>
    <w:uiPriority w:val="99"/>
    <w:semiHidden/>
    <w:rsid w:val="007F6D2F"/>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F6D2F"/>
    <w:rPr>
      <w:b/>
      <w:bCs/>
    </w:rPr>
  </w:style>
  <w:style w:type="character" w:customStyle="1" w:styleId="CommentSubjectChar">
    <w:name w:val="Comment Subject Char"/>
    <w:basedOn w:val="CommentTextChar"/>
    <w:link w:val="CommentSubject"/>
    <w:uiPriority w:val="99"/>
    <w:semiHidden/>
    <w:rsid w:val="007F6D2F"/>
    <w:rPr>
      <w:rFonts w:ascii="Times New Roman" w:hAnsi="Times New Roman" w:cs="Times New Roman"/>
      <w:b/>
      <w:bCs/>
      <w:sz w:val="20"/>
      <w:szCs w:val="20"/>
      <w:lang w:val="en-GB" w:eastAsia="ja-JP"/>
    </w:rPr>
  </w:style>
  <w:style w:type="paragraph" w:styleId="TOCHeading">
    <w:name w:val="TOC Heading"/>
    <w:basedOn w:val="Heading1"/>
    <w:next w:val="Normal"/>
    <w:uiPriority w:val="39"/>
    <w:unhideWhenUsed/>
    <w:qFormat/>
    <w:rsid w:val="008B46F9"/>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customStyle="1" w:styleId="UnresolvedMention3">
    <w:name w:val="Unresolved Mention3"/>
    <w:basedOn w:val="DefaultParagraphFont"/>
    <w:uiPriority w:val="99"/>
    <w:semiHidden/>
    <w:unhideWhenUsed/>
    <w:rsid w:val="001C7729"/>
    <w:rPr>
      <w:color w:val="605E5C"/>
      <w:shd w:val="clear" w:color="auto" w:fill="E1DFDD"/>
    </w:rPr>
  </w:style>
  <w:style w:type="character" w:customStyle="1" w:styleId="UnresolvedMention4">
    <w:name w:val="Unresolved Mention4"/>
    <w:basedOn w:val="DefaultParagraphFont"/>
    <w:uiPriority w:val="99"/>
    <w:semiHidden/>
    <w:unhideWhenUsed/>
    <w:rsid w:val="00505C3A"/>
    <w:rPr>
      <w:color w:val="605E5C"/>
      <w:shd w:val="clear" w:color="auto" w:fill="E1DFDD"/>
    </w:rPr>
  </w:style>
  <w:style w:type="character" w:customStyle="1" w:styleId="UnresolvedMention5">
    <w:name w:val="Unresolved Mention5"/>
    <w:basedOn w:val="DefaultParagraphFont"/>
    <w:uiPriority w:val="99"/>
    <w:semiHidden/>
    <w:unhideWhenUsed/>
    <w:rsid w:val="004F2461"/>
    <w:rPr>
      <w:color w:val="605E5C"/>
      <w:shd w:val="clear" w:color="auto" w:fill="E1DFDD"/>
    </w:rPr>
  </w:style>
  <w:style w:type="character" w:styleId="UnresolvedMention">
    <w:name w:val="Unresolved Mention"/>
    <w:basedOn w:val="DefaultParagraphFont"/>
    <w:uiPriority w:val="99"/>
    <w:semiHidden/>
    <w:unhideWhenUsed/>
    <w:rsid w:val="003F00B4"/>
    <w:rPr>
      <w:color w:val="605E5C"/>
      <w:shd w:val="clear" w:color="auto" w:fill="E1DFDD"/>
    </w:rPr>
  </w:style>
  <w:style w:type="paragraph" w:styleId="Revision">
    <w:name w:val="Revision"/>
    <w:hidden/>
    <w:uiPriority w:val="99"/>
    <w:semiHidden/>
    <w:rsid w:val="008C1A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22D80"/>
  </w:style>
  <w:style w:type="paragraph" w:styleId="FootnoteText">
    <w:name w:val="footnote text"/>
    <w:basedOn w:val="Normal"/>
    <w:link w:val="FootnoteTextChar"/>
    <w:uiPriority w:val="99"/>
    <w:semiHidden/>
    <w:unhideWhenUsed/>
    <w:rsid w:val="00B35A0C"/>
    <w:pPr>
      <w:spacing w:before="0"/>
    </w:pPr>
    <w:rPr>
      <w:sz w:val="20"/>
      <w:szCs w:val="20"/>
    </w:rPr>
  </w:style>
  <w:style w:type="character" w:customStyle="1" w:styleId="FootnoteTextChar">
    <w:name w:val="Footnote Text Char"/>
    <w:basedOn w:val="DefaultParagraphFont"/>
    <w:link w:val="FootnoteText"/>
    <w:uiPriority w:val="99"/>
    <w:semiHidden/>
    <w:rsid w:val="00B35A0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B35A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08137">
      <w:bodyDiv w:val="1"/>
      <w:marLeft w:val="0"/>
      <w:marRight w:val="0"/>
      <w:marTop w:val="0"/>
      <w:marBottom w:val="0"/>
      <w:divBdr>
        <w:top w:val="none" w:sz="0" w:space="0" w:color="auto"/>
        <w:left w:val="none" w:sz="0" w:space="0" w:color="auto"/>
        <w:bottom w:val="none" w:sz="0" w:space="0" w:color="auto"/>
        <w:right w:val="none" w:sz="0" w:space="0" w:color="auto"/>
      </w:divBdr>
    </w:div>
    <w:div w:id="170486795">
      <w:bodyDiv w:val="1"/>
      <w:marLeft w:val="0"/>
      <w:marRight w:val="0"/>
      <w:marTop w:val="0"/>
      <w:marBottom w:val="0"/>
      <w:divBdr>
        <w:top w:val="none" w:sz="0" w:space="0" w:color="auto"/>
        <w:left w:val="none" w:sz="0" w:space="0" w:color="auto"/>
        <w:bottom w:val="none" w:sz="0" w:space="0" w:color="auto"/>
        <w:right w:val="none" w:sz="0" w:space="0" w:color="auto"/>
      </w:divBdr>
    </w:div>
    <w:div w:id="175315805">
      <w:bodyDiv w:val="1"/>
      <w:marLeft w:val="0"/>
      <w:marRight w:val="0"/>
      <w:marTop w:val="0"/>
      <w:marBottom w:val="0"/>
      <w:divBdr>
        <w:top w:val="none" w:sz="0" w:space="0" w:color="auto"/>
        <w:left w:val="none" w:sz="0" w:space="0" w:color="auto"/>
        <w:bottom w:val="none" w:sz="0" w:space="0" w:color="auto"/>
        <w:right w:val="none" w:sz="0" w:space="0" w:color="auto"/>
      </w:divBdr>
    </w:div>
    <w:div w:id="233971758">
      <w:bodyDiv w:val="1"/>
      <w:marLeft w:val="0"/>
      <w:marRight w:val="0"/>
      <w:marTop w:val="0"/>
      <w:marBottom w:val="0"/>
      <w:divBdr>
        <w:top w:val="none" w:sz="0" w:space="0" w:color="auto"/>
        <w:left w:val="none" w:sz="0" w:space="0" w:color="auto"/>
        <w:bottom w:val="none" w:sz="0" w:space="0" w:color="auto"/>
        <w:right w:val="none" w:sz="0" w:space="0" w:color="auto"/>
      </w:divBdr>
    </w:div>
    <w:div w:id="238515247">
      <w:bodyDiv w:val="1"/>
      <w:marLeft w:val="0"/>
      <w:marRight w:val="0"/>
      <w:marTop w:val="0"/>
      <w:marBottom w:val="0"/>
      <w:divBdr>
        <w:top w:val="none" w:sz="0" w:space="0" w:color="auto"/>
        <w:left w:val="none" w:sz="0" w:space="0" w:color="auto"/>
        <w:bottom w:val="none" w:sz="0" w:space="0" w:color="auto"/>
        <w:right w:val="none" w:sz="0" w:space="0" w:color="auto"/>
      </w:divBdr>
    </w:div>
    <w:div w:id="238639482">
      <w:bodyDiv w:val="1"/>
      <w:marLeft w:val="0"/>
      <w:marRight w:val="0"/>
      <w:marTop w:val="0"/>
      <w:marBottom w:val="0"/>
      <w:divBdr>
        <w:top w:val="none" w:sz="0" w:space="0" w:color="auto"/>
        <w:left w:val="none" w:sz="0" w:space="0" w:color="auto"/>
        <w:bottom w:val="none" w:sz="0" w:space="0" w:color="auto"/>
        <w:right w:val="none" w:sz="0" w:space="0" w:color="auto"/>
      </w:divBdr>
    </w:div>
    <w:div w:id="494881304">
      <w:bodyDiv w:val="1"/>
      <w:marLeft w:val="0"/>
      <w:marRight w:val="0"/>
      <w:marTop w:val="0"/>
      <w:marBottom w:val="0"/>
      <w:divBdr>
        <w:top w:val="none" w:sz="0" w:space="0" w:color="auto"/>
        <w:left w:val="none" w:sz="0" w:space="0" w:color="auto"/>
        <w:bottom w:val="none" w:sz="0" w:space="0" w:color="auto"/>
        <w:right w:val="none" w:sz="0" w:space="0" w:color="auto"/>
      </w:divBdr>
    </w:div>
    <w:div w:id="693305982">
      <w:bodyDiv w:val="1"/>
      <w:marLeft w:val="0"/>
      <w:marRight w:val="0"/>
      <w:marTop w:val="0"/>
      <w:marBottom w:val="0"/>
      <w:divBdr>
        <w:top w:val="none" w:sz="0" w:space="0" w:color="auto"/>
        <w:left w:val="none" w:sz="0" w:space="0" w:color="auto"/>
        <w:bottom w:val="none" w:sz="0" w:space="0" w:color="auto"/>
        <w:right w:val="none" w:sz="0" w:space="0" w:color="auto"/>
      </w:divBdr>
    </w:div>
    <w:div w:id="737823843">
      <w:bodyDiv w:val="1"/>
      <w:marLeft w:val="0"/>
      <w:marRight w:val="0"/>
      <w:marTop w:val="0"/>
      <w:marBottom w:val="0"/>
      <w:divBdr>
        <w:top w:val="none" w:sz="0" w:space="0" w:color="auto"/>
        <w:left w:val="none" w:sz="0" w:space="0" w:color="auto"/>
        <w:bottom w:val="none" w:sz="0" w:space="0" w:color="auto"/>
        <w:right w:val="none" w:sz="0" w:space="0" w:color="auto"/>
      </w:divBdr>
    </w:div>
    <w:div w:id="879585005">
      <w:bodyDiv w:val="1"/>
      <w:marLeft w:val="0"/>
      <w:marRight w:val="0"/>
      <w:marTop w:val="0"/>
      <w:marBottom w:val="0"/>
      <w:divBdr>
        <w:top w:val="none" w:sz="0" w:space="0" w:color="auto"/>
        <w:left w:val="none" w:sz="0" w:space="0" w:color="auto"/>
        <w:bottom w:val="none" w:sz="0" w:space="0" w:color="auto"/>
        <w:right w:val="none" w:sz="0" w:space="0" w:color="auto"/>
      </w:divBdr>
    </w:div>
    <w:div w:id="1005665331">
      <w:bodyDiv w:val="1"/>
      <w:marLeft w:val="0"/>
      <w:marRight w:val="0"/>
      <w:marTop w:val="0"/>
      <w:marBottom w:val="0"/>
      <w:divBdr>
        <w:top w:val="none" w:sz="0" w:space="0" w:color="auto"/>
        <w:left w:val="none" w:sz="0" w:space="0" w:color="auto"/>
        <w:bottom w:val="none" w:sz="0" w:space="0" w:color="auto"/>
        <w:right w:val="none" w:sz="0" w:space="0" w:color="auto"/>
      </w:divBdr>
    </w:div>
    <w:div w:id="1037656663">
      <w:bodyDiv w:val="1"/>
      <w:marLeft w:val="0"/>
      <w:marRight w:val="0"/>
      <w:marTop w:val="0"/>
      <w:marBottom w:val="0"/>
      <w:divBdr>
        <w:top w:val="none" w:sz="0" w:space="0" w:color="auto"/>
        <w:left w:val="none" w:sz="0" w:space="0" w:color="auto"/>
        <w:bottom w:val="none" w:sz="0" w:space="0" w:color="auto"/>
        <w:right w:val="none" w:sz="0" w:space="0" w:color="auto"/>
      </w:divBdr>
      <w:divsChild>
        <w:div w:id="365720259">
          <w:marLeft w:val="0"/>
          <w:marRight w:val="0"/>
          <w:marTop w:val="0"/>
          <w:marBottom w:val="0"/>
          <w:divBdr>
            <w:top w:val="none" w:sz="0" w:space="0" w:color="auto"/>
            <w:left w:val="none" w:sz="0" w:space="0" w:color="auto"/>
            <w:bottom w:val="none" w:sz="0" w:space="0" w:color="auto"/>
            <w:right w:val="none" w:sz="0" w:space="0" w:color="auto"/>
          </w:divBdr>
          <w:divsChild>
            <w:div w:id="2028365081">
              <w:marLeft w:val="0"/>
              <w:marRight w:val="0"/>
              <w:marTop w:val="0"/>
              <w:marBottom w:val="0"/>
              <w:divBdr>
                <w:top w:val="none" w:sz="0" w:space="0" w:color="auto"/>
                <w:left w:val="none" w:sz="0" w:space="0" w:color="auto"/>
                <w:bottom w:val="none" w:sz="0" w:space="0" w:color="auto"/>
                <w:right w:val="none" w:sz="0" w:space="0" w:color="auto"/>
              </w:divBdr>
              <w:divsChild>
                <w:div w:id="113960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428708">
      <w:bodyDiv w:val="1"/>
      <w:marLeft w:val="0"/>
      <w:marRight w:val="0"/>
      <w:marTop w:val="0"/>
      <w:marBottom w:val="0"/>
      <w:divBdr>
        <w:top w:val="none" w:sz="0" w:space="0" w:color="auto"/>
        <w:left w:val="none" w:sz="0" w:space="0" w:color="auto"/>
        <w:bottom w:val="none" w:sz="0" w:space="0" w:color="auto"/>
        <w:right w:val="none" w:sz="0" w:space="0" w:color="auto"/>
      </w:divBdr>
    </w:div>
    <w:div w:id="1223104237">
      <w:bodyDiv w:val="1"/>
      <w:marLeft w:val="0"/>
      <w:marRight w:val="0"/>
      <w:marTop w:val="0"/>
      <w:marBottom w:val="0"/>
      <w:divBdr>
        <w:top w:val="none" w:sz="0" w:space="0" w:color="auto"/>
        <w:left w:val="none" w:sz="0" w:space="0" w:color="auto"/>
        <w:bottom w:val="none" w:sz="0" w:space="0" w:color="auto"/>
        <w:right w:val="none" w:sz="0" w:space="0" w:color="auto"/>
      </w:divBdr>
    </w:div>
    <w:div w:id="1331830821">
      <w:bodyDiv w:val="1"/>
      <w:marLeft w:val="0"/>
      <w:marRight w:val="0"/>
      <w:marTop w:val="0"/>
      <w:marBottom w:val="0"/>
      <w:divBdr>
        <w:top w:val="none" w:sz="0" w:space="0" w:color="auto"/>
        <w:left w:val="none" w:sz="0" w:space="0" w:color="auto"/>
        <w:bottom w:val="none" w:sz="0" w:space="0" w:color="auto"/>
        <w:right w:val="none" w:sz="0" w:space="0" w:color="auto"/>
      </w:divBdr>
    </w:div>
    <w:div w:id="1363828127">
      <w:bodyDiv w:val="1"/>
      <w:marLeft w:val="0"/>
      <w:marRight w:val="0"/>
      <w:marTop w:val="0"/>
      <w:marBottom w:val="0"/>
      <w:divBdr>
        <w:top w:val="none" w:sz="0" w:space="0" w:color="auto"/>
        <w:left w:val="none" w:sz="0" w:space="0" w:color="auto"/>
        <w:bottom w:val="none" w:sz="0" w:space="0" w:color="auto"/>
        <w:right w:val="none" w:sz="0" w:space="0" w:color="auto"/>
      </w:divBdr>
    </w:div>
    <w:div w:id="1389643208">
      <w:bodyDiv w:val="1"/>
      <w:marLeft w:val="0"/>
      <w:marRight w:val="0"/>
      <w:marTop w:val="0"/>
      <w:marBottom w:val="0"/>
      <w:divBdr>
        <w:top w:val="none" w:sz="0" w:space="0" w:color="auto"/>
        <w:left w:val="none" w:sz="0" w:space="0" w:color="auto"/>
        <w:bottom w:val="none" w:sz="0" w:space="0" w:color="auto"/>
        <w:right w:val="none" w:sz="0" w:space="0" w:color="auto"/>
      </w:divBdr>
    </w:div>
    <w:div w:id="1497301122">
      <w:bodyDiv w:val="1"/>
      <w:marLeft w:val="0"/>
      <w:marRight w:val="0"/>
      <w:marTop w:val="0"/>
      <w:marBottom w:val="0"/>
      <w:divBdr>
        <w:top w:val="none" w:sz="0" w:space="0" w:color="auto"/>
        <w:left w:val="none" w:sz="0" w:space="0" w:color="auto"/>
        <w:bottom w:val="none" w:sz="0" w:space="0" w:color="auto"/>
        <w:right w:val="none" w:sz="0" w:space="0" w:color="auto"/>
      </w:divBdr>
      <w:divsChild>
        <w:div w:id="384766472">
          <w:marLeft w:val="0"/>
          <w:marRight w:val="0"/>
          <w:marTop w:val="0"/>
          <w:marBottom w:val="0"/>
          <w:divBdr>
            <w:top w:val="none" w:sz="0" w:space="0" w:color="auto"/>
            <w:left w:val="none" w:sz="0" w:space="0" w:color="auto"/>
            <w:bottom w:val="none" w:sz="0" w:space="0" w:color="auto"/>
            <w:right w:val="none" w:sz="0" w:space="0" w:color="auto"/>
          </w:divBdr>
          <w:divsChild>
            <w:div w:id="829251077">
              <w:marLeft w:val="0"/>
              <w:marRight w:val="0"/>
              <w:marTop w:val="0"/>
              <w:marBottom w:val="0"/>
              <w:divBdr>
                <w:top w:val="none" w:sz="0" w:space="0" w:color="auto"/>
                <w:left w:val="none" w:sz="0" w:space="0" w:color="auto"/>
                <w:bottom w:val="none" w:sz="0" w:space="0" w:color="auto"/>
                <w:right w:val="none" w:sz="0" w:space="0" w:color="auto"/>
              </w:divBdr>
              <w:divsChild>
                <w:div w:id="37781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55101">
      <w:bodyDiv w:val="1"/>
      <w:marLeft w:val="0"/>
      <w:marRight w:val="0"/>
      <w:marTop w:val="0"/>
      <w:marBottom w:val="0"/>
      <w:divBdr>
        <w:top w:val="none" w:sz="0" w:space="0" w:color="auto"/>
        <w:left w:val="none" w:sz="0" w:space="0" w:color="auto"/>
        <w:bottom w:val="none" w:sz="0" w:space="0" w:color="auto"/>
        <w:right w:val="none" w:sz="0" w:space="0" w:color="auto"/>
      </w:divBdr>
    </w:div>
    <w:div w:id="1546794423">
      <w:bodyDiv w:val="1"/>
      <w:marLeft w:val="0"/>
      <w:marRight w:val="0"/>
      <w:marTop w:val="0"/>
      <w:marBottom w:val="0"/>
      <w:divBdr>
        <w:top w:val="none" w:sz="0" w:space="0" w:color="auto"/>
        <w:left w:val="none" w:sz="0" w:space="0" w:color="auto"/>
        <w:bottom w:val="none" w:sz="0" w:space="0" w:color="auto"/>
        <w:right w:val="none" w:sz="0" w:space="0" w:color="auto"/>
      </w:divBdr>
    </w:div>
    <w:div w:id="1699967175">
      <w:bodyDiv w:val="1"/>
      <w:marLeft w:val="0"/>
      <w:marRight w:val="0"/>
      <w:marTop w:val="0"/>
      <w:marBottom w:val="0"/>
      <w:divBdr>
        <w:top w:val="none" w:sz="0" w:space="0" w:color="auto"/>
        <w:left w:val="none" w:sz="0" w:space="0" w:color="auto"/>
        <w:bottom w:val="none" w:sz="0" w:space="0" w:color="auto"/>
        <w:right w:val="none" w:sz="0" w:space="0" w:color="auto"/>
      </w:divBdr>
    </w:div>
    <w:div w:id="1732847087">
      <w:bodyDiv w:val="1"/>
      <w:marLeft w:val="0"/>
      <w:marRight w:val="0"/>
      <w:marTop w:val="0"/>
      <w:marBottom w:val="0"/>
      <w:divBdr>
        <w:top w:val="none" w:sz="0" w:space="0" w:color="auto"/>
        <w:left w:val="none" w:sz="0" w:space="0" w:color="auto"/>
        <w:bottom w:val="none" w:sz="0" w:space="0" w:color="auto"/>
        <w:right w:val="none" w:sz="0" w:space="0" w:color="auto"/>
      </w:divBdr>
    </w:div>
    <w:div w:id="1772510471">
      <w:bodyDiv w:val="1"/>
      <w:marLeft w:val="0"/>
      <w:marRight w:val="0"/>
      <w:marTop w:val="0"/>
      <w:marBottom w:val="0"/>
      <w:divBdr>
        <w:top w:val="none" w:sz="0" w:space="0" w:color="auto"/>
        <w:left w:val="none" w:sz="0" w:space="0" w:color="auto"/>
        <w:bottom w:val="none" w:sz="0" w:space="0" w:color="auto"/>
        <w:right w:val="none" w:sz="0" w:space="0" w:color="auto"/>
      </w:divBdr>
    </w:div>
    <w:div w:id="1872500107">
      <w:bodyDiv w:val="1"/>
      <w:marLeft w:val="0"/>
      <w:marRight w:val="0"/>
      <w:marTop w:val="0"/>
      <w:marBottom w:val="0"/>
      <w:divBdr>
        <w:top w:val="none" w:sz="0" w:space="0" w:color="auto"/>
        <w:left w:val="none" w:sz="0" w:space="0" w:color="auto"/>
        <w:bottom w:val="none" w:sz="0" w:space="0" w:color="auto"/>
        <w:right w:val="none" w:sz="0" w:space="0" w:color="auto"/>
      </w:divBdr>
    </w:div>
    <w:div w:id="1935934176">
      <w:bodyDiv w:val="1"/>
      <w:marLeft w:val="0"/>
      <w:marRight w:val="0"/>
      <w:marTop w:val="0"/>
      <w:marBottom w:val="0"/>
      <w:divBdr>
        <w:top w:val="none" w:sz="0" w:space="0" w:color="auto"/>
        <w:left w:val="none" w:sz="0" w:space="0" w:color="auto"/>
        <w:bottom w:val="none" w:sz="0" w:space="0" w:color="auto"/>
        <w:right w:val="none" w:sz="0" w:space="0" w:color="auto"/>
      </w:divBdr>
    </w:div>
    <w:div w:id="2004770731">
      <w:bodyDiv w:val="1"/>
      <w:marLeft w:val="0"/>
      <w:marRight w:val="0"/>
      <w:marTop w:val="0"/>
      <w:marBottom w:val="0"/>
      <w:divBdr>
        <w:top w:val="none" w:sz="0" w:space="0" w:color="auto"/>
        <w:left w:val="none" w:sz="0" w:space="0" w:color="auto"/>
        <w:bottom w:val="none" w:sz="0" w:space="0" w:color="auto"/>
        <w:right w:val="none" w:sz="0" w:space="0" w:color="auto"/>
      </w:divBdr>
    </w:div>
    <w:div w:id="201464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pub/itu-t/opb/res/T-RES-T.44-2022-PDF-E.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hub/publication/s-conf-actf-20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bs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22-TSAG-240122-TD-GEN-040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tu.int/en/ITU-T/gap/_layouts/15/guestaccess.aspx?guestaccesstoken=RI5eMaHsdukODvsFQNVIRUZR8YCCwqsonGyjH%2B22dU4%3D&amp;docid=2_04c1903483af5405481a9523529593688&amp;rev=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D776C5" w:rsidRDefault="00FE399B">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51499"/>
    <w:rsid w:val="00063739"/>
    <w:rsid w:val="0007056E"/>
    <w:rsid w:val="000A1FED"/>
    <w:rsid w:val="0014152E"/>
    <w:rsid w:val="001E0CEB"/>
    <w:rsid w:val="00230D07"/>
    <w:rsid w:val="002929A9"/>
    <w:rsid w:val="002C06F3"/>
    <w:rsid w:val="00341CDE"/>
    <w:rsid w:val="00410554"/>
    <w:rsid w:val="004C370E"/>
    <w:rsid w:val="005E7EF5"/>
    <w:rsid w:val="00637432"/>
    <w:rsid w:val="00674E79"/>
    <w:rsid w:val="006A4A37"/>
    <w:rsid w:val="006D6D0D"/>
    <w:rsid w:val="006E68AE"/>
    <w:rsid w:val="00713605"/>
    <w:rsid w:val="007419E3"/>
    <w:rsid w:val="007548DE"/>
    <w:rsid w:val="007715E0"/>
    <w:rsid w:val="00771DE3"/>
    <w:rsid w:val="00796414"/>
    <w:rsid w:val="007E74A1"/>
    <w:rsid w:val="007F1B66"/>
    <w:rsid w:val="007F7260"/>
    <w:rsid w:val="008A3297"/>
    <w:rsid w:val="00956804"/>
    <w:rsid w:val="009F6094"/>
    <w:rsid w:val="00A0567A"/>
    <w:rsid w:val="00AF05AD"/>
    <w:rsid w:val="00AF5B68"/>
    <w:rsid w:val="00B3500D"/>
    <w:rsid w:val="00B52F69"/>
    <w:rsid w:val="00B93836"/>
    <w:rsid w:val="00C428B0"/>
    <w:rsid w:val="00C76A29"/>
    <w:rsid w:val="00CF3394"/>
    <w:rsid w:val="00D10FBE"/>
    <w:rsid w:val="00D445E7"/>
    <w:rsid w:val="00D776C5"/>
    <w:rsid w:val="00DB73CF"/>
    <w:rsid w:val="00E272D8"/>
    <w:rsid w:val="00E507F4"/>
    <w:rsid w:val="00E635C0"/>
    <w:rsid w:val="00EF3FFA"/>
    <w:rsid w:val="00F17AEA"/>
    <w:rsid w:val="00F82C86"/>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rFonts w:ascii="Times New Roman" w:hAnsi="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0952DF99B54147A5930CB3F948E41C" ma:contentTypeVersion="13" ma:contentTypeDescription="Create a new document." ma:contentTypeScope="" ma:versionID="68b63fc9277ece06d83039d755c39d4c">
  <xsd:schema xmlns:xsd="http://www.w3.org/2001/XMLSchema" xmlns:xs="http://www.w3.org/2001/XMLSchema" xmlns:p="http://schemas.microsoft.com/office/2006/metadata/properties" xmlns:ns3="24aa669f-0257-4567-9ac2-1cbb111e64a7" xmlns:ns4="aaf2cbe1-1f56-4dd9-bdab-6526eb218db6" targetNamespace="http://schemas.microsoft.com/office/2006/metadata/properties" ma:root="true" ma:fieldsID="a143d2df8eb22b55ce6abca4a46d411b" ns3:_="" ns4:_="">
    <xsd:import namespace="24aa669f-0257-4567-9ac2-1cbb111e64a7"/>
    <xsd:import namespace="aaf2cbe1-1f56-4dd9-bdab-6526eb218db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a669f-0257-4567-9ac2-1cbb111e6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f2cbe1-1f56-4dd9-bdab-6526eb218db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784E83AD-3AB1-4268-8C9E-CD09D9607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a669f-0257-4567-9ac2-1cbb111e64a7"/>
    <ds:schemaRef ds:uri="aaf2cbe1-1f56-4dd9-bdab-6526eb218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289880-729C-4459-ACC2-67799FC542AF}">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5</TotalTime>
  <Pages>3</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Report on Collaboration on ITS Communication Standards and ITS-related activities</vt:lpstr>
    </vt:vector>
  </TitlesOfParts>
  <Manager>ITU-T</Manager>
  <Company>International Telecommunication Union (ITU)</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Collaboration on ITS Communication Standards and ITS-related activities</dc:title>
  <dc:subject/>
  <dc:creator>Chairman, Collaboration on ITS Communication Standards</dc:creator>
  <cp:keywords>ITS; collaboration; stanards; SDOs; connected vehicles;</cp:keywords>
  <dc:description>TD 106  For: Geneva, 1-4 May 2017Document date: Saved by ITU51011769 at 13:26:02 on 28/04/2017</dc:description>
  <cp:lastModifiedBy>Al-Mnini, Lara</cp:lastModifiedBy>
  <cp:revision>3</cp:revision>
  <cp:lastPrinted>2016-12-23T12:52:00Z</cp:lastPrinted>
  <dcterms:created xsi:type="dcterms:W3CDTF">2024-01-12T13:15:00Z</dcterms:created>
  <dcterms:modified xsi:type="dcterms:W3CDTF">2024-01-12T19:59:00Z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106</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Geneva, 1-4 May 2017</vt:lpwstr>
  </property>
  <property fmtid="{D5CDD505-2E9C-101B-9397-08002B2CF9AE}" pid="7" name="Docauthor">
    <vt:lpwstr>Chairman, Collaboration on ITS Communication Standards</vt:lpwstr>
  </property>
  <property fmtid="{D5CDD505-2E9C-101B-9397-08002B2CF9AE}" pid="8" name="ContentTypeId">
    <vt:lpwstr>0x010100670952DF99B54147A5930CB3F948E41C</vt:lpwstr>
  </property>
</Properties>
</file>