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591447BC" w:rsidR="005A64A7" w:rsidRPr="001B65AF" w:rsidRDefault="005A64A7" w:rsidP="005A64A7">
            <w:pPr>
              <w:pStyle w:val="Docnumber"/>
              <w:rPr>
                <w:rFonts w:eastAsia="MS Mincho"/>
                <w:highlight w:val="yellow"/>
                <w:lang w:eastAsia="ja-JP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</w:t>
            </w:r>
            <w:r w:rsidR="002673C8">
              <w:t>5</w:t>
            </w:r>
            <w:r w:rsidR="001B65AF">
              <w:rPr>
                <w:rFonts w:eastAsia="MS Mincho" w:hint="eastAsia"/>
                <w:lang w:eastAsia="ja-JP"/>
              </w:rPr>
              <w:t>1</w:t>
            </w:r>
            <w:r w:rsidR="00D42B75">
              <w:rPr>
                <w:rFonts w:eastAsia="MS Mincho" w:hint="eastAsia"/>
                <w:lang w:eastAsia="ja-JP"/>
              </w:rPr>
              <w:t>5</w:t>
            </w:r>
          </w:p>
        </w:tc>
      </w:tr>
      <w:bookmarkEnd w:id="0"/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653A9583" w:rsidR="005A64A7" w:rsidRPr="001B65AF" w:rsidRDefault="001B0B52" w:rsidP="002534C9">
            <w:pPr>
              <w:pStyle w:val="TSBHeaderQuestion"/>
              <w:rPr>
                <w:rFonts w:eastAsia="MS Mincho"/>
                <w:highlight w:val="yellow"/>
              </w:rPr>
            </w:pPr>
            <w:r>
              <w:t>RG-</w:t>
            </w:r>
            <w:r w:rsidR="001B65AF">
              <w:rPr>
                <w:rFonts w:eastAsia="MS Mincho" w:hint="eastAsia"/>
              </w:rPr>
              <w:t>SOP</w:t>
            </w:r>
          </w:p>
        </w:tc>
        <w:tc>
          <w:tcPr>
            <w:tcW w:w="4395" w:type="dxa"/>
            <w:gridSpan w:val="2"/>
          </w:tcPr>
          <w:p w14:paraId="50A299EF" w14:textId="7E2AEFF1" w:rsidR="005A64A7" w:rsidRPr="0037415F" w:rsidRDefault="001B0B52" w:rsidP="0081064E">
            <w:pPr>
              <w:pStyle w:val="VenueDate"/>
            </w:pPr>
            <w:r w:rsidRPr="00B738F8">
              <w:t xml:space="preserve">Geneva, </w:t>
            </w:r>
            <w:r w:rsidR="002673C8" w:rsidRPr="002673C8">
              <w:t>29 July - 2 August 2024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588CE3A1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 xml:space="preserve">Rapporteur, TSAG </w:t>
            </w:r>
            <w:r w:rsidR="00491B69">
              <w:rPr>
                <w:rFonts w:eastAsia="MS Mincho" w:hint="eastAsia"/>
              </w:rPr>
              <w:t>RG-SOP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bookmarkStart w:id="7" w:name="dtitle1" w:colFirst="1" w:colLast="1"/>
            <w:bookmarkEnd w:id="6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681EC099" w:rsidR="005A64A7" w:rsidRPr="00D42B75" w:rsidRDefault="00491B69" w:rsidP="00054813">
            <w:pPr>
              <w:pStyle w:val="TSBHeaderTitle"/>
              <w:rPr>
                <w:rFonts w:eastAsia="MS Mincho"/>
                <w:highlight w:val="yellow"/>
              </w:rPr>
            </w:pPr>
            <w:r w:rsidRPr="00491B69">
              <w:t xml:space="preserve">Draft </w:t>
            </w:r>
            <w:r w:rsidR="00D42B75">
              <w:rPr>
                <w:rFonts w:eastAsia="MS Mincho" w:hint="eastAsia"/>
              </w:rPr>
              <w:t>report</w:t>
            </w:r>
            <w:r w:rsidRPr="00491B69">
              <w:t xml:space="preserve"> </w:t>
            </w:r>
            <w:r w:rsidR="00D42B75">
              <w:rPr>
                <w:rFonts w:eastAsia="MS Mincho" w:hint="eastAsia"/>
              </w:rPr>
              <w:t>of the meeting of</w:t>
            </w:r>
            <w:r w:rsidRPr="00491B69">
              <w:t xml:space="preserve"> RG-SOP</w:t>
            </w:r>
            <w:r w:rsidR="00D42B75">
              <w:rPr>
                <w:rFonts w:eastAsia="MS Mincho" w:hint="eastAsia"/>
              </w:rPr>
              <w:t xml:space="preserve"> (Geneva, 29 July </w:t>
            </w:r>
            <w:r w:rsidR="00D42B75">
              <w:rPr>
                <w:rFonts w:eastAsia="MS Mincho"/>
              </w:rPr>
              <w:t>–</w:t>
            </w:r>
            <w:r w:rsidR="00D42B75">
              <w:rPr>
                <w:rFonts w:eastAsia="MS Mincho" w:hint="eastAsia"/>
              </w:rPr>
              <w:t xml:space="preserve"> 2 August 2024)</w:t>
            </w:r>
          </w:p>
        </w:tc>
      </w:tr>
      <w:bookmarkEnd w:id="2"/>
      <w:bookmarkEnd w:id="7"/>
      <w:tr w:rsidR="006D78DC" w:rsidRPr="0062608B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40E4963C" w:rsidR="006D78DC" w:rsidRPr="00350298" w:rsidRDefault="00491B69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491B69">
              <w:rPr>
                <w:rFonts w:asciiTheme="majorBidi" w:hAnsiTheme="majorBidi" w:cstheme="majorBidi"/>
                <w:bCs/>
                <w:lang w:val="fr-FR"/>
              </w:rPr>
              <w:t>Víctor Manuel Martínez Vanegas</w:t>
            </w:r>
          </w:p>
          <w:p w14:paraId="3C0D730F" w14:textId="7D0CD42E" w:rsidR="006D78DC" w:rsidRPr="00350298" w:rsidRDefault="006D78DC" w:rsidP="00D55168">
            <w:pPr>
              <w:spacing w:before="0"/>
              <w:rPr>
                <w:lang w:val="fr-FR"/>
              </w:rPr>
            </w:pP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</w:t>
            </w:r>
            <w:r w:rsidR="00491B69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r w:rsidR="00491B69" w:rsidRPr="00491B69">
              <w:rPr>
                <w:rFonts w:asciiTheme="majorBidi" w:hAnsiTheme="majorBidi" w:cstheme="majorBidi"/>
                <w:bCs/>
                <w:lang w:val="fr-FR"/>
              </w:rPr>
              <w:t>RG-SOP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 w:rsidR="00491B69" w:rsidRPr="00491B69">
              <w:rPr>
                <w:lang w:val="fr-FR"/>
              </w:rPr>
              <w:t>Mexico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B03EBFA" w14:textId="53E8C61D" w:rsidR="006D78DC" w:rsidRPr="00B769A8" w:rsidRDefault="00491B69" w:rsidP="00491B69">
            <w:pPr>
              <w:tabs>
                <w:tab w:val="left" w:pos="794"/>
              </w:tabs>
              <w:rPr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>E-mail:    </w:t>
            </w:r>
            <w:hyperlink r:id="rId12" w:history="1">
              <w:r w:rsidR="00DB01E4"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victor.martinezv@ift.org.mx</w:t>
              </w:r>
            </w:hyperlink>
            <w:r w:rsidR="00DB01E4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1B0B52" w:rsidRPr="0062608B" w14:paraId="0A6D20E1" w14:textId="77777777" w:rsidTr="001B0B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6495D0" w14:textId="77777777" w:rsidR="001B0B52" w:rsidRPr="2149A48D" w:rsidRDefault="001B0B52" w:rsidP="00013C6C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1D43AC8" w14:textId="638503E3" w:rsidR="001B0B52" w:rsidRPr="00491B69" w:rsidRDefault="00491B69" w:rsidP="00013C6C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491B69">
              <w:rPr>
                <w:rFonts w:asciiTheme="majorBidi" w:hAnsiTheme="majorBidi" w:cstheme="majorBidi"/>
                <w:bCs/>
                <w:lang w:val="fr-FR"/>
              </w:rPr>
              <w:t>Bruce Gracie</w:t>
            </w:r>
            <w:r w:rsidR="001B0B52" w:rsidRPr="00491B69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t xml:space="preserve">Associate Rapporteur, </w:t>
            </w:r>
            <w:r>
              <w:rPr>
                <w:rFonts w:asciiTheme="majorBidi" w:hAnsiTheme="majorBidi" w:cstheme="majorBidi"/>
                <w:bCs/>
                <w:lang w:val="fr-FR"/>
              </w:rPr>
              <w:t xml:space="preserve">TSAG </w:t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t>RG-SOP</w:t>
            </w:r>
            <w:r w:rsidR="001B0B52" w:rsidRPr="00491B69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5DFEBFD" w14:textId="7FEB0835" w:rsidR="001B0B52" w:rsidRPr="001B0B52" w:rsidRDefault="001B0B52" w:rsidP="001B0B52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E-mail:     </w:t>
            </w:r>
            <w:hyperlink r:id="rId13" w:history="1">
              <w:r w:rsidR="00DB01E4"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bruce.gracie@ericsson.com</w:t>
              </w:r>
            </w:hyperlink>
            <w:r w:rsidR="00DB01E4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DB01E4" w:rsidRPr="0062608B" w14:paraId="412A8FEA" w14:textId="77777777" w:rsidTr="001B0B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0786E1" w14:textId="58D796D4" w:rsidR="00DB01E4" w:rsidRPr="001B0B52" w:rsidRDefault="00DB01E4" w:rsidP="00DB01E4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1CE2F3E" w14:textId="61C23102" w:rsidR="00DB01E4" w:rsidRPr="00DB01E4" w:rsidRDefault="00DB01E4" w:rsidP="00DB01E4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DB01E4">
              <w:rPr>
                <w:rFonts w:asciiTheme="majorBidi" w:hAnsiTheme="majorBidi" w:cstheme="majorBidi"/>
                <w:bCs/>
                <w:lang w:val="fr-FR"/>
              </w:rPr>
              <w:t>Dao Tian</w:t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br/>
              <w:t xml:space="preserve">Associate Rapporteur, </w:t>
            </w:r>
            <w:r>
              <w:rPr>
                <w:rFonts w:asciiTheme="majorBidi" w:hAnsiTheme="majorBidi" w:cstheme="majorBidi"/>
                <w:bCs/>
                <w:lang w:val="fr-FR"/>
              </w:rPr>
              <w:t xml:space="preserve">TSAG </w:t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t>RG-SOP</w:t>
            </w:r>
            <w:r w:rsidRPr="00491B69"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DB01E4">
              <w:rPr>
                <w:rFonts w:asciiTheme="majorBidi" w:hAnsiTheme="majorBidi" w:cstheme="majorBidi"/>
                <w:bCs/>
                <w:lang w:val="fr-FR"/>
              </w:rPr>
              <w:t>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DF73EA1" w14:textId="71DF0C70" w:rsidR="00DB01E4" w:rsidRPr="001B0B52" w:rsidRDefault="00DB01E4" w:rsidP="00DB01E4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E-mail:     </w:t>
            </w:r>
            <w:hyperlink r:id="rId14" w:history="1">
              <w:r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tian.dao@zte.com.cn</w:t>
              </w:r>
            </w:hyperlink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DB01E4" w:rsidRPr="0062608B" w14:paraId="4ED5E018" w14:textId="77777777" w:rsidTr="001B0B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8A59C9" w14:textId="777E5C52" w:rsidR="00DB01E4" w:rsidRPr="001B0B52" w:rsidRDefault="00DB01E4" w:rsidP="00DB01E4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A363F6" w14:textId="45A89B8B" w:rsidR="00DB01E4" w:rsidRPr="00DB01E4" w:rsidRDefault="00DB01E4" w:rsidP="00DB01E4">
            <w:pPr>
              <w:rPr>
                <w:rFonts w:asciiTheme="majorBidi" w:hAnsiTheme="majorBidi" w:cstheme="majorBidi"/>
                <w:bCs/>
              </w:rPr>
            </w:pPr>
            <w:r w:rsidRPr="00DB01E4">
              <w:rPr>
                <w:rFonts w:asciiTheme="majorBidi" w:hAnsiTheme="majorBidi" w:cstheme="majorBidi"/>
                <w:bCs/>
              </w:rPr>
              <w:t>Hugues Dépoisier</w:t>
            </w:r>
            <w:r w:rsidRPr="00DB01E4">
              <w:rPr>
                <w:rFonts w:asciiTheme="majorBidi" w:hAnsiTheme="majorBidi" w:cstheme="majorBidi"/>
                <w:bCs/>
              </w:rPr>
              <w:br/>
              <w:t>Counsellor, TSAG RG-SOP</w:t>
            </w:r>
            <w:r w:rsidRPr="00DB01E4">
              <w:rPr>
                <w:rFonts w:asciiTheme="majorBidi" w:hAnsiTheme="majorBidi" w:cstheme="majorBidi"/>
                <w:bCs/>
              </w:rPr>
              <w:br/>
              <w:t>ITU/SG/FRMD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13EBC98" w14:textId="7063F0BF" w:rsidR="00DB01E4" w:rsidRPr="001B0B52" w:rsidRDefault="00DB01E4" w:rsidP="00DB01E4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E-mail:     </w:t>
            </w:r>
            <w:hyperlink r:id="rId15" w:history="1">
              <w:r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hugues.depoisier@itu.int</w:t>
              </w:r>
            </w:hyperlink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DB01E4" w:rsidRPr="0062608B" w14:paraId="56C0E366" w14:textId="77777777" w:rsidTr="001B0B52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E238F5" w14:textId="2B397324" w:rsidR="00DB01E4" w:rsidRPr="001B0B52" w:rsidRDefault="00DB01E4" w:rsidP="00DB01E4">
            <w:pPr>
              <w:rPr>
                <w:b/>
                <w:bCs/>
              </w:rPr>
            </w:pPr>
            <w:r w:rsidRPr="001B0B5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DAFC075" w14:textId="06324F35" w:rsidR="00DB01E4" w:rsidRPr="00DB01E4" w:rsidRDefault="00DB01E4" w:rsidP="00DB01E4">
            <w:pPr>
              <w:rPr>
                <w:rFonts w:asciiTheme="majorBidi" w:hAnsiTheme="majorBidi" w:cstheme="majorBidi"/>
                <w:bCs/>
              </w:rPr>
            </w:pPr>
            <w:r w:rsidRPr="00DB01E4">
              <w:rPr>
                <w:rFonts w:asciiTheme="majorBidi" w:hAnsiTheme="majorBidi" w:cstheme="majorBidi"/>
                <w:bCs/>
              </w:rPr>
              <w:t>Kaoru Mizuno</w:t>
            </w:r>
            <w:r w:rsidRPr="00DB01E4">
              <w:rPr>
                <w:rFonts w:asciiTheme="majorBidi" w:hAnsiTheme="majorBidi" w:cstheme="majorBidi"/>
                <w:bCs/>
              </w:rPr>
              <w:br/>
              <w:t>Counsellor, TSAG RG-SOP</w:t>
            </w:r>
            <w:r w:rsidRPr="00DB01E4">
              <w:rPr>
                <w:rFonts w:asciiTheme="majorBidi" w:hAnsiTheme="majorBidi" w:cstheme="majorBidi"/>
                <w:bCs/>
              </w:rPr>
              <w:br/>
              <w:t>ITU/</w:t>
            </w:r>
            <w:r>
              <w:rPr>
                <w:rFonts w:asciiTheme="majorBidi" w:hAnsiTheme="majorBidi" w:cstheme="majorBidi"/>
                <w:bCs/>
              </w:rPr>
              <w:t>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A771DD9" w14:textId="25D2085F" w:rsidR="00DB01E4" w:rsidRPr="001B0B52" w:rsidRDefault="00DB01E4" w:rsidP="00DB01E4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1B0B52">
              <w:rPr>
                <w:rFonts w:asciiTheme="majorBidi" w:hAnsiTheme="majorBidi" w:cstheme="majorBidi"/>
                <w:bCs/>
                <w:lang w:val="de-DE"/>
              </w:rPr>
              <w:t xml:space="preserve">E-mail:     </w:t>
            </w:r>
            <w:hyperlink r:id="rId16" w:history="1">
              <w:r w:rsidRPr="003E6646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kaoru.mizuno@itu.int</w:t>
              </w:r>
            </w:hyperlink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p w14:paraId="5C06F0AD" w14:textId="77777777" w:rsidR="005A64A7" w:rsidRPr="00552A29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79710608" w:rsidR="005A64A7" w:rsidRPr="00165942" w:rsidRDefault="00DB01E4" w:rsidP="00052350">
            <w:pPr>
              <w:pStyle w:val="TSBHeaderSummary"/>
              <w:rPr>
                <w:highlight w:val="yellow"/>
              </w:rPr>
            </w:pPr>
            <w:r w:rsidRPr="00DB01E4">
              <w:t xml:space="preserve">This TD </w:t>
            </w:r>
            <w:r w:rsidR="00D42B75">
              <w:rPr>
                <w:rFonts w:eastAsia="MS Mincho" w:hint="eastAsia"/>
              </w:rPr>
              <w:t xml:space="preserve">contains </w:t>
            </w:r>
            <w:r w:rsidRPr="00DB01E4">
              <w:t xml:space="preserve">the draft </w:t>
            </w:r>
            <w:r w:rsidR="00D42B75">
              <w:rPr>
                <w:rFonts w:eastAsia="MS Mincho" w:hint="eastAsia"/>
              </w:rPr>
              <w:t>report</w:t>
            </w:r>
            <w:r w:rsidRPr="00DB01E4">
              <w:t xml:space="preserve"> </w:t>
            </w:r>
            <w:r w:rsidR="00D42B75">
              <w:rPr>
                <w:rFonts w:eastAsia="MS Mincho" w:hint="eastAsia"/>
              </w:rPr>
              <w:t>of</w:t>
            </w:r>
            <w:r w:rsidRPr="00DB01E4">
              <w:t xml:space="preserve"> the </w:t>
            </w:r>
            <w:r w:rsidR="00D42B75">
              <w:rPr>
                <w:rFonts w:eastAsia="MS Mincho" w:hint="eastAsia"/>
              </w:rPr>
              <w:t xml:space="preserve">TSAG </w:t>
            </w:r>
            <w:r w:rsidRPr="00DB01E4">
              <w:t xml:space="preserve">RG-SOP </w:t>
            </w:r>
            <w:r w:rsidR="00D42B75">
              <w:rPr>
                <w:rFonts w:eastAsia="MS Mincho" w:hint="eastAsia"/>
              </w:rPr>
              <w:t>session</w:t>
            </w:r>
            <w:r w:rsidRPr="00DB01E4">
              <w:t xml:space="preserve"> during the TSAG meeting (Geneva, 29 July – 2 August 2024).</w:t>
            </w:r>
          </w:p>
        </w:tc>
      </w:tr>
    </w:tbl>
    <w:p w14:paraId="0257A9D7" w14:textId="77777777" w:rsidR="00CF5AAC" w:rsidRDefault="00CF5AAC" w:rsidP="00CF5AAC"/>
    <w:p w14:paraId="7AD08877" w14:textId="7B269399" w:rsidR="009D0CC4" w:rsidRPr="009354CA" w:rsidRDefault="009D0CC4" w:rsidP="009D0CC4">
      <w:pPr>
        <w:rPr>
          <w:rFonts w:eastAsia="MS Mincho"/>
        </w:rPr>
      </w:pPr>
      <w:r w:rsidRPr="009354CA">
        <w:rPr>
          <w:rFonts w:eastAsia="MS Mincho" w:hint="eastAsia"/>
          <w:b/>
          <w:bCs/>
        </w:rPr>
        <w:t xml:space="preserve">Action required: </w:t>
      </w:r>
      <w:r w:rsidR="00D42B75" w:rsidRPr="009354CA">
        <w:rPr>
          <w:rFonts w:eastAsia="MS Mincho" w:hint="eastAsia"/>
        </w:rPr>
        <w:t xml:space="preserve">TSAG is invited to consider the following report from RG-SOP. </w:t>
      </w:r>
    </w:p>
    <w:p w14:paraId="5E618FBD" w14:textId="77777777" w:rsidR="00D42B75" w:rsidRPr="009354CA" w:rsidRDefault="00D42B75" w:rsidP="009D0CC4">
      <w:pPr>
        <w:rPr>
          <w:rFonts w:eastAsia="MS Mincho"/>
        </w:rPr>
      </w:pPr>
    </w:p>
    <w:p w14:paraId="28061E46" w14:textId="358299F4" w:rsidR="00D42B75" w:rsidRPr="009354CA" w:rsidRDefault="006003CD" w:rsidP="009D0CC4">
      <w:pPr>
        <w:rPr>
          <w:rFonts w:eastAsia="MS Mincho"/>
          <w:b/>
          <w:bCs/>
        </w:rPr>
      </w:pPr>
      <w:r w:rsidRPr="009354CA">
        <w:rPr>
          <w:rFonts w:eastAsia="MS Mincho" w:hint="eastAsia"/>
          <w:b/>
          <w:bCs/>
        </w:rPr>
        <w:t>0</w:t>
      </w:r>
      <w:r w:rsidR="00D42B75" w:rsidRPr="009354CA">
        <w:rPr>
          <w:rFonts w:eastAsia="MS Mincho"/>
          <w:b/>
          <w:bCs/>
        </w:rPr>
        <w:tab/>
      </w:r>
      <w:r w:rsidRPr="009354CA">
        <w:rPr>
          <w:rFonts w:eastAsia="MS Mincho" w:hint="eastAsia"/>
          <w:b/>
          <w:bCs/>
        </w:rPr>
        <w:t>Introduction</w:t>
      </w:r>
    </w:p>
    <w:p w14:paraId="42A9B42D" w14:textId="77777777" w:rsidR="006003CD" w:rsidRPr="009354CA" w:rsidRDefault="00D42B75" w:rsidP="006003CD">
      <w:pPr>
        <w:rPr>
          <w:lang w:val="en-US"/>
        </w:rPr>
      </w:pPr>
      <w:r w:rsidRPr="009354CA">
        <w:rPr>
          <w:rFonts w:eastAsia="MS Mincho" w:hint="eastAsia"/>
        </w:rPr>
        <w:t xml:space="preserve">A meeting of the TSAG RG-SOP took place </w:t>
      </w:r>
      <w:r w:rsidR="006003CD" w:rsidRPr="009354CA">
        <w:rPr>
          <w:rFonts w:eastAsia="MS Mincho" w:hint="eastAsia"/>
        </w:rPr>
        <w:t xml:space="preserve">on 1 August 2024 1430-1545 hours. </w:t>
      </w:r>
      <w:r w:rsidR="006003CD" w:rsidRPr="009354CA">
        <w:rPr>
          <w:rFonts w:eastAsia="MS Mincho"/>
        </w:rPr>
        <w:br/>
      </w:r>
      <w:r w:rsidR="006003CD" w:rsidRPr="009354CA">
        <w:t>Mr V</w:t>
      </w:r>
      <w:r w:rsidR="006003CD" w:rsidRPr="009354CA">
        <w:rPr>
          <w:rStyle w:val="cf01"/>
          <w:sz w:val="24"/>
          <w:szCs w:val="24"/>
        </w:rPr>
        <w:t>í</w:t>
      </w:r>
      <w:r w:rsidR="006003CD" w:rsidRPr="009354CA">
        <w:t>ctor Manuel Martínez Vanegas</w:t>
      </w:r>
      <w:r w:rsidR="006003CD" w:rsidRPr="009354CA">
        <w:rPr>
          <w:rFonts w:hint="eastAsia"/>
        </w:rPr>
        <w:t xml:space="preserve"> </w:t>
      </w:r>
      <w:r w:rsidR="006003CD" w:rsidRPr="009354CA">
        <w:t>(Instituto Federal de Telecomunicaciones (IFETEL), Mexico), RG-SOP Rapporteur chaired the meeting, supported by Mr Bruce Gracie</w:t>
      </w:r>
      <w:r w:rsidR="006003CD" w:rsidRPr="009354CA" w:rsidDel="00733297">
        <w:t xml:space="preserve"> </w:t>
      </w:r>
      <w:r w:rsidR="006003CD" w:rsidRPr="009354CA">
        <w:rPr>
          <w:lang w:val="en-US"/>
        </w:rPr>
        <w:t xml:space="preserve">(Ericsson Canada), Associate </w:t>
      </w:r>
      <w:r w:rsidR="006003CD" w:rsidRPr="009354CA">
        <w:t>Rapporteur of TSAG RG-SOP,</w:t>
      </w:r>
      <w:r w:rsidR="006003CD" w:rsidRPr="009354CA">
        <w:rPr>
          <w:lang w:val="en-US"/>
        </w:rPr>
        <w:t xml:space="preserve"> and Mr Dao Tian (ZTE Corporation, China), Associate Rapporteur </w:t>
      </w:r>
      <w:r w:rsidR="006003CD" w:rsidRPr="009354CA">
        <w:t>of TSAG RG-SOP</w:t>
      </w:r>
      <w:r w:rsidR="006003CD" w:rsidRPr="009354CA">
        <w:rPr>
          <w:lang w:val="en-US"/>
        </w:rPr>
        <w:t xml:space="preserve">. </w:t>
      </w:r>
    </w:p>
    <w:p w14:paraId="0FFD33B9" w14:textId="0371E9AF" w:rsidR="006003CD" w:rsidRPr="009354CA" w:rsidRDefault="006003CD" w:rsidP="009D0CC4">
      <w:pPr>
        <w:rPr>
          <w:rFonts w:eastAsia="MS Mincho"/>
          <w:lang w:val="en-US"/>
        </w:rPr>
      </w:pPr>
    </w:p>
    <w:p w14:paraId="338AF923" w14:textId="4B1E9F27" w:rsidR="006003CD" w:rsidRPr="009354CA" w:rsidRDefault="006003CD" w:rsidP="009D0CC4">
      <w:pPr>
        <w:rPr>
          <w:rFonts w:eastAsia="MS Mincho"/>
        </w:rPr>
      </w:pPr>
      <w:r w:rsidRPr="009354CA">
        <w:rPr>
          <w:rFonts w:eastAsia="MS Mincho" w:hint="eastAsia"/>
        </w:rPr>
        <w:t>1</w:t>
      </w:r>
      <w:r w:rsidRPr="009354CA">
        <w:rPr>
          <w:rFonts w:eastAsia="MS Mincho"/>
          <w:b/>
          <w:bCs/>
        </w:rPr>
        <w:tab/>
      </w:r>
      <w:r w:rsidRPr="009354CA">
        <w:rPr>
          <w:rFonts w:eastAsia="MS Mincho" w:hint="eastAsia"/>
          <w:b/>
          <w:bCs/>
        </w:rPr>
        <w:t>Opening and welcome</w:t>
      </w:r>
    </w:p>
    <w:p w14:paraId="158FA9CA" w14:textId="0A54A7D4" w:rsidR="006003CD" w:rsidRPr="009354CA" w:rsidRDefault="00D42B75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The </w:t>
      </w:r>
      <w:r w:rsidR="006003CD" w:rsidRPr="009354CA">
        <w:rPr>
          <w:rFonts w:eastAsia="MS Mincho" w:hint="eastAsia"/>
        </w:rPr>
        <w:t xml:space="preserve">Rapporteur welcomed participants to this RG-SOP meeting. The agenda of the RG-SOP meeting as found in </w:t>
      </w:r>
      <w:hyperlink r:id="rId17" w:history="1">
        <w:r w:rsidR="00C34C1C" w:rsidRPr="009354CA">
          <w:rPr>
            <w:rStyle w:val="Hyperlink"/>
          </w:rPr>
          <w:t>TD514</w:t>
        </w:r>
      </w:hyperlink>
      <w:r w:rsidR="006003CD" w:rsidRPr="009354CA">
        <w:rPr>
          <w:rFonts w:eastAsia="MS Mincho" w:hint="eastAsia"/>
        </w:rPr>
        <w:t xml:space="preserve"> was introduced by </w:t>
      </w:r>
      <w:r w:rsidR="006003CD" w:rsidRPr="009354CA">
        <w:rPr>
          <w:rFonts w:eastAsia="MS Mincho"/>
        </w:rPr>
        <w:t>the</w:t>
      </w:r>
      <w:r w:rsidR="006003CD" w:rsidRPr="009354CA">
        <w:rPr>
          <w:rFonts w:eastAsia="MS Mincho" w:hint="eastAsia"/>
        </w:rPr>
        <w:t xml:space="preserve"> Rapporteur and approved. List of documents</w:t>
      </w:r>
      <w:r w:rsidR="00C34C1C" w:rsidRPr="009354CA">
        <w:rPr>
          <w:rFonts w:eastAsia="MS Mincho"/>
        </w:rPr>
        <w:t xml:space="preserve"> available in </w:t>
      </w:r>
      <w:hyperlink w:anchor="AnnexA" w:history="1">
        <w:r w:rsidR="00C34C1C" w:rsidRPr="009354CA">
          <w:rPr>
            <w:rStyle w:val="Hyperlink"/>
            <w:bCs/>
          </w:rPr>
          <w:t>Annex A</w:t>
        </w:r>
      </w:hyperlink>
      <w:r w:rsidR="00C34C1C" w:rsidRPr="009354CA">
        <w:rPr>
          <w:rFonts w:eastAsia="MS Mincho"/>
        </w:rPr>
        <w:t xml:space="preserve"> identified by the Rapporteur as</w:t>
      </w:r>
      <w:r w:rsidR="006003CD" w:rsidRPr="009354CA">
        <w:rPr>
          <w:rFonts w:eastAsia="MS Mincho" w:hint="eastAsia"/>
        </w:rPr>
        <w:t xml:space="preserve"> </w:t>
      </w:r>
      <w:r w:rsidR="00C34C1C" w:rsidRPr="009354CA">
        <w:rPr>
          <w:rFonts w:eastAsia="MS Mincho"/>
        </w:rPr>
        <w:t>relevant for discussion in RG-SOP was reviewed in the meeting.</w:t>
      </w:r>
    </w:p>
    <w:p w14:paraId="4C154533" w14:textId="733731B7" w:rsidR="00C34C1C" w:rsidRPr="009354CA" w:rsidRDefault="00C34C1C" w:rsidP="009D0CC4">
      <w:pPr>
        <w:rPr>
          <w:bCs/>
        </w:rPr>
      </w:pPr>
      <w:r w:rsidRPr="009354CA">
        <w:rPr>
          <w:rFonts w:eastAsia="MS Mincho"/>
        </w:rPr>
        <w:lastRenderedPageBreak/>
        <w:t xml:space="preserve">The Rapporteur reminded the meeting of </w:t>
      </w:r>
      <w:r w:rsidRPr="009354CA">
        <w:rPr>
          <w:bCs/>
        </w:rPr>
        <w:t xml:space="preserve">ToR of TSAG RG-SOP available in </w:t>
      </w:r>
      <w:hyperlink w:anchor="AnnexB" w:history="1">
        <w:r w:rsidRPr="009354CA">
          <w:rPr>
            <w:rStyle w:val="Hyperlink"/>
            <w:bCs/>
            <w:lang w:eastAsia="zh-CN"/>
          </w:rPr>
          <w:t>Annex</w:t>
        </w:r>
        <w:r w:rsidRPr="009354CA">
          <w:rPr>
            <w:rStyle w:val="Hyperlink"/>
          </w:rPr>
          <w:t xml:space="preserve"> B</w:t>
        </w:r>
      </w:hyperlink>
      <w:r w:rsidRPr="009354CA">
        <w:rPr>
          <w:bCs/>
        </w:rPr>
        <w:t xml:space="preserve"> (</w:t>
      </w:r>
      <w:r w:rsidRPr="009354CA">
        <w:t xml:space="preserve">Annex E of </w:t>
      </w:r>
      <w:hyperlink r:id="rId18" w:history="1">
        <w:r w:rsidRPr="009354CA">
          <w:rPr>
            <w:rStyle w:val="Hyperlink"/>
          </w:rPr>
          <w:t>TSAG-R4(2024-01</w:t>
        </w:r>
      </w:hyperlink>
      <w:r w:rsidRPr="009354CA">
        <w:rPr>
          <w:bCs/>
        </w:rPr>
        <w:t>). The ToR was noted by the meeting.</w:t>
      </w:r>
    </w:p>
    <w:p w14:paraId="22230283" w14:textId="7183D40C" w:rsidR="00C34C1C" w:rsidRPr="009354CA" w:rsidRDefault="00C34C1C" w:rsidP="009D0CC4">
      <w:pPr>
        <w:rPr>
          <w:rFonts w:eastAsia="MS Mincho"/>
        </w:rPr>
      </w:pPr>
      <w:r w:rsidRPr="009354CA">
        <w:rPr>
          <w:rFonts w:eastAsia="MS Mincho"/>
        </w:rPr>
        <w:t xml:space="preserve">The Rapporteur noted the </w:t>
      </w:r>
      <w:r w:rsidR="00CC0A52" w:rsidRPr="009354CA">
        <w:rPr>
          <w:rFonts w:eastAsia="MS Mincho"/>
        </w:rPr>
        <w:t xml:space="preserve">RG-SOP progress report available in </w:t>
      </w:r>
      <w:hyperlink r:id="rId19" w:history="1">
        <w:r w:rsidR="00CC0A52" w:rsidRPr="009354CA">
          <w:rPr>
            <w:rStyle w:val="Hyperlink"/>
          </w:rPr>
          <w:t>TD526</w:t>
        </w:r>
      </w:hyperlink>
      <w:r w:rsidR="00CC0A52" w:rsidRPr="009354CA">
        <w:rPr>
          <w:rFonts w:eastAsia="MS Mincho"/>
        </w:rPr>
        <w:t xml:space="preserve"> with progress made in an interim RG-SOP e-meeting since last TSAG January 2024 meeting. The progress report has been </w:t>
      </w:r>
      <w:r w:rsidR="00982BFE" w:rsidRPr="009354CA">
        <w:rPr>
          <w:rFonts w:eastAsia="MS Mincho"/>
        </w:rPr>
        <w:t xml:space="preserve">presented at and </w:t>
      </w:r>
      <w:r w:rsidR="00CC0A52" w:rsidRPr="009354CA">
        <w:rPr>
          <w:rFonts w:eastAsia="MS Mincho"/>
        </w:rPr>
        <w:t xml:space="preserve">noted by TSAG Opening Plenary </w:t>
      </w:r>
      <w:r w:rsidR="00982BFE" w:rsidRPr="009354CA">
        <w:rPr>
          <w:rFonts w:eastAsia="MS Mincho"/>
        </w:rPr>
        <w:t>on 29 July 2024.</w:t>
      </w:r>
      <w:r w:rsidR="00CC0A52" w:rsidRPr="009354CA">
        <w:rPr>
          <w:rFonts w:eastAsia="MS Mincho"/>
        </w:rPr>
        <w:t xml:space="preserve">  </w:t>
      </w:r>
      <w:r w:rsidR="004C2C9B" w:rsidRPr="009354CA">
        <w:rPr>
          <w:rFonts w:eastAsia="MS Mincho"/>
        </w:rPr>
        <w:t xml:space="preserve">The report was noted by the meeting. </w:t>
      </w:r>
    </w:p>
    <w:p w14:paraId="25A925CB" w14:textId="77777777" w:rsidR="00CC0A52" w:rsidRPr="009354CA" w:rsidRDefault="00CC0A52" w:rsidP="009D0CC4">
      <w:pPr>
        <w:rPr>
          <w:rFonts w:eastAsia="MS Mincho"/>
        </w:rPr>
      </w:pPr>
    </w:p>
    <w:p w14:paraId="35DC5088" w14:textId="45AB3BE5" w:rsidR="006003CD" w:rsidRPr="009354CA" w:rsidRDefault="006003CD" w:rsidP="009D0CC4">
      <w:pPr>
        <w:rPr>
          <w:rFonts w:eastAsia="MS Mincho"/>
          <w:b/>
          <w:bCs/>
        </w:rPr>
      </w:pPr>
      <w:r w:rsidRPr="009354CA">
        <w:rPr>
          <w:rFonts w:eastAsia="MS Mincho" w:hint="eastAsia"/>
        </w:rPr>
        <w:t>2</w:t>
      </w:r>
      <w:r w:rsidRPr="009354CA">
        <w:rPr>
          <w:rFonts w:eastAsia="MS Mincho"/>
        </w:rPr>
        <w:tab/>
      </w:r>
      <w:r w:rsidR="0000290C" w:rsidRPr="009354CA">
        <w:rPr>
          <w:rFonts w:eastAsia="MS Mincho"/>
          <w:b/>
          <w:bCs/>
        </w:rPr>
        <w:t>Review of the report of Industry Engagement Workshop in relation to strategic and operational planning</w:t>
      </w:r>
    </w:p>
    <w:p w14:paraId="06FF0894" w14:textId="77777777" w:rsidR="0000290C" w:rsidRPr="009354CA" w:rsidRDefault="0000290C" w:rsidP="009D0CC4">
      <w:pPr>
        <w:rPr>
          <w:rFonts w:eastAsia="MS Mincho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00290C" w:rsidRPr="009354CA" w14:paraId="1867E541" w14:textId="77777777" w:rsidTr="00CA35B9">
        <w:trPr>
          <w:trHeight w:val="20"/>
        </w:trPr>
        <w:tc>
          <w:tcPr>
            <w:tcW w:w="357" w:type="pct"/>
          </w:tcPr>
          <w:p w14:paraId="52728A66" w14:textId="77777777" w:rsidR="0000290C" w:rsidRPr="009354CA" w:rsidRDefault="0000290C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t>2.1</w:t>
            </w:r>
          </w:p>
        </w:tc>
        <w:tc>
          <w:tcPr>
            <w:tcW w:w="1395" w:type="pct"/>
          </w:tcPr>
          <w:p w14:paraId="0F34408D" w14:textId="77777777" w:rsidR="0000290C" w:rsidRPr="009354CA" w:rsidRDefault="0000290C" w:rsidP="00D36AA8">
            <w:pPr>
              <w:pStyle w:val="Tabletext"/>
              <w:rPr>
                <w:sz w:val="24"/>
                <w:szCs w:val="24"/>
              </w:rPr>
            </w:pPr>
            <w:r w:rsidRPr="009354CA">
              <w:rPr>
                <w:sz w:val="24"/>
                <w:szCs w:val="24"/>
              </w:rPr>
              <w:t>Report of Industry Engagement Workshop</w:t>
            </w:r>
            <w:r w:rsidRPr="009354CA" w:rsidDel="005F0C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14:paraId="629D1E5D" w14:textId="77777777" w:rsidR="0000290C" w:rsidRPr="009354CA" w:rsidRDefault="0000290C" w:rsidP="00D36AA8">
            <w:pPr>
              <w:spacing w:before="40" w:after="40"/>
              <w:jc w:val="center"/>
            </w:pPr>
            <w:r w:rsidRPr="009354CA">
              <w:t>(</w:t>
            </w:r>
            <w:hyperlink r:id="rId20" w:history="1">
              <w:r w:rsidRPr="009354CA">
                <w:rPr>
                  <w:rStyle w:val="Hyperlink"/>
                </w:rPr>
                <w:t>TD599</w:t>
              </w:r>
            </w:hyperlink>
            <w:r w:rsidRPr="009354CA">
              <w:rPr>
                <w:rStyle w:val="Hyperlink"/>
              </w:rPr>
              <w:t>)</w:t>
            </w:r>
          </w:p>
        </w:tc>
        <w:tc>
          <w:tcPr>
            <w:tcW w:w="2380" w:type="pct"/>
          </w:tcPr>
          <w:p w14:paraId="40A2B804" w14:textId="77777777" w:rsidR="0000290C" w:rsidRPr="009354CA" w:rsidRDefault="0000290C" w:rsidP="00D36AA8">
            <w:pPr>
              <w:pStyle w:val="ListParagraph"/>
              <w:spacing w:before="40" w:after="40"/>
              <w:ind w:left="34"/>
            </w:pPr>
            <w:r w:rsidRPr="009354CA">
              <w:rPr>
                <w:b/>
                <w:bCs/>
              </w:rPr>
              <w:t>To note.</w:t>
            </w:r>
          </w:p>
          <w:p w14:paraId="3D7A5050" w14:textId="77777777" w:rsidR="0000290C" w:rsidRPr="009354CA" w:rsidRDefault="0000290C" w:rsidP="00D36AA8">
            <w:pPr>
              <w:pStyle w:val="ListParagraph"/>
              <w:spacing w:before="40" w:after="40"/>
              <w:ind w:left="34"/>
            </w:pPr>
            <w:r w:rsidRPr="009354CA">
              <w:t>Presented at RG-SOP interim meeting on 18 June.</w:t>
            </w:r>
          </w:p>
        </w:tc>
      </w:tr>
    </w:tbl>
    <w:p w14:paraId="753A7FAB" w14:textId="774DDDD0" w:rsidR="0000290C" w:rsidRPr="009354CA" w:rsidRDefault="00CA35B9" w:rsidP="009D0CC4">
      <w:pPr>
        <w:rPr>
          <w:rFonts w:eastAsia="MS Mincho"/>
        </w:rPr>
      </w:pPr>
      <w:r w:rsidRPr="009354CA">
        <w:rPr>
          <w:rFonts w:eastAsia="MS Mincho"/>
        </w:rPr>
        <w:t>The Rapporteur explained that the document was already presented at the interim meeting of RG-SOP</w:t>
      </w:r>
      <w:r w:rsidR="00CD4ECC" w:rsidRPr="009354CA">
        <w:rPr>
          <w:rFonts w:eastAsia="MS Mincho"/>
        </w:rPr>
        <w:t xml:space="preserve"> and a number of comments have already been made. No additional comments were made at this meeting. The document was noted by the meeting. </w:t>
      </w:r>
    </w:p>
    <w:p w14:paraId="5D5D672F" w14:textId="77777777" w:rsidR="0000290C" w:rsidRPr="009354CA" w:rsidRDefault="0000290C" w:rsidP="009D0CC4">
      <w:pPr>
        <w:rPr>
          <w:rFonts w:eastAsia="MS Mincho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00290C" w:rsidRPr="009354CA" w14:paraId="1B75CFA3" w14:textId="77777777" w:rsidTr="00D36AA8">
        <w:trPr>
          <w:trHeight w:val="20"/>
        </w:trPr>
        <w:tc>
          <w:tcPr>
            <w:tcW w:w="313" w:type="pct"/>
          </w:tcPr>
          <w:p w14:paraId="129F367A" w14:textId="77777777" w:rsidR="0000290C" w:rsidRPr="009354CA" w:rsidRDefault="0000290C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t>2.2</w:t>
            </w:r>
          </w:p>
        </w:tc>
        <w:tc>
          <w:tcPr>
            <w:tcW w:w="1223" w:type="pct"/>
          </w:tcPr>
          <w:p w14:paraId="00F9B0BA" w14:textId="77777777" w:rsidR="0000290C" w:rsidRPr="009354CA" w:rsidRDefault="0000290C" w:rsidP="00D36AA8">
            <w:pPr>
              <w:pStyle w:val="Tabletext"/>
              <w:rPr>
                <w:bCs/>
                <w:sz w:val="24"/>
                <w:szCs w:val="24"/>
              </w:rPr>
            </w:pPr>
            <w:r w:rsidRPr="009354CA">
              <w:rPr>
                <w:sz w:val="24"/>
                <w:szCs w:val="24"/>
              </w:rPr>
              <w:t>Rapporteur, RG-IEM : Industry Engagement Proposed Actions sorted by target entities</w:t>
            </w:r>
            <w:r w:rsidRPr="009354CA" w:rsidDel="005F0C2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14:paraId="05FD9136" w14:textId="77777777" w:rsidR="0000290C" w:rsidRPr="009354CA" w:rsidRDefault="00D556A1" w:rsidP="00D36AA8">
            <w:pPr>
              <w:spacing w:before="40" w:after="40"/>
              <w:jc w:val="center"/>
              <w:rPr>
                <w:rStyle w:val="Hyperlink"/>
              </w:rPr>
            </w:pPr>
            <w:hyperlink r:id="rId21" w:history="1">
              <w:r w:rsidR="0000290C" w:rsidRPr="009354CA">
                <w:rPr>
                  <w:rStyle w:val="Hyperlink"/>
                </w:rPr>
                <w:t>TD667R1</w:t>
              </w:r>
            </w:hyperlink>
          </w:p>
          <w:p w14:paraId="6BB87C96" w14:textId="77777777" w:rsidR="0000290C" w:rsidRPr="009354CA" w:rsidRDefault="0000290C" w:rsidP="00D36AA8">
            <w:r w:rsidRPr="009354CA">
              <w:t>(Output of RG-IEM meeting)</w:t>
            </w:r>
          </w:p>
        </w:tc>
        <w:tc>
          <w:tcPr>
            <w:tcW w:w="2086" w:type="pct"/>
          </w:tcPr>
          <w:p w14:paraId="1F908621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contextualSpacing w:val="0"/>
            </w:pPr>
            <w:r w:rsidRPr="009354CA">
              <w:t>This document regroups the proposed actions from the industry engagement workshop for each target entity.</w:t>
            </w:r>
          </w:p>
          <w:p w14:paraId="06766F57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rPr>
                <w:b/>
                <w:bCs/>
              </w:rPr>
            </w:pPr>
          </w:p>
          <w:p w14:paraId="089A1DCC" w14:textId="77777777" w:rsidR="0000290C" w:rsidRPr="009354CA" w:rsidRDefault="0000290C" w:rsidP="00D36AA8">
            <w:pPr>
              <w:pStyle w:val="ListParagraph"/>
              <w:spacing w:before="40" w:after="40"/>
              <w:ind w:left="34"/>
            </w:pPr>
            <w:r w:rsidRPr="009354CA">
              <w:rPr>
                <w:b/>
                <w:bCs/>
              </w:rPr>
              <w:t>To consider.</w:t>
            </w:r>
            <w:r w:rsidRPr="009354CA">
              <w:t xml:space="preserve"> </w:t>
            </w:r>
            <w:r w:rsidRPr="009354CA">
              <w:br/>
              <w:t>To be approved by WP2 Plenary.</w:t>
            </w:r>
          </w:p>
        </w:tc>
      </w:tr>
    </w:tbl>
    <w:p w14:paraId="3D356140" w14:textId="4F550A4C" w:rsidR="0000290C" w:rsidRPr="009354CA" w:rsidRDefault="00CD4ECC" w:rsidP="009D0CC4">
      <w:pPr>
        <w:rPr>
          <w:rFonts w:eastAsia="MS Mincho"/>
        </w:rPr>
      </w:pPr>
      <w:r w:rsidRPr="009354CA">
        <w:rPr>
          <w:rFonts w:eastAsia="MS Mincho"/>
        </w:rPr>
        <w:t xml:space="preserve">The rapporteur explained that </w:t>
      </w:r>
      <w:hyperlink r:id="rId22" w:history="1">
        <w:r w:rsidR="006C270E" w:rsidRPr="009354CA">
          <w:rPr>
            <w:rStyle w:val="Hyperlink"/>
            <w:rFonts w:eastAsia="MS Mincho"/>
          </w:rPr>
          <w:t>TD667R1</w:t>
        </w:r>
      </w:hyperlink>
      <w:r w:rsidRPr="009354CA">
        <w:rPr>
          <w:rFonts w:eastAsia="MS Mincho"/>
        </w:rPr>
        <w:t xml:space="preserve"> </w:t>
      </w:r>
      <w:r w:rsidR="006C270E" w:rsidRPr="009354CA">
        <w:rPr>
          <w:rFonts w:eastAsia="MS Mincho"/>
        </w:rPr>
        <w:t>has been</w:t>
      </w:r>
      <w:r w:rsidRPr="009354CA">
        <w:rPr>
          <w:rFonts w:eastAsia="MS Mincho"/>
        </w:rPr>
        <w:t xml:space="preserve"> developed by RG-IEM </w:t>
      </w:r>
      <w:r w:rsidR="00E34E78" w:rsidRPr="009354CA">
        <w:rPr>
          <w:rFonts w:eastAsia="MS Mincho"/>
        </w:rPr>
        <w:t>during</w:t>
      </w:r>
      <w:r w:rsidRPr="009354CA">
        <w:rPr>
          <w:rFonts w:eastAsia="MS Mincho"/>
        </w:rPr>
        <w:t xml:space="preserve"> this TSAG meeting and presents proposed actions to be taken by RG-SOP. </w:t>
      </w:r>
      <w:r w:rsidR="006C270E" w:rsidRPr="009354CA">
        <w:rPr>
          <w:rFonts w:eastAsia="MS Mincho"/>
        </w:rPr>
        <w:t>The document also includes proposed five prioriti</w:t>
      </w:r>
      <w:r w:rsidR="006C779D" w:rsidRPr="009354CA">
        <w:rPr>
          <w:rFonts w:eastAsia="MS Mincho"/>
        </w:rPr>
        <w:t>es</w:t>
      </w:r>
      <w:r w:rsidR="006C270E" w:rsidRPr="009354CA">
        <w:rPr>
          <w:rFonts w:eastAsia="MS Mincho"/>
        </w:rPr>
        <w:t>. He highlighted the importance of continuing</w:t>
      </w:r>
      <w:r w:rsidR="006C779D" w:rsidRPr="009354CA">
        <w:rPr>
          <w:rFonts w:eastAsia="MS Mincho"/>
        </w:rPr>
        <w:t xml:space="preserve"> making efforts on the </w:t>
      </w:r>
      <w:r w:rsidR="00E34E78" w:rsidRPr="009354CA">
        <w:rPr>
          <w:rFonts w:eastAsia="MS Mincho"/>
        </w:rPr>
        <w:t>actions suggested</w:t>
      </w:r>
      <w:r w:rsidR="006C779D" w:rsidRPr="009354CA">
        <w:rPr>
          <w:rFonts w:eastAsia="MS Mincho"/>
        </w:rPr>
        <w:t xml:space="preserve"> in this document </w:t>
      </w:r>
      <w:r w:rsidR="00BF2261" w:rsidRPr="009354CA">
        <w:rPr>
          <w:rFonts w:eastAsia="MS Mincho" w:hint="eastAsia"/>
        </w:rPr>
        <w:t>which are</w:t>
      </w:r>
      <w:r w:rsidR="006C779D" w:rsidRPr="009354CA">
        <w:rPr>
          <w:rFonts w:eastAsia="MS Mincho"/>
        </w:rPr>
        <w:t xml:space="preserve"> already included in the current Strategic Plan, such as the </w:t>
      </w:r>
      <w:r w:rsidR="006C270E" w:rsidRPr="009354CA">
        <w:rPr>
          <w:rFonts w:eastAsia="MS Mincho"/>
        </w:rPr>
        <w:t>collaboration with other SDOs</w:t>
      </w:r>
      <w:r w:rsidR="00E34E78" w:rsidRPr="009354CA">
        <w:rPr>
          <w:rFonts w:eastAsia="MS Mincho"/>
        </w:rPr>
        <w:t>,</w:t>
      </w:r>
      <w:r w:rsidR="006C270E" w:rsidRPr="009354CA">
        <w:rPr>
          <w:rFonts w:eastAsia="MS Mincho"/>
        </w:rPr>
        <w:t xml:space="preserve"> Open Source communities and other stakeholders, </w:t>
      </w:r>
      <w:r w:rsidR="006C779D" w:rsidRPr="009354CA">
        <w:rPr>
          <w:rFonts w:eastAsia="MS Mincho"/>
        </w:rPr>
        <w:t xml:space="preserve">as well as, bridging </w:t>
      </w:r>
      <w:r w:rsidR="00E34E78" w:rsidRPr="009354CA">
        <w:rPr>
          <w:rFonts w:eastAsia="MS Mincho"/>
        </w:rPr>
        <w:t>technology, strategy and policy</w:t>
      </w:r>
      <w:r w:rsidR="00912C9C" w:rsidRPr="009354CA">
        <w:rPr>
          <w:rFonts w:eastAsia="MS Mincho" w:hint="eastAsia"/>
        </w:rPr>
        <w:t xml:space="preserve"> gap</w:t>
      </w:r>
      <w:r w:rsidR="00E34E78" w:rsidRPr="009354CA">
        <w:rPr>
          <w:rFonts w:eastAsia="MS Mincho"/>
        </w:rPr>
        <w:t xml:space="preserve">. </w:t>
      </w:r>
      <w:r w:rsidR="00CC4403">
        <w:rPr>
          <w:rFonts w:eastAsia="MS Mincho"/>
        </w:rPr>
        <w:t xml:space="preserve">He also highlighted that ITU-T value proposition is to be considered by RG-SOP. </w:t>
      </w:r>
    </w:p>
    <w:p w14:paraId="76CD7BA1" w14:textId="26D2D36C" w:rsidR="00E34E78" w:rsidRPr="009354CA" w:rsidRDefault="00E34E78" w:rsidP="009D0CC4">
      <w:pPr>
        <w:rPr>
          <w:rFonts w:eastAsia="MS Mincho"/>
        </w:rPr>
      </w:pPr>
      <w:r w:rsidRPr="009354CA">
        <w:rPr>
          <w:rFonts w:eastAsia="MS Mincho"/>
        </w:rPr>
        <w:t xml:space="preserve">The Rapporteur suggested to continue to follow the discussion on the proposed actions at WTSA-24 and </w:t>
      </w:r>
      <w:r w:rsidR="00912C9C" w:rsidRPr="009354CA">
        <w:rPr>
          <w:rFonts w:eastAsia="MS Mincho" w:hint="eastAsia"/>
        </w:rPr>
        <w:t>suggest</w:t>
      </w:r>
      <w:r w:rsidRPr="009354CA">
        <w:rPr>
          <w:rFonts w:eastAsia="MS Mincho"/>
        </w:rPr>
        <w:t xml:space="preserve"> improvements in text</w:t>
      </w:r>
      <w:r w:rsidR="00912C9C" w:rsidRPr="009354CA">
        <w:rPr>
          <w:rFonts w:eastAsia="MS Mincho" w:hint="eastAsia"/>
        </w:rPr>
        <w:t>s</w:t>
      </w:r>
      <w:r w:rsidRPr="009354CA">
        <w:rPr>
          <w:rFonts w:eastAsia="MS Mincho"/>
        </w:rPr>
        <w:t xml:space="preserve"> </w:t>
      </w:r>
      <w:r w:rsidR="00912C9C" w:rsidRPr="009354CA">
        <w:rPr>
          <w:rFonts w:eastAsia="MS Mincho" w:hint="eastAsia"/>
        </w:rPr>
        <w:t>of</w:t>
      </w:r>
      <w:r w:rsidRPr="009354CA">
        <w:rPr>
          <w:rFonts w:eastAsia="MS Mincho"/>
        </w:rPr>
        <w:t xml:space="preserve"> the strategic and financial plan.</w:t>
      </w:r>
    </w:p>
    <w:p w14:paraId="6DB11A14" w14:textId="21579542" w:rsidR="00E34E78" w:rsidRPr="009354CA" w:rsidRDefault="00E34E78" w:rsidP="009D0CC4">
      <w:pPr>
        <w:rPr>
          <w:rFonts w:eastAsia="MS Mincho"/>
        </w:rPr>
      </w:pPr>
      <w:r w:rsidRPr="009354CA">
        <w:rPr>
          <w:rFonts w:eastAsia="MS Mincho"/>
        </w:rPr>
        <w:t>No other comments were made at this meeting. The document was noted by the meeting.</w:t>
      </w:r>
    </w:p>
    <w:p w14:paraId="45EF88F1" w14:textId="77777777" w:rsidR="0000290C" w:rsidRPr="009354CA" w:rsidRDefault="0000290C" w:rsidP="009D0CC4">
      <w:pPr>
        <w:rPr>
          <w:rFonts w:eastAsia="MS Mincho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00290C" w:rsidRPr="009354CA" w14:paraId="0C384E5F" w14:textId="77777777" w:rsidTr="00D36AA8">
        <w:trPr>
          <w:trHeight w:val="20"/>
        </w:trPr>
        <w:tc>
          <w:tcPr>
            <w:tcW w:w="313" w:type="pct"/>
          </w:tcPr>
          <w:p w14:paraId="2F630879" w14:textId="77777777" w:rsidR="0000290C" w:rsidRPr="009354CA" w:rsidRDefault="0000290C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t>2.3</w:t>
            </w:r>
          </w:p>
        </w:tc>
        <w:tc>
          <w:tcPr>
            <w:tcW w:w="1223" w:type="pct"/>
          </w:tcPr>
          <w:p w14:paraId="0548D60D" w14:textId="77777777" w:rsidR="0000290C" w:rsidRPr="009354CA" w:rsidRDefault="0000290C" w:rsidP="00D36AA8">
            <w:pPr>
              <w:tabs>
                <w:tab w:val="left" w:pos="720"/>
              </w:tabs>
              <w:spacing w:before="40" w:after="40"/>
            </w:pPr>
            <w:r w:rsidRPr="009354CA">
              <w:t>Rapporteur, RG-IEM</w:t>
            </w:r>
            <w:r w:rsidRPr="009354CA">
              <w:br/>
              <w:t>: Draft updated ITU-T action plan for a vibrant engagement of the industry</w:t>
            </w:r>
            <w:r w:rsidRPr="009354CA" w:rsidDel="008C792C">
              <w:t xml:space="preserve"> </w:t>
            </w:r>
          </w:p>
        </w:tc>
        <w:tc>
          <w:tcPr>
            <w:tcW w:w="760" w:type="pct"/>
          </w:tcPr>
          <w:p w14:paraId="56486283" w14:textId="77777777" w:rsidR="0000290C" w:rsidRPr="009354CA" w:rsidRDefault="0000290C" w:rsidP="00D36AA8">
            <w:pPr>
              <w:spacing w:before="40" w:after="40"/>
              <w:jc w:val="center"/>
            </w:pPr>
            <w:r w:rsidRPr="009354CA">
              <w:t>(</w:t>
            </w:r>
            <w:hyperlink r:id="rId23" w:history="1">
              <w:r w:rsidRPr="009354CA">
                <w:rPr>
                  <w:rStyle w:val="Hyperlink"/>
                </w:rPr>
                <w:t>TD624R2</w:t>
              </w:r>
            </w:hyperlink>
            <w:r w:rsidRPr="009354CA">
              <w:t>)</w:t>
            </w:r>
            <w:r w:rsidRPr="009354CA">
              <w:br/>
            </w:r>
          </w:p>
          <w:p w14:paraId="31F81D1C" w14:textId="77777777" w:rsidR="0000290C" w:rsidRPr="009354CA" w:rsidRDefault="0000290C" w:rsidP="00D36AA8">
            <w:pPr>
              <w:spacing w:before="40" w:after="40"/>
              <w:jc w:val="center"/>
              <w:rPr>
                <w:rFonts w:eastAsia="MS Mincho"/>
              </w:rPr>
            </w:pPr>
            <w:r w:rsidRPr="009354CA">
              <w:t>(Output of RG-IEM meeting)</w:t>
            </w:r>
          </w:p>
        </w:tc>
        <w:tc>
          <w:tcPr>
            <w:tcW w:w="2086" w:type="pct"/>
          </w:tcPr>
          <w:p w14:paraId="16819158" w14:textId="77777777" w:rsidR="0000290C" w:rsidRPr="009354CA" w:rsidRDefault="0000290C" w:rsidP="00D36AA8">
            <w:pPr>
              <w:pStyle w:val="TSBHeaderSummary"/>
            </w:pPr>
            <w:r w:rsidRPr="009354CA">
              <w:t>This document contains the draft updated “</w:t>
            </w:r>
            <w:bookmarkStart w:id="8" w:name="_Hlk134192780"/>
            <w:r w:rsidRPr="009354CA">
              <w:t>ITU-T action plan for a vibrant engagement of the industry</w:t>
            </w:r>
            <w:bookmarkEnd w:id="8"/>
            <w:r w:rsidRPr="009354CA">
              <w:t xml:space="preserve">” developed by TSAG RG-IEM in line with its terms of reference, and updated by the Industry Engagement Workshop Steering Committee, based on the outcomes of the workshop (19 April 2024). </w:t>
            </w:r>
          </w:p>
          <w:p w14:paraId="03B18C1A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contextualSpacing w:val="0"/>
            </w:pPr>
            <w:r w:rsidRPr="009354CA">
              <w:t>The changes concern the addition of the learning &amp; feedback paragraph in tables 2-12 for each action item in chapter 7, as well as a new chapter 8.</w:t>
            </w:r>
          </w:p>
          <w:p w14:paraId="4D587E96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rPr>
                <w:b/>
                <w:bCs/>
              </w:rPr>
            </w:pPr>
          </w:p>
          <w:p w14:paraId="56FD22B9" w14:textId="77777777" w:rsidR="0000290C" w:rsidRPr="009354CA" w:rsidRDefault="0000290C" w:rsidP="00D36AA8">
            <w:pPr>
              <w:pStyle w:val="ListParagraph"/>
              <w:spacing w:before="40" w:after="40"/>
              <w:ind w:left="34"/>
            </w:pPr>
            <w:r w:rsidRPr="009354CA">
              <w:rPr>
                <w:b/>
                <w:bCs/>
              </w:rPr>
              <w:lastRenderedPageBreak/>
              <w:t>To note.</w:t>
            </w:r>
            <w:r w:rsidRPr="009354CA">
              <w:rPr>
                <w:b/>
                <w:bCs/>
              </w:rPr>
              <w:br/>
            </w:r>
            <w:r w:rsidRPr="009354CA">
              <w:t xml:space="preserve">To be approved by WP2 Plenary. </w:t>
            </w:r>
          </w:p>
          <w:p w14:paraId="4829F211" w14:textId="77777777" w:rsidR="0000290C" w:rsidRPr="009354CA" w:rsidRDefault="0000290C" w:rsidP="00D36AA8"/>
        </w:tc>
      </w:tr>
    </w:tbl>
    <w:p w14:paraId="42129ACE" w14:textId="12AD9758" w:rsidR="0000290C" w:rsidRPr="009354CA" w:rsidRDefault="00E34E78" w:rsidP="009D0CC4">
      <w:pPr>
        <w:rPr>
          <w:rFonts w:eastAsia="MS Mincho"/>
        </w:rPr>
      </w:pPr>
      <w:r w:rsidRPr="009354CA">
        <w:rPr>
          <w:rFonts w:eastAsia="MS Mincho"/>
        </w:rPr>
        <w:lastRenderedPageBreak/>
        <w:t xml:space="preserve">The Rapporteur explained that </w:t>
      </w:r>
      <w:hyperlink r:id="rId24" w:history="1">
        <w:r w:rsidRPr="009354CA">
          <w:rPr>
            <w:rStyle w:val="Hyperlink"/>
          </w:rPr>
          <w:t>TD624R2</w:t>
        </w:r>
      </w:hyperlink>
      <w:r w:rsidRPr="009354CA">
        <w:rPr>
          <w:rFonts w:eastAsia="MS Mincho"/>
        </w:rPr>
        <w:t xml:space="preserve"> has also developed by RG-IEM during this TSAG meeting. </w:t>
      </w:r>
      <w:r w:rsidR="0017101A" w:rsidRPr="009354CA">
        <w:rPr>
          <w:rFonts w:eastAsia="MS Mincho"/>
        </w:rPr>
        <w:t xml:space="preserve">He highlighted the importance to consider the updated </w:t>
      </w:r>
      <w:r w:rsidR="0017101A" w:rsidRPr="009354CA">
        <w:t xml:space="preserve">ITU-T action plan included in this </w:t>
      </w:r>
      <w:r w:rsidR="0017101A" w:rsidRPr="009354CA">
        <w:rPr>
          <w:rFonts w:eastAsia="MS Mincho"/>
        </w:rPr>
        <w:t xml:space="preserve">document for RG-SOP’s future steps. The document will be considered in future RG-SOP meetings. It was noted by the meeting. </w:t>
      </w:r>
    </w:p>
    <w:p w14:paraId="62A49848" w14:textId="77777777" w:rsidR="00E34E78" w:rsidRPr="009354CA" w:rsidRDefault="00E34E78" w:rsidP="009D0CC4">
      <w:pPr>
        <w:rPr>
          <w:rFonts w:eastAsia="MS Mincho"/>
        </w:rPr>
      </w:pPr>
    </w:p>
    <w:p w14:paraId="1CF35D24" w14:textId="2D6C865C" w:rsidR="0000290C" w:rsidRPr="009354CA" w:rsidRDefault="0000290C" w:rsidP="009D0CC4">
      <w:pPr>
        <w:rPr>
          <w:rFonts w:eastAsia="MS Mincho"/>
        </w:rPr>
      </w:pPr>
      <w:r w:rsidRPr="009354CA">
        <w:rPr>
          <w:rFonts w:eastAsia="MS Mincho"/>
          <w:b/>
          <w:bCs/>
        </w:rPr>
        <w:t>3</w:t>
      </w:r>
      <w:r w:rsidRPr="009354CA">
        <w:rPr>
          <w:rFonts w:eastAsia="MS Mincho"/>
          <w:b/>
          <w:bCs/>
        </w:rPr>
        <w:tab/>
        <w:t>TSAG inputs to CWG-SFP for the elaboration of the draft Strategic and Financial Plan for 2028 - 2031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00290C" w:rsidRPr="009354CA" w14:paraId="4AF5F17A" w14:textId="77777777" w:rsidTr="00D36AA8">
        <w:trPr>
          <w:trHeight w:val="20"/>
        </w:trPr>
        <w:tc>
          <w:tcPr>
            <w:tcW w:w="313" w:type="pct"/>
          </w:tcPr>
          <w:p w14:paraId="4CA392C8" w14:textId="77777777" w:rsidR="0000290C" w:rsidRPr="009354CA" w:rsidRDefault="0000290C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t>3.1</w:t>
            </w:r>
          </w:p>
        </w:tc>
        <w:tc>
          <w:tcPr>
            <w:tcW w:w="1223" w:type="pct"/>
          </w:tcPr>
          <w:p w14:paraId="3A42EAE2" w14:textId="77777777" w:rsidR="0000290C" w:rsidRPr="009354CA" w:rsidRDefault="0000290C" w:rsidP="00D36AA8">
            <w:pPr>
              <w:tabs>
                <w:tab w:val="left" w:pos="720"/>
              </w:tabs>
              <w:spacing w:before="40" w:after="40"/>
            </w:pPr>
            <w:r w:rsidRPr="009354CA">
              <w:rPr>
                <w:rFonts w:eastAsia="MS Mincho" w:hint="eastAsia"/>
              </w:rPr>
              <w:t>ITU/SG/SPM:</w:t>
            </w:r>
            <w:r w:rsidRPr="009354CA">
              <w:rPr>
                <w:rFonts w:eastAsia="MS Mincho"/>
              </w:rPr>
              <w:br/>
            </w:r>
            <w:r w:rsidRPr="009354CA">
              <w:rPr>
                <w:rFonts w:eastAsia="MS Mincho" w:hint="eastAsia"/>
              </w:rPr>
              <w:t>ITU</w:t>
            </w:r>
            <w:r w:rsidRPr="009354CA">
              <w:rPr>
                <w:rFonts w:eastAsia="MS Mincho"/>
              </w:rPr>
              <w:t>’s</w:t>
            </w:r>
            <w:r w:rsidRPr="009354CA">
              <w:rPr>
                <w:rFonts w:eastAsia="MS Mincho" w:hint="eastAsia"/>
              </w:rPr>
              <w:t xml:space="preserve"> Strategic Plans</w:t>
            </w:r>
            <w:r w:rsidRPr="009354CA">
              <w:t xml:space="preserve">  </w:t>
            </w:r>
          </w:p>
        </w:tc>
        <w:tc>
          <w:tcPr>
            <w:tcW w:w="760" w:type="pct"/>
          </w:tcPr>
          <w:p w14:paraId="3439ACFB" w14:textId="77777777" w:rsidR="0000290C" w:rsidRPr="009354CA" w:rsidRDefault="00D556A1" w:rsidP="00D36AA8">
            <w:pPr>
              <w:spacing w:before="40" w:after="40"/>
              <w:jc w:val="center"/>
            </w:pPr>
            <w:hyperlink r:id="rId25" w:history="1">
              <w:r w:rsidR="0000290C" w:rsidRPr="009354CA">
                <w:rPr>
                  <w:rStyle w:val="Hyperlink"/>
                  <w:rFonts w:eastAsia="MS Mincho" w:hint="eastAsia"/>
                </w:rPr>
                <w:t>TD6</w:t>
              </w:r>
              <w:r w:rsidR="0000290C" w:rsidRPr="009354CA">
                <w:rPr>
                  <w:rStyle w:val="Hyperlink"/>
                  <w:rFonts w:eastAsia="MS Mincho"/>
                </w:rPr>
                <w:t>72</w:t>
              </w:r>
            </w:hyperlink>
          </w:p>
        </w:tc>
        <w:tc>
          <w:tcPr>
            <w:tcW w:w="2086" w:type="pct"/>
          </w:tcPr>
          <w:p w14:paraId="23ADDA99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contextualSpacing w:val="0"/>
            </w:pPr>
            <w:r w:rsidRPr="009354CA">
              <w:rPr>
                <w:b/>
                <w:bCs/>
              </w:rPr>
              <w:t>To note.</w:t>
            </w:r>
            <w:r w:rsidRPr="009354CA">
              <w:t xml:space="preserve"> </w:t>
            </w:r>
          </w:p>
          <w:p w14:paraId="5FA7E903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contextualSpacing w:val="0"/>
            </w:pPr>
            <w:r w:rsidRPr="009354CA">
              <w:t>Presentation will be made after 15:00.</w:t>
            </w:r>
          </w:p>
          <w:p w14:paraId="47A2F23A" w14:textId="77777777" w:rsidR="0000290C" w:rsidRPr="009354CA" w:rsidRDefault="0000290C" w:rsidP="00D36AA8">
            <w:pPr>
              <w:jc w:val="both"/>
            </w:pPr>
            <w:r w:rsidRPr="009354CA">
              <w:t>Reference documents for information:</w:t>
            </w:r>
          </w:p>
          <w:p w14:paraId="5133889D" w14:textId="77777777" w:rsidR="0000290C" w:rsidRPr="009354CA" w:rsidRDefault="0000290C" w:rsidP="00D36AA8">
            <w:pPr>
              <w:jc w:val="both"/>
              <w:rPr>
                <w:rStyle w:val="Hyperlink"/>
                <w:color w:val="auto"/>
                <w:u w:val="none"/>
              </w:rPr>
            </w:pPr>
            <w:r w:rsidRPr="009354CA">
              <w:rPr>
                <w:bCs/>
              </w:rPr>
              <w:t>-Strategic plan for the Union for 2024-2027</w:t>
            </w:r>
            <w:r w:rsidRPr="009354CA">
              <w:t xml:space="preserve"> (</w:t>
            </w:r>
            <w:hyperlink r:id="rId26" w:history="1">
              <w:r w:rsidRPr="009354CA">
                <w:rPr>
                  <w:rStyle w:val="Hyperlink"/>
                </w:rPr>
                <w:t>PP-22 Res. 71</w:t>
              </w:r>
            </w:hyperlink>
            <w:r w:rsidRPr="009354CA">
              <w:rPr>
                <w:rStyle w:val="Hyperlink"/>
                <w:color w:val="auto"/>
                <w:u w:val="none"/>
              </w:rPr>
              <w:t xml:space="preserve"> )</w:t>
            </w:r>
          </w:p>
          <w:p w14:paraId="410CDE4E" w14:textId="77777777" w:rsidR="0000290C" w:rsidRPr="009354CA" w:rsidRDefault="0000290C" w:rsidP="00D36AA8">
            <w:pPr>
              <w:rPr>
                <w:rStyle w:val="Hyperlink"/>
              </w:rPr>
            </w:pPr>
            <w:r w:rsidRPr="009354CA">
              <w:rPr>
                <w:bCs/>
              </w:rPr>
              <w:t>-Preparation of the ITU strategic and financial plans for 2028-2031 (</w:t>
            </w:r>
            <w:hyperlink r:id="rId27" w:history="1">
              <w:r w:rsidRPr="009354CA">
                <w:rPr>
                  <w:rStyle w:val="Hyperlink"/>
                </w:rPr>
                <w:t>C24/59 Rev.1</w:t>
              </w:r>
            </w:hyperlink>
            <w:r w:rsidRPr="009354CA">
              <w:rPr>
                <w:rStyle w:val="Hyperlink"/>
              </w:rPr>
              <w:t>)</w:t>
            </w:r>
          </w:p>
          <w:p w14:paraId="25B92610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contextualSpacing w:val="0"/>
            </w:pPr>
          </w:p>
        </w:tc>
      </w:tr>
    </w:tbl>
    <w:p w14:paraId="2758344F" w14:textId="69F7ECC5" w:rsidR="00967C88" w:rsidRPr="009354CA" w:rsidRDefault="00B750EA" w:rsidP="00287D36">
      <w:pPr>
        <w:ind w:right="284"/>
        <w:rPr>
          <w:rFonts w:eastAsia="MS Mincho"/>
        </w:rPr>
      </w:pPr>
      <w:r w:rsidRPr="009354CA">
        <w:rPr>
          <w:rFonts w:eastAsia="MS Mincho" w:hint="eastAsia"/>
        </w:rPr>
        <w:t xml:space="preserve">The General </w:t>
      </w:r>
      <w:r w:rsidRPr="009354CA">
        <w:rPr>
          <w:rFonts w:eastAsia="MS Mincho"/>
        </w:rPr>
        <w:t>Secretariat</w:t>
      </w:r>
      <w:r w:rsidRPr="009354CA">
        <w:rPr>
          <w:rFonts w:eastAsia="MS Mincho" w:hint="eastAsia"/>
        </w:rPr>
        <w:t xml:space="preserve"> </w:t>
      </w:r>
      <w:r w:rsidR="00D4565E">
        <w:rPr>
          <w:rFonts w:eastAsia="MS Mincho"/>
        </w:rPr>
        <w:t xml:space="preserve">of </w:t>
      </w:r>
      <w:r w:rsidRPr="009354CA">
        <w:rPr>
          <w:rFonts w:eastAsia="MS Mincho" w:hint="eastAsia"/>
        </w:rPr>
        <w:t>ITU</w:t>
      </w:r>
      <w:r w:rsidR="00D4565E">
        <w:rPr>
          <w:rFonts w:eastAsia="MS Mincho"/>
        </w:rPr>
        <w:t xml:space="preserve"> </w:t>
      </w:r>
      <w:r w:rsidR="0000290C" w:rsidRPr="009354CA">
        <w:rPr>
          <w:rFonts w:eastAsia="MS Mincho"/>
        </w:rPr>
        <w:t xml:space="preserve">presented the power point slides in </w:t>
      </w:r>
      <w:hyperlink r:id="rId28" w:history="1">
        <w:r w:rsidR="0000290C" w:rsidRPr="009354CA">
          <w:rPr>
            <w:rStyle w:val="Hyperlink"/>
            <w:rFonts w:eastAsia="MS Mincho" w:hint="eastAsia"/>
          </w:rPr>
          <w:t>TD6</w:t>
        </w:r>
        <w:r w:rsidR="0000290C" w:rsidRPr="009354CA">
          <w:rPr>
            <w:rStyle w:val="Hyperlink"/>
            <w:rFonts w:eastAsia="MS Mincho"/>
          </w:rPr>
          <w:t>72</w:t>
        </w:r>
      </w:hyperlink>
      <w:r w:rsidR="0000290C" w:rsidRPr="009354CA">
        <w:rPr>
          <w:rFonts w:eastAsia="MS Mincho"/>
        </w:rPr>
        <w:t xml:space="preserve">. </w:t>
      </w:r>
      <w:r w:rsidR="00967C88" w:rsidRPr="009354CA">
        <w:rPr>
          <w:rFonts w:eastAsia="MS Mincho" w:hint="eastAsia"/>
        </w:rPr>
        <w:t>The presentation</w:t>
      </w:r>
      <w:r w:rsidR="00967C88" w:rsidRPr="009354CA">
        <w:rPr>
          <w:rFonts w:eastAsia="MS Mincho"/>
        </w:rPr>
        <w:t xml:space="preserve"> </w:t>
      </w:r>
      <w:r w:rsidR="00967C88" w:rsidRPr="009354CA">
        <w:rPr>
          <w:rFonts w:eastAsia="MS Mincho" w:hint="eastAsia"/>
        </w:rPr>
        <w:t>provided</w:t>
      </w:r>
      <w:r w:rsidR="00967C88" w:rsidRPr="009354CA">
        <w:rPr>
          <w:rFonts w:eastAsia="MS Mincho"/>
        </w:rPr>
        <w:t xml:space="preserve"> information on the process for the development of ITU Strategic and Financial Plans, as well as the guidelines and the evolution to the new strategic framework.</w:t>
      </w:r>
      <w:r w:rsidRPr="009354CA">
        <w:rPr>
          <w:rFonts w:eastAsia="MS Mincho" w:hint="eastAsia"/>
        </w:rPr>
        <w:t xml:space="preserve"> </w:t>
      </w:r>
    </w:p>
    <w:p w14:paraId="7DDD5CFF" w14:textId="1B7142B7" w:rsidR="0000290C" w:rsidRPr="009354CA" w:rsidRDefault="00B750EA" w:rsidP="00287D36">
      <w:pPr>
        <w:ind w:right="284"/>
        <w:rPr>
          <w:rFonts w:eastAsia="MS Mincho"/>
        </w:rPr>
      </w:pPr>
      <w:r w:rsidRPr="009354CA">
        <w:rPr>
          <w:rFonts w:eastAsia="MS Mincho" w:hint="eastAsia"/>
        </w:rPr>
        <w:t xml:space="preserve">The presentation was well appreciated by the meeting. </w:t>
      </w:r>
    </w:p>
    <w:p w14:paraId="487FC9AB" w14:textId="77777777" w:rsidR="0000290C" w:rsidRPr="009354CA" w:rsidRDefault="0000290C" w:rsidP="009D0CC4">
      <w:pPr>
        <w:rPr>
          <w:rFonts w:eastAsia="MS Minch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00290C" w:rsidRPr="009354CA" w14:paraId="097C8FDB" w14:textId="77777777" w:rsidTr="00D36AA8">
        <w:trPr>
          <w:trHeight w:val="20"/>
        </w:trPr>
        <w:tc>
          <w:tcPr>
            <w:tcW w:w="313" w:type="pct"/>
          </w:tcPr>
          <w:p w14:paraId="1846AFF8" w14:textId="77777777" w:rsidR="0000290C" w:rsidRPr="009354CA" w:rsidRDefault="0000290C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t>3.2</w:t>
            </w:r>
          </w:p>
        </w:tc>
        <w:tc>
          <w:tcPr>
            <w:tcW w:w="1223" w:type="pct"/>
          </w:tcPr>
          <w:p w14:paraId="6AD97AC2" w14:textId="77777777" w:rsidR="0000290C" w:rsidRPr="009354CA" w:rsidRDefault="0000290C" w:rsidP="00D36AA8">
            <w:pPr>
              <w:tabs>
                <w:tab w:val="left" w:pos="720"/>
              </w:tabs>
              <w:spacing w:before="40" w:after="40"/>
            </w:pPr>
            <w:r w:rsidRPr="009354CA">
              <w:t>Ericsson Canada; Canada: Elements to consider for the ITU-T/TSAG input to CWG-SFP</w:t>
            </w:r>
          </w:p>
        </w:tc>
        <w:tc>
          <w:tcPr>
            <w:tcW w:w="760" w:type="pct"/>
          </w:tcPr>
          <w:p w14:paraId="34475120" w14:textId="77777777" w:rsidR="0000290C" w:rsidRPr="009354CA" w:rsidRDefault="00D556A1" w:rsidP="00D36AA8">
            <w:pPr>
              <w:spacing w:before="40" w:after="40"/>
              <w:jc w:val="center"/>
            </w:pPr>
            <w:hyperlink r:id="rId29" w:history="1">
              <w:r w:rsidR="0000290C" w:rsidRPr="009354CA">
                <w:rPr>
                  <w:rStyle w:val="Hyperlink"/>
                </w:rPr>
                <w:t>C103</w:t>
              </w:r>
            </w:hyperlink>
          </w:p>
        </w:tc>
        <w:tc>
          <w:tcPr>
            <w:tcW w:w="2086" w:type="pct"/>
          </w:tcPr>
          <w:p w14:paraId="2EFFFACA" w14:textId="77777777" w:rsidR="0000290C" w:rsidRPr="009354CA" w:rsidRDefault="0000290C" w:rsidP="00D36AA8">
            <w:pPr>
              <w:pStyle w:val="ListParagraph"/>
              <w:spacing w:before="40" w:after="40"/>
              <w:ind w:left="34"/>
            </w:pPr>
            <w:r w:rsidRPr="009354CA">
              <w:t>The purpose of this contribution is to identify a number of elements pertinent to ITU-T which could form the basis of a TSAG input to the Council Working Group on the elaboration of the draft Strategic Plan, 2028-2031. It is expected that the ITU-T contribution to the CWG will evolve over time based in part on contributions from the membership to RG-SOP, TSAG and the WTSA.</w:t>
            </w:r>
          </w:p>
          <w:p w14:paraId="2D44D9C5" w14:textId="77777777" w:rsidR="0000290C" w:rsidRPr="009354CA" w:rsidRDefault="0000290C" w:rsidP="00D36AA8">
            <w:pPr>
              <w:pStyle w:val="ListParagraph"/>
              <w:spacing w:before="40" w:after="40"/>
              <w:ind w:left="34"/>
            </w:pPr>
          </w:p>
          <w:p w14:paraId="456331DC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rPr>
                <w:b/>
                <w:bCs/>
              </w:rPr>
            </w:pPr>
            <w:r w:rsidRPr="009354CA">
              <w:rPr>
                <w:b/>
                <w:bCs/>
              </w:rPr>
              <w:t>To discuss.</w:t>
            </w:r>
          </w:p>
        </w:tc>
      </w:tr>
    </w:tbl>
    <w:p w14:paraId="7040EB3C" w14:textId="77777777" w:rsidR="0000290C" w:rsidRPr="009354CA" w:rsidRDefault="0000290C" w:rsidP="009D0CC4">
      <w:pPr>
        <w:rPr>
          <w:rFonts w:eastAsia="MS Mincho"/>
        </w:rPr>
      </w:pPr>
    </w:p>
    <w:p w14:paraId="2D1036B1" w14:textId="7264F2F7" w:rsidR="009D0CC4" w:rsidRPr="009354CA" w:rsidRDefault="002B5064" w:rsidP="009D0CC4">
      <w:pPr>
        <w:rPr>
          <w:rFonts w:eastAsia="MS Mincho"/>
        </w:rPr>
      </w:pPr>
      <w:r w:rsidRPr="009354CA">
        <w:rPr>
          <w:rFonts w:eastAsia="MS Mincho"/>
        </w:rPr>
        <w:t>Ericsson Canada presented</w:t>
      </w:r>
      <w:r w:rsidR="006003CD" w:rsidRPr="009354CA">
        <w:rPr>
          <w:rFonts w:eastAsia="MS Mincho" w:hint="eastAsia"/>
        </w:rPr>
        <w:t xml:space="preserve"> </w:t>
      </w:r>
      <w:hyperlink r:id="rId30" w:history="1">
        <w:r w:rsidR="0000290C" w:rsidRPr="009354CA">
          <w:rPr>
            <w:rStyle w:val="Hyperlink"/>
          </w:rPr>
          <w:t>C103</w:t>
        </w:r>
      </w:hyperlink>
      <w:r w:rsidR="006003CD" w:rsidRPr="009354CA">
        <w:rPr>
          <w:rFonts w:eastAsia="MS Mincho" w:hint="eastAsia"/>
        </w:rPr>
        <w:t xml:space="preserve">. </w:t>
      </w:r>
      <w:r w:rsidR="00912C9C" w:rsidRPr="009354CA">
        <w:rPr>
          <w:rFonts w:eastAsia="MS Mincho" w:hint="eastAsia"/>
        </w:rPr>
        <w:t xml:space="preserve">The </w:t>
      </w:r>
      <w:r w:rsidR="0017101A" w:rsidRPr="009354CA">
        <w:rPr>
          <w:rFonts w:eastAsia="MS Mincho"/>
        </w:rPr>
        <w:t>following points</w:t>
      </w:r>
      <w:r w:rsidR="00912C9C" w:rsidRPr="009354CA">
        <w:rPr>
          <w:rFonts w:eastAsia="MS Mincho" w:hint="eastAsia"/>
        </w:rPr>
        <w:t xml:space="preserve"> were highlighted</w:t>
      </w:r>
      <w:r w:rsidR="0017101A" w:rsidRPr="009354CA">
        <w:rPr>
          <w:rFonts w:eastAsia="MS Mincho"/>
        </w:rPr>
        <w:t xml:space="preserve">: </w:t>
      </w:r>
    </w:p>
    <w:p w14:paraId="123175D9" w14:textId="33F2FCD6" w:rsidR="00BC53EC" w:rsidRPr="009354CA" w:rsidRDefault="00BC53EC" w:rsidP="009D0CC4">
      <w:pPr>
        <w:rPr>
          <w:rFonts w:eastAsia="MS Mincho"/>
        </w:rPr>
      </w:pPr>
      <w:r w:rsidRPr="009354CA">
        <w:rPr>
          <w:rFonts w:eastAsia="MS Mincho"/>
        </w:rPr>
        <w:t xml:space="preserve">- Linkage between the Strategic Plan and the Operational Plan regarding “International Telecommunication Numbering Resources” that is ITU-T’s Thematic Priority.  </w:t>
      </w:r>
      <w:r w:rsidR="00AF3ABB" w:rsidRPr="009354CA">
        <w:rPr>
          <w:rFonts w:eastAsia="MS Mincho"/>
        </w:rPr>
        <w:t xml:space="preserve">This is one of the priorities but a more generic description of the Sector-wide priorities could be selected as an ITU-T Thematic Priority. A suggested text to be added to the Thematic Priorities are included in </w:t>
      </w:r>
      <w:hyperlink r:id="rId31" w:history="1">
        <w:r w:rsidR="00AF3ABB" w:rsidRPr="009354CA">
          <w:rPr>
            <w:rStyle w:val="Hyperlink"/>
          </w:rPr>
          <w:t>C103</w:t>
        </w:r>
      </w:hyperlink>
      <w:r w:rsidR="00AF3ABB" w:rsidRPr="009354CA">
        <w:rPr>
          <w:rFonts w:eastAsia="MS Mincho"/>
        </w:rPr>
        <w:t xml:space="preserve">. </w:t>
      </w:r>
    </w:p>
    <w:p w14:paraId="08F0EDCC" w14:textId="431D7A99" w:rsidR="00AF3ABB" w:rsidRPr="009354CA" w:rsidRDefault="00AF3ABB" w:rsidP="009D0CC4">
      <w:pPr>
        <w:rPr>
          <w:rFonts w:eastAsia="MS Mincho"/>
        </w:rPr>
      </w:pPr>
      <w:r w:rsidRPr="009354CA">
        <w:rPr>
          <w:rFonts w:eastAsia="MS Mincho"/>
        </w:rPr>
        <w:t xml:space="preserve">- Definitions of Output and Outcome are not clear in the Strategic Plan. </w:t>
      </w:r>
      <w:r w:rsidR="001C08C0" w:rsidRPr="009354CA">
        <w:rPr>
          <w:rFonts w:eastAsia="MS Mincho"/>
        </w:rPr>
        <w:t xml:space="preserve">Output is defined in the Strategic Plan, but Outcomes is not defined, while it is included in the Operational Plan. Clarification on the relationship between these terms would be suggested.  </w:t>
      </w:r>
    </w:p>
    <w:p w14:paraId="28F654B1" w14:textId="77777777" w:rsidR="00912C9C" w:rsidRPr="009354CA" w:rsidRDefault="00967C88" w:rsidP="009D0CC4">
      <w:pPr>
        <w:rPr>
          <w:rFonts w:eastAsia="MS Mincho"/>
        </w:rPr>
      </w:pPr>
      <w:r w:rsidRPr="009354CA">
        <w:rPr>
          <w:rFonts w:eastAsia="MS Mincho" w:hint="eastAsia"/>
        </w:rPr>
        <w:lastRenderedPageBreak/>
        <w:t xml:space="preserve">- </w:t>
      </w:r>
      <w:r w:rsidR="001C08C0" w:rsidRPr="009354CA">
        <w:rPr>
          <w:rFonts w:eastAsia="MS Mincho"/>
        </w:rPr>
        <w:t xml:space="preserve">A new output in the ITU-T Operational Plan on the subject of the industry engagement </w:t>
      </w:r>
      <w:r w:rsidR="003E45ED" w:rsidRPr="009354CA">
        <w:rPr>
          <w:rFonts w:eastAsia="MS Mincho"/>
        </w:rPr>
        <w:t>would be suggested to promote fruitful and constructive cooperation and partnership between Member States and Sector Members.</w:t>
      </w:r>
    </w:p>
    <w:p w14:paraId="547E2253" w14:textId="61013033" w:rsidR="001C08C0" w:rsidRPr="009354CA" w:rsidRDefault="00912C9C" w:rsidP="009D0CC4">
      <w:pPr>
        <w:rPr>
          <w:rFonts w:eastAsia="MS Mincho"/>
        </w:rPr>
      </w:pPr>
      <w:r w:rsidRPr="009354CA">
        <w:rPr>
          <w:rFonts w:eastAsia="MS Mincho" w:hint="eastAsia"/>
        </w:rPr>
        <w:t>Comments made to this Contribution include:</w:t>
      </w:r>
      <w:r w:rsidR="003E45ED" w:rsidRPr="009354CA">
        <w:rPr>
          <w:rFonts w:eastAsia="MS Mincho"/>
        </w:rPr>
        <w:t xml:space="preserve">  </w:t>
      </w:r>
    </w:p>
    <w:p w14:paraId="74C9AED4" w14:textId="3672061D" w:rsidR="0017101A" w:rsidRPr="009354CA" w:rsidRDefault="003E45ED" w:rsidP="009D0CC4">
      <w:pPr>
        <w:rPr>
          <w:rFonts w:eastAsia="MS Mincho"/>
        </w:rPr>
      </w:pPr>
      <w:r w:rsidRPr="009354CA">
        <w:rPr>
          <w:rFonts w:eastAsia="MS Mincho"/>
        </w:rPr>
        <w:t>A Member State raised that in the past there have been</w:t>
      </w:r>
      <w:r w:rsidR="00912C9C" w:rsidRPr="009354CA">
        <w:rPr>
          <w:rFonts w:eastAsia="MS Mincho" w:hint="eastAsia"/>
        </w:rPr>
        <w:t xml:space="preserve"> both</w:t>
      </w:r>
      <w:r w:rsidRPr="009354CA">
        <w:rPr>
          <w:rFonts w:eastAsia="MS Mincho"/>
        </w:rPr>
        <w:t xml:space="preserve"> Output and Outcome</w:t>
      </w:r>
      <w:r w:rsidR="00912C9C" w:rsidRPr="009354CA">
        <w:rPr>
          <w:rFonts w:eastAsia="MS Mincho" w:hint="eastAsia"/>
        </w:rPr>
        <w:t xml:space="preserve"> included </w:t>
      </w:r>
      <w:r w:rsidRPr="009354CA">
        <w:rPr>
          <w:rFonts w:eastAsia="MS Mincho"/>
        </w:rPr>
        <w:t xml:space="preserve"> in the Strategic Plan, while Outcome </w:t>
      </w:r>
      <w:r w:rsidR="00C21546" w:rsidRPr="009354CA">
        <w:rPr>
          <w:rFonts w:eastAsia="MS Mincho"/>
        </w:rPr>
        <w:t>has been</w:t>
      </w:r>
      <w:r w:rsidRPr="009354CA">
        <w:rPr>
          <w:rFonts w:eastAsia="MS Mincho"/>
        </w:rPr>
        <w:t xml:space="preserve"> deleted in some point. </w:t>
      </w:r>
      <w:r w:rsidR="00C21546" w:rsidRPr="009354CA">
        <w:rPr>
          <w:rFonts w:eastAsia="MS Mincho"/>
        </w:rPr>
        <w:t>In his opinion, b</w:t>
      </w:r>
      <w:r w:rsidRPr="009354CA">
        <w:rPr>
          <w:rFonts w:eastAsia="MS Mincho"/>
        </w:rPr>
        <w:t>oth terms should remain</w:t>
      </w:r>
      <w:r w:rsidR="00C21546" w:rsidRPr="009354CA">
        <w:rPr>
          <w:rFonts w:eastAsia="MS Mincho"/>
        </w:rPr>
        <w:t>, but no definition would be needed while descriptions would be helpful</w:t>
      </w:r>
      <w:r w:rsidRPr="009354CA">
        <w:rPr>
          <w:rFonts w:eastAsia="MS Mincho"/>
        </w:rPr>
        <w:t>.</w:t>
      </w:r>
      <w:r w:rsidR="00C21546" w:rsidRPr="009354CA">
        <w:rPr>
          <w:rFonts w:eastAsia="MS Mincho"/>
        </w:rPr>
        <w:t xml:space="preserve"> Output refers to a tangible and observable result of process, project, or action, to present the immediate deliverable that can be measured and assessed. </w:t>
      </w:r>
      <w:r w:rsidR="00C21546" w:rsidRPr="009354CA">
        <w:t xml:space="preserve">Outcome </w:t>
      </w:r>
      <w:r w:rsidR="00912C9C" w:rsidRPr="009354CA">
        <w:rPr>
          <w:rFonts w:eastAsia="MS Mincho" w:hint="eastAsia"/>
        </w:rPr>
        <w:t>is</w:t>
      </w:r>
      <w:r w:rsidR="00C21546" w:rsidRPr="009354CA">
        <w:t xml:space="preserve"> typically quantifiable and can be easily identified and documented.</w:t>
      </w:r>
      <w:r w:rsidRPr="009354CA">
        <w:rPr>
          <w:rFonts w:eastAsia="MS Mincho"/>
        </w:rPr>
        <w:t xml:space="preserve"> </w:t>
      </w:r>
    </w:p>
    <w:p w14:paraId="7EB2FCA4" w14:textId="18F9C7BA" w:rsidR="00C21546" w:rsidRPr="009354CA" w:rsidRDefault="00967C88" w:rsidP="009D0CC4">
      <w:pPr>
        <w:rPr>
          <w:rFonts w:eastAsia="MS Mincho"/>
        </w:rPr>
      </w:pPr>
      <w:r w:rsidRPr="009354CA">
        <w:rPr>
          <w:rFonts w:eastAsia="MS Mincho" w:hint="eastAsia"/>
        </w:rPr>
        <w:t>Another</w:t>
      </w:r>
      <w:r w:rsidR="00C21546" w:rsidRPr="009354CA">
        <w:rPr>
          <w:rFonts w:eastAsia="MS Mincho"/>
        </w:rPr>
        <w:t xml:space="preserve"> Member State expressed </w:t>
      </w:r>
      <w:r w:rsidR="001A4B91" w:rsidRPr="009354CA">
        <w:rPr>
          <w:rFonts w:eastAsia="MS Mincho"/>
        </w:rPr>
        <w:t xml:space="preserve">their opinion </w:t>
      </w:r>
      <w:r w:rsidR="00C21546" w:rsidRPr="009354CA">
        <w:rPr>
          <w:rFonts w:eastAsia="MS Mincho"/>
        </w:rPr>
        <w:t>that it would be premature to consider the Strategic Plan 2028-2031, and suggested to postpone the RG-SOP discussion to the next year, after the first CWG-SFP</w:t>
      </w:r>
      <w:r w:rsidR="00912C9C" w:rsidRPr="009354CA">
        <w:rPr>
          <w:rFonts w:eastAsia="MS Mincho" w:hint="eastAsia"/>
        </w:rPr>
        <w:t xml:space="preserve"> meeting</w:t>
      </w:r>
      <w:r w:rsidR="00C21546" w:rsidRPr="009354CA">
        <w:rPr>
          <w:rFonts w:eastAsia="MS Mincho"/>
        </w:rPr>
        <w:t xml:space="preserve"> and WTSA-24.  </w:t>
      </w:r>
    </w:p>
    <w:p w14:paraId="4B706F25" w14:textId="4C6DBA84" w:rsidR="00C21546" w:rsidRPr="009354CA" w:rsidRDefault="00967C88" w:rsidP="009D0CC4">
      <w:pPr>
        <w:rPr>
          <w:rFonts w:eastAsia="MS Mincho"/>
        </w:rPr>
      </w:pPr>
      <w:r w:rsidRPr="009354CA">
        <w:rPr>
          <w:rFonts w:eastAsia="MS Mincho" w:hint="eastAsia"/>
        </w:rPr>
        <w:t>-</w:t>
      </w:r>
      <w:r w:rsidR="00C21546" w:rsidRPr="009354CA">
        <w:rPr>
          <w:rFonts w:eastAsia="MS Mincho"/>
        </w:rPr>
        <w:t xml:space="preserve">Another Member State </w:t>
      </w:r>
      <w:r w:rsidR="00DC6D42" w:rsidRPr="009354CA">
        <w:rPr>
          <w:rFonts w:eastAsia="MS Mincho" w:hint="eastAsia"/>
        </w:rPr>
        <w:t xml:space="preserve">commented </w:t>
      </w:r>
      <w:r w:rsidR="001A4B91" w:rsidRPr="009354CA">
        <w:rPr>
          <w:rFonts w:eastAsia="MS Mincho"/>
        </w:rPr>
        <w:t>that</w:t>
      </w:r>
      <w:r w:rsidR="001A4B91" w:rsidRPr="009354CA">
        <w:rPr>
          <w:rFonts w:eastAsia="MS Mincho" w:hint="eastAsia"/>
        </w:rPr>
        <w:t xml:space="preserve"> </w:t>
      </w:r>
      <w:r w:rsidR="001A4B91" w:rsidRPr="009354CA">
        <w:rPr>
          <w:rFonts w:eastAsia="MS Mincho"/>
        </w:rPr>
        <w:t>all ITU-T priorities relate to standard</w:t>
      </w:r>
      <w:r w:rsidR="001A4B91" w:rsidRPr="009354CA">
        <w:rPr>
          <w:rFonts w:eastAsia="MS Mincho" w:hint="eastAsia"/>
        </w:rPr>
        <w:t>ization</w:t>
      </w:r>
      <w:r w:rsidR="001A4B91" w:rsidRPr="009354CA">
        <w:rPr>
          <w:rFonts w:eastAsia="MS Mincho"/>
        </w:rPr>
        <w:t>, and each ITU Sector work</w:t>
      </w:r>
      <w:r w:rsidR="001A4B91" w:rsidRPr="009354CA">
        <w:rPr>
          <w:rFonts w:eastAsia="MS Mincho" w:hint="eastAsia"/>
        </w:rPr>
        <w:t xml:space="preserve"> aims for the same overarching goals across the Union</w:t>
      </w:r>
      <w:r w:rsidR="00287D36" w:rsidRPr="009354CA">
        <w:rPr>
          <w:rFonts w:eastAsia="MS Mincho" w:hint="eastAsia"/>
        </w:rPr>
        <w:t xml:space="preserve">. It was questioned whether it </w:t>
      </w:r>
      <w:r w:rsidR="00287D36" w:rsidRPr="009354CA">
        <w:rPr>
          <w:rFonts w:eastAsia="MS Mincho"/>
        </w:rPr>
        <w:t>would</w:t>
      </w:r>
      <w:r w:rsidR="00287D36" w:rsidRPr="009354CA">
        <w:rPr>
          <w:rFonts w:eastAsia="MS Mincho" w:hint="eastAsia"/>
        </w:rPr>
        <w:t xml:space="preserve"> be necessary to consider detailed priorities. </w:t>
      </w:r>
    </w:p>
    <w:p w14:paraId="07DFC6E7" w14:textId="5455BE77" w:rsidR="00DC6D42" w:rsidRPr="009354CA" w:rsidRDefault="00967C88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- </w:t>
      </w:r>
      <w:r w:rsidR="00DC6D42" w:rsidRPr="009354CA">
        <w:rPr>
          <w:rFonts w:eastAsia="MS Mincho" w:hint="eastAsia"/>
        </w:rPr>
        <w:t xml:space="preserve">Then, it was commented that there has been a discussion on the ITU-R Operational Plan at RA in 2023 in Dubai, because </w:t>
      </w:r>
      <w:r w:rsidR="009354CA">
        <w:rPr>
          <w:rFonts w:eastAsia="MS Mincho" w:hint="eastAsia"/>
        </w:rPr>
        <w:t xml:space="preserve">it </w:t>
      </w:r>
      <w:r w:rsidR="00912C9C" w:rsidRPr="009354CA">
        <w:rPr>
          <w:rFonts w:eastAsia="MS Mincho" w:hint="eastAsia"/>
        </w:rPr>
        <w:t xml:space="preserve">had not been possible to review the ITU- R Operational Plan, </w:t>
      </w:r>
      <w:r w:rsidR="009354CA">
        <w:rPr>
          <w:rFonts w:eastAsia="MS Mincho" w:hint="eastAsia"/>
        </w:rPr>
        <w:t xml:space="preserve">due to the </w:t>
      </w:r>
      <w:r w:rsidR="009354CA">
        <w:rPr>
          <w:rFonts w:eastAsia="MS Mincho"/>
        </w:rPr>
        <w:t>merge</w:t>
      </w:r>
      <w:r w:rsidR="00DC6D42" w:rsidRPr="009354CA">
        <w:rPr>
          <w:rFonts w:eastAsia="MS Mincho" w:hint="eastAsia"/>
        </w:rPr>
        <w:t xml:space="preserve"> in the Union</w:t>
      </w:r>
      <w:r w:rsidR="00DC6D42" w:rsidRPr="009354CA">
        <w:rPr>
          <w:rFonts w:eastAsia="MS Mincho"/>
        </w:rPr>
        <w:t>’</w:t>
      </w:r>
      <w:r w:rsidR="00DC6D42" w:rsidRPr="009354CA">
        <w:rPr>
          <w:rFonts w:eastAsia="MS Mincho" w:hint="eastAsia"/>
        </w:rPr>
        <w:t>s Operational Plan</w:t>
      </w:r>
      <w:r w:rsidR="00912C9C" w:rsidRPr="009354CA">
        <w:rPr>
          <w:rFonts w:eastAsia="MS Mincho" w:hint="eastAsia"/>
        </w:rPr>
        <w:t xml:space="preserve">. </w:t>
      </w:r>
      <w:r w:rsidR="00DC6D42" w:rsidRPr="009354CA">
        <w:rPr>
          <w:rFonts w:eastAsia="MS Mincho" w:hint="eastAsia"/>
        </w:rPr>
        <w:t xml:space="preserve">It was </w:t>
      </w:r>
      <w:r w:rsidR="00865924" w:rsidRPr="009354CA">
        <w:rPr>
          <w:rFonts w:eastAsia="MS Mincho" w:hint="eastAsia"/>
        </w:rPr>
        <w:t xml:space="preserve">highlighted </w:t>
      </w:r>
      <w:r w:rsidR="00912C9C" w:rsidRPr="009354CA">
        <w:rPr>
          <w:rFonts w:eastAsia="MS Mincho" w:hint="eastAsia"/>
        </w:rPr>
        <w:t xml:space="preserve">that </w:t>
      </w:r>
      <w:r w:rsidR="00865924" w:rsidRPr="009354CA">
        <w:rPr>
          <w:rFonts w:eastAsia="MS Mincho" w:hint="eastAsia"/>
        </w:rPr>
        <w:t xml:space="preserve">the provision art. 197CA of the Convention requests </w:t>
      </w:r>
      <w:r w:rsidR="00DC6D42" w:rsidRPr="009354CA">
        <w:rPr>
          <w:rFonts w:eastAsia="MS Mincho" w:hint="eastAsia"/>
        </w:rPr>
        <w:t xml:space="preserve">TSAG </w:t>
      </w:r>
      <w:r w:rsidR="00865924" w:rsidRPr="009354CA">
        <w:rPr>
          <w:rFonts w:eastAsia="MS Mincho" w:hint="eastAsia"/>
        </w:rPr>
        <w:t xml:space="preserve">to review the ITU-T Operational Plan. </w:t>
      </w:r>
      <w:r w:rsidRPr="009354CA">
        <w:rPr>
          <w:rFonts w:eastAsia="MS Mincho" w:hint="eastAsia"/>
        </w:rPr>
        <w:t xml:space="preserve">To this </w:t>
      </w:r>
      <w:r w:rsidRPr="009354CA">
        <w:rPr>
          <w:rFonts w:eastAsia="MS Mincho"/>
        </w:rPr>
        <w:t>comment</w:t>
      </w:r>
      <w:r w:rsidRPr="009354CA">
        <w:rPr>
          <w:rFonts w:eastAsia="MS Mincho" w:hint="eastAsia"/>
        </w:rPr>
        <w:t xml:space="preserve">, TSB clarified that </w:t>
      </w:r>
      <w:r w:rsidR="00287D36" w:rsidRPr="009354CA">
        <w:rPr>
          <w:rFonts w:eastAsia="MS Mincho" w:hint="eastAsia"/>
        </w:rPr>
        <w:t>this RG-SOP meeting reviews</w:t>
      </w:r>
      <w:r w:rsidRPr="009354CA">
        <w:rPr>
          <w:rFonts w:eastAsia="MS Mincho" w:hint="eastAsia"/>
        </w:rPr>
        <w:t xml:space="preserve"> ITU-T Operational Plan</w:t>
      </w:r>
      <w:r w:rsidR="00DD5F9B" w:rsidRPr="009354CA">
        <w:rPr>
          <w:rFonts w:eastAsia="MS Mincho" w:hint="eastAsia"/>
        </w:rPr>
        <w:t xml:space="preserve"> (under agenda item 4)</w:t>
      </w:r>
      <w:r w:rsidRPr="009354CA">
        <w:rPr>
          <w:rFonts w:eastAsia="MS Mincho" w:hint="eastAsia"/>
        </w:rPr>
        <w:t>.</w:t>
      </w:r>
    </w:p>
    <w:p w14:paraId="63B5F707" w14:textId="4755A582" w:rsidR="00EA2A69" w:rsidRDefault="00EA2A69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The </w:t>
      </w:r>
      <w:r w:rsidR="00865924" w:rsidRPr="009354CA">
        <w:rPr>
          <w:rFonts w:eastAsia="MS Mincho" w:hint="eastAsia"/>
        </w:rPr>
        <w:t>R</w:t>
      </w:r>
      <w:r w:rsidRPr="009354CA">
        <w:rPr>
          <w:rFonts w:eastAsia="MS Mincho" w:hint="eastAsia"/>
        </w:rPr>
        <w:t xml:space="preserve">apporteur </w:t>
      </w:r>
      <w:r w:rsidR="00BF2261" w:rsidRPr="009354CA">
        <w:rPr>
          <w:rFonts w:eastAsia="MS Mincho" w:hint="eastAsia"/>
        </w:rPr>
        <w:t>thanked all comments made, and he suggested to consider</w:t>
      </w:r>
      <w:r w:rsidR="00912C9C" w:rsidRPr="009354CA">
        <w:rPr>
          <w:rFonts w:eastAsia="MS Mincho" w:hint="eastAsia"/>
        </w:rPr>
        <w:t xml:space="preserve"> these </w:t>
      </w:r>
      <w:r w:rsidR="00BF2261" w:rsidRPr="009354CA">
        <w:rPr>
          <w:rFonts w:eastAsia="MS Mincho" w:hint="eastAsia"/>
        </w:rPr>
        <w:t xml:space="preserve">comments </w:t>
      </w:r>
      <w:r w:rsidRPr="009354CA">
        <w:rPr>
          <w:rFonts w:eastAsia="MS Mincho" w:hint="eastAsia"/>
        </w:rPr>
        <w:t>for the elaboration of TSAG inputs to CWG-SFP</w:t>
      </w:r>
      <w:r w:rsidR="00912C9C" w:rsidRPr="009354CA">
        <w:rPr>
          <w:rFonts w:eastAsia="MS Mincho" w:hint="eastAsia"/>
        </w:rPr>
        <w:t xml:space="preserve">, in </w:t>
      </w:r>
      <w:r w:rsidR="00912C9C" w:rsidRPr="009354CA">
        <w:rPr>
          <w:rFonts w:eastAsia="MS Mincho"/>
        </w:rPr>
        <w:t>addition</w:t>
      </w:r>
      <w:r w:rsidR="00912C9C" w:rsidRPr="009354CA">
        <w:rPr>
          <w:rFonts w:eastAsia="MS Mincho" w:hint="eastAsia"/>
        </w:rPr>
        <w:t xml:space="preserve"> to the suggestion made by C103</w:t>
      </w:r>
      <w:r w:rsidRPr="009354CA">
        <w:rPr>
          <w:rFonts w:eastAsia="MS Mincho" w:hint="eastAsia"/>
        </w:rPr>
        <w:t xml:space="preserve">. </w:t>
      </w:r>
    </w:p>
    <w:p w14:paraId="200F1FD6" w14:textId="77777777" w:rsidR="00CC4403" w:rsidRPr="00CC4403" w:rsidRDefault="00CC4403" w:rsidP="00CC4403">
      <w:pPr>
        <w:rPr>
          <w:rFonts w:eastAsia="MS Mincho"/>
        </w:rPr>
      </w:pPr>
      <w:r w:rsidRPr="00CC4403">
        <w:rPr>
          <w:rFonts w:eastAsia="MS Mincho"/>
        </w:rPr>
        <w:t>In considering these comments, the author of the contribution commented that postponing any discussion until after the first CWG-SFP and the WTSA would not be productive for a number of reasons. While it is recognized that the first CWG meeting will be organizational in nature, one of the key considerations in document C-103 is that there is a need for the advisory groups, including TSAG, to provide input on the future structure and formatting of the draft Strategic Plan, 2028-2031. TSAG would be well advised to provide comments in this regard.</w:t>
      </w:r>
    </w:p>
    <w:p w14:paraId="4585CEB7" w14:textId="77777777" w:rsidR="00EA2A69" w:rsidRPr="009354CA" w:rsidRDefault="00EA2A69" w:rsidP="009D0CC4">
      <w:pPr>
        <w:rPr>
          <w:rFonts w:eastAsia="MS Minch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00290C" w:rsidRPr="009354CA" w14:paraId="5376B888" w14:textId="77777777" w:rsidTr="00D36AA8">
        <w:trPr>
          <w:trHeight w:val="20"/>
        </w:trPr>
        <w:tc>
          <w:tcPr>
            <w:tcW w:w="313" w:type="pct"/>
          </w:tcPr>
          <w:p w14:paraId="56D8398B" w14:textId="77777777" w:rsidR="0000290C" w:rsidRPr="009354CA" w:rsidRDefault="0000290C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t>3.3</w:t>
            </w:r>
          </w:p>
        </w:tc>
        <w:tc>
          <w:tcPr>
            <w:tcW w:w="1223" w:type="pct"/>
          </w:tcPr>
          <w:p w14:paraId="40247D09" w14:textId="77777777" w:rsidR="0000290C" w:rsidRPr="009354CA" w:rsidRDefault="0000290C" w:rsidP="00D36AA8">
            <w:pPr>
              <w:tabs>
                <w:tab w:val="left" w:pos="720"/>
              </w:tabs>
              <w:spacing w:before="40" w:after="40"/>
            </w:pPr>
            <w:r w:rsidRPr="009354CA">
              <w:rPr>
                <w:bCs/>
              </w:rPr>
              <w:t>TSB: Schedule of meetings in relation to TSAG inputs for the elaboration of the draft Strategic Plan, 2028-2031</w:t>
            </w:r>
          </w:p>
        </w:tc>
        <w:tc>
          <w:tcPr>
            <w:tcW w:w="760" w:type="pct"/>
          </w:tcPr>
          <w:p w14:paraId="52DD9F8E" w14:textId="77777777" w:rsidR="0000290C" w:rsidRPr="009354CA" w:rsidRDefault="00D556A1" w:rsidP="00D36AA8">
            <w:pPr>
              <w:spacing w:before="40" w:after="40"/>
              <w:jc w:val="center"/>
            </w:pPr>
            <w:hyperlink r:id="rId32" w:history="1">
              <w:r w:rsidR="0000290C" w:rsidRPr="009354CA">
                <w:rPr>
                  <w:rStyle w:val="Hyperlink"/>
                  <w:lang w:val="en-US"/>
                </w:rPr>
                <w:t>TD665</w:t>
              </w:r>
            </w:hyperlink>
          </w:p>
        </w:tc>
        <w:tc>
          <w:tcPr>
            <w:tcW w:w="2086" w:type="pct"/>
          </w:tcPr>
          <w:p w14:paraId="1B3EE9E6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rPr>
                <w:b/>
                <w:bCs/>
              </w:rPr>
            </w:pPr>
            <w:r w:rsidRPr="009354CA">
              <w:rPr>
                <w:b/>
                <w:bCs/>
              </w:rPr>
              <w:t>To note.</w:t>
            </w:r>
          </w:p>
          <w:p w14:paraId="579FD1D4" w14:textId="77777777" w:rsidR="0000290C" w:rsidRPr="009354CA" w:rsidRDefault="0000290C" w:rsidP="00D36AA8">
            <w:pPr>
              <w:pStyle w:val="ListParagraph"/>
              <w:spacing w:before="40" w:after="40"/>
              <w:ind w:left="34"/>
            </w:pPr>
            <w:r w:rsidRPr="009354CA">
              <w:t>Reference document for information:</w:t>
            </w:r>
          </w:p>
          <w:p w14:paraId="2941917A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contextualSpacing w:val="0"/>
              <w:rPr>
                <w:b/>
                <w:bCs/>
              </w:rPr>
            </w:pPr>
            <w:r w:rsidRPr="009354CA">
              <w:t>-</w:t>
            </w:r>
            <w:r w:rsidRPr="009354CA">
              <w:rPr>
                <w:rFonts w:eastAsia="MS Mincho"/>
              </w:rPr>
              <w:t xml:space="preserve"> Council Document (</w:t>
            </w:r>
            <w:hyperlink r:id="rId33" w:history="1">
              <w:r w:rsidRPr="009354CA">
                <w:rPr>
                  <w:rStyle w:val="Hyperlink"/>
                  <w:rFonts w:eastAsia="MS Mincho"/>
                </w:rPr>
                <w:t>C24/139</w:t>
              </w:r>
            </w:hyperlink>
            <w:r w:rsidRPr="009354CA">
              <w:rPr>
                <w:rStyle w:val="Hyperlink"/>
                <w:rFonts w:eastAsia="MS Mincho"/>
              </w:rPr>
              <w:t>)</w:t>
            </w:r>
            <w:r w:rsidRPr="009354CA">
              <w:rPr>
                <w:rFonts w:eastAsia="MS Mincho"/>
              </w:rPr>
              <w:t xml:space="preserve"> - Resolution 1428: Establishment of the Council Working Group</w:t>
            </w:r>
            <w:r w:rsidRPr="009354CA">
              <w:rPr>
                <w:rFonts w:eastAsia="MS Mincho" w:hint="eastAsia"/>
              </w:rPr>
              <w:t xml:space="preserve"> </w:t>
            </w:r>
            <w:r w:rsidRPr="009354CA">
              <w:rPr>
                <w:rFonts w:eastAsia="MS Mincho"/>
              </w:rPr>
              <w:t>for strategic and financial plans for 2028-2031</w:t>
            </w:r>
          </w:p>
        </w:tc>
      </w:tr>
    </w:tbl>
    <w:p w14:paraId="3A871B90" w14:textId="353D79F4" w:rsidR="0000290C" w:rsidRPr="009354CA" w:rsidRDefault="00B750EA" w:rsidP="009D0CC4">
      <w:pPr>
        <w:rPr>
          <w:rFonts w:eastAsia="MS Mincho"/>
        </w:rPr>
      </w:pPr>
      <w:r w:rsidRPr="009354CA">
        <w:rPr>
          <w:rFonts w:eastAsia="MS Mincho" w:hint="eastAsia"/>
        </w:rPr>
        <w:t>TSB</w:t>
      </w:r>
      <w:r w:rsidR="0000290C" w:rsidRPr="009354CA">
        <w:rPr>
          <w:rFonts w:eastAsia="MS Mincho"/>
        </w:rPr>
        <w:t xml:space="preserve"> presented </w:t>
      </w:r>
      <w:hyperlink r:id="rId34" w:history="1">
        <w:r w:rsidR="0000290C" w:rsidRPr="009354CA">
          <w:rPr>
            <w:rStyle w:val="Hyperlink"/>
            <w:lang w:val="en-US"/>
          </w:rPr>
          <w:t>TD665</w:t>
        </w:r>
      </w:hyperlink>
      <w:r w:rsidR="0000290C" w:rsidRPr="009354CA">
        <w:rPr>
          <w:rFonts w:eastAsia="MS Mincho"/>
        </w:rPr>
        <w:t>. The document was noted</w:t>
      </w:r>
      <w:r w:rsidRPr="009354CA">
        <w:rPr>
          <w:rFonts w:eastAsia="MS Mincho" w:hint="eastAsia"/>
        </w:rPr>
        <w:t xml:space="preserve"> by the meeting</w:t>
      </w:r>
      <w:r w:rsidR="0000290C" w:rsidRPr="009354CA">
        <w:rPr>
          <w:rFonts w:eastAsia="MS Mincho"/>
        </w:rPr>
        <w:t xml:space="preserve">. </w:t>
      </w:r>
    </w:p>
    <w:p w14:paraId="06787255" w14:textId="77777777" w:rsidR="0000290C" w:rsidRPr="009354CA" w:rsidRDefault="0000290C" w:rsidP="009D0CC4">
      <w:pPr>
        <w:rPr>
          <w:rFonts w:eastAsia="MS Mincho"/>
        </w:rPr>
      </w:pPr>
    </w:p>
    <w:p w14:paraId="4DB154FA" w14:textId="6466BDC0" w:rsidR="0000290C" w:rsidRPr="009354CA" w:rsidRDefault="0000290C" w:rsidP="0000290C">
      <w:pPr>
        <w:pStyle w:val="ListParagraph"/>
        <w:spacing w:before="40" w:after="40"/>
        <w:ind w:left="34"/>
        <w:contextualSpacing w:val="0"/>
        <w:rPr>
          <w:b/>
        </w:rPr>
      </w:pPr>
      <w:r w:rsidRPr="009354CA">
        <w:rPr>
          <w:rFonts w:eastAsia="MS Mincho"/>
          <w:b/>
          <w:bCs/>
        </w:rPr>
        <w:t>4</w:t>
      </w:r>
      <w:r w:rsidRPr="009354CA">
        <w:rPr>
          <w:rFonts w:eastAsia="MS Mincho"/>
          <w:b/>
          <w:bCs/>
        </w:rPr>
        <w:tab/>
        <w:t>O</w:t>
      </w:r>
      <w:r w:rsidRPr="009354CA">
        <w:rPr>
          <w:b/>
          <w:bCs/>
        </w:rPr>
        <w:t>perational plan for 2025-2028</w:t>
      </w:r>
    </w:p>
    <w:p w14:paraId="58CA9707" w14:textId="77777777" w:rsidR="00540FCB" w:rsidRPr="009354CA" w:rsidRDefault="00540FCB" w:rsidP="009D0CC4">
      <w:pPr>
        <w:rPr>
          <w:rFonts w:eastAsia="MS Minch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00290C" w:rsidRPr="009354CA" w14:paraId="6196ED5A" w14:textId="77777777" w:rsidTr="00D36AA8">
        <w:trPr>
          <w:trHeight w:val="20"/>
        </w:trPr>
        <w:tc>
          <w:tcPr>
            <w:tcW w:w="313" w:type="pct"/>
            <w:tcBorders>
              <w:top w:val="single" w:sz="8" w:space="0" w:color="auto"/>
            </w:tcBorders>
          </w:tcPr>
          <w:p w14:paraId="506A012E" w14:textId="77777777" w:rsidR="0000290C" w:rsidRPr="009354CA" w:rsidRDefault="0000290C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t>4.1</w:t>
            </w:r>
          </w:p>
        </w:tc>
        <w:tc>
          <w:tcPr>
            <w:tcW w:w="1223" w:type="pct"/>
            <w:tcBorders>
              <w:top w:val="single" w:sz="8" w:space="0" w:color="auto"/>
            </w:tcBorders>
          </w:tcPr>
          <w:p w14:paraId="0DBC1B8E" w14:textId="77777777" w:rsidR="0000290C" w:rsidRPr="009354CA" w:rsidRDefault="0000290C" w:rsidP="00D36AA8">
            <w:pPr>
              <w:tabs>
                <w:tab w:val="left" w:pos="720"/>
              </w:tabs>
              <w:spacing w:before="40" w:after="40"/>
            </w:pPr>
            <w:r w:rsidRPr="009354CA">
              <w:t>Four-year rolling Operational Plan for the Union for 2025-2028</w:t>
            </w:r>
          </w:p>
        </w:tc>
        <w:tc>
          <w:tcPr>
            <w:tcW w:w="760" w:type="pct"/>
            <w:tcBorders>
              <w:top w:val="single" w:sz="8" w:space="0" w:color="auto"/>
            </w:tcBorders>
          </w:tcPr>
          <w:p w14:paraId="0479C1E6" w14:textId="77777777" w:rsidR="0000290C" w:rsidRPr="009354CA" w:rsidRDefault="0000290C" w:rsidP="00D36AA8">
            <w:pPr>
              <w:spacing w:before="40" w:after="40"/>
              <w:jc w:val="center"/>
            </w:pPr>
            <w:r w:rsidRPr="009354CA">
              <w:t>(</w:t>
            </w:r>
            <w:hyperlink r:id="rId35" w:history="1">
              <w:r w:rsidRPr="009354CA">
                <w:rPr>
                  <w:rStyle w:val="Hyperlink"/>
                </w:rPr>
                <w:t>TD497</w:t>
              </w:r>
            </w:hyperlink>
            <w:r w:rsidRPr="009354CA">
              <w:rPr>
                <w:rStyle w:val="Hyperlink"/>
              </w:rPr>
              <w:t xml:space="preserve">) </w:t>
            </w:r>
          </w:p>
        </w:tc>
        <w:tc>
          <w:tcPr>
            <w:tcW w:w="2086" w:type="pct"/>
            <w:tcBorders>
              <w:top w:val="single" w:sz="8" w:space="0" w:color="auto"/>
            </w:tcBorders>
          </w:tcPr>
          <w:p w14:paraId="4E104795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contextualSpacing w:val="0"/>
            </w:pPr>
            <w:r w:rsidRPr="009354CA">
              <w:rPr>
                <w:b/>
                <w:bCs/>
              </w:rPr>
              <w:t>To note.</w:t>
            </w:r>
            <w:r w:rsidRPr="009354CA">
              <w:t xml:space="preserve"> </w:t>
            </w:r>
            <w:r w:rsidRPr="009354CA">
              <w:br/>
              <w:t>Presented at RG-SOP interim meeting on 18 June. Approved by the Council-24.</w:t>
            </w:r>
          </w:p>
        </w:tc>
      </w:tr>
    </w:tbl>
    <w:p w14:paraId="7394CDC5" w14:textId="33F5CABE" w:rsidR="00540FCB" w:rsidRPr="009354CA" w:rsidRDefault="00B750EA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The General </w:t>
      </w:r>
      <w:r w:rsidRPr="009354CA">
        <w:rPr>
          <w:rFonts w:eastAsia="MS Mincho"/>
        </w:rPr>
        <w:t>Secretariat</w:t>
      </w:r>
      <w:r w:rsidRPr="009354CA">
        <w:rPr>
          <w:rFonts w:eastAsia="MS Mincho" w:hint="eastAsia"/>
        </w:rPr>
        <w:t xml:space="preserve"> of ITU presented </w:t>
      </w:r>
      <w:hyperlink r:id="rId36" w:history="1">
        <w:r w:rsidRPr="009354CA">
          <w:rPr>
            <w:rStyle w:val="Hyperlink"/>
          </w:rPr>
          <w:t>TD497</w:t>
        </w:r>
      </w:hyperlink>
      <w:r w:rsidRPr="009354CA">
        <w:rPr>
          <w:rFonts w:eastAsia="MS Mincho" w:hint="eastAsia"/>
        </w:rPr>
        <w:t>. The document was noted by the meeting.</w:t>
      </w:r>
    </w:p>
    <w:p w14:paraId="1A7E7E04" w14:textId="77777777" w:rsidR="0000290C" w:rsidRPr="009354CA" w:rsidRDefault="0000290C" w:rsidP="009D0CC4">
      <w:pPr>
        <w:rPr>
          <w:rFonts w:eastAsia="MS Minch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00290C" w:rsidRPr="009354CA" w14:paraId="42249794" w14:textId="77777777" w:rsidTr="0000290C">
        <w:trPr>
          <w:trHeight w:val="20"/>
        </w:trPr>
        <w:tc>
          <w:tcPr>
            <w:tcW w:w="357" w:type="pct"/>
            <w:tcBorders>
              <w:top w:val="single" w:sz="8" w:space="0" w:color="auto"/>
            </w:tcBorders>
          </w:tcPr>
          <w:p w14:paraId="5C52A0F5" w14:textId="77777777" w:rsidR="0000290C" w:rsidRPr="009354CA" w:rsidRDefault="0000290C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lastRenderedPageBreak/>
              <w:t>4.2</w:t>
            </w:r>
          </w:p>
        </w:tc>
        <w:tc>
          <w:tcPr>
            <w:tcW w:w="1395" w:type="pct"/>
            <w:tcBorders>
              <w:top w:val="single" w:sz="8" w:space="0" w:color="auto"/>
            </w:tcBorders>
          </w:tcPr>
          <w:p w14:paraId="68F5C572" w14:textId="77777777" w:rsidR="0000290C" w:rsidRPr="009354CA" w:rsidRDefault="0000290C" w:rsidP="00D36AA8">
            <w:pPr>
              <w:tabs>
                <w:tab w:val="left" w:pos="720"/>
              </w:tabs>
              <w:spacing w:before="40" w:after="40"/>
              <w:rPr>
                <w:bCs/>
              </w:rPr>
            </w:pPr>
            <w:r w:rsidRPr="009354CA">
              <w:t>ITU-T draft operational plan for 2025-2028 and 2023 performance report</w:t>
            </w:r>
          </w:p>
        </w:tc>
        <w:tc>
          <w:tcPr>
            <w:tcW w:w="867" w:type="pct"/>
            <w:tcBorders>
              <w:top w:val="single" w:sz="8" w:space="0" w:color="auto"/>
            </w:tcBorders>
          </w:tcPr>
          <w:p w14:paraId="37A49C94" w14:textId="77777777" w:rsidR="0000290C" w:rsidRPr="009354CA" w:rsidRDefault="00D556A1" w:rsidP="00D36AA8">
            <w:pPr>
              <w:spacing w:before="40" w:after="40"/>
              <w:jc w:val="center"/>
            </w:pPr>
            <w:hyperlink r:id="rId37" w:history="1">
              <w:r w:rsidR="0000290C" w:rsidRPr="009354CA">
                <w:rPr>
                  <w:rStyle w:val="Hyperlink"/>
                </w:rPr>
                <w:t>TD625</w:t>
              </w:r>
            </w:hyperlink>
          </w:p>
        </w:tc>
        <w:tc>
          <w:tcPr>
            <w:tcW w:w="2380" w:type="pct"/>
            <w:tcBorders>
              <w:top w:val="single" w:sz="8" w:space="0" w:color="auto"/>
            </w:tcBorders>
          </w:tcPr>
          <w:p w14:paraId="41179E66" w14:textId="77777777" w:rsidR="0000290C" w:rsidRPr="009354CA" w:rsidRDefault="0000290C" w:rsidP="00D36AA8">
            <w:pPr>
              <w:pStyle w:val="ListParagraph"/>
              <w:spacing w:before="40" w:after="40"/>
              <w:ind w:left="34"/>
              <w:contextualSpacing w:val="0"/>
            </w:pPr>
            <w:r w:rsidRPr="009354CA">
              <w:t xml:space="preserve">TSAG </w:t>
            </w:r>
            <w:r w:rsidRPr="009354CA">
              <w:rPr>
                <w:b/>
                <w:bCs/>
              </w:rPr>
              <w:t>to review and to provide guidance</w:t>
            </w:r>
            <w:r w:rsidRPr="009354CA">
              <w:t xml:space="preserve"> as deemed appropriate. Presented at RG-SOP interim meeting on 18 June.</w:t>
            </w:r>
          </w:p>
        </w:tc>
      </w:tr>
    </w:tbl>
    <w:p w14:paraId="6B9286CD" w14:textId="77777777" w:rsidR="00B750EA" w:rsidRPr="009354CA" w:rsidRDefault="00B750EA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The General </w:t>
      </w:r>
      <w:r w:rsidRPr="009354CA">
        <w:rPr>
          <w:rFonts w:eastAsia="MS Mincho"/>
        </w:rPr>
        <w:t>Secretariat</w:t>
      </w:r>
      <w:r w:rsidRPr="009354CA">
        <w:rPr>
          <w:rFonts w:eastAsia="MS Mincho" w:hint="eastAsia"/>
        </w:rPr>
        <w:t xml:space="preserve"> of ITU presented </w:t>
      </w:r>
      <w:hyperlink r:id="rId38" w:history="1">
        <w:r w:rsidR="0000290C" w:rsidRPr="009354CA">
          <w:rPr>
            <w:rStyle w:val="Hyperlink"/>
          </w:rPr>
          <w:t>TD625</w:t>
        </w:r>
      </w:hyperlink>
      <w:r w:rsidR="0000290C" w:rsidRPr="009354CA">
        <w:rPr>
          <w:rFonts w:eastAsia="MS Mincho"/>
        </w:rPr>
        <w:t xml:space="preserve">. </w:t>
      </w:r>
    </w:p>
    <w:p w14:paraId="0E9E265E" w14:textId="1968909E" w:rsidR="00B750EA" w:rsidRPr="009354CA" w:rsidRDefault="00B750EA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Comments made at this meeting are including: </w:t>
      </w:r>
    </w:p>
    <w:p w14:paraId="7760A7EF" w14:textId="62BE92D4" w:rsidR="00B750EA" w:rsidRPr="009354CA" w:rsidRDefault="00CC6298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- Some KPI may need to be clarified in the future Operational Plan, e.g., </w:t>
      </w:r>
      <w:r w:rsidRPr="009354CA">
        <w:t>T.1-a: Increased utilization of ITU-T recommendations</w:t>
      </w:r>
      <w:r w:rsidRPr="009354CA">
        <w:rPr>
          <w:rFonts w:eastAsia="MS Mincho" w:hint="eastAsia"/>
        </w:rPr>
        <w:t xml:space="preserve"> can be measured by the number of </w:t>
      </w:r>
      <w:r w:rsidRPr="009354CA">
        <w:rPr>
          <w:rFonts w:eastAsia="MS Mincho"/>
        </w:rPr>
        <w:t>download</w:t>
      </w:r>
      <w:r w:rsidRPr="009354CA">
        <w:rPr>
          <w:rFonts w:eastAsia="MS Mincho" w:hint="eastAsia"/>
        </w:rPr>
        <w:t xml:space="preserve">s of Recommendations. </w:t>
      </w:r>
    </w:p>
    <w:p w14:paraId="318DD2F5" w14:textId="0747F9E5" w:rsidR="00CC6298" w:rsidRPr="009354CA" w:rsidRDefault="00CC6298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- </w:t>
      </w:r>
      <w:r w:rsidR="004F551E" w:rsidRPr="009354CA">
        <w:rPr>
          <w:rFonts w:eastAsia="MS Mincho" w:hint="eastAsia"/>
        </w:rPr>
        <w:t xml:space="preserve">In relation to BSG, the trend of participation in ITU-T standardization process from developing countries is not clear. </w:t>
      </w:r>
    </w:p>
    <w:p w14:paraId="56DAC1F3" w14:textId="0C2680A3" w:rsidR="004F551E" w:rsidRPr="009354CA" w:rsidRDefault="004F551E" w:rsidP="009D0CC4">
      <w:pPr>
        <w:rPr>
          <w:rFonts w:eastAsia="MS Mincho"/>
        </w:rPr>
      </w:pPr>
      <w:r w:rsidRPr="009354CA">
        <w:rPr>
          <w:rFonts w:eastAsia="MS Mincho" w:hint="eastAsia"/>
        </w:rPr>
        <w:t xml:space="preserve">- In relation to chapter 2.9, whether ITU-T E.1121 and E.195 were considered in the development of relevant KPIs. </w:t>
      </w:r>
    </w:p>
    <w:p w14:paraId="23977E50" w14:textId="4DE467BF" w:rsidR="00721E6C" w:rsidRPr="009354CA" w:rsidRDefault="00721E6C" w:rsidP="009D0CC4">
      <w:pPr>
        <w:rPr>
          <w:rFonts w:eastAsia="MS Mincho"/>
        </w:rPr>
      </w:pPr>
      <w:r w:rsidRPr="009354CA">
        <w:rPr>
          <w:rFonts w:eastAsia="MS Mincho" w:hint="eastAsia"/>
        </w:rPr>
        <w:t>TSB noted the comments and will</w:t>
      </w:r>
      <w:r w:rsidR="00DD5F9B" w:rsidRPr="009354CA">
        <w:rPr>
          <w:rFonts w:eastAsia="MS Mincho" w:hint="eastAsia"/>
        </w:rPr>
        <w:t xml:space="preserve"> report the responses to next RG-SOP meeting. </w:t>
      </w:r>
    </w:p>
    <w:p w14:paraId="4F6EF9A6" w14:textId="71C74C88" w:rsidR="00535DC5" w:rsidRPr="009354CA" w:rsidRDefault="00535DC5" w:rsidP="009D0CC4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688"/>
        <w:gridCol w:w="2685"/>
        <w:gridCol w:w="1669"/>
        <w:gridCol w:w="4581"/>
      </w:tblGrid>
      <w:tr w:rsidR="00535DC5" w:rsidRPr="009354CA" w14:paraId="5D424BF8" w14:textId="77777777" w:rsidTr="00D36AA8">
        <w:trPr>
          <w:trHeight w:val="20"/>
        </w:trPr>
        <w:tc>
          <w:tcPr>
            <w:tcW w:w="313" w:type="pct"/>
            <w:tcBorders>
              <w:top w:val="single" w:sz="8" w:space="0" w:color="auto"/>
            </w:tcBorders>
          </w:tcPr>
          <w:p w14:paraId="70658ABE" w14:textId="77777777" w:rsidR="00535DC5" w:rsidRPr="009354CA" w:rsidRDefault="00535DC5" w:rsidP="00D36AA8">
            <w:pPr>
              <w:spacing w:before="40" w:after="40"/>
              <w:rPr>
                <w:rFonts w:eastAsia="SimSun"/>
                <w:bCs/>
              </w:rPr>
            </w:pPr>
            <w:r w:rsidRPr="009354CA">
              <w:rPr>
                <w:rFonts w:eastAsia="SimSun"/>
                <w:bCs/>
              </w:rPr>
              <w:t>4.3</w:t>
            </w:r>
          </w:p>
        </w:tc>
        <w:tc>
          <w:tcPr>
            <w:tcW w:w="1223" w:type="pct"/>
            <w:tcBorders>
              <w:top w:val="single" w:sz="8" w:space="0" w:color="auto"/>
            </w:tcBorders>
          </w:tcPr>
          <w:p w14:paraId="0288A199" w14:textId="77777777" w:rsidR="00535DC5" w:rsidRPr="009354CA" w:rsidRDefault="00535DC5" w:rsidP="00D36AA8">
            <w:pPr>
              <w:tabs>
                <w:tab w:val="left" w:pos="720"/>
              </w:tabs>
              <w:spacing w:before="40" w:after="40"/>
            </w:pPr>
            <w:r w:rsidRPr="009354CA">
              <w:t>ITU Regional Office Directors: Contribution of the ITU Regional Offices to the ITU-T Operational Plan and Coordination activities with TSB (January - June 2024)</w:t>
            </w:r>
          </w:p>
        </w:tc>
        <w:tc>
          <w:tcPr>
            <w:tcW w:w="760" w:type="pct"/>
            <w:tcBorders>
              <w:top w:val="single" w:sz="8" w:space="0" w:color="auto"/>
            </w:tcBorders>
          </w:tcPr>
          <w:p w14:paraId="4EAC26C0" w14:textId="77777777" w:rsidR="00535DC5" w:rsidRPr="009354CA" w:rsidRDefault="00535DC5" w:rsidP="00D36AA8">
            <w:pPr>
              <w:spacing w:before="40" w:after="40"/>
              <w:jc w:val="center"/>
            </w:pPr>
            <w:r w:rsidRPr="009354CA">
              <w:t>(</w:t>
            </w:r>
            <w:hyperlink r:id="rId39" w:history="1">
              <w:r w:rsidRPr="009354CA">
                <w:rPr>
                  <w:rStyle w:val="Hyperlink"/>
                </w:rPr>
                <w:t>TD552</w:t>
              </w:r>
            </w:hyperlink>
            <w:r w:rsidRPr="009354CA">
              <w:rPr>
                <w:rStyle w:val="Hyperlink"/>
              </w:rPr>
              <w:t>)</w:t>
            </w:r>
          </w:p>
        </w:tc>
        <w:tc>
          <w:tcPr>
            <w:tcW w:w="2086" w:type="pct"/>
            <w:tcBorders>
              <w:top w:val="single" w:sz="8" w:space="0" w:color="auto"/>
            </w:tcBorders>
          </w:tcPr>
          <w:p w14:paraId="3D57681F" w14:textId="77777777" w:rsidR="00535DC5" w:rsidRPr="009354CA" w:rsidRDefault="00535DC5" w:rsidP="00D36AA8">
            <w:pPr>
              <w:pStyle w:val="ListParagraph"/>
              <w:spacing w:before="40" w:after="40"/>
              <w:ind w:left="34"/>
              <w:contextualSpacing w:val="0"/>
            </w:pPr>
            <w:r w:rsidRPr="009354CA">
              <w:rPr>
                <w:b/>
                <w:bCs/>
              </w:rPr>
              <w:t>To note</w:t>
            </w:r>
            <w:r w:rsidRPr="009354CA">
              <w:t xml:space="preserve">. </w:t>
            </w:r>
            <w:r w:rsidRPr="009354CA">
              <w:br/>
              <w:t>Presented at TSAG Plenary.</w:t>
            </w:r>
          </w:p>
        </w:tc>
      </w:tr>
    </w:tbl>
    <w:p w14:paraId="10B227F0" w14:textId="21D4D4D8" w:rsidR="0000290C" w:rsidRPr="009354CA" w:rsidRDefault="0000290C" w:rsidP="009D0CC4">
      <w:r w:rsidRPr="009354CA">
        <w:t xml:space="preserve"> </w:t>
      </w:r>
      <w:r w:rsidR="00721E6C" w:rsidRPr="009354CA">
        <w:rPr>
          <w:rFonts w:eastAsia="MS Mincho" w:hint="eastAsia"/>
        </w:rPr>
        <w:t xml:space="preserve">The document was </w:t>
      </w:r>
      <w:r w:rsidR="00721E6C" w:rsidRPr="009354CA">
        <w:t>already presented at TSAG Plenary</w:t>
      </w:r>
      <w:r w:rsidR="00721E6C" w:rsidRPr="009354CA">
        <w:rPr>
          <w:rFonts w:eastAsia="MS Mincho" w:hint="eastAsia"/>
        </w:rPr>
        <w:t xml:space="preserve">. It was noted by the meeting. </w:t>
      </w:r>
    </w:p>
    <w:p w14:paraId="37380CC5" w14:textId="77777777" w:rsidR="00535DC5" w:rsidRPr="009354CA" w:rsidRDefault="00535DC5" w:rsidP="009D0CC4">
      <w:pPr>
        <w:rPr>
          <w:rFonts w:eastAsia="MS Mincho"/>
        </w:rPr>
      </w:pPr>
    </w:p>
    <w:p w14:paraId="5859F4A5" w14:textId="636061F4" w:rsidR="004F43FC" w:rsidRPr="009354CA" w:rsidRDefault="004F43FC" w:rsidP="00436E51">
      <w:pPr>
        <w:rPr>
          <w:rFonts w:eastAsia="MS Mincho"/>
          <w:b/>
          <w:bCs/>
          <w:lang w:val="en-CA"/>
        </w:rPr>
      </w:pPr>
      <w:r w:rsidRPr="009354CA">
        <w:rPr>
          <w:rFonts w:eastAsia="MS Mincho"/>
          <w:b/>
          <w:bCs/>
          <w:lang w:val="en-CA"/>
        </w:rPr>
        <w:t>5</w:t>
      </w:r>
      <w:r w:rsidRPr="009354CA">
        <w:rPr>
          <w:rFonts w:eastAsia="MS Mincho"/>
          <w:b/>
          <w:bCs/>
          <w:lang w:val="en-CA"/>
        </w:rPr>
        <w:tab/>
        <w:t>Future meetings</w:t>
      </w:r>
    </w:p>
    <w:p w14:paraId="0F875099" w14:textId="748948C5" w:rsidR="00721E6C" w:rsidRPr="009354CA" w:rsidRDefault="008B25CB" w:rsidP="00436E51">
      <w:pPr>
        <w:rPr>
          <w:rFonts w:eastAsia="MS Mincho"/>
          <w:lang w:val="en-CA"/>
        </w:rPr>
      </w:pPr>
      <w:r w:rsidRPr="009354CA">
        <w:rPr>
          <w:rFonts w:eastAsia="MS Mincho" w:hint="eastAsia"/>
          <w:lang w:val="en-CA"/>
        </w:rPr>
        <w:t>The Rapporteur will inform RG-SOP of the date and time of the next RG-SOP meeting</w:t>
      </w:r>
      <w:r w:rsidR="009354CA" w:rsidRPr="009354CA">
        <w:rPr>
          <w:rFonts w:eastAsia="MS Mincho" w:hint="eastAsia"/>
          <w:lang w:val="en-CA"/>
        </w:rPr>
        <w:t>.</w:t>
      </w:r>
    </w:p>
    <w:p w14:paraId="408D6E61" w14:textId="0C87E9DA" w:rsidR="004F43FC" w:rsidRPr="009354CA" w:rsidRDefault="004F43FC" w:rsidP="004F43FC">
      <w:pPr>
        <w:rPr>
          <w:rFonts w:eastAsia="MS Mincho"/>
          <w:b/>
          <w:bCs/>
          <w:lang w:val="en-CA"/>
        </w:rPr>
      </w:pPr>
      <w:r w:rsidRPr="009354CA">
        <w:rPr>
          <w:rFonts w:eastAsia="Times New Roman"/>
          <w:b/>
          <w:bCs/>
          <w:lang w:val="en-CA" w:eastAsia="en-US"/>
        </w:rPr>
        <w:t xml:space="preserve">6 </w:t>
      </w:r>
      <w:r w:rsidRPr="009354CA">
        <w:rPr>
          <w:rFonts w:eastAsia="Times New Roman"/>
          <w:b/>
          <w:bCs/>
          <w:lang w:val="en-CA" w:eastAsia="en-US"/>
        </w:rPr>
        <w:tab/>
        <w:t>AOB</w:t>
      </w:r>
    </w:p>
    <w:p w14:paraId="47B540D2" w14:textId="4F8D0162" w:rsidR="008B25CB" w:rsidRPr="009354CA" w:rsidRDefault="008B25CB" w:rsidP="004F43FC">
      <w:pPr>
        <w:rPr>
          <w:rFonts w:eastAsia="MS Mincho"/>
          <w:lang w:val="en-CA"/>
        </w:rPr>
      </w:pPr>
      <w:r w:rsidRPr="009354CA">
        <w:rPr>
          <w:rFonts w:eastAsia="MS Mincho" w:hint="eastAsia"/>
          <w:lang w:val="en-CA"/>
        </w:rPr>
        <w:t xml:space="preserve">TSB explained that TSAG inputs to CWG-SFP would be submitted </w:t>
      </w:r>
      <w:r w:rsidR="00E21731">
        <w:rPr>
          <w:rFonts w:eastAsia="MS Mincho"/>
          <w:lang w:val="en-CA"/>
        </w:rPr>
        <w:t>as</w:t>
      </w:r>
      <w:r w:rsidRPr="009354CA">
        <w:rPr>
          <w:rFonts w:eastAsia="MS Mincho" w:hint="eastAsia"/>
          <w:lang w:val="en-CA"/>
        </w:rPr>
        <w:t xml:space="preserve"> Liaison Statements that can be approved by TSAG</w:t>
      </w:r>
      <w:r w:rsidR="001227F3">
        <w:rPr>
          <w:rFonts w:eastAsia="MS Mincho"/>
          <w:lang w:val="en-CA"/>
        </w:rPr>
        <w:t>, also</w:t>
      </w:r>
      <w:r w:rsidRPr="009354CA">
        <w:rPr>
          <w:rFonts w:eastAsia="MS Mincho" w:hint="eastAsia"/>
          <w:lang w:val="en-CA"/>
        </w:rPr>
        <w:t xml:space="preserve"> </w:t>
      </w:r>
      <w:r w:rsidR="00E21731">
        <w:rPr>
          <w:rFonts w:eastAsia="MS Mincho"/>
          <w:lang w:val="en-CA"/>
        </w:rPr>
        <w:t>by</w:t>
      </w:r>
      <w:r w:rsidRPr="009354CA">
        <w:rPr>
          <w:rFonts w:eastAsia="MS Mincho" w:hint="eastAsia"/>
          <w:lang w:val="en-CA"/>
        </w:rPr>
        <w:t xml:space="preserve"> correspondence. </w:t>
      </w:r>
      <w:r w:rsidR="006D71F6" w:rsidRPr="009354CA">
        <w:rPr>
          <w:rFonts w:eastAsia="MS Mincho" w:hint="eastAsia"/>
          <w:lang w:val="en-CA"/>
        </w:rPr>
        <w:t xml:space="preserve">This was noted by the meeting. </w:t>
      </w:r>
    </w:p>
    <w:p w14:paraId="0EB36B22" w14:textId="3069C761" w:rsidR="00B71698" w:rsidRPr="009354CA" w:rsidRDefault="00B71698" w:rsidP="004F43FC">
      <w:pPr>
        <w:rPr>
          <w:rFonts w:eastAsia="MS Mincho"/>
          <w:lang w:val="en-CA"/>
        </w:rPr>
      </w:pPr>
      <w:r w:rsidRPr="009354CA">
        <w:rPr>
          <w:b/>
          <w:bCs/>
        </w:rPr>
        <w:t>8</w:t>
      </w:r>
      <w:r w:rsidRPr="009354CA">
        <w:rPr>
          <w:b/>
          <w:bCs/>
        </w:rPr>
        <w:tab/>
        <w:t>Closure of the meeting</w:t>
      </w:r>
    </w:p>
    <w:p w14:paraId="3403C31D" w14:textId="34FD9BB2" w:rsidR="004F43FC" w:rsidRPr="009354CA" w:rsidRDefault="00B71698" w:rsidP="004F43FC">
      <w:pPr>
        <w:rPr>
          <w:rFonts w:eastAsia="MS Mincho"/>
          <w:b/>
          <w:bCs/>
        </w:rPr>
      </w:pPr>
      <w:r w:rsidRPr="009354CA">
        <w:rPr>
          <w:rFonts w:eastAsia="MS Mincho"/>
        </w:rPr>
        <w:t>The Rapporteur closed the meeting at 1</w:t>
      </w:r>
      <w:r w:rsidR="00BF2261" w:rsidRPr="009354CA">
        <w:rPr>
          <w:rFonts w:eastAsia="MS Mincho" w:hint="eastAsia"/>
        </w:rPr>
        <w:t>6</w:t>
      </w:r>
      <w:r w:rsidRPr="009354CA">
        <w:rPr>
          <w:rFonts w:eastAsia="MS Mincho"/>
        </w:rPr>
        <w:t>:</w:t>
      </w:r>
      <w:r w:rsidR="00BF2261" w:rsidRPr="009354CA">
        <w:rPr>
          <w:rFonts w:eastAsia="MS Mincho" w:hint="eastAsia"/>
        </w:rPr>
        <w:t>00</w:t>
      </w:r>
      <w:r w:rsidRPr="009354CA">
        <w:rPr>
          <w:rFonts w:eastAsia="MS Mincho"/>
        </w:rPr>
        <w:t xml:space="preserve"> on 1 August 2024, promised the draft report of the RG-SOP meeting will be</w:t>
      </w:r>
      <w:r w:rsidR="00BF2261" w:rsidRPr="009354CA">
        <w:rPr>
          <w:rFonts w:eastAsia="MS Mincho" w:hint="eastAsia"/>
        </w:rPr>
        <w:t xml:space="preserve"> available </w:t>
      </w:r>
      <w:r w:rsidR="00BF2261" w:rsidRPr="009354CA">
        <w:rPr>
          <w:rFonts w:eastAsia="MS Mincho"/>
        </w:rPr>
        <w:t xml:space="preserve">as </w:t>
      </w:r>
      <w:hyperlink r:id="rId40" w:history="1">
        <w:r w:rsidR="00BF2261" w:rsidRPr="009354CA">
          <w:rPr>
            <w:rStyle w:val="Hyperlink"/>
          </w:rPr>
          <w:t>TD515</w:t>
        </w:r>
      </w:hyperlink>
      <w:r w:rsidRPr="009354CA">
        <w:rPr>
          <w:rFonts w:eastAsia="MS Mincho"/>
        </w:rPr>
        <w:t xml:space="preserve"> </w:t>
      </w:r>
      <w:r w:rsidR="00BF2261" w:rsidRPr="009354CA">
        <w:rPr>
          <w:rFonts w:eastAsia="MS Mincho" w:hint="eastAsia"/>
        </w:rPr>
        <w:t xml:space="preserve">and will be </w:t>
      </w:r>
      <w:r w:rsidRPr="009354CA">
        <w:rPr>
          <w:rFonts w:eastAsia="MS Mincho"/>
        </w:rPr>
        <w:t xml:space="preserve">presented at TSAG Plenary. He thanked contributors and meeting participants for their active involvement and fruitful discussions, the associate Rapporteurs and the ITU secretariat for their support.  </w:t>
      </w:r>
    </w:p>
    <w:p w14:paraId="6EAE354E" w14:textId="77777777" w:rsidR="008E084F" w:rsidRPr="009354CA" w:rsidRDefault="008E084F" w:rsidP="008E084F">
      <w:pPr>
        <w:pStyle w:val="AnnexNotitle"/>
        <w:rPr>
          <w:sz w:val="24"/>
          <w:szCs w:val="24"/>
        </w:rPr>
      </w:pPr>
      <w:bookmarkStart w:id="9" w:name="AnnexA"/>
      <w:bookmarkStart w:id="10" w:name="_Ref505768856"/>
      <w:bookmarkStart w:id="11" w:name="_Ref505769420"/>
      <w:r w:rsidRPr="009354CA">
        <w:rPr>
          <w:sz w:val="24"/>
          <w:szCs w:val="24"/>
        </w:rPr>
        <w:t>Annex A</w:t>
      </w:r>
      <w:bookmarkEnd w:id="9"/>
      <w:r w:rsidRPr="009354CA">
        <w:rPr>
          <w:sz w:val="24"/>
          <w:szCs w:val="24"/>
        </w:rPr>
        <w:t>:</w:t>
      </w:r>
      <w:r w:rsidRPr="009354CA">
        <w:rPr>
          <w:sz w:val="24"/>
          <w:szCs w:val="24"/>
        </w:rPr>
        <w:br/>
      </w:r>
      <w:bookmarkEnd w:id="10"/>
      <w:bookmarkEnd w:id="11"/>
      <w:r w:rsidRPr="009354CA">
        <w:rPr>
          <w:sz w:val="24"/>
          <w:szCs w:val="24"/>
        </w:rPr>
        <w:t>Documentation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277"/>
        <w:gridCol w:w="1080"/>
        <w:gridCol w:w="1890"/>
        <w:gridCol w:w="4944"/>
      </w:tblGrid>
      <w:tr w:rsidR="007B3E7B" w:rsidRPr="001F3F03" w14:paraId="6B3DFAE4" w14:textId="77777777" w:rsidTr="002E0F9E">
        <w:trPr>
          <w:tblHeader/>
          <w:jc w:val="center"/>
        </w:trPr>
        <w:tc>
          <w:tcPr>
            <w:tcW w:w="418" w:type="dxa"/>
            <w:shd w:val="clear" w:color="auto" w:fill="auto"/>
            <w:hideMark/>
          </w:tcPr>
          <w:p w14:paraId="28E43635" w14:textId="77777777" w:rsidR="007B3E7B" w:rsidRPr="001F3F03" w:rsidRDefault="007B3E7B" w:rsidP="002E0F9E">
            <w:pPr>
              <w:pStyle w:val="Tablehead"/>
              <w:jc w:val="left"/>
              <w:rPr>
                <w:rFonts w:eastAsiaTheme="minorEastAsia"/>
                <w:szCs w:val="22"/>
                <w:lang w:val="en-US" w:eastAsia="zh-CN"/>
              </w:rPr>
            </w:pPr>
            <w:r w:rsidRPr="001F3F03">
              <w:rPr>
                <w:rFonts w:eastAsiaTheme="minorEastAsia"/>
                <w:szCs w:val="22"/>
                <w:lang w:val="en-US" w:eastAsia="zh-CN"/>
              </w:rPr>
              <w:t>#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56005071" w14:textId="77777777" w:rsidR="007B3E7B" w:rsidRPr="001F3F03" w:rsidRDefault="007B3E7B" w:rsidP="002E0F9E">
            <w:pPr>
              <w:pStyle w:val="Tablehead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Category</w:t>
            </w:r>
          </w:p>
        </w:tc>
        <w:tc>
          <w:tcPr>
            <w:tcW w:w="1080" w:type="dxa"/>
            <w:shd w:val="clear" w:color="auto" w:fill="auto"/>
            <w:hideMark/>
          </w:tcPr>
          <w:p w14:paraId="651AD9F0" w14:textId="77777777" w:rsidR="007B3E7B" w:rsidRPr="001F3F03" w:rsidRDefault="007B3E7B" w:rsidP="002E0F9E">
            <w:pPr>
              <w:pStyle w:val="Tablehead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TD/C #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27B2B0" w14:textId="77777777" w:rsidR="007B3E7B" w:rsidRPr="001F3F03" w:rsidRDefault="007B3E7B" w:rsidP="002E0F9E">
            <w:pPr>
              <w:pStyle w:val="Tablehead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Source</w:t>
            </w:r>
            <w:r w:rsidRPr="001F3F03">
              <w:rPr>
                <w:szCs w:val="22"/>
                <w:lang w:val="en-US"/>
              </w:rPr>
              <w:br/>
            </w:r>
          </w:p>
        </w:tc>
        <w:tc>
          <w:tcPr>
            <w:tcW w:w="4944" w:type="dxa"/>
            <w:shd w:val="clear" w:color="auto" w:fill="auto"/>
            <w:hideMark/>
          </w:tcPr>
          <w:p w14:paraId="57FEF65C" w14:textId="77777777" w:rsidR="007B3E7B" w:rsidRPr="001F3F03" w:rsidRDefault="007B3E7B" w:rsidP="002E0F9E">
            <w:pPr>
              <w:pStyle w:val="Tablehead"/>
              <w:rPr>
                <w:bCs/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Title</w:t>
            </w:r>
          </w:p>
        </w:tc>
      </w:tr>
      <w:tr w:rsidR="007B3E7B" w:rsidRPr="001F3F03" w14:paraId="3A7681FA" w14:textId="77777777" w:rsidTr="002E0F9E">
        <w:tblPrEx>
          <w:jc w:val="left"/>
        </w:tblPrEx>
        <w:tc>
          <w:tcPr>
            <w:tcW w:w="418" w:type="dxa"/>
            <w:shd w:val="clear" w:color="auto" w:fill="auto"/>
          </w:tcPr>
          <w:p w14:paraId="43CEE401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730DD8D8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Admin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44D88B" w14:textId="77777777" w:rsidR="007B3E7B" w:rsidRPr="001F3F03" w:rsidRDefault="00D556A1" w:rsidP="002E0F9E">
            <w:pPr>
              <w:rPr>
                <w:sz w:val="22"/>
                <w:szCs w:val="22"/>
              </w:rPr>
            </w:pPr>
            <w:hyperlink r:id="rId41" w:history="1">
              <w:r w:rsidR="007B3E7B" w:rsidRPr="001F3F03">
                <w:rPr>
                  <w:rStyle w:val="Hyperlink"/>
                  <w:sz w:val="22"/>
                  <w:szCs w:val="22"/>
                </w:rPr>
                <w:t>TD514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6D3432EC" w14:textId="77777777" w:rsidR="007B3E7B" w:rsidRPr="001F3F03" w:rsidRDefault="007B3E7B" w:rsidP="002E0F9E">
            <w:pPr>
              <w:rPr>
                <w:sz w:val="22"/>
                <w:szCs w:val="22"/>
                <w:lang w:val="fr-FR"/>
              </w:rPr>
            </w:pPr>
            <w:r w:rsidRPr="001F3F03">
              <w:rPr>
                <w:sz w:val="22"/>
                <w:szCs w:val="22"/>
              </w:rPr>
              <w:t>Rapporteur, RG-SOP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6926D44" w14:textId="77777777" w:rsidR="007B3E7B" w:rsidRPr="001F3F03" w:rsidRDefault="007B3E7B" w:rsidP="002E0F9E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Agenda, RG-SOP</w:t>
            </w:r>
          </w:p>
        </w:tc>
      </w:tr>
      <w:tr w:rsidR="007B3E7B" w:rsidRPr="001F3F03" w14:paraId="207CFBD4" w14:textId="77777777" w:rsidTr="002E0F9E">
        <w:tblPrEx>
          <w:jc w:val="left"/>
        </w:tblPrEx>
        <w:tc>
          <w:tcPr>
            <w:tcW w:w="418" w:type="dxa"/>
            <w:shd w:val="clear" w:color="auto" w:fill="auto"/>
          </w:tcPr>
          <w:p w14:paraId="6F65171A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143444FF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Admin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47AA8D" w14:textId="77777777" w:rsidR="007B3E7B" w:rsidRPr="001F3F03" w:rsidRDefault="00D556A1" w:rsidP="002E0F9E">
            <w:pPr>
              <w:rPr>
                <w:sz w:val="22"/>
                <w:szCs w:val="22"/>
              </w:rPr>
            </w:pPr>
            <w:hyperlink r:id="rId42" w:history="1">
              <w:r w:rsidR="007B3E7B" w:rsidRPr="001F3F03">
                <w:rPr>
                  <w:rStyle w:val="Hyperlink"/>
                  <w:sz w:val="22"/>
                  <w:szCs w:val="22"/>
                </w:rPr>
                <w:t>TD526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3C66BABD" w14:textId="77777777" w:rsidR="007B3E7B" w:rsidRPr="001F3F03" w:rsidRDefault="007B3E7B" w:rsidP="002E0F9E">
            <w:pPr>
              <w:rPr>
                <w:sz w:val="22"/>
                <w:szCs w:val="22"/>
              </w:rPr>
            </w:pPr>
            <w:r w:rsidRPr="001F3F03">
              <w:rPr>
                <w:sz w:val="22"/>
                <w:szCs w:val="22"/>
              </w:rPr>
              <w:t>Rapporteur, RG-SOP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4C16C47E" w14:textId="77777777" w:rsidR="007B3E7B" w:rsidRPr="001F3F03" w:rsidRDefault="007B3E7B" w:rsidP="002E0F9E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Progress report from interim TSAG RG-SOP meetings</w:t>
            </w:r>
          </w:p>
        </w:tc>
      </w:tr>
      <w:tr w:rsidR="007B3E7B" w:rsidRPr="001F3F03" w14:paraId="517D57C1" w14:textId="77777777" w:rsidTr="002E0F9E">
        <w:tblPrEx>
          <w:jc w:val="left"/>
        </w:tblPrEx>
        <w:tc>
          <w:tcPr>
            <w:tcW w:w="418" w:type="dxa"/>
            <w:shd w:val="clear" w:color="auto" w:fill="auto"/>
          </w:tcPr>
          <w:p w14:paraId="75D5B6A0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22CC0453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Report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CEA2B9" w14:textId="77777777" w:rsidR="007B3E7B" w:rsidRPr="001F3F03" w:rsidRDefault="00D556A1" w:rsidP="002E0F9E">
            <w:pPr>
              <w:rPr>
                <w:sz w:val="22"/>
                <w:szCs w:val="22"/>
                <w:lang w:val="en-US"/>
              </w:rPr>
            </w:pPr>
            <w:hyperlink r:id="rId43" w:history="1">
              <w:r w:rsidR="007B3E7B" w:rsidRPr="001F3F03">
                <w:rPr>
                  <w:rStyle w:val="Hyperlink"/>
                  <w:sz w:val="22"/>
                  <w:szCs w:val="22"/>
                </w:rPr>
                <w:t>TD515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1D453A06" w14:textId="77777777" w:rsidR="007B3E7B" w:rsidRPr="001F3F03" w:rsidRDefault="007B3E7B" w:rsidP="002E0F9E">
            <w:pPr>
              <w:rPr>
                <w:sz w:val="22"/>
                <w:szCs w:val="22"/>
                <w:lang w:val="en-US"/>
              </w:rPr>
            </w:pPr>
            <w:r w:rsidRPr="001F3F03">
              <w:rPr>
                <w:sz w:val="22"/>
                <w:szCs w:val="22"/>
              </w:rPr>
              <w:t>Rapporteur, RG-SOP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3CFAF1B" w14:textId="77777777" w:rsidR="007B3E7B" w:rsidRPr="001F3F03" w:rsidRDefault="007B3E7B" w:rsidP="002E0F9E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Reserved for: Report, RG-SOP</w:t>
            </w:r>
          </w:p>
        </w:tc>
      </w:tr>
      <w:tr w:rsidR="007B3E7B" w:rsidRPr="001F3F03" w14:paraId="78C32CA6" w14:textId="77777777" w:rsidTr="002E0F9E">
        <w:tblPrEx>
          <w:jc w:val="left"/>
        </w:tblPrEx>
        <w:tc>
          <w:tcPr>
            <w:tcW w:w="418" w:type="dxa"/>
            <w:shd w:val="clear" w:color="auto" w:fill="auto"/>
          </w:tcPr>
          <w:p w14:paraId="509C62C0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1A853F36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D6BDD5" w14:textId="77777777" w:rsidR="007B3E7B" w:rsidRPr="001F3F03" w:rsidRDefault="00D556A1" w:rsidP="002E0F9E">
            <w:pPr>
              <w:rPr>
                <w:sz w:val="22"/>
                <w:szCs w:val="22"/>
                <w:lang w:val="en-US"/>
              </w:rPr>
            </w:pPr>
            <w:hyperlink r:id="rId44" w:history="1">
              <w:r w:rsidR="007B3E7B" w:rsidRPr="001F3F03">
                <w:rPr>
                  <w:rStyle w:val="Hyperlink"/>
                  <w:sz w:val="22"/>
                  <w:szCs w:val="22"/>
                </w:rPr>
                <w:t>TD497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3D3D453C" w14:textId="77777777" w:rsidR="007B3E7B" w:rsidRPr="001F3F03" w:rsidRDefault="007B3E7B" w:rsidP="002E0F9E">
            <w:pPr>
              <w:rPr>
                <w:sz w:val="22"/>
                <w:szCs w:val="22"/>
                <w:lang w:val="en-US"/>
              </w:rPr>
            </w:pPr>
            <w:r w:rsidRPr="001F3F03">
              <w:rPr>
                <w:sz w:val="22"/>
                <w:szCs w:val="22"/>
              </w:rPr>
              <w:t>TSB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7295D2C1" w14:textId="77777777" w:rsidR="007B3E7B" w:rsidRPr="001F3F03" w:rsidRDefault="007B3E7B" w:rsidP="002E0F9E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Four-year rolling Operational Plan for the Union for 2025-2028</w:t>
            </w:r>
          </w:p>
        </w:tc>
      </w:tr>
      <w:tr w:rsidR="007B3E7B" w:rsidRPr="001F3F03" w14:paraId="6C64BF6E" w14:textId="77777777" w:rsidTr="002E0F9E">
        <w:trPr>
          <w:jc w:val="center"/>
        </w:trPr>
        <w:tc>
          <w:tcPr>
            <w:tcW w:w="418" w:type="dxa"/>
            <w:shd w:val="clear" w:color="auto" w:fill="auto"/>
          </w:tcPr>
          <w:p w14:paraId="7294C3EE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  <w:bookmarkStart w:id="12" w:name="_Hlk156137962"/>
          </w:p>
        </w:tc>
        <w:tc>
          <w:tcPr>
            <w:tcW w:w="1277" w:type="dxa"/>
            <w:shd w:val="clear" w:color="auto" w:fill="auto"/>
          </w:tcPr>
          <w:p w14:paraId="502D6364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Information (to review)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4ADCC0" w14:textId="77777777" w:rsidR="007B3E7B" w:rsidRPr="001F3F03" w:rsidRDefault="00D556A1" w:rsidP="002E0F9E">
            <w:pPr>
              <w:pStyle w:val="Tabletext"/>
              <w:rPr>
                <w:szCs w:val="22"/>
                <w:lang w:val="en-US"/>
              </w:rPr>
            </w:pPr>
            <w:hyperlink r:id="rId45" w:history="1">
              <w:r w:rsidR="007B3E7B" w:rsidRPr="001F3F03">
                <w:rPr>
                  <w:rStyle w:val="Hyperlink"/>
                  <w:szCs w:val="22"/>
                </w:rPr>
                <w:t>TD625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6B03A164" w14:textId="77777777" w:rsidR="007B3E7B" w:rsidRPr="001F3F03" w:rsidRDefault="007B3E7B" w:rsidP="002E0F9E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rFonts w:eastAsiaTheme="minorEastAsia"/>
                <w:szCs w:val="22"/>
                <w:lang w:eastAsia="ja-JP"/>
              </w:rPr>
              <w:t>TSB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5536C0C" w14:textId="77777777" w:rsidR="007B3E7B" w:rsidRPr="001F3F03" w:rsidRDefault="007B3E7B" w:rsidP="002E0F9E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ITU-T draft operational plan for 2025-2028 and 2023 performance report</w:t>
            </w:r>
          </w:p>
        </w:tc>
      </w:tr>
      <w:bookmarkEnd w:id="12"/>
      <w:tr w:rsidR="007B3E7B" w:rsidRPr="001F3F03" w14:paraId="5CE7467F" w14:textId="77777777" w:rsidTr="002E0F9E">
        <w:trPr>
          <w:jc w:val="center"/>
        </w:trPr>
        <w:tc>
          <w:tcPr>
            <w:tcW w:w="418" w:type="dxa"/>
            <w:shd w:val="clear" w:color="auto" w:fill="auto"/>
          </w:tcPr>
          <w:p w14:paraId="7010CC34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4F76E0CC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9AE055" w14:textId="77777777" w:rsidR="007B3E7B" w:rsidRPr="001F3F03" w:rsidRDefault="00D556A1" w:rsidP="002E0F9E">
            <w:pPr>
              <w:pStyle w:val="Tabletext"/>
              <w:rPr>
                <w:szCs w:val="22"/>
              </w:rPr>
            </w:pPr>
            <w:hyperlink r:id="rId46" w:history="1">
              <w:r w:rsidR="007B3E7B" w:rsidRPr="001F3F03">
                <w:rPr>
                  <w:rStyle w:val="Hyperlink"/>
                  <w:szCs w:val="22"/>
                </w:rPr>
                <w:t>TD599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369CD7C6" w14:textId="77777777" w:rsidR="007B3E7B" w:rsidRPr="001F3F03" w:rsidRDefault="007B3E7B" w:rsidP="002E0F9E">
            <w:pPr>
              <w:pStyle w:val="Tabletext"/>
              <w:rPr>
                <w:rFonts w:eastAsiaTheme="minorEastAsia"/>
                <w:szCs w:val="22"/>
                <w:lang w:eastAsia="ja-JP"/>
              </w:rPr>
            </w:pPr>
            <w:r w:rsidRPr="001F3F03">
              <w:rPr>
                <w:szCs w:val="22"/>
              </w:rPr>
              <w:t>Rapporteur, RG-IEM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3A0E97EE" w14:textId="77777777" w:rsidR="007B3E7B" w:rsidRPr="001F3F03" w:rsidRDefault="007B3E7B" w:rsidP="002E0F9E">
            <w:pPr>
              <w:pStyle w:val="Tabletext"/>
              <w:rPr>
                <w:szCs w:val="22"/>
              </w:rPr>
            </w:pPr>
            <w:r w:rsidRPr="001F3F03">
              <w:rPr>
                <w:szCs w:val="22"/>
              </w:rPr>
              <w:t>Report of Industry Engagement Workshop</w:t>
            </w:r>
          </w:p>
        </w:tc>
      </w:tr>
      <w:tr w:rsidR="007B3E7B" w:rsidRPr="001F3F03" w14:paraId="770673A3" w14:textId="77777777" w:rsidTr="002E0F9E">
        <w:trPr>
          <w:jc w:val="center"/>
        </w:trPr>
        <w:tc>
          <w:tcPr>
            <w:tcW w:w="418" w:type="dxa"/>
            <w:shd w:val="clear" w:color="auto" w:fill="auto"/>
          </w:tcPr>
          <w:p w14:paraId="2F886974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1F424F86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 xml:space="preserve">Information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F18CFD" w14:textId="77777777" w:rsidR="007B3E7B" w:rsidRPr="001F3F03" w:rsidRDefault="00D556A1" w:rsidP="002E0F9E">
            <w:pPr>
              <w:pStyle w:val="Tabletext"/>
              <w:rPr>
                <w:szCs w:val="22"/>
              </w:rPr>
            </w:pPr>
            <w:hyperlink r:id="rId47" w:history="1">
              <w:r w:rsidR="007B3E7B" w:rsidRPr="001F3F03">
                <w:rPr>
                  <w:rStyle w:val="Hyperlink"/>
                  <w:szCs w:val="22"/>
                </w:rPr>
                <w:t>TD552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46BAA06C" w14:textId="77777777" w:rsidR="007B3E7B" w:rsidRPr="001F3F03" w:rsidRDefault="007B3E7B" w:rsidP="002E0F9E">
            <w:pPr>
              <w:pStyle w:val="Tabletext"/>
              <w:rPr>
                <w:szCs w:val="22"/>
              </w:rPr>
            </w:pPr>
            <w:r w:rsidRPr="001F3F03">
              <w:rPr>
                <w:szCs w:val="22"/>
              </w:rPr>
              <w:t>ITU Regional Office Directors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0A93943" w14:textId="77777777" w:rsidR="007B3E7B" w:rsidRPr="001F3F03" w:rsidRDefault="007B3E7B" w:rsidP="002E0F9E">
            <w:pPr>
              <w:pStyle w:val="Tabletext"/>
              <w:rPr>
                <w:szCs w:val="22"/>
              </w:rPr>
            </w:pPr>
            <w:r w:rsidRPr="001F3F03">
              <w:rPr>
                <w:szCs w:val="22"/>
              </w:rPr>
              <w:t>Contribution of the ITU Regional Offices to the ITU-T Operational Plan and Coordination activities with TSB (January - June 2024)</w:t>
            </w:r>
          </w:p>
        </w:tc>
      </w:tr>
      <w:tr w:rsidR="007B3E7B" w:rsidRPr="001F3F03" w14:paraId="0899B68E" w14:textId="77777777" w:rsidTr="002E0F9E">
        <w:trPr>
          <w:jc w:val="center"/>
        </w:trPr>
        <w:tc>
          <w:tcPr>
            <w:tcW w:w="418" w:type="dxa"/>
            <w:shd w:val="clear" w:color="auto" w:fill="auto"/>
          </w:tcPr>
          <w:p w14:paraId="4D8F2C2D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089E9863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Contribution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48BFDE" w14:textId="77777777" w:rsidR="007B3E7B" w:rsidRPr="001F3F03" w:rsidRDefault="00D556A1" w:rsidP="002E0F9E">
            <w:pPr>
              <w:rPr>
                <w:sz w:val="22"/>
                <w:szCs w:val="22"/>
                <w:lang w:val="en-US"/>
              </w:rPr>
            </w:pPr>
            <w:hyperlink r:id="rId48" w:history="1">
              <w:r w:rsidR="007B3E7B" w:rsidRPr="001F3F03">
                <w:rPr>
                  <w:rStyle w:val="Hyperlink"/>
                  <w:sz w:val="22"/>
                  <w:szCs w:val="22"/>
                </w:rPr>
                <w:t>C103</w:t>
              </w:r>
            </w:hyperlink>
          </w:p>
        </w:tc>
        <w:tc>
          <w:tcPr>
            <w:tcW w:w="1890" w:type="dxa"/>
            <w:shd w:val="clear" w:color="auto" w:fill="auto"/>
            <w:vAlign w:val="center"/>
          </w:tcPr>
          <w:p w14:paraId="4CF58070" w14:textId="77777777" w:rsidR="007B3E7B" w:rsidRPr="001F3F03" w:rsidRDefault="007B3E7B" w:rsidP="002E0F9E">
            <w:pPr>
              <w:rPr>
                <w:sz w:val="22"/>
                <w:szCs w:val="22"/>
              </w:rPr>
            </w:pPr>
            <w:r w:rsidRPr="001F3F03">
              <w:rPr>
                <w:sz w:val="22"/>
                <w:szCs w:val="22"/>
              </w:rPr>
              <w:t>Ericsson Canada; Canada</w:t>
            </w:r>
          </w:p>
        </w:tc>
        <w:tc>
          <w:tcPr>
            <w:tcW w:w="4944" w:type="dxa"/>
            <w:shd w:val="clear" w:color="auto" w:fill="auto"/>
            <w:vAlign w:val="center"/>
          </w:tcPr>
          <w:p w14:paraId="014D2BE6" w14:textId="77777777" w:rsidR="007B3E7B" w:rsidRPr="001F3F03" w:rsidRDefault="007B3E7B" w:rsidP="002E0F9E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szCs w:val="22"/>
              </w:rPr>
              <w:t>Elements to consider for the ITU-T/TSAG input to CWG-SFP</w:t>
            </w:r>
          </w:p>
        </w:tc>
      </w:tr>
      <w:tr w:rsidR="007B3E7B" w:rsidRPr="001F3F03" w14:paraId="45843E0C" w14:textId="77777777" w:rsidTr="002E0F9E">
        <w:trPr>
          <w:jc w:val="center"/>
        </w:trPr>
        <w:tc>
          <w:tcPr>
            <w:tcW w:w="418" w:type="dxa"/>
            <w:shd w:val="clear" w:color="auto" w:fill="auto"/>
          </w:tcPr>
          <w:p w14:paraId="0BFD0835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05309517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 w:rsidRPr="001F3F03"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</w:tcPr>
          <w:p w14:paraId="33D43530" w14:textId="77777777" w:rsidR="007B3E7B" w:rsidRPr="001F3F03" w:rsidRDefault="00D556A1" w:rsidP="002E0F9E">
            <w:pPr>
              <w:rPr>
                <w:sz w:val="22"/>
                <w:szCs w:val="22"/>
                <w:lang w:val="en-US"/>
              </w:rPr>
            </w:pPr>
            <w:hyperlink r:id="rId49" w:history="1">
              <w:r w:rsidR="007B3E7B" w:rsidRPr="001F3F03">
                <w:rPr>
                  <w:rStyle w:val="Hyperlink"/>
                  <w:sz w:val="22"/>
                  <w:szCs w:val="22"/>
                  <w:lang w:val="en-US"/>
                </w:rPr>
                <w:t>TD665</w:t>
              </w:r>
            </w:hyperlink>
          </w:p>
        </w:tc>
        <w:tc>
          <w:tcPr>
            <w:tcW w:w="1890" w:type="dxa"/>
            <w:shd w:val="clear" w:color="auto" w:fill="auto"/>
          </w:tcPr>
          <w:p w14:paraId="6F093981" w14:textId="77777777" w:rsidR="007B3E7B" w:rsidRPr="001F3F03" w:rsidRDefault="007B3E7B" w:rsidP="002E0F9E">
            <w:pPr>
              <w:rPr>
                <w:sz w:val="22"/>
                <w:szCs w:val="22"/>
                <w:lang w:val="en-US"/>
              </w:rPr>
            </w:pPr>
            <w:r w:rsidRPr="001F3F03">
              <w:rPr>
                <w:sz w:val="22"/>
                <w:szCs w:val="22"/>
                <w:lang w:val="en-US"/>
              </w:rPr>
              <w:t>TSB</w:t>
            </w:r>
          </w:p>
        </w:tc>
        <w:tc>
          <w:tcPr>
            <w:tcW w:w="4944" w:type="dxa"/>
            <w:shd w:val="clear" w:color="auto" w:fill="auto"/>
          </w:tcPr>
          <w:p w14:paraId="4FF001DC" w14:textId="77777777" w:rsidR="007B3E7B" w:rsidRPr="001F3F03" w:rsidRDefault="007B3E7B" w:rsidP="002E0F9E">
            <w:pPr>
              <w:pStyle w:val="Tabletext"/>
              <w:rPr>
                <w:szCs w:val="22"/>
                <w:lang w:val="en-US"/>
              </w:rPr>
            </w:pPr>
            <w:r w:rsidRPr="001F3F03">
              <w:rPr>
                <w:bCs/>
                <w:szCs w:val="22"/>
              </w:rPr>
              <w:t>RG-SOP: Schedule of meetings in relation to TSAG inputs for the elaboration of the draft Strategic Plan, 2028-2031</w:t>
            </w:r>
          </w:p>
        </w:tc>
      </w:tr>
      <w:tr w:rsidR="007B3E7B" w:rsidRPr="001F3F03" w14:paraId="4BD4D415" w14:textId="77777777" w:rsidTr="002E0F9E">
        <w:trPr>
          <w:jc w:val="center"/>
        </w:trPr>
        <w:tc>
          <w:tcPr>
            <w:tcW w:w="418" w:type="dxa"/>
            <w:shd w:val="clear" w:color="auto" w:fill="auto"/>
          </w:tcPr>
          <w:p w14:paraId="7D4D2620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13BC9CAD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infomration</w:t>
            </w:r>
          </w:p>
        </w:tc>
        <w:tc>
          <w:tcPr>
            <w:tcW w:w="1080" w:type="dxa"/>
            <w:shd w:val="clear" w:color="auto" w:fill="auto"/>
          </w:tcPr>
          <w:p w14:paraId="45D366D9" w14:textId="77777777" w:rsidR="007B3E7B" w:rsidRPr="006950A1" w:rsidRDefault="00D556A1" w:rsidP="002E0F9E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50" w:history="1">
              <w:r w:rsidR="007B3E7B" w:rsidRPr="006950A1">
                <w:rPr>
                  <w:rStyle w:val="Hyperlink"/>
                  <w:sz w:val="22"/>
                  <w:szCs w:val="22"/>
                </w:rPr>
                <w:t>TD667R1</w:t>
              </w:r>
            </w:hyperlink>
          </w:p>
          <w:p w14:paraId="5A1D700B" w14:textId="77777777" w:rsidR="007B3E7B" w:rsidRDefault="007B3E7B" w:rsidP="002E0F9E"/>
        </w:tc>
        <w:tc>
          <w:tcPr>
            <w:tcW w:w="1890" w:type="dxa"/>
            <w:shd w:val="clear" w:color="auto" w:fill="auto"/>
          </w:tcPr>
          <w:p w14:paraId="36602E56" w14:textId="77777777" w:rsidR="007B3E7B" w:rsidRPr="001F3F03" w:rsidRDefault="007B3E7B" w:rsidP="002E0F9E">
            <w:pPr>
              <w:rPr>
                <w:sz w:val="22"/>
                <w:szCs w:val="22"/>
                <w:lang w:val="en-US"/>
              </w:rPr>
            </w:pPr>
            <w:r w:rsidRPr="00E44C52">
              <w:rPr>
                <w:sz w:val="22"/>
                <w:szCs w:val="22"/>
              </w:rPr>
              <w:t>Rapporteur, RG-IEM</w:t>
            </w:r>
          </w:p>
        </w:tc>
        <w:tc>
          <w:tcPr>
            <w:tcW w:w="4944" w:type="dxa"/>
            <w:shd w:val="clear" w:color="auto" w:fill="auto"/>
          </w:tcPr>
          <w:p w14:paraId="22DE7901" w14:textId="77777777" w:rsidR="007B3E7B" w:rsidRPr="001F3F03" w:rsidRDefault="007B3E7B" w:rsidP="002E0F9E">
            <w:pPr>
              <w:pStyle w:val="Tabletext"/>
              <w:rPr>
                <w:bCs/>
                <w:szCs w:val="22"/>
              </w:rPr>
            </w:pPr>
            <w:r w:rsidRPr="00436E51">
              <w:rPr>
                <w:szCs w:val="22"/>
              </w:rPr>
              <w:t>Industry Engagement Proposed Actions sorted by target entities</w:t>
            </w:r>
          </w:p>
        </w:tc>
      </w:tr>
      <w:tr w:rsidR="007B3E7B" w:rsidRPr="001F3F03" w14:paraId="6D09760D" w14:textId="77777777" w:rsidTr="002E0F9E">
        <w:trPr>
          <w:jc w:val="center"/>
        </w:trPr>
        <w:tc>
          <w:tcPr>
            <w:tcW w:w="418" w:type="dxa"/>
            <w:shd w:val="clear" w:color="auto" w:fill="auto"/>
          </w:tcPr>
          <w:p w14:paraId="3ED916BA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2949A308" w14:textId="77777777" w:rsidR="007B3E7B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</w:tcPr>
          <w:p w14:paraId="09002BFF" w14:textId="77777777" w:rsidR="007B3E7B" w:rsidRPr="00D36AA8" w:rsidRDefault="00D556A1" w:rsidP="002E0F9E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51" w:history="1">
              <w:r w:rsidR="007B3E7B" w:rsidRPr="00D36AA8">
                <w:rPr>
                  <w:rStyle w:val="Hyperlink"/>
                  <w:sz w:val="22"/>
                  <w:szCs w:val="22"/>
                </w:rPr>
                <w:t>TD624R2</w:t>
              </w:r>
            </w:hyperlink>
          </w:p>
        </w:tc>
        <w:tc>
          <w:tcPr>
            <w:tcW w:w="1890" w:type="dxa"/>
            <w:shd w:val="clear" w:color="auto" w:fill="auto"/>
          </w:tcPr>
          <w:p w14:paraId="66A4910E" w14:textId="77777777" w:rsidR="007B3E7B" w:rsidRPr="00E44C52" w:rsidRDefault="007B3E7B" w:rsidP="002E0F9E">
            <w:pPr>
              <w:rPr>
                <w:sz w:val="22"/>
                <w:szCs w:val="22"/>
              </w:rPr>
            </w:pPr>
            <w:r w:rsidRPr="00E44C52">
              <w:rPr>
                <w:sz w:val="22"/>
                <w:szCs w:val="22"/>
              </w:rPr>
              <w:t>Rapporteur, RG-IEM</w:t>
            </w:r>
          </w:p>
        </w:tc>
        <w:tc>
          <w:tcPr>
            <w:tcW w:w="4944" w:type="dxa"/>
            <w:shd w:val="clear" w:color="auto" w:fill="auto"/>
          </w:tcPr>
          <w:p w14:paraId="525DA17F" w14:textId="77777777" w:rsidR="007B3E7B" w:rsidRPr="00436E51" w:rsidRDefault="007B3E7B" w:rsidP="002E0F9E">
            <w:pPr>
              <w:pStyle w:val="Tabletext"/>
              <w:rPr>
                <w:szCs w:val="22"/>
              </w:rPr>
            </w:pPr>
            <w:r w:rsidRPr="006950A1">
              <w:rPr>
                <w:szCs w:val="22"/>
              </w:rPr>
              <w:t>Draft updated ITU-T action plan for a vibrant engagement of the industry</w:t>
            </w:r>
          </w:p>
        </w:tc>
      </w:tr>
      <w:tr w:rsidR="007B3E7B" w:rsidRPr="001F3F03" w14:paraId="21034CF9" w14:textId="77777777" w:rsidTr="002E0F9E">
        <w:trPr>
          <w:jc w:val="center"/>
        </w:trPr>
        <w:tc>
          <w:tcPr>
            <w:tcW w:w="418" w:type="dxa"/>
            <w:shd w:val="clear" w:color="auto" w:fill="auto"/>
          </w:tcPr>
          <w:p w14:paraId="1F02C6AA" w14:textId="77777777" w:rsidR="007B3E7B" w:rsidRPr="001F3F03" w:rsidRDefault="007B3E7B" w:rsidP="002E0F9E">
            <w:pPr>
              <w:pStyle w:val="Tabletext"/>
              <w:numPr>
                <w:ilvl w:val="0"/>
                <w:numId w:val="31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277" w:type="dxa"/>
            <w:shd w:val="clear" w:color="auto" w:fill="auto"/>
          </w:tcPr>
          <w:p w14:paraId="488C17A3" w14:textId="77777777" w:rsidR="007B3E7B" w:rsidRPr="001F3F03" w:rsidRDefault="007B3E7B" w:rsidP="002E0F9E">
            <w:pPr>
              <w:pStyle w:val="Tabletext"/>
              <w:spacing w:before="120" w:after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Information</w:t>
            </w:r>
          </w:p>
        </w:tc>
        <w:tc>
          <w:tcPr>
            <w:tcW w:w="1080" w:type="dxa"/>
            <w:shd w:val="clear" w:color="auto" w:fill="auto"/>
          </w:tcPr>
          <w:p w14:paraId="4173A4AD" w14:textId="77777777" w:rsidR="007B3E7B" w:rsidRDefault="00D556A1" w:rsidP="002E0F9E">
            <w:hyperlink r:id="rId52" w:history="1">
              <w:r w:rsidR="007B3E7B" w:rsidRPr="00D36AA8">
                <w:rPr>
                  <w:rStyle w:val="Hyperlink"/>
                  <w:rFonts w:eastAsia="MS Mincho" w:hint="eastAsia"/>
                  <w:sz w:val="22"/>
                  <w:szCs w:val="22"/>
                </w:rPr>
                <w:t>TD6</w:t>
              </w:r>
              <w:r w:rsidR="007B3E7B" w:rsidRPr="00C748D5">
                <w:rPr>
                  <w:rStyle w:val="Hyperlink"/>
                  <w:rFonts w:eastAsia="MS Mincho"/>
                  <w:sz w:val="22"/>
                  <w:szCs w:val="22"/>
                </w:rPr>
                <w:t>72</w:t>
              </w:r>
            </w:hyperlink>
          </w:p>
        </w:tc>
        <w:tc>
          <w:tcPr>
            <w:tcW w:w="1890" w:type="dxa"/>
            <w:shd w:val="clear" w:color="auto" w:fill="auto"/>
          </w:tcPr>
          <w:p w14:paraId="0C81603C" w14:textId="77777777" w:rsidR="007B3E7B" w:rsidRPr="001F3F03" w:rsidRDefault="007B3E7B" w:rsidP="002E0F9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TSB; </w:t>
            </w:r>
            <w:r>
              <w:rPr>
                <w:rFonts w:eastAsia="MS Mincho" w:hint="eastAsia"/>
                <w:sz w:val="22"/>
                <w:szCs w:val="22"/>
              </w:rPr>
              <w:t>ITU/SG/SPM</w:t>
            </w:r>
          </w:p>
        </w:tc>
        <w:tc>
          <w:tcPr>
            <w:tcW w:w="4944" w:type="dxa"/>
            <w:shd w:val="clear" w:color="auto" w:fill="auto"/>
          </w:tcPr>
          <w:p w14:paraId="5A559A0A" w14:textId="77777777" w:rsidR="007B3E7B" w:rsidRPr="001F3F03" w:rsidRDefault="007B3E7B" w:rsidP="002E0F9E">
            <w:pPr>
              <w:pStyle w:val="Tabletext"/>
              <w:rPr>
                <w:bCs/>
                <w:szCs w:val="22"/>
              </w:rPr>
            </w:pPr>
            <w:r w:rsidRPr="001F3F03">
              <w:rPr>
                <w:bCs/>
                <w:szCs w:val="22"/>
              </w:rPr>
              <w:t xml:space="preserve">RG-SOP: </w:t>
            </w:r>
            <w:r>
              <w:rPr>
                <w:rFonts w:eastAsia="MS Mincho" w:hint="eastAsia"/>
                <w:szCs w:val="22"/>
              </w:rPr>
              <w:t>ITU</w:t>
            </w:r>
            <w:r>
              <w:rPr>
                <w:rFonts w:eastAsia="MS Mincho"/>
                <w:szCs w:val="22"/>
              </w:rPr>
              <w:t>’s</w:t>
            </w:r>
            <w:r>
              <w:rPr>
                <w:rFonts w:eastAsia="MS Mincho" w:hint="eastAsia"/>
                <w:szCs w:val="22"/>
              </w:rPr>
              <w:t xml:space="preserve"> Strategic Plans</w:t>
            </w:r>
            <w:r w:rsidRPr="00922907">
              <w:rPr>
                <w:szCs w:val="22"/>
              </w:rPr>
              <w:t xml:space="preserve">  </w:t>
            </w:r>
          </w:p>
        </w:tc>
      </w:tr>
    </w:tbl>
    <w:p w14:paraId="704C3A87" w14:textId="77777777" w:rsidR="009D0CC4" w:rsidRPr="009354CA" w:rsidRDefault="009D0CC4" w:rsidP="009D0CC4">
      <w:pPr>
        <w:rPr>
          <w:rFonts w:eastAsia="MS Mincho"/>
        </w:rPr>
      </w:pPr>
    </w:p>
    <w:p w14:paraId="18F8D0B7" w14:textId="0984F1AF" w:rsidR="009D0CC4" w:rsidRPr="009354CA" w:rsidRDefault="008E084F" w:rsidP="009D0CC4">
      <w:pPr>
        <w:pStyle w:val="Heading1"/>
        <w:ind w:left="0" w:firstLine="0"/>
        <w:jc w:val="center"/>
        <w:rPr>
          <w:szCs w:val="24"/>
        </w:rPr>
      </w:pPr>
      <w:bookmarkStart w:id="13" w:name="AnnexB"/>
      <w:r w:rsidRPr="009354CA">
        <w:rPr>
          <w:szCs w:val="24"/>
        </w:rPr>
        <w:t>Annex B</w:t>
      </w:r>
      <w:bookmarkEnd w:id="13"/>
      <w:r w:rsidRPr="009354CA">
        <w:rPr>
          <w:szCs w:val="24"/>
        </w:rPr>
        <w:t>:</w:t>
      </w:r>
      <w:r w:rsidR="009D0CC4" w:rsidRPr="009354CA">
        <w:rPr>
          <w:b w:val="0"/>
          <w:bCs/>
          <w:szCs w:val="24"/>
        </w:rPr>
        <w:br/>
      </w:r>
      <w:r w:rsidR="009D0CC4" w:rsidRPr="009354CA">
        <w:rPr>
          <w:szCs w:val="24"/>
        </w:rPr>
        <w:t>Terms of Reference for the Rapporteur Group on strategic and operational planning (RG-SOP)</w:t>
      </w:r>
    </w:p>
    <w:p w14:paraId="1C6BB547" w14:textId="77777777" w:rsidR="009D0CC4" w:rsidRPr="009354CA" w:rsidRDefault="009D0CC4" w:rsidP="009D0CC4">
      <w:pPr>
        <w:rPr>
          <w:lang w:val="en-US"/>
        </w:rPr>
      </w:pPr>
    </w:p>
    <w:p w14:paraId="6B16327E" w14:textId="77777777" w:rsidR="009D0CC4" w:rsidRPr="009354CA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9354CA">
        <w:t>Function as the TSAG focal point to collect and provide appropriate input from TSAG for consideration of the Council Working Group for the elaboration of the draft strategic plan.</w:t>
      </w:r>
    </w:p>
    <w:p w14:paraId="4D9BF379" w14:textId="77777777" w:rsidR="009D0CC4" w:rsidRPr="009354CA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9354CA">
        <w:t>Identify the key strategic priorities in ITU-T that are unique to the Sector or at least complementary to those undertaken by other SDOs.</w:t>
      </w:r>
    </w:p>
    <w:p w14:paraId="72D851C7" w14:textId="77777777" w:rsidR="009D0CC4" w:rsidRPr="009354CA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9354CA">
        <w:t>Consider a range of appropriate mechanisms, including the ITU-T homepage, where a narrative can be developed which illustrate the advantages of participating actively in the work of the Sector.</w:t>
      </w:r>
    </w:p>
    <w:p w14:paraId="6FC643EA" w14:textId="77777777" w:rsidR="009D0CC4" w:rsidRPr="009354CA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9354CA">
        <w:t>Review of the annual ITU-T operational plans for approval by Council.</w:t>
      </w:r>
    </w:p>
    <w:p w14:paraId="24285555" w14:textId="77777777" w:rsidR="009D0CC4" w:rsidRPr="009354CA" w:rsidRDefault="009D0CC4" w:rsidP="009D0CC4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CA"/>
        </w:rPr>
      </w:pPr>
      <w:r w:rsidRPr="009354CA">
        <w:rPr>
          <w:rFonts w:eastAsia="Times New Roman"/>
          <w:lang w:val="en-CA"/>
        </w:rPr>
        <w:t>Consider the input of TSAG Rapporteur Group (RG) - Industry Engagement and Metrics (including the Industry Engagement Workshop) and other Rapporteur Groups in general, from strategic and operational point of view.</w:t>
      </w:r>
    </w:p>
    <w:p w14:paraId="1A523627" w14:textId="6B078684" w:rsidR="00DE1F2E" w:rsidRPr="009354CA" w:rsidRDefault="009D0CC4" w:rsidP="005F1F58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9354CA">
        <w:rPr>
          <w:lang w:val="en-CA"/>
        </w:rPr>
        <w:t>Analyze market needs and technological developments to identify areas where new standards or revisions are necessary.</w:t>
      </w:r>
    </w:p>
    <w:p w14:paraId="5E5BDBD0" w14:textId="47DCA757" w:rsidR="00DB7049" w:rsidRPr="009354CA" w:rsidRDefault="005A64A7" w:rsidP="00732434">
      <w:pPr>
        <w:jc w:val="center"/>
      </w:pPr>
      <w:r w:rsidRPr="009354CA">
        <w:t>_______________________</w:t>
      </w:r>
    </w:p>
    <w:sectPr w:rsidR="00DB7049" w:rsidRPr="009354CA" w:rsidSect="00D34F75">
      <w:headerReference w:type="default" r:id="rId53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5E7C" w14:textId="77777777" w:rsidR="00C529F3" w:rsidRDefault="00C529F3" w:rsidP="00C42125">
      <w:pPr>
        <w:spacing w:before="0"/>
      </w:pPr>
      <w:r>
        <w:separator/>
      </w:r>
    </w:p>
  </w:endnote>
  <w:endnote w:type="continuationSeparator" w:id="0">
    <w:p w14:paraId="320CBA4B" w14:textId="77777777" w:rsidR="00C529F3" w:rsidRDefault="00C529F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BA7A" w14:textId="77777777" w:rsidR="00C529F3" w:rsidRDefault="00C529F3" w:rsidP="00C42125">
      <w:pPr>
        <w:spacing w:before="0"/>
      </w:pPr>
      <w:r>
        <w:separator/>
      </w:r>
    </w:p>
  </w:footnote>
  <w:footnote w:type="continuationSeparator" w:id="0">
    <w:p w14:paraId="0A231F6E" w14:textId="77777777" w:rsidR="00C529F3" w:rsidRDefault="00C529F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9B8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62176348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D556A1">
      <w:rPr>
        <w:noProof/>
      </w:rPr>
      <w:t>TSAG-TD515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E4657"/>
    <w:multiLevelType w:val="hybridMultilevel"/>
    <w:tmpl w:val="08586F3E"/>
    <w:lvl w:ilvl="0" w:tplc="67AC97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37FA6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411F"/>
    <w:multiLevelType w:val="hybridMultilevel"/>
    <w:tmpl w:val="87D8C8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47FB1"/>
    <w:multiLevelType w:val="hybridMultilevel"/>
    <w:tmpl w:val="73E456DE"/>
    <w:lvl w:ilvl="0" w:tplc="AF8AB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E1327"/>
    <w:multiLevelType w:val="hybridMultilevel"/>
    <w:tmpl w:val="6644B482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CD9"/>
    <w:multiLevelType w:val="hybridMultilevel"/>
    <w:tmpl w:val="07AE11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01C5E"/>
    <w:multiLevelType w:val="hybridMultilevel"/>
    <w:tmpl w:val="7442ACEA"/>
    <w:lvl w:ilvl="0" w:tplc="8E469C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62AE9"/>
    <w:multiLevelType w:val="hybridMultilevel"/>
    <w:tmpl w:val="A5F65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AD41BC7"/>
    <w:multiLevelType w:val="hybridMultilevel"/>
    <w:tmpl w:val="BE20490C"/>
    <w:lvl w:ilvl="0" w:tplc="E556C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5548B6"/>
    <w:multiLevelType w:val="hybridMultilevel"/>
    <w:tmpl w:val="B6EAB3A8"/>
    <w:lvl w:ilvl="0" w:tplc="B024D85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C5604"/>
    <w:multiLevelType w:val="hybridMultilevel"/>
    <w:tmpl w:val="73E456D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C41F6A"/>
    <w:multiLevelType w:val="hybridMultilevel"/>
    <w:tmpl w:val="A8566874"/>
    <w:lvl w:ilvl="0" w:tplc="1C2299D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638802">
    <w:abstractNumId w:val="9"/>
  </w:num>
  <w:num w:numId="2" w16cid:durableId="1488400413">
    <w:abstractNumId w:val="7"/>
  </w:num>
  <w:num w:numId="3" w16cid:durableId="599872389">
    <w:abstractNumId w:val="6"/>
  </w:num>
  <w:num w:numId="4" w16cid:durableId="1344939843">
    <w:abstractNumId w:val="5"/>
  </w:num>
  <w:num w:numId="5" w16cid:durableId="1446072111">
    <w:abstractNumId w:val="4"/>
  </w:num>
  <w:num w:numId="6" w16cid:durableId="924416345">
    <w:abstractNumId w:val="8"/>
  </w:num>
  <w:num w:numId="7" w16cid:durableId="344551239">
    <w:abstractNumId w:val="3"/>
  </w:num>
  <w:num w:numId="8" w16cid:durableId="154690901">
    <w:abstractNumId w:val="2"/>
  </w:num>
  <w:num w:numId="9" w16cid:durableId="1798833342">
    <w:abstractNumId w:val="1"/>
  </w:num>
  <w:num w:numId="10" w16cid:durableId="1969816853">
    <w:abstractNumId w:val="0"/>
  </w:num>
  <w:num w:numId="11" w16cid:durableId="2108379542">
    <w:abstractNumId w:val="16"/>
  </w:num>
  <w:num w:numId="12" w16cid:durableId="985277320">
    <w:abstractNumId w:val="21"/>
  </w:num>
  <w:num w:numId="13" w16cid:durableId="907617374">
    <w:abstractNumId w:val="13"/>
  </w:num>
  <w:num w:numId="14" w16cid:durableId="947733969">
    <w:abstractNumId w:val="31"/>
  </w:num>
  <w:num w:numId="15" w16cid:durableId="1379477656">
    <w:abstractNumId w:val="10"/>
  </w:num>
  <w:num w:numId="16" w16cid:durableId="292827120">
    <w:abstractNumId w:val="23"/>
  </w:num>
  <w:num w:numId="17" w16cid:durableId="823350565">
    <w:abstractNumId w:val="18"/>
  </w:num>
  <w:num w:numId="18" w16cid:durableId="1042442132">
    <w:abstractNumId w:val="30"/>
  </w:num>
  <w:num w:numId="19" w16cid:durableId="1285111406">
    <w:abstractNumId w:val="12"/>
  </w:num>
  <w:num w:numId="20" w16cid:durableId="1205217227">
    <w:abstractNumId w:val="26"/>
  </w:num>
  <w:num w:numId="21" w16cid:durableId="1123883964">
    <w:abstractNumId w:val="19"/>
  </w:num>
  <w:num w:numId="22" w16cid:durableId="573517970">
    <w:abstractNumId w:val="32"/>
  </w:num>
  <w:num w:numId="23" w16cid:durableId="1409423492">
    <w:abstractNumId w:val="28"/>
  </w:num>
  <w:num w:numId="24" w16cid:durableId="1609846964">
    <w:abstractNumId w:val="14"/>
  </w:num>
  <w:num w:numId="25" w16cid:durableId="1205211363">
    <w:abstractNumId w:val="27"/>
  </w:num>
  <w:num w:numId="26" w16cid:durableId="2025545847">
    <w:abstractNumId w:val="20"/>
  </w:num>
  <w:num w:numId="27" w16cid:durableId="1966932237">
    <w:abstractNumId w:val="15"/>
  </w:num>
  <w:num w:numId="28" w16cid:durableId="1387994413">
    <w:abstractNumId w:val="24"/>
  </w:num>
  <w:num w:numId="29" w16cid:durableId="7139636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70274452">
    <w:abstractNumId w:val="17"/>
  </w:num>
  <w:num w:numId="31" w16cid:durableId="17859248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804517">
    <w:abstractNumId w:val="33"/>
  </w:num>
  <w:num w:numId="33" w16cid:durableId="1626501352">
    <w:abstractNumId w:val="11"/>
  </w:num>
  <w:num w:numId="34" w16cid:durableId="1558012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290C"/>
    <w:rsid w:val="00012DCC"/>
    <w:rsid w:val="000171DB"/>
    <w:rsid w:val="00023415"/>
    <w:rsid w:val="00023D9A"/>
    <w:rsid w:val="0002490E"/>
    <w:rsid w:val="00031F0C"/>
    <w:rsid w:val="0003687B"/>
    <w:rsid w:val="00037538"/>
    <w:rsid w:val="00041531"/>
    <w:rsid w:val="00043D75"/>
    <w:rsid w:val="00052350"/>
    <w:rsid w:val="00054813"/>
    <w:rsid w:val="00057000"/>
    <w:rsid w:val="00063510"/>
    <w:rsid w:val="000640E0"/>
    <w:rsid w:val="00064226"/>
    <w:rsid w:val="00066E33"/>
    <w:rsid w:val="000825C5"/>
    <w:rsid w:val="00083C7D"/>
    <w:rsid w:val="00084DDE"/>
    <w:rsid w:val="000852C9"/>
    <w:rsid w:val="000935D4"/>
    <w:rsid w:val="00097ED0"/>
    <w:rsid w:val="000A13F9"/>
    <w:rsid w:val="000A5746"/>
    <w:rsid w:val="000A5CA2"/>
    <w:rsid w:val="000B25B1"/>
    <w:rsid w:val="000B4523"/>
    <w:rsid w:val="000B5476"/>
    <w:rsid w:val="000C3DDD"/>
    <w:rsid w:val="000C46EE"/>
    <w:rsid w:val="000D17F8"/>
    <w:rsid w:val="000D37B9"/>
    <w:rsid w:val="000D3CAF"/>
    <w:rsid w:val="000D4416"/>
    <w:rsid w:val="000E363B"/>
    <w:rsid w:val="000E7EB6"/>
    <w:rsid w:val="000F44C6"/>
    <w:rsid w:val="00104F97"/>
    <w:rsid w:val="00104FB4"/>
    <w:rsid w:val="001134FB"/>
    <w:rsid w:val="00115088"/>
    <w:rsid w:val="00115389"/>
    <w:rsid w:val="00122352"/>
    <w:rsid w:val="001227F3"/>
    <w:rsid w:val="001251DA"/>
    <w:rsid w:val="00125432"/>
    <w:rsid w:val="00137F40"/>
    <w:rsid w:val="00146550"/>
    <w:rsid w:val="001607E1"/>
    <w:rsid w:val="001616ED"/>
    <w:rsid w:val="00164278"/>
    <w:rsid w:val="00165942"/>
    <w:rsid w:val="00167F09"/>
    <w:rsid w:val="0017101A"/>
    <w:rsid w:val="0017240B"/>
    <w:rsid w:val="00186BA9"/>
    <w:rsid w:val="001871EC"/>
    <w:rsid w:val="001874A2"/>
    <w:rsid w:val="00187EF9"/>
    <w:rsid w:val="001A4AAE"/>
    <w:rsid w:val="001A4B91"/>
    <w:rsid w:val="001A6336"/>
    <w:rsid w:val="001A670F"/>
    <w:rsid w:val="001B0B52"/>
    <w:rsid w:val="001B181C"/>
    <w:rsid w:val="001B22E1"/>
    <w:rsid w:val="001B2CCA"/>
    <w:rsid w:val="001B523A"/>
    <w:rsid w:val="001B65AF"/>
    <w:rsid w:val="001C08C0"/>
    <w:rsid w:val="001C3FE2"/>
    <w:rsid w:val="001C57CD"/>
    <w:rsid w:val="001C62B8"/>
    <w:rsid w:val="001C7F04"/>
    <w:rsid w:val="001D5BDA"/>
    <w:rsid w:val="001E4C71"/>
    <w:rsid w:val="001E51B7"/>
    <w:rsid w:val="001E7B0E"/>
    <w:rsid w:val="001F141D"/>
    <w:rsid w:val="001F216C"/>
    <w:rsid w:val="001F3F03"/>
    <w:rsid w:val="001F48AB"/>
    <w:rsid w:val="00200A06"/>
    <w:rsid w:val="002041BF"/>
    <w:rsid w:val="00206269"/>
    <w:rsid w:val="00222F45"/>
    <w:rsid w:val="00224652"/>
    <w:rsid w:val="00225175"/>
    <w:rsid w:val="0022560A"/>
    <w:rsid w:val="00231B78"/>
    <w:rsid w:val="00231DC5"/>
    <w:rsid w:val="00241832"/>
    <w:rsid w:val="00242269"/>
    <w:rsid w:val="0025109D"/>
    <w:rsid w:val="002522BF"/>
    <w:rsid w:val="002534C9"/>
    <w:rsid w:val="00253DBE"/>
    <w:rsid w:val="002622FA"/>
    <w:rsid w:val="00263518"/>
    <w:rsid w:val="0026615B"/>
    <w:rsid w:val="002673C8"/>
    <w:rsid w:val="00270D09"/>
    <w:rsid w:val="002748F6"/>
    <w:rsid w:val="002759E7"/>
    <w:rsid w:val="00275ED1"/>
    <w:rsid w:val="00277326"/>
    <w:rsid w:val="00280BF2"/>
    <w:rsid w:val="00285D7C"/>
    <w:rsid w:val="00287D36"/>
    <w:rsid w:val="0029054F"/>
    <w:rsid w:val="00295655"/>
    <w:rsid w:val="002A1567"/>
    <w:rsid w:val="002A2C21"/>
    <w:rsid w:val="002A49E0"/>
    <w:rsid w:val="002A4E71"/>
    <w:rsid w:val="002B31AF"/>
    <w:rsid w:val="002B5064"/>
    <w:rsid w:val="002B6DB2"/>
    <w:rsid w:val="002C015C"/>
    <w:rsid w:val="002C0CD5"/>
    <w:rsid w:val="002C26C0"/>
    <w:rsid w:val="002C2BC5"/>
    <w:rsid w:val="002C3D24"/>
    <w:rsid w:val="002E2053"/>
    <w:rsid w:val="002E78B8"/>
    <w:rsid w:val="002E79CB"/>
    <w:rsid w:val="002F103F"/>
    <w:rsid w:val="002F1CFE"/>
    <w:rsid w:val="002F53FD"/>
    <w:rsid w:val="002F68F7"/>
    <w:rsid w:val="002F7F55"/>
    <w:rsid w:val="00303722"/>
    <w:rsid w:val="0030745F"/>
    <w:rsid w:val="003111B2"/>
    <w:rsid w:val="00312A8B"/>
    <w:rsid w:val="00314630"/>
    <w:rsid w:val="0032090A"/>
    <w:rsid w:val="00321CDE"/>
    <w:rsid w:val="003221B6"/>
    <w:rsid w:val="00326FEE"/>
    <w:rsid w:val="00330528"/>
    <w:rsid w:val="00333E15"/>
    <w:rsid w:val="00336046"/>
    <w:rsid w:val="00342422"/>
    <w:rsid w:val="00345FDC"/>
    <w:rsid w:val="00350298"/>
    <w:rsid w:val="00350492"/>
    <w:rsid w:val="0035343D"/>
    <w:rsid w:val="00355BC3"/>
    <w:rsid w:val="0036053D"/>
    <w:rsid w:val="0036348F"/>
    <w:rsid w:val="00371F32"/>
    <w:rsid w:val="0037422B"/>
    <w:rsid w:val="00380BBA"/>
    <w:rsid w:val="0038715D"/>
    <w:rsid w:val="0039139D"/>
    <w:rsid w:val="00394DBF"/>
    <w:rsid w:val="003957A6"/>
    <w:rsid w:val="00395C05"/>
    <w:rsid w:val="003A14B5"/>
    <w:rsid w:val="003A403A"/>
    <w:rsid w:val="003A43EF"/>
    <w:rsid w:val="003A5982"/>
    <w:rsid w:val="003A6CA8"/>
    <w:rsid w:val="003B4A85"/>
    <w:rsid w:val="003C1467"/>
    <w:rsid w:val="003C7445"/>
    <w:rsid w:val="003C7716"/>
    <w:rsid w:val="003D2CC8"/>
    <w:rsid w:val="003D66B7"/>
    <w:rsid w:val="003E457F"/>
    <w:rsid w:val="003E45ED"/>
    <w:rsid w:val="003E53D9"/>
    <w:rsid w:val="003E6B47"/>
    <w:rsid w:val="003E7C5C"/>
    <w:rsid w:val="003F1DF4"/>
    <w:rsid w:val="003F2BED"/>
    <w:rsid w:val="003F3EE6"/>
    <w:rsid w:val="00403596"/>
    <w:rsid w:val="00404998"/>
    <w:rsid w:val="00411153"/>
    <w:rsid w:val="00417BFD"/>
    <w:rsid w:val="00421821"/>
    <w:rsid w:val="004255FA"/>
    <w:rsid w:val="00427F6A"/>
    <w:rsid w:val="00431CAA"/>
    <w:rsid w:val="00431D04"/>
    <w:rsid w:val="00432D19"/>
    <w:rsid w:val="00433D63"/>
    <w:rsid w:val="004367CF"/>
    <w:rsid w:val="00436E51"/>
    <w:rsid w:val="00443878"/>
    <w:rsid w:val="00444FB7"/>
    <w:rsid w:val="0044609F"/>
    <w:rsid w:val="004529C1"/>
    <w:rsid w:val="004539A8"/>
    <w:rsid w:val="00457223"/>
    <w:rsid w:val="00462C33"/>
    <w:rsid w:val="0046634B"/>
    <w:rsid w:val="004712CA"/>
    <w:rsid w:val="0047422E"/>
    <w:rsid w:val="004759F0"/>
    <w:rsid w:val="00476515"/>
    <w:rsid w:val="00483FB4"/>
    <w:rsid w:val="00491B69"/>
    <w:rsid w:val="0049674B"/>
    <w:rsid w:val="004A409C"/>
    <w:rsid w:val="004C0673"/>
    <w:rsid w:val="004C25AE"/>
    <w:rsid w:val="004C2C9B"/>
    <w:rsid w:val="004C375F"/>
    <w:rsid w:val="004C4E4E"/>
    <w:rsid w:val="004C5B68"/>
    <w:rsid w:val="004C5BFA"/>
    <w:rsid w:val="004C6F31"/>
    <w:rsid w:val="004D6DCC"/>
    <w:rsid w:val="004D72D7"/>
    <w:rsid w:val="004E41E9"/>
    <w:rsid w:val="004F1D7D"/>
    <w:rsid w:val="004F3816"/>
    <w:rsid w:val="004F43FC"/>
    <w:rsid w:val="004F551E"/>
    <w:rsid w:val="004F6151"/>
    <w:rsid w:val="004F64CB"/>
    <w:rsid w:val="00501E6B"/>
    <w:rsid w:val="00513F66"/>
    <w:rsid w:val="00514175"/>
    <w:rsid w:val="00514DD3"/>
    <w:rsid w:val="005155ED"/>
    <w:rsid w:val="005248F3"/>
    <w:rsid w:val="00535DC5"/>
    <w:rsid w:val="00540261"/>
    <w:rsid w:val="00540929"/>
    <w:rsid w:val="00540FCB"/>
    <w:rsid w:val="00543D41"/>
    <w:rsid w:val="005451A0"/>
    <w:rsid w:val="00550196"/>
    <w:rsid w:val="00552142"/>
    <w:rsid w:val="00552A29"/>
    <w:rsid w:val="0055782F"/>
    <w:rsid w:val="005669D3"/>
    <w:rsid w:val="00566EDA"/>
    <w:rsid w:val="00567F52"/>
    <w:rsid w:val="00572654"/>
    <w:rsid w:val="00577559"/>
    <w:rsid w:val="005802E9"/>
    <w:rsid w:val="0058050B"/>
    <w:rsid w:val="0058234B"/>
    <w:rsid w:val="00583CED"/>
    <w:rsid w:val="00584467"/>
    <w:rsid w:val="005946A8"/>
    <w:rsid w:val="005A130B"/>
    <w:rsid w:val="005A64A7"/>
    <w:rsid w:val="005B3023"/>
    <w:rsid w:val="005B5629"/>
    <w:rsid w:val="005B79FB"/>
    <w:rsid w:val="005C0300"/>
    <w:rsid w:val="005C4F27"/>
    <w:rsid w:val="005C6F97"/>
    <w:rsid w:val="005D6893"/>
    <w:rsid w:val="005D7406"/>
    <w:rsid w:val="005E319D"/>
    <w:rsid w:val="005F4B6A"/>
    <w:rsid w:val="005F5839"/>
    <w:rsid w:val="005F5A61"/>
    <w:rsid w:val="006003CD"/>
    <w:rsid w:val="006010F3"/>
    <w:rsid w:val="00604127"/>
    <w:rsid w:val="0061189C"/>
    <w:rsid w:val="00615A0A"/>
    <w:rsid w:val="006243D6"/>
    <w:rsid w:val="00625A88"/>
    <w:rsid w:val="00625B98"/>
    <w:rsid w:val="0062608B"/>
    <w:rsid w:val="00630582"/>
    <w:rsid w:val="00631065"/>
    <w:rsid w:val="0063274D"/>
    <w:rsid w:val="006333D4"/>
    <w:rsid w:val="006369B2"/>
    <w:rsid w:val="00640B54"/>
    <w:rsid w:val="00642D16"/>
    <w:rsid w:val="00645AE4"/>
    <w:rsid w:val="00647525"/>
    <w:rsid w:val="00651060"/>
    <w:rsid w:val="006570B0"/>
    <w:rsid w:val="0066116F"/>
    <w:rsid w:val="006633CE"/>
    <w:rsid w:val="00670B9D"/>
    <w:rsid w:val="00680258"/>
    <w:rsid w:val="006859A5"/>
    <w:rsid w:val="0069180E"/>
    <w:rsid w:val="00691C94"/>
    <w:rsid w:val="0069210B"/>
    <w:rsid w:val="006932AE"/>
    <w:rsid w:val="0069401D"/>
    <w:rsid w:val="006A1DC6"/>
    <w:rsid w:val="006A280D"/>
    <w:rsid w:val="006A4055"/>
    <w:rsid w:val="006A7457"/>
    <w:rsid w:val="006A76D4"/>
    <w:rsid w:val="006B3050"/>
    <w:rsid w:val="006C0CF3"/>
    <w:rsid w:val="006C270E"/>
    <w:rsid w:val="006C34D2"/>
    <w:rsid w:val="006C5641"/>
    <w:rsid w:val="006C779D"/>
    <w:rsid w:val="006D1089"/>
    <w:rsid w:val="006D1B86"/>
    <w:rsid w:val="006D34C8"/>
    <w:rsid w:val="006D71F6"/>
    <w:rsid w:val="006D7355"/>
    <w:rsid w:val="006D78DC"/>
    <w:rsid w:val="006F2ACE"/>
    <w:rsid w:val="006F4361"/>
    <w:rsid w:val="006F4561"/>
    <w:rsid w:val="006F7880"/>
    <w:rsid w:val="0070065E"/>
    <w:rsid w:val="007103A6"/>
    <w:rsid w:val="00715B22"/>
    <w:rsid w:val="00715CA6"/>
    <w:rsid w:val="007174D2"/>
    <w:rsid w:val="00721677"/>
    <w:rsid w:val="00721E6C"/>
    <w:rsid w:val="00722263"/>
    <w:rsid w:val="007263DF"/>
    <w:rsid w:val="00731135"/>
    <w:rsid w:val="00731557"/>
    <w:rsid w:val="00732434"/>
    <w:rsid w:val="007324AF"/>
    <w:rsid w:val="00737D0B"/>
    <w:rsid w:val="007409B4"/>
    <w:rsid w:val="00741974"/>
    <w:rsid w:val="0074202A"/>
    <w:rsid w:val="007434FD"/>
    <w:rsid w:val="007437EE"/>
    <w:rsid w:val="00750F6F"/>
    <w:rsid w:val="00753A79"/>
    <w:rsid w:val="0075525E"/>
    <w:rsid w:val="00756D3D"/>
    <w:rsid w:val="00761DF0"/>
    <w:rsid w:val="00762580"/>
    <w:rsid w:val="007666FA"/>
    <w:rsid w:val="007745D0"/>
    <w:rsid w:val="00780370"/>
    <w:rsid w:val="007806C2"/>
    <w:rsid w:val="00782839"/>
    <w:rsid w:val="00784641"/>
    <w:rsid w:val="007903F8"/>
    <w:rsid w:val="00794F4F"/>
    <w:rsid w:val="007974BE"/>
    <w:rsid w:val="007A090F"/>
    <w:rsid w:val="007A0916"/>
    <w:rsid w:val="007A0DFD"/>
    <w:rsid w:val="007A59C4"/>
    <w:rsid w:val="007A6474"/>
    <w:rsid w:val="007A75B6"/>
    <w:rsid w:val="007B3E7B"/>
    <w:rsid w:val="007C0AC9"/>
    <w:rsid w:val="007C7122"/>
    <w:rsid w:val="007D1984"/>
    <w:rsid w:val="007D2F5B"/>
    <w:rsid w:val="007D3F11"/>
    <w:rsid w:val="007D6BA3"/>
    <w:rsid w:val="007E0771"/>
    <w:rsid w:val="007E4A20"/>
    <w:rsid w:val="007E53E4"/>
    <w:rsid w:val="007E656A"/>
    <w:rsid w:val="007F664D"/>
    <w:rsid w:val="007F7B66"/>
    <w:rsid w:val="00807C64"/>
    <w:rsid w:val="0081064E"/>
    <w:rsid w:val="008128CE"/>
    <w:rsid w:val="008132CC"/>
    <w:rsid w:val="008135E0"/>
    <w:rsid w:val="0081530E"/>
    <w:rsid w:val="00821FBA"/>
    <w:rsid w:val="0082620B"/>
    <w:rsid w:val="00826A38"/>
    <w:rsid w:val="008354B4"/>
    <w:rsid w:val="00841217"/>
    <w:rsid w:val="00842137"/>
    <w:rsid w:val="008524DE"/>
    <w:rsid w:val="00855D14"/>
    <w:rsid w:val="0085771E"/>
    <w:rsid w:val="00865924"/>
    <w:rsid w:val="00872147"/>
    <w:rsid w:val="00886867"/>
    <w:rsid w:val="00887ED8"/>
    <w:rsid w:val="00890170"/>
    <w:rsid w:val="0089088E"/>
    <w:rsid w:val="00892297"/>
    <w:rsid w:val="00893996"/>
    <w:rsid w:val="00897DC4"/>
    <w:rsid w:val="008A4BF5"/>
    <w:rsid w:val="008A66B7"/>
    <w:rsid w:val="008A69DD"/>
    <w:rsid w:val="008A7183"/>
    <w:rsid w:val="008B25CB"/>
    <w:rsid w:val="008B3622"/>
    <w:rsid w:val="008B6871"/>
    <w:rsid w:val="008B6F4A"/>
    <w:rsid w:val="008C0554"/>
    <w:rsid w:val="008C730E"/>
    <w:rsid w:val="008D0C7E"/>
    <w:rsid w:val="008D7467"/>
    <w:rsid w:val="008E0172"/>
    <w:rsid w:val="008E084F"/>
    <w:rsid w:val="008E370F"/>
    <w:rsid w:val="008E5713"/>
    <w:rsid w:val="008F0642"/>
    <w:rsid w:val="008F5A28"/>
    <w:rsid w:val="00901338"/>
    <w:rsid w:val="0090465F"/>
    <w:rsid w:val="00905E38"/>
    <w:rsid w:val="00911FB2"/>
    <w:rsid w:val="00912C9C"/>
    <w:rsid w:val="00914912"/>
    <w:rsid w:val="00922907"/>
    <w:rsid w:val="0092513F"/>
    <w:rsid w:val="00925F56"/>
    <w:rsid w:val="00932AB7"/>
    <w:rsid w:val="009343E8"/>
    <w:rsid w:val="00934405"/>
    <w:rsid w:val="00934B49"/>
    <w:rsid w:val="00934C5D"/>
    <w:rsid w:val="009354CA"/>
    <w:rsid w:val="009406B5"/>
    <w:rsid w:val="00943FFC"/>
    <w:rsid w:val="009441E2"/>
    <w:rsid w:val="00946166"/>
    <w:rsid w:val="00947A28"/>
    <w:rsid w:val="0095099F"/>
    <w:rsid w:val="00952A94"/>
    <w:rsid w:val="0095429C"/>
    <w:rsid w:val="009544DA"/>
    <w:rsid w:val="00956947"/>
    <w:rsid w:val="00957F80"/>
    <w:rsid w:val="00966A49"/>
    <w:rsid w:val="00967543"/>
    <w:rsid w:val="00967C88"/>
    <w:rsid w:val="00975F3B"/>
    <w:rsid w:val="00982BFE"/>
    <w:rsid w:val="00983164"/>
    <w:rsid w:val="009845B5"/>
    <w:rsid w:val="0098742D"/>
    <w:rsid w:val="009914C2"/>
    <w:rsid w:val="009972EF"/>
    <w:rsid w:val="009A22E5"/>
    <w:rsid w:val="009B75B3"/>
    <w:rsid w:val="009C1DD8"/>
    <w:rsid w:val="009C3160"/>
    <w:rsid w:val="009C5ACE"/>
    <w:rsid w:val="009C7A75"/>
    <w:rsid w:val="009D0CC4"/>
    <w:rsid w:val="009D4522"/>
    <w:rsid w:val="009D6156"/>
    <w:rsid w:val="009E1403"/>
    <w:rsid w:val="009E766E"/>
    <w:rsid w:val="009F1960"/>
    <w:rsid w:val="009F42B3"/>
    <w:rsid w:val="009F715E"/>
    <w:rsid w:val="00A03B48"/>
    <w:rsid w:val="00A10DBB"/>
    <w:rsid w:val="00A16253"/>
    <w:rsid w:val="00A213DB"/>
    <w:rsid w:val="00A304DD"/>
    <w:rsid w:val="00A31D47"/>
    <w:rsid w:val="00A37D7F"/>
    <w:rsid w:val="00A4013E"/>
    <w:rsid w:val="00A4045F"/>
    <w:rsid w:val="00A406F1"/>
    <w:rsid w:val="00A427CD"/>
    <w:rsid w:val="00A4562C"/>
    <w:rsid w:val="00A4600B"/>
    <w:rsid w:val="00A50506"/>
    <w:rsid w:val="00A51EF0"/>
    <w:rsid w:val="00A606DC"/>
    <w:rsid w:val="00A61467"/>
    <w:rsid w:val="00A67A81"/>
    <w:rsid w:val="00A730A6"/>
    <w:rsid w:val="00A74DD0"/>
    <w:rsid w:val="00A75783"/>
    <w:rsid w:val="00A77EA8"/>
    <w:rsid w:val="00A82246"/>
    <w:rsid w:val="00A903E5"/>
    <w:rsid w:val="00A930A4"/>
    <w:rsid w:val="00A971A0"/>
    <w:rsid w:val="00AA1F22"/>
    <w:rsid w:val="00AA203F"/>
    <w:rsid w:val="00AB0B51"/>
    <w:rsid w:val="00AB7527"/>
    <w:rsid w:val="00AB7B0F"/>
    <w:rsid w:val="00AC1F3A"/>
    <w:rsid w:val="00AC6FE4"/>
    <w:rsid w:val="00AD70D4"/>
    <w:rsid w:val="00AE38E1"/>
    <w:rsid w:val="00AE4A9C"/>
    <w:rsid w:val="00AF0E41"/>
    <w:rsid w:val="00AF3ABB"/>
    <w:rsid w:val="00AF4ACB"/>
    <w:rsid w:val="00AF5055"/>
    <w:rsid w:val="00AF6208"/>
    <w:rsid w:val="00B009B6"/>
    <w:rsid w:val="00B01712"/>
    <w:rsid w:val="00B04325"/>
    <w:rsid w:val="00B05821"/>
    <w:rsid w:val="00B05BF7"/>
    <w:rsid w:val="00B20999"/>
    <w:rsid w:val="00B21725"/>
    <w:rsid w:val="00B223AE"/>
    <w:rsid w:val="00B26C28"/>
    <w:rsid w:val="00B363A7"/>
    <w:rsid w:val="00B370B5"/>
    <w:rsid w:val="00B37331"/>
    <w:rsid w:val="00B4174C"/>
    <w:rsid w:val="00B434C3"/>
    <w:rsid w:val="00B4461C"/>
    <w:rsid w:val="00B453F5"/>
    <w:rsid w:val="00B47142"/>
    <w:rsid w:val="00B52517"/>
    <w:rsid w:val="00B532A3"/>
    <w:rsid w:val="00B545AD"/>
    <w:rsid w:val="00B56FD7"/>
    <w:rsid w:val="00B57342"/>
    <w:rsid w:val="00B604AF"/>
    <w:rsid w:val="00B60539"/>
    <w:rsid w:val="00B61624"/>
    <w:rsid w:val="00B61B1A"/>
    <w:rsid w:val="00B62733"/>
    <w:rsid w:val="00B676D0"/>
    <w:rsid w:val="00B71698"/>
    <w:rsid w:val="00B718A5"/>
    <w:rsid w:val="00B73CF5"/>
    <w:rsid w:val="00B74CB1"/>
    <w:rsid w:val="00B750EA"/>
    <w:rsid w:val="00B769A8"/>
    <w:rsid w:val="00B8261A"/>
    <w:rsid w:val="00B86D85"/>
    <w:rsid w:val="00BA05D9"/>
    <w:rsid w:val="00BC1FAE"/>
    <w:rsid w:val="00BC53EC"/>
    <w:rsid w:val="00BC5810"/>
    <w:rsid w:val="00BC62E2"/>
    <w:rsid w:val="00BC75EC"/>
    <w:rsid w:val="00BD09FE"/>
    <w:rsid w:val="00BE36F8"/>
    <w:rsid w:val="00BE57FC"/>
    <w:rsid w:val="00BF0E60"/>
    <w:rsid w:val="00BF2261"/>
    <w:rsid w:val="00C00149"/>
    <w:rsid w:val="00C052F9"/>
    <w:rsid w:val="00C206EB"/>
    <w:rsid w:val="00C21546"/>
    <w:rsid w:val="00C22C5F"/>
    <w:rsid w:val="00C24733"/>
    <w:rsid w:val="00C263C4"/>
    <w:rsid w:val="00C34C1C"/>
    <w:rsid w:val="00C37EB4"/>
    <w:rsid w:val="00C37FDD"/>
    <w:rsid w:val="00C41FCF"/>
    <w:rsid w:val="00C42125"/>
    <w:rsid w:val="00C42209"/>
    <w:rsid w:val="00C465E6"/>
    <w:rsid w:val="00C529F3"/>
    <w:rsid w:val="00C52EEF"/>
    <w:rsid w:val="00C61502"/>
    <w:rsid w:val="00C62814"/>
    <w:rsid w:val="00C6327C"/>
    <w:rsid w:val="00C6463D"/>
    <w:rsid w:val="00C70E32"/>
    <w:rsid w:val="00C74937"/>
    <w:rsid w:val="00C74B93"/>
    <w:rsid w:val="00C9155F"/>
    <w:rsid w:val="00C925BD"/>
    <w:rsid w:val="00CA2189"/>
    <w:rsid w:val="00CA35B9"/>
    <w:rsid w:val="00CA3DB0"/>
    <w:rsid w:val="00CB21B2"/>
    <w:rsid w:val="00CB381C"/>
    <w:rsid w:val="00CB4C66"/>
    <w:rsid w:val="00CB60A5"/>
    <w:rsid w:val="00CC0A52"/>
    <w:rsid w:val="00CC2B18"/>
    <w:rsid w:val="00CC33C4"/>
    <w:rsid w:val="00CC4403"/>
    <w:rsid w:val="00CC6298"/>
    <w:rsid w:val="00CC79A8"/>
    <w:rsid w:val="00CD132F"/>
    <w:rsid w:val="00CD4ECC"/>
    <w:rsid w:val="00CD6A8F"/>
    <w:rsid w:val="00CF34A7"/>
    <w:rsid w:val="00CF3A5C"/>
    <w:rsid w:val="00CF5AAC"/>
    <w:rsid w:val="00D0482A"/>
    <w:rsid w:val="00D14FFD"/>
    <w:rsid w:val="00D15381"/>
    <w:rsid w:val="00D165AD"/>
    <w:rsid w:val="00D212B8"/>
    <w:rsid w:val="00D34F75"/>
    <w:rsid w:val="00D42B75"/>
    <w:rsid w:val="00D44EEB"/>
    <w:rsid w:val="00D45545"/>
    <w:rsid w:val="00D4565E"/>
    <w:rsid w:val="00D53543"/>
    <w:rsid w:val="00D55168"/>
    <w:rsid w:val="00D556A1"/>
    <w:rsid w:val="00D57D7F"/>
    <w:rsid w:val="00D62B7E"/>
    <w:rsid w:val="00D6556C"/>
    <w:rsid w:val="00D71198"/>
    <w:rsid w:val="00D73137"/>
    <w:rsid w:val="00D83660"/>
    <w:rsid w:val="00D838A1"/>
    <w:rsid w:val="00D8397C"/>
    <w:rsid w:val="00D84BD5"/>
    <w:rsid w:val="00D903D6"/>
    <w:rsid w:val="00D90F94"/>
    <w:rsid w:val="00DA313C"/>
    <w:rsid w:val="00DA3DA2"/>
    <w:rsid w:val="00DA74C7"/>
    <w:rsid w:val="00DB01E4"/>
    <w:rsid w:val="00DB1307"/>
    <w:rsid w:val="00DB7049"/>
    <w:rsid w:val="00DC0323"/>
    <w:rsid w:val="00DC48DC"/>
    <w:rsid w:val="00DC6D42"/>
    <w:rsid w:val="00DC713D"/>
    <w:rsid w:val="00DD50DE"/>
    <w:rsid w:val="00DD5F9B"/>
    <w:rsid w:val="00DE1F2E"/>
    <w:rsid w:val="00DE219B"/>
    <w:rsid w:val="00DE3062"/>
    <w:rsid w:val="00DE6401"/>
    <w:rsid w:val="00DF07D2"/>
    <w:rsid w:val="00DF0EE4"/>
    <w:rsid w:val="00E015D6"/>
    <w:rsid w:val="00E01E12"/>
    <w:rsid w:val="00E060B2"/>
    <w:rsid w:val="00E0644F"/>
    <w:rsid w:val="00E067BD"/>
    <w:rsid w:val="00E07600"/>
    <w:rsid w:val="00E204DD"/>
    <w:rsid w:val="00E2145E"/>
    <w:rsid w:val="00E21731"/>
    <w:rsid w:val="00E24D43"/>
    <w:rsid w:val="00E25B7B"/>
    <w:rsid w:val="00E34E78"/>
    <w:rsid w:val="00E353EC"/>
    <w:rsid w:val="00E36C68"/>
    <w:rsid w:val="00E44C52"/>
    <w:rsid w:val="00E51CC1"/>
    <w:rsid w:val="00E53C24"/>
    <w:rsid w:val="00E625BC"/>
    <w:rsid w:val="00E73746"/>
    <w:rsid w:val="00E758E8"/>
    <w:rsid w:val="00E768F9"/>
    <w:rsid w:val="00E779BE"/>
    <w:rsid w:val="00E83850"/>
    <w:rsid w:val="00E8583A"/>
    <w:rsid w:val="00E85FD5"/>
    <w:rsid w:val="00E87030"/>
    <w:rsid w:val="00E94677"/>
    <w:rsid w:val="00E977CB"/>
    <w:rsid w:val="00EA2A69"/>
    <w:rsid w:val="00EA56D0"/>
    <w:rsid w:val="00EA56F2"/>
    <w:rsid w:val="00EA7A21"/>
    <w:rsid w:val="00EB18F7"/>
    <w:rsid w:val="00EB444A"/>
    <w:rsid w:val="00EB444D"/>
    <w:rsid w:val="00EB7CCE"/>
    <w:rsid w:val="00EC353C"/>
    <w:rsid w:val="00ED66AA"/>
    <w:rsid w:val="00EE4A27"/>
    <w:rsid w:val="00EF1E38"/>
    <w:rsid w:val="00F02281"/>
    <w:rsid w:val="00F02294"/>
    <w:rsid w:val="00F03973"/>
    <w:rsid w:val="00F05033"/>
    <w:rsid w:val="00F06B6B"/>
    <w:rsid w:val="00F07CF3"/>
    <w:rsid w:val="00F07F63"/>
    <w:rsid w:val="00F12537"/>
    <w:rsid w:val="00F21A07"/>
    <w:rsid w:val="00F247DC"/>
    <w:rsid w:val="00F24C7B"/>
    <w:rsid w:val="00F25254"/>
    <w:rsid w:val="00F26F3B"/>
    <w:rsid w:val="00F27D78"/>
    <w:rsid w:val="00F35F57"/>
    <w:rsid w:val="00F403F5"/>
    <w:rsid w:val="00F47EE9"/>
    <w:rsid w:val="00F5014A"/>
    <w:rsid w:val="00F503E6"/>
    <w:rsid w:val="00F50467"/>
    <w:rsid w:val="00F562A0"/>
    <w:rsid w:val="00F6634E"/>
    <w:rsid w:val="00F7052E"/>
    <w:rsid w:val="00F71096"/>
    <w:rsid w:val="00F7747F"/>
    <w:rsid w:val="00F82BFE"/>
    <w:rsid w:val="00F87495"/>
    <w:rsid w:val="00F8791A"/>
    <w:rsid w:val="00FA065B"/>
    <w:rsid w:val="00FA1051"/>
    <w:rsid w:val="00FA2177"/>
    <w:rsid w:val="00FA2E6D"/>
    <w:rsid w:val="00FB0A28"/>
    <w:rsid w:val="00FB6F19"/>
    <w:rsid w:val="00FC33A5"/>
    <w:rsid w:val="00FC3E3F"/>
    <w:rsid w:val="00FD01DA"/>
    <w:rsid w:val="00FD041F"/>
    <w:rsid w:val="00FD17C1"/>
    <w:rsid w:val="00FD2A55"/>
    <w:rsid w:val="00FD35D4"/>
    <w:rsid w:val="00FD439E"/>
    <w:rsid w:val="00FD577C"/>
    <w:rsid w:val="00FD76CB"/>
    <w:rsid w:val="00FE0BF5"/>
    <w:rsid w:val="00FE18B4"/>
    <w:rsid w:val="00FE191C"/>
    <w:rsid w:val="00FE29C6"/>
    <w:rsid w:val="00FE4A72"/>
    <w:rsid w:val="00FE6E92"/>
    <w:rsid w:val="00FF1B45"/>
    <w:rsid w:val="00FF4546"/>
    <w:rsid w:val="00FF494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5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F103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2F103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2F103F"/>
  </w:style>
  <w:style w:type="character" w:customStyle="1" w:styleId="viiyi">
    <w:name w:val="viiyi"/>
    <w:basedOn w:val="DefaultParagraphFont"/>
    <w:rsid w:val="002F103F"/>
  </w:style>
  <w:style w:type="paragraph" w:customStyle="1" w:styleId="xmsonormal">
    <w:name w:val="x_msonormal"/>
    <w:basedOn w:val="Normal"/>
    <w:rsid w:val="001B0B52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f01">
    <w:name w:val="cf01"/>
    <w:basedOn w:val="DefaultParagraphFont"/>
    <w:rsid w:val="006003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uce.gracie@ericsson.com" TargetMode="External"/><Relationship Id="rId18" Type="http://schemas.openxmlformats.org/officeDocument/2006/relationships/hyperlink" Target="https://www.itu.int/md/T22-TSAG-R-0004/en" TargetMode="External"/><Relationship Id="rId26" Type="http://schemas.openxmlformats.org/officeDocument/2006/relationships/hyperlink" Target="https://www.itu.int/en/council/Documents/basic-texts-2023/RES-071-E.pdf" TargetMode="External"/><Relationship Id="rId39" Type="http://schemas.openxmlformats.org/officeDocument/2006/relationships/hyperlink" Target="http://www.itu.int/md/meetingdoc.asp?lang=en&amp;parent=T22-TSAG-240729-TD-GEN-0552" TargetMode="External"/><Relationship Id="rId21" Type="http://schemas.openxmlformats.org/officeDocument/2006/relationships/hyperlink" Target="https://www.itu.int/md/T22-TSAG-240729-TD-GEN-0667/en" TargetMode="External"/><Relationship Id="rId34" Type="http://schemas.openxmlformats.org/officeDocument/2006/relationships/hyperlink" Target="https://www.itu.int/md/meetingdoc.asp?lang=en&amp;parent=T22-TSAG-240729-TD-GEN-0665" TargetMode="External"/><Relationship Id="rId42" Type="http://schemas.openxmlformats.org/officeDocument/2006/relationships/hyperlink" Target="http://www.itu.int/md/meetingdoc.asp?lang=en&amp;parent=T22-TSAG-240729-TD-GEN-0526" TargetMode="External"/><Relationship Id="rId47" Type="http://schemas.openxmlformats.org/officeDocument/2006/relationships/hyperlink" Target="http://www.itu.int/md/meetingdoc.asp?lang=en&amp;parent=T22-TSAG-240729-TD-GEN-0552" TargetMode="External"/><Relationship Id="rId50" Type="http://schemas.openxmlformats.org/officeDocument/2006/relationships/hyperlink" Target="https://www.itu.int/md/T22-TSAG-240729-TD-GEN-0667/en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kaoru.mizuno@itu.int" TargetMode="External"/><Relationship Id="rId29" Type="http://schemas.openxmlformats.org/officeDocument/2006/relationships/hyperlink" Target="http://www.itu.int/md/meetingdoc.asp?lang=en&amp;parent=T22-TSAG-C-0103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40729-TD-GEN-0624/en" TargetMode="External"/><Relationship Id="rId32" Type="http://schemas.openxmlformats.org/officeDocument/2006/relationships/hyperlink" Target="https://www.itu.int/md/meetingdoc.asp?lang=en&amp;parent=T22-TSAG-240729-TD-GEN-0665" TargetMode="External"/><Relationship Id="rId37" Type="http://schemas.openxmlformats.org/officeDocument/2006/relationships/hyperlink" Target="https://www.itu.int/md/T22-TSAG-240729-TD-GEN-0625/en" TargetMode="External"/><Relationship Id="rId40" Type="http://schemas.openxmlformats.org/officeDocument/2006/relationships/hyperlink" Target="http://www.itu.int/md/meetingdoc.asp?lang=en&amp;parent=T22-TSAG-240729-TD-GEN-0515" TargetMode="External"/><Relationship Id="rId45" Type="http://schemas.openxmlformats.org/officeDocument/2006/relationships/hyperlink" Target="https://www.itu.int/md/T22-TSAG-240729-TD-GEN-0625/en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40729-TD-GEN-0526" TargetMode="External"/><Relationship Id="rId31" Type="http://schemas.openxmlformats.org/officeDocument/2006/relationships/hyperlink" Target="http://www.itu.int/md/meetingdoc.asp?lang=en&amp;parent=T22-TSAG-C-0103" TargetMode="External"/><Relationship Id="rId44" Type="http://schemas.openxmlformats.org/officeDocument/2006/relationships/hyperlink" Target="https://www.itu.int/md/T22-TSAG-240729-TD-GEN-0497/en" TargetMode="External"/><Relationship Id="rId52" Type="http://schemas.openxmlformats.org/officeDocument/2006/relationships/hyperlink" Target="https://www.itu.int/md/meetingdoc.asp?lang=en&amp;parent=T22-TSAG-240729-TD-GEN-067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ian.dao@zte.com.cn" TargetMode="External"/><Relationship Id="rId22" Type="http://schemas.openxmlformats.org/officeDocument/2006/relationships/hyperlink" Target="https://www.itu.int/md/T22-TSAG-240729-TD-GEN-0667/en" TargetMode="External"/><Relationship Id="rId27" Type="http://schemas.openxmlformats.org/officeDocument/2006/relationships/hyperlink" Target="https://www.itu.int/md/S24-CL-C-0059/en" TargetMode="External"/><Relationship Id="rId30" Type="http://schemas.openxmlformats.org/officeDocument/2006/relationships/hyperlink" Target="http://www.itu.int/md/meetingdoc.asp?lang=en&amp;parent=T22-TSAG-C-0103" TargetMode="External"/><Relationship Id="rId35" Type="http://schemas.openxmlformats.org/officeDocument/2006/relationships/hyperlink" Target="https://www.itu.int/md/T22-TSAG-240729-TD-GEN-0497/en" TargetMode="External"/><Relationship Id="rId43" Type="http://schemas.openxmlformats.org/officeDocument/2006/relationships/hyperlink" Target="http://www.itu.int/md/meetingdoc.asp?lang=en&amp;parent=T22-TSAG-240729-TD-GEN-0515" TargetMode="External"/><Relationship Id="rId48" Type="http://schemas.openxmlformats.org/officeDocument/2006/relationships/hyperlink" Target="http://www.itu.int/md/meetingdoc.asp?lang=en&amp;parent=T22-TSAG-C-010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40729-TD-GEN-0624/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victor.martinezv@ift.org.mx" TargetMode="External"/><Relationship Id="rId17" Type="http://schemas.openxmlformats.org/officeDocument/2006/relationships/hyperlink" Target="http://www.itu.int/md/meetingdoc.asp?lang=en&amp;parent=T22-TSAG-240729-TD-GEN-0514" TargetMode="External"/><Relationship Id="rId25" Type="http://schemas.openxmlformats.org/officeDocument/2006/relationships/hyperlink" Target="https://www.itu.int/md/meetingdoc.asp?lang=en&amp;parent=T22-TSAG-240729-TD-GEN-0672" TargetMode="External"/><Relationship Id="rId33" Type="http://schemas.openxmlformats.org/officeDocument/2006/relationships/hyperlink" Target="https://www.itu.int/md/S24-CL-C-0139/en" TargetMode="External"/><Relationship Id="rId38" Type="http://schemas.openxmlformats.org/officeDocument/2006/relationships/hyperlink" Target="https://www.itu.int/md/T22-TSAG-240729-TD-GEN-0625/en" TargetMode="External"/><Relationship Id="rId46" Type="http://schemas.openxmlformats.org/officeDocument/2006/relationships/hyperlink" Target="http://www.itu.int/md/meetingdoc.asp?lang=en&amp;parent=T22-TSAG-240729-TD-GEN-0599" TargetMode="External"/><Relationship Id="rId20" Type="http://schemas.openxmlformats.org/officeDocument/2006/relationships/hyperlink" Target="http://www.itu.int/md/meetingdoc.asp?lang=en&amp;parent=T22-TSAG-240729-TD-GEN-0599" TargetMode="External"/><Relationship Id="rId41" Type="http://schemas.openxmlformats.org/officeDocument/2006/relationships/hyperlink" Target="http://www.itu.int/md/meetingdoc.asp?lang=en&amp;parent=T22-TSAG-240729-TD-GEN-051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hugues.depoisier@itu.int" TargetMode="External"/><Relationship Id="rId23" Type="http://schemas.openxmlformats.org/officeDocument/2006/relationships/hyperlink" Target="https://www.itu.int/md/T22-TSAG-240729-TD-GEN-0624/en" TargetMode="External"/><Relationship Id="rId28" Type="http://schemas.openxmlformats.org/officeDocument/2006/relationships/hyperlink" Target="https://www.itu.int/md/meetingdoc.asp?lang=en&amp;parent=T22-TSAG-240729-TD-GEN-0672" TargetMode="External"/><Relationship Id="rId36" Type="http://schemas.openxmlformats.org/officeDocument/2006/relationships/hyperlink" Target="https://www.itu.int/md/T22-TSAG-240729-TD-GEN-0497/en" TargetMode="External"/><Relationship Id="rId49" Type="http://schemas.openxmlformats.org/officeDocument/2006/relationships/hyperlink" Target="https://www.itu.int/md/meetingdoc.asp?lang=en&amp;parent=T22-TSAG-240729-TD-GEN-0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c17408f4-2186-4ff6-bcad-def554211a7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e703674-2bcf-444b-9965-f551dbea00fe"/>
  </ds:schemaRefs>
</ds:datastoreItem>
</file>

<file path=customXml/itemProps2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BE86F-C655-4734-98AF-B5B727CC5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2518</Words>
  <Characters>14355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of the meeting of RG-SOP (Geneva, 29 July – 2 August 2024)</vt:lpstr>
    </vt:vector>
  </TitlesOfParts>
  <Manager>ITU-T</Manager>
  <Company>International Telecommunication Union (ITU)</Company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meeting of RG-SOP (Geneva, 29 July – 2 August 2024)</dc:title>
  <dc:subject/>
  <dc:creator>Rapporteur, TSAG RG-SOP</dc:creator>
  <cp:keywords/>
  <dc:description>TSAG-TD515  For: Geneva, 29 July - 2 August 2024_x000d_Document date: _x000d_Saved by ITU51017696 at 10:47:44 AM on 8/2/2024</dc:description>
  <cp:lastModifiedBy>Al-Mnini, Lara</cp:lastModifiedBy>
  <cp:revision>2</cp:revision>
  <cp:lastPrinted>2017-02-22T09:55:00Z</cp:lastPrinted>
  <dcterms:created xsi:type="dcterms:W3CDTF">2024-08-02T08:52:00Z</dcterms:created>
  <dcterms:modified xsi:type="dcterms:W3CDTF">2024-08-02T08:52:00Z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TSAG-TD515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RG-SOP</vt:lpwstr>
  </property>
  <property fmtid="{D5CDD505-2E9C-101B-9397-08002B2CF9AE}" pid="14" name="Docdest">
    <vt:lpwstr>Geneva, 29 July - 2 August 2024</vt:lpwstr>
  </property>
  <property fmtid="{D5CDD505-2E9C-101B-9397-08002B2CF9AE}" pid="15" name="Docauthor">
    <vt:lpwstr>Rapporteur, TSAG RG-SOP</vt:lpwstr>
  </property>
</Properties>
</file>