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7E7B08" w:rsidRPr="007E7B08" w14:paraId="01E78505" w14:textId="77777777" w:rsidTr="007E7B08">
        <w:trPr>
          <w:cantSplit/>
        </w:trPr>
        <w:tc>
          <w:tcPr>
            <w:tcW w:w="1132" w:type="dxa"/>
            <w:vMerge w:val="restart"/>
            <w:vAlign w:val="center"/>
          </w:tcPr>
          <w:p w14:paraId="0ED2A122" w14:textId="77777777" w:rsidR="007E7B08" w:rsidRPr="007E7B08" w:rsidRDefault="007E7B08" w:rsidP="007E7B08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E7B08">
              <w:rPr>
                <w:noProof/>
              </w:rPr>
              <w:drawing>
                <wp:inline distT="0" distB="0" distL="0" distR="0" wp14:anchorId="036104D0" wp14:editId="3C023F42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417C3BDD" w14:textId="77777777" w:rsidR="007E7B08" w:rsidRPr="007E7B08" w:rsidRDefault="007E7B08" w:rsidP="007E7B08">
            <w:pPr>
              <w:rPr>
                <w:sz w:val="16"/>
                <w:szCs w:val="16"/>
              </w:rPr>
            </w:pPr>
            <w:r w:rsidRPr="007E7B08">
              <w:rPr>
                <w:sz w:val="16"/>
                <w:szCs w:val="16"/>
              </w:rPr>
              <w:t>INTERNATIONAL TELECOMMUNICATION UNION</w:t>
            </w:r>
          </w:p>
          <w:p w14:paraId="5611750F" w14:textId="77777777" w:rsidR="007E7B08" w:rsidRPr="007E7B08" w:rsidRDefault="007E7B08" w:rsidP="007E7B08">
            <w:pPr>
              <w:rPr>
                <w:b/>
                <w:bCs/>
                <w:sz w:val="26"/>
                <w:szCs w:val="26"/>
              </w:rPr>
            </w:pPr>
            <w:r w:rsidRPr="007E7B08">
              <w:rPr>
                <w:b/>
                <w:bCs/>
                <w:sz w:val="26"/>
                <w:szCs w:val="26"/>
              </w:rPr>
              <w:t>TELECOMMUNICATION</w:t>
            </w:r>
            <w:r w:rsidRPr="007E7B08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6C4B03D" w14:textId="77777777" w:rsidR="007E7B08" w:rsidRPr="007E7B08" w:rsidRDefault="007E7B08" w:rsidP="007E7B08">
            <w:pPr>
              <w:rPr>
                <w:sz w:val="20"/>
                <w:szCs w:val="20"/>
              </w:rPr>
            </w:pPr>
            <w:r w:rsidRPr="007E7B08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7E7B08">
              <w:rPr>
                <w:sz w:val="20"/>
              </w:rPr>
              <w:t>2022</w:t>
            </w:r>
            <w:r w:rsidRPr="007E7B08">
              <w:rPr>
                <w:sz w:val="20"/>
                <w:szCs w:val="20"/>
              </w:rPr>
              <w:t>-</w:t>
            </w:r>
            <w:r w:rsidRPr="007E7B08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72AA14A9" w14:textId="5D369F84" w:rsidR="007E7B08" w:rsidRPr="007E7B08" w:rsidRDefault="007E7B08" w:rsidP="007E7B08">
            <w:pPr>
              <w:pStyle w:val="Docnumber"/>
            </w:pPr>
            <w:r>
              <w:t>TSAG-TD537</w:t>
            </w:r>
          </w:p>
        </w:tc>
      </w:tr>
      <w:tr w:rsidR="007E7B08" w:rsidRPr="007E7B08" w14:paraId="0EF3C69A" w14:textId="77777777" w:rsidTr="007E7B08">
        <w:trPr>
          <w:cantSplit/>
        </w:trPr>
        <w:tc>
          <w:tcPr>
            <w:tcW w:w="1132" w:type="dxa"/>
            <w:vMerge/>
          </w:tcPr>
          <w:p w14:paraId="29E6BA67" w14:textId="77777777" w:rsidR="007E7B08" w:rsidRPr="007E7B08" w:rsidRDefault="007E7B08" w:rsidP="007E7B08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389D3FF" w14:textId="77777777" w:rsidR="007E7B08" w:rsidRPr="007E7B08" w:rsidRDefault="007E7B08" w:rsidP="007E7B08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29968833" w14:textId="31567797" w:rsidR="007E7B08" w:rsidRPr="007E7B08" w:rsidRDefault="007E7B08" w:rsidP="007E7B08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7E7B08" w:rsidRPr="007E7B08" w14:paraId="477E7EFC" w14:textId="77777777" w:rsidTr="007E7B08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3916ACA8" w14:textId="77777777" w:rsidR="007E7B08" w:rsidRPr="007E7B08" w:rsidRDefault="007E7B08" w:rsidP="007E7B08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35EA710A" w14:textId="77777777" w:rsidR="007E7B08" w:rsidRPr="007E7B08" w:rsidRDefault="007E7B08" w:rsidP="007E7B08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7DFF5576" w14:textId="77777777" w:rsidR="007E7B08" w:rsidRPr="007E7B08" w:rsidRDefault="007E7B08" w:rsidP="007E7B08">
            <w:pPr>
              <w:pStyle w:val="TSBHeaderRight14"/>
            </w:pPr>
            <w:r w:rsidRPr="007E7B08">
              <w:t>Original: English</w:t>
            </w:r>
          </w:p>
        </w:tc>
      </w:tr>
      <w:tr w:rsidR="007E7B08" w:rsidRPr="007E7B08" w14:paraId="41EBAB77" w14:textId="77777777" w:rsidTr="007E7B08">
        <w:trPr>
          <w:cantSplit/>
        </w:trPr>
        <w:tc>
          <w:tcPr>
            <w:tcW w:w="1587" w:type="dxa"/>
            <w:gridSpan w:val="2"/>
          </w:tcPr>
          <w:p w14:paraId="5ADA71C5" w14:textId="77777777" w:rsidR="007E7B08" w:rsidRPr="007E7B08" w:rsidRDefault="007E7B08" w:rsidP="007E7B08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7E7B08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094B85CF" w14:textId="1392659F" w:rsidR="007E7B08" w:rsidRPr="007E7B08" w:rsidRDefault="007E7B08" w:rsidP="007E7B08">
            <w:pPr>
              <w:pStyle w:val="TSBHeaderQuestion"/>
            </w:pPr>
            <w:r w:rsidRPr="007E7B08">
              <w:t>N/A</w:t>
            </w:r>
          </w:p>
        </w:tc>
        <w:tc>
          <w:tcPr>
            <w:tcW w:w="4026" w:type="dxa"/>
          </w:tcPr>
          <w:p w14:paraId="3159179D" w14:textId="72512FFE" w:rsidR="007E7B08" w:rsidRPr="007E7B08" w:rsidRDefault="007E7B08" w:rsidP="007E7B08">
            <w:pPr>
              <w:pStyle w:val="VenueDate"/>
            </w:pPr>
            <w:r w:rsidRPr="007E7B08">
              <w:t>Geneva, 29 July - 2 August 2024</w:t>
            </w:r>
          </w:p>
        </w:tc>
      </w:tr>
      <w:tr w:rsidR="007E7B08" w:rsidRPr="007E7B08" w14:paraId="5782D9B1" w14:textId="77777777" w:rsidTr="005F7827">
        <w:trPr>
          <w:cantSplit/>
        </w:trPr>
        <w:tc>
          <w:tcPr>
            <w:tcW w:w="9639" w:type="dxa"/>
            <w:gridSpan w:val="4"/>
          </w:tcPr>
          <w:p w14:paraId="091DCE5F" w14:textId="26C18233" w:rsidR="007E7B08" w:rsidRPr="007E7B08" w:rsidRDefault="007E7B08" w:rsidP="007E7B08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7E7B08">
              <w:rPr>
                <w:b/>
                <w:bCs/>
              </w:rPr>
              <w:t>TD</w:t>
            </w:r>
          </w:p>
        </w:tc>
      </w:tr>
      <w:tr w:rsidR="007E7B08" w:rsidRPr="007E7B08" w14:paraId="255626DF" w14:textId="77777777" w:rsidTr="007E7B08">
        <w:trPr>
          <w:cantSplit/>
        </w:trPr>
        <w:tc>
          <w:tcPr>
            <w:tcW w:w="1587" w:type="dxa"/>
            <w:gridSpan w:val="2"/>
          </w:tcPr>
          <w:p w14:paraId="51E64A92" w14:textId="77777777" w:rsidR="007E7B08" w:rsidRPr="007E7B08" w:rsidRDefault="007E7B08" w:rsidP="007E7B08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7E7B08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0AC792C4" w14:textId="2FAB1C0F" w:rsidR="007E7B08" w:rsidRPr="007E7B08" w:rsidRDefault="007E7B08" w:rsidP="007E7B08">
            <w:pPr>
              <w:pStyle w:val="TSBHeaderSource"/>
            </w:pPr>
            <w:r w:rsidRPr="007E7B08">
              <w:t>Chair, ITU-T SG12</w:t>
            </w:r>
          </w:p>
        </w:tc>
      </w:tr>
      <w:tr w:rsidR="007E7B08" w:rsidRPr="007E7B08" w14:paraId="633856A6" w14:textId="77777777" w:rsidTr="007E7B08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751DFF4B" w14:textId="77777777" w:rsidR="007E7B08" w:rsidRPr="007E7B08" w:rsidRDefault="007E7B08" w:rsidP="007E7B08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7E7B08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1AD7C8A0" w14:textId="52603DCB" w:rsidR="007E7B08" w:rsidRPr="007E7B08" w:rsidRDefault="007E7B08" w:rsidP="007E7B08">
            <w:pPr>
              <w:pStyle w:val="TSBHeaderTitle"/>
            </w:pPr>
            <w:r w:rsidRPr="007E7B08">
              <w:t>ITU-T SG12 Lead Study Group Report</w:t>
            </w:r>
          </w:p>
        </w:tc>
      </w:tr>
      <w:bookmarkEnd w:id="1"/>
      <w:bookmarkEnd w:id="8"/>
      <w:tr w:rsidR="007E7B08" w:rsidRPr="000A4059" w14:paraId="119BFA87" w14:textId="77777777" w:rsidTr="00D367A6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B4F6543" w14:textId="77777777" w:rsidR="007E7B08" w:rsidRPr="007E7B08" w:rsidRDefault="007E7B08" w:rsidP="00D367A6">
            <w:pPr>
              <w:rPr>
                <w:b/>
                <w:bCs/>
              </w:rPr>
            </w:pPr>
            <w:r w:rsidRPr="007E7B08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5FEC9E52" w14:textId="77777777" w:rsidR="007E7B08" w:rsidRPr="000A4059" w:rsidRDefault="000A4059" w:rsidP="00D367A6">
            <w:pPr>
              <w:rPr>
                <w:lang w:val="fr-FR"/>
              </w:rPr>
            </w:pPr>
            <w:sdt>
              <w:sdtPr>
                <w:rPr>
                  <w:lang w:val="fr-FR"/>
                </w:rPr>
                <w:alias w:val="ContactNameOrgCountry"/>
                <w:tag w:val="ContactNameOrgCountry"/>
                <w:id w:val="1923224992"/>
                <w:placeholder>
                  <w:docPart w:val="627A18D6C8EB46048737ADD19B934E5B"/>
                </w:placeholder>
                <w:text w:multiLine="1"/>
              </w:sdtPr>
              <w:sdtEndPr/>
              <w:sdtContent>
                <w:r w:rsidR="007E7B08" w:rsidRPr="000A4059">
                  <w:rPr>
                    <w:lang w:val="fr-FR"/>
                  </w:rPr>
                  <w:t>Tania Villa Trapala</w:t>
                </w:r>
                <w:r w:rsidR="007E7B08" w:rsidRPr="000A4059">
                  <w:rPr>
                    <w:lang w:val="fr-FR"/>
                  </w:rPr>
                  <w:br/>
                </w:r>
                <w:proofErr w:type="gramStart"/>
                <w:r w:rsidR="007E7B08" w:rsidRPr="000A4059">
                  <w:rPr>
                    <w:lang w:val="fr-FR"/>
                  </w:rPr>
                  <w:t>Mexico;</w:t>
                </w:r>
                <w:proofErr w:type="gramEnd"/>
                <w:r w:rsidR="007E7B08" w:rsidRPr="000A4059">
                  <w:rPr>
                    <w:lang w:val="fr-FR"/>
                  </w:rPr>
                  <w:t xml:space="preserve"> Chair ITU-T SG12</w:t>
                </w:r>
              </w:sdtContent>
            </w:sdt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138287AF" w14:textId="77777777" w:rsidR="007E7B08" w:rsidRPr="000A4059" w:rsidRDefault="007E7B08" w:rsidP="00D367A6">
            <w:pPr>
              <w:tabs>
                <w:tab w:val="left" w:pos="794"/>
              </w:tabs>
              <w:rPr>
                <w:lang w:val="de-DE"/>
              </w:rPr>
            </w:pPr>
            <w:r w:rsidRPr="000A4059">
              <w:rPr>
                <w:lang w:val="de-DE"/>
              </w:rPr>
              <w:t xml:space="preserve">Tel: </w:t>
            </w:r>
            <w:r w:rsidRPr="000A4059">
              <w:rPr>
                <w:lang w:val="de-DE"/>
              </w:rPr>
              <w:tab/>
              <w:t>+52 55 50154146</w:t>
            </w:r>
            <w:r w:rsidRPr="000A4059">
              <w:rPr>
                <w:lang w:val="de-DE"/>
              </w:rPr>
              <w:br/>
              <w:t>E-mail:</w:t>
            </w:r>
            <w:r w:rsidRPr="000A4059">
              <w:rPr>
                <w:lang w:val="de-DE"/>
              </w:rPr>
              <w:tab/>
            </w:r>
            <w:r w:rsidR="000A4059">
              <w:fldChar w:fldCharType="begin"/>
            </w:r>
            <w:r w:rsidR="000A4059" w:rsidRPr="000A4059">
              <w:rPr>
                <w:lang w:val="de-DE"/>
              </w:rPr>
              <w:instrText>HYPERLINK "mailto:tania.villa@ift.org.mx"</w:instrText>
            </w:r>
            <w:r w:rsidR="000A4059">
              <w:fldChar w:fldCharType="separate"/>
            </w:r>
            <w:r w:rsidRPr="000A4059">
              <w:rPr>
                <w:rStyle w:val="Hyperlink"/>
                <w:lang w:val="de-DE"/>
              </w:rPr>
              <w:t>tania.villa@ift.org.mx</w:t>
            </w:r>
            <w:r w:rsidR="000A4059">
              <w:rPr>
                <w:rStyle w:val="Hyperlink"/>
              </w:rPr>
              <w:fldChar w:fldCharType="end"/>
            </w:r>
          </w:p>
        </w:tc>
      </w:tr>
      <w:tr w:rsidR="001C4B91" w:rsidRPr="007E7B08" w14:paraId="44575018" w14:textId="77777777" w:rsidTr="006F079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7E7B08" w:rsidRDefault="001C4B91">
            <w:pPr>
              <w:rPr>
                <w:b/>
                <w:bCs/>
              </w:rPr>
            </w:pPr>
            <w:bookmarkStart w:id="9" w:name="dcontact"/>
            <w:bookmarkStart w:id="10" w:name="dcontact1"/>
            <w:bookmarkStart w:id="11" w:name="dcontent1" w:colFirst="1" w:colLast="1"/>
            <w:bookmarkStart w:id="12" w:name="_Hlk98768222"/>
            <w:r w:rsidRPr="007E7B08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7B3E20C9" w:rsidR="001C4B91" w:rsidRPr="007E7B08" w:rsidRDefault="000A4059">
            <w:sdt>
              <w:sdtPr>
                <w:alias w:val="ContactNameOrgCountry"/>
                <w:tag w:val="ContactNameOrgCountry"/>
                <w:id w:val="-130639986"/>
                <w:placeholder>
                  <w:docPart w:val="A62F930091BE46B3B0E2754971D8C08F"/>
                </w:placeholder>
                <w:text w:multiLine="1"/>
              </w:sdtPr>
              <w:sdtEndPr/>
              <w:sdtContent>
                <w:r w:rsidR="007E7B08" w:rsidRPr="007E7B08">
                  <w:t>Martin Adolph</w:t>
                </w:r>
                <w:r w:rsidR="00623C5B" w:rsidRPr="007E7B08">
                  <w:br/>
                </w:r>
                <w:r w:rsidR="007E7B08" w:rsidRPr="007E7B08">
                  <w:t>TSB; Counsellor ITU-T SG12</w:t>
                </w:r>
              </w:sdtContent>
            </w:sdt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60FE5C83" w:rsidR="001C4B91" w:rsidRPr="007E7B08" w:rsidRDefault="00623C5B" w:rsidP="00B86602">
            <w:pPr>
              <w:tabs>
                <w:tab w:val="left" w:pos="794"/>
              </w:tabs>
            </w:pPr>
            <w:r w:rsidRPr="007E7B08">
              <w:t>E-mail:</w:t>
            </w:r>
            <w:r w:rsidRPr="007E7B08">
              <w:tab/>
            </w:r>
            <w:hyperlink r:id="rId12" w:history="1">
              <w:r w:rsidR="00C01B01" w:rsidRPr="007208BF">
                <w:rPr>
                  <w:rStyle w:val="Hyperlink"/>
                </w:rPr>
                <w:t>martin.adolph@itu.int</w:t>
              </w:r>
            </w:hyperlink>
            <w:r w:rsidR="007E7B08" w:rsidRPr="007E7B08">
              <w:t xml:space="preserve"> </w:t>
            </w:r>
          </w:p>
        </w:tc>
      </w:tr>
      <w:bookmarkEnd w:id="9"/>
      <w:bookmarkEnd w:id="10"/>
      <w:bookmarkEnd w:id="11"/>
    </w:tbl>
    <w:p w14:paraId="001CA3C9" w14:textId="77777777" w:rsidR="00DB0706" w:rsidRPr="007E7B08" w:rsidRDefault="00DB0706" w:rsidP="007E7B08">
      <w:pPr>
        <w:spacing w:before="0"/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7E7B08" w14:paraId="101F633C" w14:textId="77777777" w:rsidTr="004646F1">
        <w:trPr>
          <w:cantSplit/>
        </w:trPr>
        <w:tc>
          <w:tcPr>
            <w:tcW w:w="1588" w:type="dxa"/>
          </w:tcPr>
          <w:p w14:paraId="65C41448" w14:textId="77777777" w:rsidR="0089088E" w:rsidRPr="007E7B08" w:rsidRDefault="0089088E" w:rsidP="005976A1">
            <w:pPr>
              <w:rPr>
                <w:b/>
                <w:bCs/>
              </w:rPr>
            </w:pPr>
            <w:r w:rsidRPr="007E7B08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2E4B0C30" w14:textId="327B217D" w:rsidR="0089088E" w:rsidRPr="007E7B08" w:rsidRDefault="00623C5B" w:rsidP="00397713">
            <w:pPr>
              <w:pStyle w:val="TSBHeaderSummary"/>
              <w:rPr>
                <w:highlight w:val="yellow"/>
              </w:rPr>
            </w:pPr>
            <w:r w:rsidRPr="007E7B08">
              <w:t>In line with WTSA Resolution 1, this report provides updates about the SG12 lead study group activities.</w:t>
            </w:r>
          </w:p>
        </w:tc>
      </w:tr>
    </w:tbl>
    <w:p w14:paraId="57961E51" w14:textId="7956DD61" w:rsidR="005E6BA6" w:rsidRPr="007E7B08" w:rsidRDefault="00405E60" w:rsidP="007648B5">
      <w:bookmarkStart w:id="13" w:name="_Hlk98415917"/>
      <w:bookmarkEnd w:id="12"/>
      <w:r w:rsidRPr="007E7B08">
        <w:t xml:space="preserve">In the reporting period, </w:t>
      </w:r>
      <w:r w:rsidR="00623C5B" w:rsidRPr="007E7B08">
        <w:t xml:space="preserve">SG12 held one study group meeting </w:t>
      </w:r>
      <w:r w:rsidR="000347E0" w:rsidRPr="007E7B08">
        <w:t>a</w:t>
      </w:r>
      <w:r w:rsidR="00623C5B" w:rsidRPr="007E7B08">
        <w:t xml:space="preserve">ttended by </w:t>
      </w:r>
      <w:r w:rsidRPr="007E7B08">
        <w:t>1</w:t>
      </w:r>
      <w:r w:rsidR="000A504A" w:rsidRPr="007E7B08">
        <w:t>60</w:t>
      </w:r>
      <w:r w:rsidR="00623C5B" w:rsidRPr="007E7B08">
        <w:t xml:space="preserve"> participants from </w:t>
      </w:r>
      <w:r w:rsidR="000A504A" w:rsidRPr="007E7B08">
        <w:t>56</w:t>
      </w:r>
      <w:r w:rsidR="00256F64" w:rsidRPr="007E7B08">
        <w:t xml:space="preserve"> </w:t>
      </w:r>
      <w:r w:rsidR="00623C5B" w:rsidRPr="007E7B08">
        <w:t>countries</w:t>
      </w:r>
      <w:r w:rsidR="003419C4" w:rsidRPr="007E7B08">
        <w:t xml:space="preserve"> in </w:t>
      </w:r>
      <w:r w:rsidR="000A504A" w:rsidRPr="007E7B08">
        <w:t>Geneva</w:t>
      </w:r>
      <w:r w:rsidR="0025078E" w:rsidRPr="007E7B08">
        <w:t xml:space="preserve"> in </w:t>
      </w:r>
      <w:r w:rsidR="000A504A" w:rsidRPr="007E7B08">
        <w:t>April</w:t>
      </w:r>
      <w:r w:rsidR="003419C4" w:rsidRPr="007E7B08">
        <w:t xml:space="preserve"> </w:t>
      </w:r>
      <w:r w:rsidR="000A504A" w:rsidRPr="007E7B08">
        <w:t>2024</w:t>
      </w:r>
      <w:r w:rsidR="005E6BA6" w:rsidRPr="007E7B08">
        <w:t xml:space="preserve"> and meetings of its two Regional Groups</w:t>
      </w:r>
      <w:r w:rsidR="007E7B08" w:rsidRPr="007E7B08">
        <w:t xml:space="preserve"> in March 2024</w:t>
      </w:r>
      <w:r w:rsidR="005E6BA6" w:rsidRPr="007E7B08">
        <w:t>.</w:t>
      </w:r>
    </w:p>
    <w:p w14:paraId="2B3B7914" w14:textId="7BE0E71A" w:rsidR="007648B5" w:rsidRPr="007E7B08" w:rsidRDefault="007E7B08" w:rsidP="007648B5">
      <w:r w:rsidRPr="007E7B08">
        <w:t>The</w:t>
      </w:r>
      <w:r w:rsidR="005E6BA6" w:rsidRPr="007E7B08">
        <w:t xml:space="preserve"> Regional </w:t>
      </w:r>
      <w:r w:rsidR="000A504A" w:rsidRPr="007E7B08">
        <w:t xml:space="preserve">Group on QoS for the Africa Region </w:t>
      </w:r>
      <w:bookmarkStart w:id="14" w:name="_Hlk170115786"/>
      <w:r w:rsidR="000A504A" w:rsidRPr="007E7B08">
        <w:t xml:space="preserve">(SG12RG-AFR) </w:t>
      </w:r>
      <w:bookmarkEnd w:id="14"/>
      <w:r w:rsidRPr="007E7B08">
        <w:t>met in Maputo, Mozambique</w:t>
      </w:r>
      <w:r w:rsidR="000A504A" w:rsidRPr="007E7B08">
        <w:t xml:space="preserve"> (</w:t>
      </w:r>
      <w:r w:rsidRPr="007E7B08">
        <w:t xml:space="preserve">attended by </w:t>
      </w:r>
      <w:r w:rsidR="000A504A" w:rsidRPr="007E7B08">
        <w:t>4</w:t>
      </w:r>
      <w:r w:rsidR="005E6BA6" w:rsidRPr="007E7B08">
        <w:t>5</w:t>
      </w:r>
      <w:r w:rsidR="000A504A" w:rsidRPr="007E7B08">
        <w:t xml:space="preserve"> participants from 2</w:t>
      </w:r>
      <w:r w:rsidR="005E6BA6" w:rsidRPr="007E7B08">
        <w:t>1</w:t>
      </w:r>
      <w:r w:rsidR="000A504A" w:rsidRPr="007E7B08">
        <w:t xml:space="preserve"> countries) preceded by a workshop on “</w:t>
      </w:r>
      <w:hyperlink r:id="rId13" w:history="1">
        <w:r w:rsidR="000A504A" w:rsidRPr="007E7B08">
          <w:rPr>
            <w:rStyle w:val="Hyperlink"/>
          </w:rPr>
          <w:t>Telecommunication Service Quality</w:t>
        </w:r>
      </w:hyperlink>
      <w:r w:rsidR="000A504A" w:rsidRPr="007E7B08">
        <w:t>”</w:t>
      </w:r>
      <w:r w:rsidR="00BE7A16">
        <w:t>. T</w:t>
      </w:r>
      <w:r w:rsidRPr="007E7B08">
        <w:t xml:space="preserve">he Regional Group for the Americas (SG12RG-AMR) </w:t>
      </w:r>
      <w:r w:rsidR="00BE7A16">
        <w:t>held</w:t>
      </w:r>
      <w:r w:rsidRPr="007E7B08">
        <w:t xml:space="preserve"> its </w:t>
      </w:r>
      <w:r w:rsidR="00BE7A16">
        <w:t>first</w:t>
      </w:r>
      <w:r w:rsidRPr="007E7B08">
        <w:t xml:space="preserve"> meeting in Mexico City (attended by 39 participants from 12 countries)</w:t>
      </w:r>
      <w:r w:rsidR="000A504A" w:rsidRPr="007E7B08">
        <w:t>.</w:t>
      </w:r>
      <w:r w:rsidR="007648B5" w:rsidRPr="007E7B08">
        <w:t xml:space="preserve"> </w:t>
      </w:r>
    </w:p>
    <w:p w14:paraId="38B7A18B" w14:textId="7B3555B4" w:rsidR="007648B5" w:rsidRPr="007E7B08" w:rsidRDefault="007648B5" w:rsidP="007648B5">
      <w:r w:rsidRPr="007E7B08">
        <w:t xml:space="preserve">The executive summary of the </w:t>
      </w:r>
      <w:r w:rsidR="000A504A" w:rsidRPr="007E7B08">
        <w:t>April 2024</w:t>
      </w:r>
      <w:r w:rsidRPr="007E7B08">
        <w:t xml:space="preserve"> meeting can be found at</w:t>
      </w:r>
      <w:r w:rsidR="000A504A" w:rsidRPr="007E7B08">
        <w:t xml:space="preserve"> </w:t>
      </w:r>
      <w:hyperlink r:id="rId14" w:history="1">
        <w:r w:rsidR="000A504A" w:rsidRPr="007E7B08">
          <w:rPr>
            <w:rStyle w:val="Hyperlink"/>
          </w:rPr>
          <w:t>https://www.itu.int/en/ITU-T/studygroups/2022-2024/12/Pages/2404-summary.aspx</w:t>
        </w:r>
      </w:hyperlink>
      <w:r w:rsidRPr="007E7B08">
        <w:t xml:space="preserve">. </w:t>
      </w:r>
    </w:p>
    <w:p w14:paraId="0786FA52" w14:textId="77777777" w:rsidR="00623C5B" w:rsidRPr="007E7B08" w:rsidRDefault="00623C5B" w:rsidP="00623C5B">
      <w:pPr>
        <w:pStyle w:val="Heading2"/>
      </w:pPr>
      <w:r w:rsidRPr="007E7B08">
        <w:t xml:space="preserve">Lead study group on quality of service and quality of </w:t>
      </w:r>
      <w:proofErr w:type="gramStart"/>
      <w:r w:rsidRPr="007E7B08">
        <w:t>experience</w:t>
      </w:r>
      <w:proofErr w:type="gramEnd"/>
    </w:p>
    <w:bookmarkEnd w:id="13"/>
    <w:p w14:paraId="38EDF86A" w14:textId="0F0BA44E" w:rsidR="00072681" w:rsidRPr="007E7B08" w:rsidRDefault="002234F7" w:rsidP="0007268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Cs w:val="20"/>
          <w:lang w:eastAsia="en-US"/>
        </w:rPr>
      </w:pPr>
      <w:r w:rsidRPr="007E7B08">
        <w:t xml:space="preserve">SG12 approved a new Amendment to </w:t>
      </w:r>
      <w:r w:rsidRPr="007E7B08">
        <w:rPr>
          <w:rFonts w:eastAsia="Times New Roman"/>
          <w:szCs w:val="20"/>
          <w:lang w:eastAsia="en-US"/>
        </w:rPr>
        <w:t xml:space="preserve">Recommendation ITU-T </w:t>
      </w:r>
      <w:r w:rsidRPr="007E7B08">
        <w:t>P.10/G.100 “</w:t>
      </w:r>
      <w:r w:rsidRPr="007E7B08">
        <w:rPr>
          <w:i/>
          <w:iCs/>
        </w:rPr>
        <w:t>Vocabulary for performance, quality of service and quality of experience</w:t>
      </w:r>
      <w:r w:rsidRPr="007E7B08">
        <w:t xml:space="preserve">” </w:t>
      </w:r>
      <w:r w:rsidR="00EC729D" w:rsidRPr="007E7B08">
        <w:t>consolidat</w:t>
      </w:r>
      <w:r w:rsidR="00673402" w:rsidRPr="007E7B08">
        <w:t>ing</w:t>
      </w:r>
      <w:r w:rsidRPr="007E7B08">
        <w:t xml:space="preserve"> all existing definitions from SG12 Recommendations</w:t>
      </w:r>
      <w:r w:rsidR="00072681" w:rsidRPr="007E7B08">
        <w:t xml:space="preserve"> and introduce</w:t>
      </w:r>
      <w:r w:rsidR="00C01B01">
        <w:t>d</w:t>
      </w:r>
      <w:r w:rsidR="00072681" w:rsidRPr="007E7B08">
        <w:t xml:space="preserve"> </w:t>
      </w:r>
      <w:r w:rsidR="00072681" w:rsidRPr="007E7B08">
        <w:rPr>
          <w:rFonts w:eastAsia="Times New Roman"/>
          <w:szCs w:val="20"/>
          <w:lang w:eastAsia="en-US"/>
        </w:rPr>
        <w:t>a new term:</w:t>
      </w:r>
    </w:p>
    <w:p w14:paraId="224E386C" w14:textId="169F06E3" w:rsidR="00072681" w:rsidRPr="007E7B08" w:rsidRDefault="00072681" w:rsidP="00072681">
      <w:pPr>
        <w:pStyle w:val="Headingb"/>
        <w:ind w:left="720"/>
      </w:pPr>
      <w:r w:rsidRPr="007E7B08">
        <w:t xml:space="preserve">vehicle hands-free terminal: </w:t>
      </w:r>
      <w:r w:rsidRPr="007E7B08">
        <w:rPr>
          <w:b w:val="0"/>
          <w:bCs/>
        </w:rPr>
        <w:t>a telephone set that does not require the use of hands during a communications session taking place in a vehicle.</w:t>
      </w:r>
    </w:p>
    <w:p w14:paraId="6401B9E7" w14:textId="3758E56B" w:rsidR="002234F7" w:rsidRPr="007E7B08" w:rsidRDefault="002234F7" w:rsidP="00EC729D">
      <w:r w:rsidRPr="007E7B08">
        <w:t xml:space="preserve">ITU-T Study Groups are encouraged to </w:t>
      </w:r>
      <w:r w:rsidR="00EC729D" w:rsidRPr="007E7B08">
        <w:t>use</w:t>
      </w:r>
      <w:r w:rsidRPr="007E7B08">
        <w:t xml:space="preserve"> ITU-T P.10/G.100 as the primary reference for all terminology related to performance, quality of service and quality of experience</w:t>
      </w:r>
      <w:r w:rsidR="00EC729D" w:rsidRPr="007E7B08">
        <w:t>,</w:t>
      </w:r>
      <w:r w:rsidR="004D1466" w:rsidRPr="007E7B08">
        <w:t xml:space="preserve"> and</w:t>
      </w:r>
      <w:r w:rsidR="00EC729D" w:rsidRPr="007E7B08">
        <w:t xml:space="preserve"> to </w:t>
      </w:r>
      <w:r w:rsidRPr="007E7B08">
        <w:t xml:space="preserve">align the definitions of all relevant terms </w:t>
      </w:r>
      <w:r w:rsidR="00EC729D" w:rsidRPr="007E7B08">
        <w:t>accordingly</w:t>
      </w:r>
      <w:r w:rsidRPr="007E7B08">
        <w:t>.</w:t>
      </w:r>
    </w:p>
    <w:p w14:paraId="0FB348B0" w14:textId="4CD23412" w:rsidR="002234F7" w:rsidRPr="007E7B08" w:rsidRDefault="002234F7" w:rsidP="002234F7">
      <w:r w:rsidRPr="007E7B08">
        <w:t xml:space="preserve">SG12 also approved </w:t>
      </w:r>
      <w:r w:rsidR="00EC729D" w:rsidRPr="007E7B08">
        <w:t xml:space="preserve">new </w:t>
      </w:r>
      <w:r w:rsidRPr="007E7B08">
        <w:t>Recommendation ITU-T E.813 “</w:t>
      </w:r>
      <w:r w:rsidRPr="007E7B08">
        <w:rPr>
          <w:i/>
          <w:iCs/>
        </w:rPr>
        <w:t>Mapping and visualization strategies for the assessment of connectivity</w:t>
      </w:r>
      <w:r w:rsidRPr="007E7B08">
        <w:t>”</w:t>
      </w:r>
      <w:r w:rsidR="007E7B08" w:rsidRPr="007E7B08">
        <w:t>,</w:t>
      </w:r>
      <w:r w:rsidRPr="007E7B08">
        <w:t xml:space="preserve"> </w:t>
      </w:r>
      <w:r w:rsidR="007E7B08" w:rsidRPr="007E7B08">
        <w:t>in response to</w:t>
      </w:r>
      <w:r w:rsidR="00EC729D" w:rsidRPr="007E7B08">
        <w:t xml:space="preserve"> </w:t>
      </w:r>
      <w:r w:rsidRPr="007E7B08">
        <w:t>WTSA Resolution 9</w:t>
      </w:r>
      <w:r w:rsidR="007E7B08" w:rsidRPr="007E7B08">
        <w:t xml:space="preserve">5. </w:t>
      </w:r>
    </w:p>
    <w:p w14:paraId="48975A45" w14:textId="7E7B975F" w:rsidR="00006217" w:rsidRPr="007E7B08" w:rsidRDefault="001E35BB" w:rsidP="00006217">
      <w:r w:rsidRPr="007E7B08">
        <w:t>Other k</w:t>
      </w:r>
      <w:r w:rsidR="00006217" w:rsidRPr="007E7B08">
        <w:t>ey achievements of the meeting included the adoption of the following Recommendation</w:t>
      </w:r>
      <w:r w:rsidR="007E7B08" w:rsidRPr="007E7B08">
        <w:t>s</w:t>
      </w:r>
      <w:r w:rsidR="00006217" w:rsidRPr="007E7B08">
        <w:t xml:space="preserve"> and other publications</w:t>
      </w:r>
      <w:r w:rsidR="006B1B13" w:rsidRPr="007E7B08">
        <w:t xml:space="preserve"> on</w:t>
      </w:r>
      <w:r w:rsidR="00006217" w:rsidRPr="007E7B08">
        <w:t>:</w:t>
      </w:r>
    </w:p>
    <w:p w14:paraId="02E8D279" w14:textId="48F4E67F" w:rsidR="002234F7" w:rsidRPr="007E7B08" w:rsidRDefault="002234F7" w:rsidP="002234F7">
      <w:pPr>
        <w:ind w:left="720" w:hanging="720"/>
      </w:pPr>
      <w:r w:rsidRPr="007E7B08">
        <w:t>–</w:t>
      </w:r>
      <w:r w:rsidRPr="007E7B08">
        <w:tab/>
      </w:r>
      <w:r w:rsidRPr="007E7B08">
        <w:rPr>
          <w:b/>
          <w:bCs/>
        </w:rPr>
        <w:t>Network performance evaluation:</w:t>
      </w:r>
      <w:r w:rsidRPr="007E7B08">
        <w:t xml:space="preserve"> New Recommendation G.1052 “Testbed framework for mobile application QoS and </w:t>
      </w:r>
      <w:proofErr w:type="spellStart"/>
      <w:r w:rsidRPr="007E7B08">
        <w:t>QoE</w:t>
      </w:r>
      <w:proofErr w:type="spellEnd"/>
      <w:r w:rsidRPr="007E7B08">
        <w:t xml:space="preserve"> evaluation” and Amendment 1 to ITU-T G.1051 “Latency measurement and interactivity scoring under real application data traffic </w:t>
      </w:r>
      <w:proofErr w:type="gramStart"/>
      <w:r w:rsidRPr="007E7B08">
        <w:t>patterns”</w:t>
      </w:r>
      <w:proofErr w:type="gramEnd"/>
    </w:p>
    <w:p w14:paraId="36507335" w14:textId="7A9683D5" w:rsidR="002234F7" w:rsidRPr="007E7B08" w:rsidRDefault="002234F7" w:rsidP="002234F7">
      <w:pPr>
        <w:ind w:left="720" w:hanging="720"/>
      </w:pPr>
      <w:r w:rsidRPr="007E7B08">
        <w:t>–</w:t>
      </w:r>
      <w:r w:rsidRPr="007E7B08">
        <w:tab/>
      </w:r>
      <w:r w:rsidRPr="007E7B08">
        <w:rPr>
          <w:b/>
          <w:bCs/>
        </w:rPr>
        <w:t>Speech quality assessment:</w:t>
      </w:r>
      <w:r w:rsidRPr="007E7B08">
        <w:t xml:space="preserve"> New Recommendation P.833.2 “Methodology for the derivation of equipment impairment factors from subjective listening only tests for </w:t>
      </w:r>
      <w:proofErr w:type="spellStart"/>
      <w:r w:rsidRPr="007E7B08">
        <w:t>fullband</w:t>
      </w:r>
      <w:proofErr w:type="spellEnd"/>
      <w:r w:rsidRPr="007E7B08">
        <w:t xml:space="preserve"> speech codecs” and Revised Recommendation P.863.2 “Extension of ITU-T P.863 for multi-dimensional assessment of degradations in telephony speech signals up to </w:t>
      </w:r>
      <w:proofErr w:type="spellStart"/>
      <w:r w:rsidRPr="007E7B08">
        <w:t>fullband</w:t>
      </w:r>
      <w:proofErr w:type="spellEnd"/>
      <w:r w:rsidRPr="007E7B08">
        <w:t xml:space="preserve">” </w:t>
      </w:r>
    </w:p>
    <w:p w14:paraId="5FD9E80E" w14:textId="77777777" w:rsidR="00673402" w:rsidRPr="007E7B08" w:rsidRDefault="00AE35C8" w:rsidP="00673402">
      <w:pPr>
        <w:jc w:val="both"/>
      </w:pPr>
      <w:r w:rsidRPr="007E7B08">
        <w:lastRenderedPageBreak/>
        <w:t>T</w:t>
      </w:r>
      <w:r w:rsidR="00F161FC" w:rsidRPr="007E7B08">
        <w:t>he SG12 work programme</w:t>
      </w:r>
      <w:r w:rsidRPr="007E7B08">
        <w:t xml:space="preserve"> was also updated</w:t>
      </w:r>
      <w:r w:rsidR="00F161FC" w:rsidRPr="007E7B08">
        <w:t xml:space="preserve"> </w:t>
      </w:r>
      <w:r w:rsidR="00F8179E" w:rsidRPr="007E7B08">
        <w:t>with the addition of</w:t>
      </w:r>
      <w:r w:rsidR="00F161FC" w:rsidRPr="007E7B08">
        <w:t xml:space="preserve"> </w:t>
      </w:r>
      <w:r w:rsidR="004D1466" w:rsidRPr="007E7B08">
        <w:t>nine</w:t>
      </w:r>
      <w:r w:rsidR="005A6164" w:rsidRPr="007E7B08">
        <w:t xml:space="preserve"> </w:t>
      </w:r>
      <w:r w:rsidR="00F161FC" w:rsidRPr="007E7B08">
        <w:t>new work item</w:t>
      </w:r>
      <w:r w:rsidR="00673402" w:rsidRPr="007E7B08">
        <w:t>s related to QoS terminology (revision of ITU-T E.800 and G.1000), extended reality and metaverse (G.MF-VR, P.XRT and GSTR-MVQ), speech quality (</w:t>
      </w:r>
      <w:proofErr w:type="spellStart"/>
      <w:proofErr w:type="gramStart"/>
      <w:r w:rsidR="00673402" w:rsidRPr="007E7B08">
        <w:t>P.Supp</w:t>
      </w:r>
      <w:proofErr w:type="spellEnd"/>
      <w:proofErr w:type="gramEnd"/>
      <w:r w:rsidR="00673402" w:rsidRPr="007E7B08">
        <w:t xml:space="preserve"> GRAS and </w:t>
      </w:r>
      <w:proofErr w:type="spellStart"/>
      <w:r w:rsidR="00673402" w:rsidRPr="007E7B08">
        <w:t>PSTR.Noise</w:t>
      </w:r>
      <w:proofErr w:type="spellEnd"/>
      <w:r w:rsidR="00673402" w:rsidRPr="007E7B08">
        <w:t>-RTC), network performance and operational aspects (</w:t>
      </w:r>
      <w:proofErr w:type="spellStart"/>
      <w:r w:rsidR="00673402" w:rsidRPr="007E7B08">
        <w:t>E.Perf_Req</w:t>
      </w:r>
      <w:proofErr w:type="spellEnd"/>
      <w:r w:rsidR="00673402" w:rsidRPr="007E7B08">
        <w:t xml:space="preserve"> and </w:t>
      </w:r>
      <w:proofErr w:type="spellStart"/>
      <w:r w:rsidR="00673402" w:rsidRPr="007E7B08">
        <w:t>ESTR.Power</w:t>
      </w:r>
      <w:proofErr w:type="spellEnd"/>
      <w:r w:rsidR="00673402" w:rsidRPr="007E7B08">
        <w:t>-out).</w:t>
      </w:r>
    </w:p>
    <w:p w14:paraId="087151EE" w14:textId="34A60350" w:rsidR="005A6164" w:rsidRPr="007E7B08" w:rsidRDefault="00F0781E" w:rsidP="00673402">
      <w:pPr>
        <w:jc w:val="both"/>
      </w:pPr>
      <w:r w:rsidRPr="007E7B08">
        <w:t xml:space="preserve">The way forward for </w:t>
      </w:r>
      <w:r w:rsidR="00F8179E" w:rsidRPr="007E7B08">
        <w:t>work items</w:t>
      </w:r>
      <w:r w:rsidRPr="007E7B08">
        <w:t xml:space="preserve"> that had achieved stale status was also reviewed and </w:t>
      </w:r>
      <w:r w:rsidR="00673402" w:rsidRPr="007E7B08">
        <w:t>3</w:t>
      </w:r>
      <w:r w:rsidRPr="007E7B08">
        <w:t xml:space="preserve"> stale work items were discontinued. </w:t>
      </w:r>
    </w:p>
    <w:p w14:paraId="60BA1A39" w14:textId="71B5B0B2" w:rsidR="002234F7" w:rsidRPr="007E7B08" w:rsidRDefault="002234F7" w:rsidP="002234F7">
      <w:r w:rsidRPr="007E7B08">
        <w:t xml:space="preserve">SG12 also provided a new release of the ITU-T Software Tool Library (Recommendation ITU-T G.191), </w:t>
      </w:r>
      <w:hyperlink r:id="rId15" w:history="1">
        <w:r w:rsidRPr="007E7B08">
          <w:rPr>
            <w:rStyle w:val="Hyperlink"/>
          </w:rPr>
          <w:t>STL202</w:t>
        </w:r>
        <w:r w:rsidR="004D1466" w:rsidRPr="007E7B08">
          <w:rPr>
            <w:rStyle w:val="Hyperlink"/>
          </w:rPr>
          <w:t>4</w:t>
        </w:r>
      </w:hyperlink>
      <w:r w:rsidRPr="007E7B08">
        <w:t xml:space="preserve">, that incorporates </w:t>
      </w:r>
      <w:r w:rsidR="004D1466" w:rsidRPr="007E7B08">
        <w:t>new features and bug fixes</w:t>
      </w:r>
      <w:r w:rsidRPr="007E7B08">
        <w:t>.</w:t>
      </w:r>
    </w:p>
    <w:p w14:paraId="7F05B47A" w14:textId="086FA8D7" w:rsidR="00170F29" w:rsidRPr="007E7B08" w:rsidRDefault="00170F29" w:rsidP="008C5A9A">
      <w:r w:rsidRPr="007E7B08">
        <w:t xml:space="preserve">In its role as lead study group on QoS and </w:t>
      </w:r>
      <w:proofErr w:type="spellStart"/>
      <w:r w:rsidRPr="007E7B08">
        <w:t>QoE</w:t>
      </w:r>
      <w:proofErr w:type="spellEnd"/>
      <w:r w:rsidRPr="007E7B08">
        <w:t>, SG12 liaised ITU-internally</w:t>
      </w:r>
      <w:r w:rsidR="00673402" w:rsidRPr="007E7B08">
        <w:t xml:space="preserve"> with</w:t>
      </w:r>
      <w:r w:rsidR="002506A4" w:rsidRPr="007E7B08">
        <w:t>:</w:t>
      </w:r>
    </w:p>
    <w:p w14:paraId="7DCC588F" w14:textId="1869D888" w:rsidR="002506A4" w:rsidRPr="007E7B08" w:rsidRDefault="002506A4" w:rsidP="002506A4">
      <w:pPr>
        <w:pStyle w:val="enumlev1"/>
      </w:pPr>
      <w:r w:rsidRPr="007E7B08">
        <w:t>–</w:t>
      </w:r>
      <w:r w:rsidRPr="007E7B08">
        <w:tab/>
        <w:t xml:space="preserve">All ITU-T Study Groups with input </w:t>
      </w:r>
      <w:r w:rsidR="007E7B08">
        <w:t xml:space="preserve">on </w:t>
      </w:r>
      <w:r w:rsidRPr="007E7B08">
        <w:t>utilisation of tools to produce Recommendations,</w:t>
      </w:r>
    </w:p>
    <w:p w14:paraId="70FAFA2B" w14:textId="7349BF02" w:rsidR="002302C3" w:rsidRPr="007E7B08" w:rsidRDefault="002302C3" w:rsidP="002302C3">
      <w:pPr>
        <w:pStyle w:val="enumlev1"/>
      </w:pPr>
      <w:r w:rsidRPr="007E7B08">
        <w:t>–</w:t>
      </w:r>
      <w:r w:rsidRPr="007E7B08">
        <w:tab/>
        <w:t xml:space="preserve">ITU-T SG2 </w:t>
      </w:r>
      <w:r w:rsidR="002A6613" w:rsidRPr="007E7B08">
        <w:t xml:space="preserve">on </w:t>
      </w:r>
      <w:r w:rsidRPr="007E7B08">
        <w:t>operational aspects of telecommunication network service quality,</w:t>
      </w:r>
    </w:p>
    <w:p w14:paraId="2AE9FDCF" w14:textId="1929248D" w:rsidR="00E432F3" w:rsidRPr="007E7B08" w:rsidRDefault="00E432F3" w:rsidP="00E432F3">
      <w:pPr>
        <w:pStyle w:val="enumlev1"/>
      </w:pPr>
      <w:r w:rsidRPr="007E7B08">
        <w:t>–</w:t>
      </w:r>
      <w:r w:rsidRPr="007E7B08">
        <w:tab/>
        <w:t xml:space="preserve">ITU-T SG9 </w:t>
      </w:r>
      <w:r w:rsidR="00072681" w:rsidRPr="007E7B08">
        <w:t>on quality metrics and network performance requirements for video services</w:t>
      </w:r>
      <w:r w:rsidRPr="007E7B08">
        <w:t>,</w:t>
      </w:r>
    </w:p>
    <w:p w14:paraId="63CB8DAF" w14:textId="5316915F" w:rsidR="002506A4" w:rsidRPr="007E7B08" w:rsidRDefault="002506A4" w:rsidP="002506A4">
      <w:pPr>
        <w:pStyle w:val="enumlev1"/>
      </w:pPr>
      <w:r w:rsidRPr="007E7B08">
        <w:t>–</w:t>
      </w:r>
      <w:r w:rsidRPr="007E7B08">
        <w:tab/>
        <w:t xml:space="preserve">ITU-T SG11 on </w:t>
      </w:r>
      <w:r w:rsidR="0088208C" w:rsidRPr="007E7B08">
        <w:t xml:space="preserve">completed work on </w:t>
      </w:r>
      <w:r w:rsidRPr="007E7B08">
        <w:t>testbed framework for QoS</w:t>
      </w:r>
      <w:r w:rsidR="007E7B08">
        <w:t>/</w:t>
      </w:r>
      <w:proofErr w:type="spellStart"/>
      <w:r w:rsidRPr="007E7B08">
        <w:t>QoE</w:t>
      </w:r>
      <w:proofErr w:type="spellEnd"/>
      <w:r w:rsidRPr="007E7B08">
        <w:t xml:space="preserve"> evaluation, </w:t>
      </w:r>
    </w:p>
    <w:p w14:paraId="573539E7" w14:textId="3CD558C7" w:rsidR="002506A4" w:rsidRPr="007E7B08" w:rsidRDefault="002506A4" w:rsidP="002506A4">
      <w:pPr>
        <w:pStyle w:val="enumlev1"/>
      </w:pPr>
      <w:r w:rsidRPr="007E7B08">
        <w:t>–</w:t>
      </w:r>
      <w:r w:rsidRPr="007E7B08">
        <w:tab/>
        <w:t>ITU-T SG15</w:t>
      </w:r>
      <w:r w:rsidR="002A6613" w:rsidRPr="007E7B08">
        <w:t xml:space="preserve"> </w:t>
      </w:r>
      <w:r w:rsidR="0088208C" w:rsidRPr="007E7B08">
        <w:t>seeking feedback on</w:t>
      </w:r>
      <w:r w:rsidRPr="007E7B08">
        <w:t xml:space="preserve"> quality metrics for microwave and </w:t>
      </w:r>
      <w:proofErr w:type="spellStart"/>
      <w:r w:rsidRPr="007E7B08">
        <w:t>fiber</w:t>
      </w:r>
      <w:proofErr w:type="spellEnd"/>
      <w:r w:rsidRPr="007E7B08">
        <w:t xml:space="preserve"> backhauling, </w:t>
      </w:r>
    </w:p>
    <w:p w14:paraId="1E50355B" w14:textId="51DB47CF" w:rsidR="00170F29" w:rsidRPr="007E7B08" w:rsidRDefault="003D2420" w:rsidP="003D2420">
      <w:pPr>
        <w:pStyle w:val="enumlev1"/>
      </w:pPr>
      <w:r w:rsidRPr="007E7B08">
        <w:t>–</w:t>
      </w:r>
      <w:r w:rsidRPr="007E7B08">
        <w:tab/>
      </w:r>
      <w:r w:rsidR="00CE6502" w:rsidRPr="007E7B08">
        <w:t xml:space="preserve">ITU-T </w:t>
      </w:r>
      <w:r w:rsidR="00170F29" w:rsidRPr="007E7B08">
        <w:t>SG16 on</w:t>
      </w:r>
      <w:r w:rsidR="00995929" w:rsidRPr="007E7B08">
        <w:t xml:space="preserve"> </w:t>
      </w:r>
      <w:r w:rsidR="0088208C" w:rsidRPr="007E7B08">
        <w:t xml:space="preserve">completed work on </w:t>
      </w:r>
      <w:r w:rsidR="007E7B08">
        <w:t>s</w:t>
      </w:r>
      <w:r w:rsidR="002506A4" w:rsidRPr="007E7B08">
        <w:t>oftware tools for speech and audio coding</w:t>
      </w:r>
      <w:r w:rsidR="00C744D4" w:rsidRPr="007E7B08">
        <w:t xml:space="preserve">, </w:t>
      </w:r>
    </w:p>
    <w:p w14:paraId="72B8F0F7" w14:textId="4A890C5F" w:rsidR="002302C3" w:rsidRPr="007E7B08" w:rsidRDefault="002302C3" w:rsidP="003D2420">
      <w:pPr>
        <w:pStyle w:val="enumlev1"/>
        <w:rPr>
          <w:highlight w:val="yellow"/>
        </w:rPr>
      </w:pPr>
      <w:r w:rsidRPr="007E7B08">
        <w:t>–</w:t>
      </w:r>
      <w:r w:rsidRPr="007E7B08">
        <w:tab/>
        <w:t>ITU-</w:t>
      </w:r>
      <w:r w:rsidR="002506A4" w:rsidRPr="007E7B08">
        <w:t>R WP4B</w:t>
      </w:r>
      <w:r w:rsidRPr="007E7B08">
        <w:t xml:space="preserve"> </w:t>
      </w:r>
      <w:r w:rsidR="002506A4" w:rsidRPr="007E7B08">
        <w:t xml:space="preserve">seeking guidance on quality indicators for monitoring QoS of broadband services provided via Low-Earth Orbit </w:t>
      </w:r>
      <w:proofErr w:type="gramStart"/>
      <w:r w:rsidR="002506A4" w:rsidRPr="007E7B08">
        <w:t>satellites</w:t>
      </w:r>
      <w:r w:rsidR="00A743C5">
        <w:t>;</w:t>
      </w:r>
      <w:proofErr w:type="gramEnd"/>
    </w:p>
    <w:p w14:paraId="62EE58FA" w14:textId="2DC43314" w:rsidR="00C744D4" w:rsidRPr="007E7B08" w:rsidRDefault="00256F64" w:rsidP="00C744D4">
      <w:r w:rsidRPr="007E7B08">
        <w:t>and</w:t>
      </w:r>
      <w:r w:rsidR="003D2420" w:rsidRPr="007E7B08">
        <w:t xml:space="preserve"> externally, including with </w:t>
      </w:r>
      <w:r w:rsidRPr="007E7B08">
        <w:t>the Broadband Forum, 3GPP, ETSI,</w:t>
      </w:r>
      <w:r w:rsidR="002506A4" w:rsidRPr="007E7B08">
        <w:t xml:space="preserve"> </w:t>
      </w:r>
      <w:r w:rsidR="002A6613" w:rsidRPr="007E7B08">
        <w:t xml:space="preserve">IEC </w:t>
      </w:r>
      <w:r w:rsidR="002506A4" w:rsidRPr="007E7B08">
        <w:t>and the NGMN Alliance</w:t>
      </w:r>
      <w:r w:rsidR="003D2420" w:rsidRPr="007E7B08">
        <w:t>.</w:t>
      </w:r>
      <w:r w:rsidR="004C4AD5" w:rsidRPr="007E7B08">
        <w:t xml:space="preserve"> </w:t>
      </w:r>
    </w:p>
    <w:p w14:paraId="7014F1AC" w14:textId="77777777" w:rsidR="00006217" w:rsidRPr="007E7B08" w:rsidRDefault="00006217" w:rsidP="00006217">
      <w:r w:rsidRPr="007E7B08">
        <w:t xml:space="preserve">ITU-T Study Groups are encouraged to engage with SG12, at an early stage, on any ongoing or future work discussing QoS and </w:t>
      </w:r>
      <w:proofErr w:type="spellStart"/>
      <w:r w:rsidRPr="007E7B08">
        <w:t>QoE</w:t>
      </w:r>
      <w:proofErr w:type="spellEnd"/>
      <w:r w:rsidRPr="007E7B08">
        <w:t xml:space="preserve"> aspects. </w:t>
      </w:r>
    </w:p>
    <w:p w14:paraId="63227470" w14:textId="77777777" w:rsidR="00623C5B" w:rsidRPr="007E7B08" w:rsidRDefault="00623C5B" w:rsidP="00623C5B">
      <w:pPr>
        <w:pStyle w:val="Heading2"/>
      </w:pPr>
      <w:r w:rsidRPr="007E7B08">
        <w:t xml:space="preserve">Lead study group on driver distraction and voice aspects of car </w:t>
      </w:r>
      <w:proofErr w:type="gramStart"/>
      <w:r w:rsidRPr="007E7B08">
        <w:t>communications</w:t>
      </w:r>
      <w:proofErr w:type="gramEnd"/>
    </w:p>
    <w:p w14:paraId="3C633B77" w14:textId="5ED04359" w:rsidR="00165539" w:rsidRPr="007E7B08" w:rsidRDefault="006F7FE2" w:rsidP="006559AD">
      <w:r w:rsidRPr="007E7B08">
        <w:t>W</w:t>
      </w:r>
      <w:r w:rsidR="00030C8B" w:rsidRPr="007E7B08">
        <w:t xml:space="preserve">ork </w:t>
      </w:r>
      <w:r w:rsidR="006559AD" w:rsidRPr="007E7B08">
        <w:t xml:space="preserve">progressed </w:t>
      </w:r>
      <w:r w:rsidR="00C744D4" w:rsidRPr="007E7B08">
        <w:t xml:space="preserve">on </w:t>
      </w:r>
      <w:r w:rsidRPr="007E7B08">
        <w:t>draft new Recommendation ITU-T P.ASR:</w:t>
      </w:r>
      <w:r w:rsidR="00030C8B" w:rsidRPr="007E7B08">
        <w:t xml:space="preserve"> Performance requirements for automatic speech recognition (ASR) in vehicles</w:t>
      </w:r>
      <w:r w:rsidR="006559AD" w:rsidRPr="007E7B08">
        <w:t xml:space="preserve"> and </w:t>
      </w:r>
      <w:r w:rsidR="002506A4" w:rsidRPr="007E7B08">
        <w:t>the revision of</w:t>
      </w:r>
      <w:r w:rsidR="006559AD" w:rsidRPr="007E7B08">
        <w:t xml:space="preserve"> Recommendations in the ITU-T P.1100 series on hands-free communications in vehicles</w:t>
      </w:r>
      <w:r w:rsidR="00026822" w:rsidRPr="007E7B08">
        <w:t>.</w:t>
      </w:r>
      <w:r w:rsidR="00BE51EC" w:rsidRPr="007E7B08">
        <w:t xml:space="preserve"> </w:t>
      </w:r>
    </w:p>
    <w:p w14:paraId="5388B9D5" w14:textId="39F7D0FC" w:rsidR="00A32517" w:rsidRPr="007E7B08" w:rsidRDefault="0038764A" w:rsidP="00623C5B">
      <w:r w:rsidRPr="007E7B08">
        <w:t xml:space="preserve">ITU-T Study Groups are encouraged to </w:t>
      </w:r>
      <w:r w:rsidR="004E2231" w:rsidRPr="007E7B08">
        <w:t>engage with SG12</w:t>
      </w:r>
      <w:r w:rsidRPr="007E7B08">
        <w:t>, at an early stage, on</w:t>
      </w:r>
      <w:r w:rsidR="00702087" w:rsidRPr="007E7B08">
        <w:t xml:space="preserve"> any potential</w:t>
      </w:r>
      <w:r w:rsidRPr="007E7B08">
        <w:t xml:space="preserve"> new work items discussing driver distraction and voice aspects of car communications. </w:t>
      </w:r>
    </w:p>
    <w:p w14:paraId="2E3D0839" w14:textId="77777777" w:rsidR="00623C5B" w:rsidRPr="007E7B08" w:rsidRDefault="00623C5B" w:rsidP="00623C5B">
      <w:pPr>
        <w:pStyle w:val="Heading2"/>
      </w:pPr>
      <w:r w:rsidRPr="007E7B08">
        <w:t xml:space="preserve">Lead study group on quality assessment of video communications and </w:t>
      </w:r>
      <w:proofErr w:type="gramStart"/>
      <w:r w:rsidRPr="007E7B08">
        <w:t>applications</w:t>
      </w:r>
      <w:proofErr w:type="gramEnd"/>
    </w:p>
    <w:p w14:paraId="682A15DE" w14:textId="0E1B9073" w:rsidR="00174D6B" w:rsidRPr="007E7B08" w:rsidRDefault="00072681" w:rsidP="00072681">
      <w:r w:rsidRPr="007E7B08">
        <w:t xml:space="preserve">Work continues to progress on the extension of the ITU-T P.1204.x Recommendations to support new codecs and on items </w:t>
      </w:r>
      <w:r w:rsidR="00FC0370" w:rsidRPr="007E7B08">
        <w:t>related to quality assessment of video communications and applications</w:t>
      </w:r>
      <w:r w:rsidR="0088208C" w:rsidRPr="007E7B08">
        <w:t xml:space="preserve">; </w:t>
      </w:r>
      <w:r w:rsidR="00174D6B" w:rsidRPr="007E7B08">
        <w:t>related to adaptive video streaming quality (</w:t>
      </w:r>
      <w:proofErr w:type="gramStart"/>
      <w:r w:rsidR="00174D6B" w:rsidRPr="007E7B08">
        <w:t>P.NATS</w:t>
      </w:r>
      <w:proofErr w:type="gramEnd"/>
      <w:r w:rsidR="00174D6B" w:rsidRPr="007E7B08">
        <w:t>-ph3)</w:t>
      </w:r>
      <w:r w:rsidR="0088208C" w:rsidRPr="007E7B08">
        <w:t>, cloud gaming (P.BBQCG), videotelephony services (G.CMVTQS)</w:t>
      </w:r>
      <w:r w:rsidR="00174D6B" w:rsidRPr="007E7B08">
        <w:t xml:space="preserve">. </w:t>
      </w:r>
    </w:p>
    <w:p w14:paraId="178055CD" w14:textId="62A46E12" w:rsidR="0088208C" w:rsidRPr="007E7B08" w:rsidRDefault="002234F7" w:rsidP="002234F7">
      <w:r w:rsidRPr="007E7B08">
        <w:t xml:space="preserve">SG12 </w:t>
      </w:r>
      <w:r w:rsidR="0088208C" w:rsidRPr="007E7B08">
        <w:t xml:space="preserve">continues to provide guidance on </w:t>
      </w:r>
      <w:r w:rsidRPr="007E7B08">
        <w:t>quality evaluation of immersive technologie</w:t>
      </w:r>
      <w:r w:rsidR="00072681" w:rsidRPr="007E7B08">
        <w:t>s. I</w:t>
      </w:r>
      <w:r w:rsidR="0088208C" w:rsidRPr="007E7B08">
        <w:t xml:space="preserve">n the reporting period, new Recommendation P.812 “Principles of subjective test methods for interactive virtual reality applications” </w:t>
      </w:r>
      <w:r w:rsidR="00072681" w:rsidRPr="007E7B08">
        <w:t xml:space="preserve">was adopted </w:t>
      </w:r>
      <w:r w:rsidR="0088208C" w:rsidRPr="007E7B08">
        <w:t xml:space="preserve">and new work on quality evaluation of extended reality terminals and </w:t>
      </w:r>
      <w:r w:rsidR="00072681" w:rsidRPr="007E7B08">
        <w:t xml:space="preserve">on </w:t>
      </w:r>
      <w:r w:rsidR="0088208C" w:rsidRPr="007E7B08">
        <w:t>QoS/</w:t>
      </w:r>
      <w:proofErr w:type="spellStart"/>
      <w:r w:rsidR="0088208C" w:rsidRPr="007E7B08">
        <w:t>QoE</w:t>
      </w:r>
      <w:proofErr w:type="spellEnd"/>
      <w:r w:rsidR="0088208C" w:rsidRPr="007E7B08">
        <w:t xml:space="preserve"> standards for the </w:t>
      </w:r>
      <w:r w:rsidR="00072681" w:rsidRPr="007E7B08">
        <w:t>metaverse was initiated</w:t>
      </w:r>
      <w:r w:rsidR="0088208C" w:rsidRPr="007E7B08">
        <w:t>.</w:t>
      </w:r>
    </w:p>
    <w:p w14:paraId="29736411" w14:textId="0017B6B1" w:rsidR="00053C9F" w:rsidRPr="007E7B08" w:rsidRDefault="00053C9F" w:rsidP="00053C9F">
      <w:r w:rsidRPr="007E7B08">
        <w:t>ITU-T Study Groups are encouraged to engage with SG12, at an early stage, on</w:t>
      </w:r>
      <w:r w:rsidR="00702087" w:rsidRPr="007E7B08">
        <w:t xml:space="preserve"> any potential</w:t>
      </w:r>
      <w:r w:rsidRPr="007E7B08">
        <w:t xml:space="preserve"> new work items discussing quality assessment of video communications and applications, including work on immersive media quality assessment. </w:t>
      </w:r>
    </w:p>
    <w:p w14:paraId="4D272583" w14:textId="1DB927EB" w:rsidR="00EC729D" w:rsidRPr="007E7B08" w:rsidRDefault="00B62093" w:rsidP="007E7B08">
      <w:r w:rsidRPr="007E7B08">
        <w:t xml:space="preserve">SG12’s longstanding successful cooperation with the Video Quality Expert Group (VQEG) continues </w:t>
      </w:r>
      <w:r w:rsidR="0088208C" w:rsidRPr="007E7B08">
        <w:t xml:space="preserve">with </w:t>
      </w:r>
      <w:r w:rsidR="005E6BA6" w:rsidRPr="007E7B08">
        <w:t xml:space="preserve">significant </w:t>
      </w:r>
      <w:r w:rsidR="0088208C" w:rsidRPr="007E7B08">
        <w:t>progress</w:t>
      </w:r>
      <w:r w:rsidR="005E6BA6" w:rsidRPr="007E7B08">
        <w:t xml:space="preserve"> made</w:t>
      </w:r>
      <w:r w:rsidR="0088208C" w:rsidRPr="007E7B08">
        <w:t xml:space="preserve"> </w:t>
      </w:r>
      <w:r w:rsidR="005E6BA6" w:rsidRPr="007E7B08">
        <w:t>on</w:t>
      </w:r>
      <w:r w:rsidR="0088208C" w:rsidRPr="007E7B08">
        <w:t xml:space="preserve"> the</w:t>
      </w:r>
      <w:r w:rsidR="002F2CAC" w:rsidRPr="007E7B08">
        <w:t xml:space="preserve"> </w:t>
      </w:r>
      <w:r w:rsidR="005E6BA6" w:rsidRPr="007E7B08">
        <w:t xml:space="preserve">collaborative </w:t>
      </w:r>
      <w:r w:rsidR="006559AD" w:rsidRPr="007E7B08">
        <w:t>development of draft new Recommendation P.IXC on</w:t>
      </w:r>
      <w:r w:rsidRPr="007E7B08">
        <w:t xml:space="preserve"> immersive media quality</w:t>
      </w:r>
      <w:r w:rsidR="002F2CAC" w:rsidRPr="007E7B08">
        <w:t>.</w:t>
      </w:r>
      <w:bookmarkStart w:id="15" w:name="_Hlk98856042"/>
    </w:p>
    <w:p w14:paraId="36E9B0D2" w14:textId="040AD3D8" w:rsidR="00741624" w:rsidRPr="007E7B08" w:rsidRDefault="008C5A9A" w:rsidP="00A743C5">
      <w:pPr>
        <w:jc w:val="center"/>
        <w:rPr>
          <w:u w:val="single"/>
        </w:rPr>
      </w:pPr>
      <w:r w:rsidRPr="007E7B08">
        <w:t>__________________</w:t>
      </w:r>
      <w:bookmarkEnd w:id="15"/>
    </w:p>
    <w:sectPr w:rsidR="00741624" w:rsidRPr="007E7B08" w:rsidSect="007E7B08">
      <w:headerReference w:type="default" r:id="rId1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C1A2" w14:textId="77777777" w:rsidR="00045FC5" w:rsidRDefault="00045FC5" w:rsidP="00C42125">
      <w:pPr>
        <w:spacing w:before="0"/>
      </w:pPr>
      <w:r>
        <w:separator/>
      </w:r>
    </w:p>
  </w:endnote>
  <w:endnote w:type="continuationSeparator" w:id="0">
    <w:p w14:paraId="369D4F25" w14:textId="77777777" w:rsidR="00045FC5" w:rsidRDefault="00045FC5" w:rsidP="00C42125">
      <w:pPr>
        <w:spacing w:before="0"/>
      </w:pPr>
      <w:r>
        <w:continuationSeparator/>
      </w:r>
    </w:p>
  </w:endnote>
  <w:endnote w:type="continuationNotice" w:id="1">
    <w:p w14:paraId="1DCBDFAC" w14:textId="77777777" w:rsidR="00045FC5" w:rsidRDefault="00045FC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089AD" w14:textId="77777777" w:rsidR="00045FC5" w:rsidRDefault="00045FC5" w:rsidP="00C42125">
      <w:pPr>
        <w:spacing w:before="0"/>
      </w:pPr>
      <w:r>
        <w:separator/>
      </w:r>
    </w:p>
  </w:footnote>
  <w:footnote w:type="continuationSeparator" w:id="0">
    <w:p w14:paraId="7AEA9089" w14:textId="77777777" w:rsidR="00045FC5" w:rsidRDefault="00045FC5" w:rsidP="00C42125">
      <w:pPr>
        <w:spacing w:before="0"/>
      </w:pPr>
      <w:r>
        <w:continuationSeparator/>
      </w:r>
    </w:p>
  </w:footnote>
  <w:footnote w:type="continuationNotice" w:id="1">
    <w:p w14:paraId="0B252867" w14:textId="77777777" w:rsidR="00045FC5" w:rsidRDefault="00045FC5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B18A3" w14:textId="70D82202" w:rsidR="001A4E23" w:rsidRPr="007E7B08" w:rsidRDefault="007E7B08" w:rsidP="007E7B08">
    <w:pPr>
      <w:pStyle w:val="Header"/>
    </w:pPr>
    <w:r w:rsidRPr="007E7B08">
      <w:t xml:space="preserve">- </w:t>
    </w:r>
    <w:r w:rsidRPr="007E7B08">
      <w:fldChar w:fldCharType="begin"/>
    </w:r>
    <w:r w:rsidRPr="007E7B08">
      <w:instrText xml:space="preserve"> PAGE  \* MERGEFORMAT </w:instrText>
    </w:r>
    <w:r w:rsidRPr="007E7B08">
      <w:fldChar w:fldCharType="separate"/>
    </w:r>
    <w:r w:rsidRPr="007E7B08">
      <w:rPr>
        <w:noProof/>
      </w:rPr>
      <w:t>1</w:t>
    </w:r>
    <w:r w:rsidRPr="007E7B08">
      <w:fldChar w:fldCharType="end"/>
    </w:r>
    <w:r w:rsidRPr="007E7B08">
      <w:t xml:space="preserve"> -</w:t>
    </w:r>
  </w:p>
  <w:p w14:paraId="6FCC5935" w14:textId="06D0C4DA" w:rsidR="007E7B08" w:rsidRPr="007E7B08" w:rsidRDefault="007E7B08" w:rsidP="007E7B08">
    <w:pPr>
      <w:pStyle w:val="Header"/>
      <w:spacing w:after="240"/>
    </w:pPr>
    <w:r w:rsidRPr="007E7B08">
      <w:fldChar w:fldCharType="begin"/>
    </w:r>
    <w:r w:rsidRPr="007E7B08">
      <w:instrText xml:space="preserve"> STYLEREF  Docnumber  </w:instrText>
    </w:r>
    <w:r w:rsidRPr="007E7B08">
      <w:fldChar w:fldCharType="separate"/>
    </w:r>
    <w:r w:rsidR="000A4059">
      <w:rPr>
        <w:noProof/>
      </w:rPr>
      <w:t>TSAG-TD537</w:t>
    </w:r>
    <w:r w:rsidRPr="007E7B0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0B38"/>
    <w:multiLevelType w:val="hybridMultilevel"/>
    <w:tmpl w:val="249A8FAC"/>
    <w:lvl w:ilvl="0" w:tplc="5EC42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76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45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C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84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6F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03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C3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4C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2507DB2"/>
    <w:multiLevelType w:val="hybridMultilevel"/>
    <w:tmpl w:val="E7C03A56"/>
    <w:lvl w:ilvl="0" w:tplc="7D9A1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E4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46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69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6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C8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F6A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6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C0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6358023">
    <w:abstractNumId w:val="9"/>
  </w:num>
  <w:num w:numId="2" w16cid:durableId="1206022941">
    <w:abstractNumId w:val="7"/>
  </w:num>
  <w:num w:numId="3" w16cid:durableId="128977197">
    <w:abstractNumId w:val="6"/>
  </w:num>
  <w:num w:numId="4" w16cid:durableId="1105728381">
    <w:abstractNumId w:val="5"/>
  </w:num>
  <w:num w:numId="5" w16cid:durableId="2080008890">
    <w:abstractNumId w:val="4"/>
  </w:num>
  <w:num w:numId="6" w16cid:durableId="453132278">
    <w:abstractNumId w:val="8"/>
  </w:num>
  <w:num w:numId="7" w16cid:durableId="1152140143">
    <w:abstractNumId w:val="3"/>
  </w:num>
  <w:num w:numId="8" w16cid:durableId="918951605">
    <w:abstractNumId w:val="2"/>
  </w:num>
  <w:num w:numId="9" w16cid:durableId="1528369917">
    <w:abstractNumId w:val="1"/>
  </w:num>
  <w:num w:numId="10" w16cid:durableId="1472094684">
    <w:abstractNumId w:val="0"/>
  </w:num>
  <w:num w:numId="11" w16cid:durableId="1238980856">
    <w:abstractNumId w:val="11"/>
  </w:num>
  <w:num w:numId="12" w16cid:durableId="791902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0739"/>
    <w:rsid w:val="00002637"/>
    <w:rsid w:val="00006217"/>
    <w:rsid w:val="00014F69"/>
    <w:rsid w:val="000171DB"/>
    <w:rsid w:val="00023D9A"/>
    <w:rsid w:val="00026822"/>
    <w:rsid w:val="00030C8B"/>
    <w:rsid w:val="000347E0"/>
    <w:rsid w:val="0003582E"/>
    <w:rsid w:val="00043181"/>
    <w:rsid w:val="00043D75"/>
    <w:rsid w:val="00045FC5"/>
    <w:rsid w:val="00053C9F"/>
    <w:rsid w:val="00057000"/>
    <w:rsid w:val="000640E0"/>
    <w:rsid w:val="00072681"/>
    <w:rsid w:val="00086D80"/>
    <w:rsid w:val="000937AD"/>
    <w:rsid w:val="000966A8"/>
    <w:rsid w:val="000A0A5C"/>
    <w:rsid w:val="000A3CEC"/>
    <w:rsid w:val="000A4059"/>
    <w:rsid w:val="000A504A"/>
    <w:rsid w:val="000A5CA2"/>
    <w:rsid w:val="000B5C61"/>
    <w:rsid w:val="000E3C61"/>
    <w:rsid w:val="000E3E55"/>
    <w:rsid w:val="000E6083"/>
    <w:rsid w:val="000E6125"/>
    <w:rsid w:val="000F7452"/>
    <w:rsid w:val="0010036D"/>
    <w:rsid w:val="00100B53"/>
    <w:rsid w:val="00100BAF"/>
    <w:rsid w:val="00113DBE"/>
    <w:rsid w:val="001140D8"/>
    <w:rsid w:val="001200A6"/>
    <w:rsid w:val="001251DA"/>
    <w:rsid w:val="00125432"/>
    <w:rsid w:val="00136DDD"/>
    <w:rsid w:val="00137F40"/>
    <w:rsid w:val="00144BDF"/>
    <w:rsid w:val="00153252"/>
    <w:rsid w:val="00155DDC"/>
    <w:rsid w:val="00165539"/>
    <w:rsid w:val="00170F29"/>
    <w:rsid w:val="00174D6B"/>
    <w:rsid w:val="001871EC"/>
    <w:rsid w:val="001A20C3"/>
    <w:rsid w:val="001A4E23"/>
    <w:rsid w:val="001A670F"/>
    <w:rsid w:val="001B6A45"/>
    <w:rsid w:val="001C1003"/>
    <w:rsid w:val="001C4B91"/>
    <w:rsid w:val="001C62B8"/>
    <w:rsid w:val="001C68E2"/>
    <w:rsid w:val="001D033C"/>
    <w:rsid w:val="001D22D8"/>
    <w:rsid w:val="001D4296"/>
    <w:rsid w:val="001E35BB"/>
    <w:rsid w:val="001E7B0E"/>
    <w:rsid w:val="001F141D"/>
    <w:rsid w:val="001F7FB8"/>
    <w:rsid w:val="00200A06"/>
    <w:rsid w:val="00200A98"/>
    <w:rsid w:val="00201AFA"/>
    <w:rsid w:val="002229F1"/>
    <w:rsid w:val="002234F7"/>
    <w:rsid w:val="00225A8B"/>
    <w:rsid w:val="002302C3"/>
    <w:rsid w:val="00230B96"/>
    <w:rsid w:val="00233F75"/>
    <w:rsid w:val="00234999"/>
    <w:rsid w:val="00247045"/>
    <w:rsid w:val="002506A4"/>
    <w:rsid w:val="0025078E"/>
    <w:rsid w:val="0025233B"/>
    <w:rsid w:val="002528F9"/>
    <w:rsid w:val="002531F0"/>
    <w:rsid w:val="00253DBE"/>
    <w:rsid w:val="00253DC6"/>
    <w:rsid w:val="0025489C"/>
    <w:rsid w:val="00255389"/>
    <w:rsid w:val="00256F64"/>
    <w:rsid w:val="00257926"/>
    <w:rsid w:val="002622FA"/>
    <w:rsid w:val="00263518"/>
    <w:rsid w:val="00265E68"/>
    <w:rsid w:val="002759E7"/>
    <w:rsid w:val="00276E6B"/>
    <w:rsid w:val="00277326"/>
    <w:rsid w:val="002A11C4"/>
    <w:rsid w:val="002A399B"/>
    <w:rsid w:val="002A6613"/>
    <w:rsid w:val="002C26C0"/>
    <w:rsid w:val="002C2BC5"/>
    <w:rsid w:val="002D2009"/>
    <w:rsid w:val="002D4370"/>
    <w:rsid w:val="002E0407"/>
    <w:rsid w:val="002E6474"/>
    <w:rsid w:val="002E79CB"/>
    <w:rsid w:val="002F0471"/>
    <w:rsid w:val="002F1714"/>
    <w:rsid w:val="002F2CAC"/>
    <w:rsid w:val="002F5CA7"/>
    <w:rsid w:val="002F7F55"/>
    <w:rsid w:val="0030745F"/>
    <w:rsid w:val="00311755"/>
    <w:rsid w:val="00314630"/>
    <w:rsid w:val="00316CBA"/>
    <w:rsid w:val="0032090A"/>
    <w:rsid w:val="00321CDE"/>
    <w:rsid w:val="00333E15"/>
    <w:rsid w:val="003416D3"/>
    <w:rsid w:val="003419C4"/>
    <w:rsid w:val="003571BC"/>
    <w:rsid w:val="0036090C"/>
    <w:rsid w:val="00364979"/>
    <w:rsid w:val="00385B9C"/>
    <w:rsid w:val="00385FB5"/>
    <w:rsid w:val="0038715D"/>
    <w:rsid w:val="0038764A"/>
    <w:rsid w:val="00392E84"/>
    <w:rsid w:val="00394DBF"/>
    <w:rsid w:val="003957A6"/>
    <w:rsid w:val="00397713"/>
    <w:rsid w:val="003A43EF"/>
    <w:rsid w:val="003A657F"/>
    <w:rsid w:val="003B60A2"/>
    <w:rsid w:val="003C7445"/>
    <w:rsid w:val="003D2420"/>
    <w:rsid w:val="003E39A2"/>
    <w:rsid w:val="003E57AB"/>
    <w:rsid w:val="003F2BED"/>
    <w:rsid w:val="003F5830"/>
    <w:rsid w:val="00400B49"/>
    <w:rsid w:val="0040415B"/>
    <w:rsid w:val="00405E60"/>
    <w:rsid w:val="004139E4"/>
    <w:rsid w:val="004148F1"/>
    <w:rsid w:val="00415999"/>
    <w:rsid w:val="00443878"/>
    <w:rsid w:val="004539A8"/>
    <w:rsid w:val="004646F1"/>
    <w:rsid w:val="004712CA"/>
    <w:rsid w:val="0047422E"/>
    <w:rsid w:val="0049674B"/>
    <w:rsid w:val="004A1D1B"/>
    <w:rsid w:val="004C0673"/>
    <w:rsid w:val="004C4AD5"/>
    <w:rsid w:val="004C4E4E"/>
    <w:rsid w:val="004C6BE7"/>
    <w:rsid w:val="004D1466"/>
    <w:rsid w:val="004E08F2"/>
    <w:rsid w:val="004E2231"/>
    <w:rsid w:val="004F3816"/>
    <w:rsid w:val="004F500A"/>
    <w:rsid w:val="005126A0"/>
    <w:rsid w:val="005250C1"/>
    <w:rsid w:val="00526E27"/>
    <w:rsid w:val="00537FF0"/>
    <w:rsid w:val="00543D41"/>
    <w:rsid w:val="00545472"/>
    <w:rsid w:val="005571A4"/>
    <w:rsid w:val="005604FC"/>
    <w:rsid w:val="00566EDA"/>
    <w:rsid w:val="0057081A"/>
    <w:rsid w:val="00572654"/>
    <w:rsid w:val="0059209F"/>
    <w:rsid w:val="005976A1"/>
    <w:rsid w:val="005A34E7"/>
    <w:rsid w:val="005A40A4"/>
    <w:rsid w:val="005A6164"/>
    <w:rsid w:val="005A69A3"/>
    <w:rsid w:val="005A752A"/>
    <w:rsid w:val="005B5629"/>
    <w:rsid w:val="005C0300"/>
    <w:rsid w:val="005C27A2"/>
    <w:rsid w:val="005C7CD8"/>
    <w:rsid w:val="005D4FEB"/>
    <w:rsid w:val="005D65ED"/>
    <w:rsid w:val="005E0E6C"/>
    <w:rsid w:val="005E6BA6"/>
    <w:rsid w:val="005F4B6A"/>
    <w:rsid w:val="006010F3"/>
    <w:rsid w:val="00615A0A"/>
    <w:rsid w:val="00623C5B"/>
    <w:rsid w:val="00630B21"/>
    <w:rsid w:val="006333D4"/>
    <w:rsid w:val="006338A8"/>
    <w:rsid w:val="006369B2"/>
    <w:rsid w:val="0063718D"/>
    <w:rsid w:val="00647525"/>
    <w:rsid w:val="00647A71"/>
    <w:rsid w:val="006530A8"/>
    <w:rsid w:val="006559AD"/>
    <w:rsid w:val="006570B0"/>
    <w:rsid w:val="0066022F"/>
    <w:rsid w:val="00673402"/>
    <w:rsid w:val="006823F3"/>
    <w:rsid w:val="0069210B"/>
    <w:rsid w:val="00693139"/>
    <w:rsid w:val="00695DD7"/>
    <w:rsid w:val="006A0F3F"/>
    <w:rsid w:val="006A2A02"/>
    <w:rsid w:val="006A4055"/>
    <w:rsid w:val="006A7C27"/>
    <w:rsid w:val="006B1B13"/>
    <w:rsid w:val="006B2FE4"/>
    <w:rsid w:val="006B37B0"/>
    <w:rsid w:val="006B6BA2"/>
    <w:rsid w:val="006C5641"/>
    <w:rsid w:val="006D1089"/>
    <w:rsid w:val="006D1B86"/>
    <w:rsid w:val="006D7355"/>
    <w:rsid w:val="006E1B65"/>
    <w:rsid w:val="006F0797"/>
    <w:rsid w:val="006F655F"/>
    <w:rsid w:val="006F7DEE"/>
    <w:rsid w:val="006F7FE2"/>
    <w:rsid w:val="00702087"/>
    <w:rsid w:val="00702958"/>
    <w:rsid w:val="00706FF2"/>
    <w:rsid w:val="00715CA6"/>
    <w:rsid w:val="00727CA4"/>
    <w:rsid w:val="00731135"/>
    <w:rsid w:val="007324AF"/>
    <w:rsid w:val="00735669"/>
    <w:rsid w:val="007409B4"/>
    <w:rsid w:val="00741624"/>
    <w:rsid w:val="00741974"/>
    <w:rsid w:val="007454B6"/>
    <w:rsid w:val="00753CFA"/>
    <w:rsid w:val="0075525E"/>
    <w:rsid w:val="00756D3D"/>
    <w:rsid w:val="007648B5"/>
    <w:rsid w:val="00770CC4"/>
    <w:rsid w:val="007806C2"/>
    <w:rsid w:val="00780DB5"/>
    <w:rsid w:val="00781FEE"/>
    <w:rsid w:val="00782DF7"/>
    <w:rsid w:val="007903F8"/>
    <w:rsid w:val="00791D75"/>
    <w:rsid w:val="00794F4F"/>
    <w:rsid w:val="007955D9"/>
    <w:rsid w:val="007974BE"/>
    <w:rsid w:val="007A0916"/>
    <w:rsid w:val="007A0DFD"/>
    <w:rsid w:val="007A1570"/>
    <w:rsid w:val="007A6A4A"/>
    <w:rsid w:val="007B5B6D"/>
    <w:rsid w:val="007C5ED4"/>
    <w:rsid w:val="007C7122"/>
    <w:rsid w:val="007D3F11"/>
    <w:rsid w:val="007D7E69"/>
    <w:rsid w:val="007E2C69"/>
    <w:rsid w:val="007E53E4"/>
    <w:rsid w:val="007E656A"/>
    <w:rsid w:val="007E7B08"/>
    <w:rsid w:val="007F3CAA"/>
    <w:rsid w:val="007F664D"/>
    <w:rsid w:val="007F7416"/>
    <w:rsid w:val="00801B42"/>
    <w:rsid w:val="00802B6E"/>
    <w:rsid w:val="008249A7"/>
    <w:rsid w:val="00836C4B"/>
    <w:rsid w:val="00836D45"/>
    <w:rsid w:val="00837203"/>
    <w:rsid w:val="00842137"/>
    <w:rsid w:val="008506EF"/>
    <w:rsid w:val="00851E6C"/>
    <w:rsid w:val="00853F5F"/>
    <w:rsid w:val="00855FEE"/>
    <w:rsid w:val="00856C7A"/>
    <w:rsid w:val="008623ED"/>
    <w:rsid w:val="00875AA6"/>
    <w:rsid w:val="00880944"/>
    <w:rsid w:val="0088208C"/>
    <w:rsid w:val="0089088E"/>
    <w:rsid w:val="00892297"/>
    <w:rsid w:val="008930F2"/>
    <w:rsid w:val="0089430B"/>
    <w:rsid w:val="008964D6"/>
    <w:rsid w:val="008B5123"/>
    <w:rsid w:val="008B51AF"/>
    <w:rsid w:val="008C23A9"/>
    <w:rsid w:val="008C5A9A"/>
    <w:rsid w:val="008C6F53"/>
    <w:rsid w:val="008D00E2"/>
    <w:rsid w:val="008D1E1E"/>
    <w:rsid w:val="008E0172"/>
    <w:rsid w:val="008F5B3A"/>
    <w:rsid w:val="00902F6F"/>
    <w:rsid w:val="0091471C"/>
    <w:rsid w:val="00936852"/>
    <w:rsid w:val="00936882"/>
    <w:rsid w:val="0094045D"/>
    <w:rsid w:val="009406B5"/>
    <w:rsid w:val="0094244E"/>
    <w:rsid w:val="00946166"/>
    <w:rsid w:val="009556C8"/>
    <w:rsid w:val="00966B5C"/>
    <w:rsid w:val="00981678"/>
    <w:rsid w:val="00983164"/>
    <w:rsid w:val="00984252"/>
    <w:rsid w:val="00995929"/>
    <w:rsid w:val="009972EF"/>
    <w:rsid w:val="009B5035"/>
    <w:rsid w:val="009B7182"/>
    <w:rsid w:val="009C3160"/>
    <w:rsid w:val="009D325F"/>
    <w:rsid w:val="009D399E"/>
    <w:rsid w:val="009D644B"/>
    <w:rsid w:val="009E1F19"/>
    <w:rsid w:val="009E4B6B"/>
    <w:rsid w:val="009E502E"/>
    <w:rsid w:val="009E766E"/>
    <w:rsid w:val="009F1960"/>
    <w:rsid w:val="009F4B1A"/>
    <w:rsid w:val="009F715E"/>
    <w:rsid w:val="009F78FE"/>
    <w:rsid w:val="00A032C4"/>
    <w:rsid w:val="00A10DBB"/>
    <w:rsid w:val="00A11720"/>
    <w:rsid w:val="00A21247"/>
    <w:rsid w:val="00A2166D"/>
    <w:rsid w:val="00A311F0"/>
    <w:rsid w:val="00A31D47"/>
    <w:rsid w:val="00A32517"/>
    <w:rsid w:val="00A37D4F"/>
    <w:rsid w:val="00A4013E"/>
    <w:rsid w:val="00A4045F"/>
    <w:rsid w:val="00A427CD"/>
    <w:rsid w:val="00A45FEE"/>
    <w:rsid w:val="00A4600B"/>
    <w:rsid w:val="00A4667E"/>
    <w:rsid w:val="00A50506"/>
    <w:rsid w:val="00A51EF0"/>
    <w:rsid w:val="00A55AD2"/>
    <w:rsid w:val="00A600CD"/>
    <w:rsid w:val="00A64B27"/>
    <w:rsid w:val="00A67A81"/>
    <w:rsid w:val="00A730A6"/>
    <w:rsid w:val="00A743C5"/>
    <w:rsid w:val="00A749BC"/>
    <w:rsid w:val="00A827B0"/>
    <w:rsid w:val="00A96899"/>
    <w:rsid w:val="00A971A0"/>
    <w:rsid w:val="00AA1186"/>
    <w:rsid w:val="00AA1F22"/>
    <w:rsid w:val="00AB37FB"/>
    <w:rsid w:val="00AB3C26"/>
    <w:rsid w:val="00AB3CD1"/>
    <w:rsid w:val="00AC3E73"/>
    <w:rsid w:val="00AC63B0"/>
    <w:rsid w:val="00AE35C8"/>
    <w:rsid w:val="00AF0D98"/>
    <w:rsid w:val="00B05821"/>
    <w:rsid w:val="00B100D6"/>
    <w:rsid w:val="00B164C9"/>
    <w:rsid w:val="00B23067"/>
    <w:rsid w:val="00B2519B"/>
    <w:rsid w:val="00B26C28"/>
    <w:rsid w:val="00B34BD9"/>
    <w:rsid w:val="00B4174C"/>
    <w:rsid w:val="00B4400B"/>
    <w:rsid w:val="00B453F5"/>
    <w:rsid w:val="00B5162E"/>
    <w:rsid w:val="00B61624"/>
    <w:rsid w:val="00B62093"/>
    <w:rsid w:val="00B66481"/>
    <w:rsid w:val="00B67344"/>
    <w:rsid w:val="00B7189C"/>
    <w:rsid w:val="00B718A5"/>
    <w:rsid w:val="00B804AB"/>
    <w:rsid w:val="00B8261E"/>
    <w:rsid w:val="00B86602"/>
    <w:rsid w:val="00BA7411"/>
    <w:rsid w:val="00BA788A"/>
    <w:rsid w:val="00BB4120"/>
    <w:rsid w:val="00BB4983"/>
    <w:rsid w:val="00BB7597"/>
    <w:rsid w:val="00BC62E2"/>
    <w:rsid w:val="00BE2E83"/>
    <w:rsid w:val="00BE4AC3"/>
    <w:rsid w:val="00BE51EC"/>
    <w:rsid w:val="00BE7A16"/>
    <w:rsid w:val="00C0066D"/>
    <w:rsid w:val="00C00A5F"/>
    <w:rsid w:val="00C01B01"/>
    <w:rsid w:val="00C17874"/>
    <w:rsid w:val="00C22F52"/>
    <w:rsid w:val="00C34C7C"/>
    <w:rsid w:val="00C37D79"/>
    <w:rsid w:val="00C4100A"/>
    <w:rsid w:val="00C42125"/>
    <w:rsid w:val="00C42D54"/>
    <w:rsid w:val="00C435DA"/>
    <w:rsid w:val="00C47120"/>
    <w:rsid w:val="00C557CE"/>
    <w:rsid w:val="00C62814"/>
    <w:rsid w:val="00C67B25"/>
    <w:rsid w:val="00C744D4"/>
    <w:rsid w:val="00C748F7"/>
    <w:rsid w:val="00C74937"/>
    <w:rsid w:val="00C9478E"/>
    <w:rsid w:val="00CB2599"/>
    <w:rsid w:val="00CB2E74"/>
    <w:rsid w:val="00CC386F"/>
    <w:rsid w:val="00CD2139"/>
    <w:rsid w:val="00CE5986"/>
    <w:rsid w:val="00CE6502"/>
    <w:rsid w:val="00D10A47"/>
    <w:rsid w:val="00D26477"/>
    <w:rsid w:val="00D56CC3"/>
    <w:rsid w:val="00D6032B"/>
    <w:rsid w:val="00D647EF"/>
    <w:rsid w:val="00D73137"/>
    <w:rsid w:val="00D8421A"/>
    <w:rsid w:val="00D977A2"/>
    <w:rsid w:val="00DA1D47"/>
    <w:rsid w:val="00DB0706"/>
    <w:rsid w:val="00DD50DE"/>
    <w:rsid w:val="00DD5295"/>
    <w:rsid w:val="00DE1204"/>
    <w:rsid w:val="00DE3062"/>
    <w:rsid w:val="00E0166F"/>
    <w:rsid w:val="00E0581D"/>
    <w:rsid w:val="00E1590B"/>
    <w:rsid w:val="00E204DD"/>
    <w:rsid w:val="00E228B7"/>
    <w:rsid w:val="00E353EC"/>
    <w:rsid w:val="00E432F3"/>
    <w:rsid w:val="00E51F61"/>
    <w:rsid w:val="00E53C24"/>
    <w:rsid w:val="00E56E77"/>
    <w:rsid w:val="00E57B0C"/>
    <w:rsid w:val="00E855B7"/>
    <w:rsid w:val="00E85B28"/>
    <w:rsid w:val="00E86B40"/>
    <w:rsid w:val="00E91A70"/>
    <w:rsid w:val="00EA0BE7"/>
    <w:rsid w:val="00EA76C2"/>
    <w:rsid w:val="00EB444D"/>
    <w:rsid w:val="00EB6A93"/>
    <w:rsid w:val="00EC729D"/>
    <w:rsid w:val="00ED1B45"/>
    <w:rsid w:val="00ED4CD2"/>
    <w:rsid w:val="00ED4F08"/>
    <w:rsid w:val="00ED601E"/>
    <w:rsid w:val="00EE1A06"/>
    <w:rsid w:val="00EE5A23"/>
    <w:rsid w:val="00EE5C0D"/>
    <w:rsid w:val="00EE706B"/>
    <w:rsid w:val="00EF4792"/>
    <w:rsid w:val="00EF76DC"/>
    <w:rsid w:val="00F0167A"/>
    <w:rsid w:val="00F02294"/>
    <w:rsid w:val="00F0781E"/>
    <w:rsid w:val="00F161FC"/>
    <w:rsid w:val="00F20517"/>
    <w:rsid w:val="00F30DE7"/>
    <w:rsid w:val="00F33ACE"/>
    <w:rsid w:val="00F35F57"/>
    <w:rsid w:val="00F364D5"/>
    <w:rsid w:val="00F374B0"/>
    <w:rsid w:val="00F3789A"/>
    <w:rsid w:val="00F50467"/>
    <w:rsid w:val="00F539E8"/>
    <w:rsid w:val="00F562A0"/>
    <w:rsid w:val="00F57FA4"/>
    <w:rsid w:val="00F77EC3"/>
    <w:rsid w:val="00F8179E"/>
    <w:rsid w:val="00F931D8"/>
    <w:rsid w:val="00F9547A"/>
    <w:rsid w:val="00FA02CB"/>
    <w:rsid w:val="00FA2177"/>
    <w:rsid w:val="00FA702C"/>
    <w:rsid w:val="00FB0783"/>
    <w:rsid w:val="00FB7A8B"/>
    <w:rsid w:val="00FC0370"/>
    <w:rsid w:val="00FC2485"/>
    <w:rsid w:val="00FD439E"/>
    <w:rsid w:val="00FD76CB"/>
    <w:rsid w:val="00FE152B"/>
    <w:rsid w:val="00FE239E"/>
    <w:rsid w:val="00FE2528"/>
    <w:rsid w:val="00FE399B"/>
    <w:rsid w:val="00FF1151"/>
    <w:rsid w:val="00FF4546"/>
    <w:rsid w:val="00FF538F"/>
    <w:rsid w:val="16CBFBE6"/>
    <w:rsid w:val="17EECDA5"/>
    <w:rsid w:val="2149A48D"/>
    <w:rsid w:val="217D51D7"/>
    <w:rsid w:val="263A1242"/>
    <w:rsid w:val="3439E286"/>
    <w:rsid w:val="51AD9656"/>
    <w:rsid w:val="52F5040C"/>
    <w:rsid w:val="5708EC07"/>
    <w:rsid w:val="59246EEA"/>
    <w:rsid w:val="59CD832D"/>
    <w:rsid w:val="6A5E9E19"/>
    <w:rsid w:val="71F4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4C25A08F-E4F3-4CF5-8681-C0C9C9DA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764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D033C"/>
    <w:pPr>
      <w:ind w:left="2269"/>
    </w:pPr>
  </w:style>
  <w:style w:type="character" w:styleId="Hyperlink">
    <w:name w:val="Hyperlink"/>
    <w:basedOn w:val="DefaultParagraphFont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paragraph" w:customStyle="1" w:styleId="Default">
    <w:name w:val="Default"/>
    <w:rsid w:val="006B1B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7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0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en/ITU-T/Workshops-and-Seminars/qos/20240304/Pages/default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.adolph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github.com/openitu/ST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studygroups/2022-2024/12/Pages/2404-summary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2F930091BE46B3B0E2754971D8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C1E20-08CA-4A42-849D-1195CFDA93B5}"/>
      </w:docPartPr>
      <w:docPartBody>
        <w:p w:rsidR="000570F5" w:rsidRDefault="002E3025" w:rsidP="002E3025">
          <w:pPr>
            <w:pStyle w:val="A62F930091BE46B3B0E2754971D8C08F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27A18D6C8EB46048737ADD19B934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457D-2043-4A16-BBB9-C808AE8B64F6}"/>
      </w:docPartPr>
      <w:docPartBody>
        <w:p w:rsidR="003829AD" w:rsidRDefault="00CC0DF0" w:rsidP="00CC0DF0">
          <w:pPr>
            <w:pStyle w:val="627A18D6C8EB46048737ADD19B934E5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25"/>
    <w:rsid w:val="000570F5"/>
    <w:rsid w:val="00234999"/>
    <w:rsid w:val="00282EC1"/>
    <w:rsid w:val="002E3025"/>
    <w:rsid w:val="003829AD"/>
    <w:rsid w:val="003932D3"/>
    <w:rsid w:val="004D6B6B"/>
    <w:rsid w:val="005861CE"/>
    <w:rsid w:val="0079457A"/>
    <w:rsid w:val="007B5B6D"/>
    <w:rsid w:val="007F7416"/>
    <w:rsid w:val="00802765"/>
    <w:rsid w:val="00C1677B"/>
    <w:rsid w:val="00CC0DF0"/>
    <w:rsid w:val="00E9135A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DF0"/>
    <w:rPr>
      <w:rFonts w:ascii="Times New Roman" w:hAnsi="Times New Roman"/>
      <w:color w:val="808080"/>
    </w:rPr>
  </w:style>
  <w:style w:type="paragraph" w:customStyle="1" w:styleId="A62F930091BE46B3B0E2754971D8C08F">
    <w:name w:val="A62F930091BE46B3B0E2754971D8C08F"/>
    <w:rsid w:val="002E3025"/>
  </w:style>
  <w:style w:type="paragraph" w:customStyle="1" w:styleId="627A18D6C8EB46048737ADD19B934E5B">
    <w:name w:val="627A18D6C8EB46048737ADD19B934E5B"/>
    <w:rsid w:val="00CC0DF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BBA7A6-AE2F-44D1-85FE-811BBDB2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3</TotalTime>
  <Pages>2</Pages>
  <Words>958</Words>
  <Characters>5426</Characters>
  <Application>Microsoft Office Word</Application>
  <DocSecurity>4</DocSecurity>
  <Lines>139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SG12 Lead Study Group Report</vt:lpstr>
    </vt:vector>
  </TitlesOfParts>
  <Manager>ITU-T</Manager>
  <Company>International Telecommunication Union (ITU)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SG12 Lead Study Group Report</dc:title>
  <dc:subject/>
  <dc:creator>Chair, ITU-T SG12</dc:creator>
  <cp:keywords/>
  <dc:description>TSAG-TD537  For: Geneva, 29 July - 2 August 2024_x000d_Document date: _x000d_Saved by ITU51017905 at 10:09:24 on 24/06/2024</dc:description>
  <cp:lastModifiedBy>Al-Mnini, Lara</cp:lastModifiedBy>
  <cp:revision>2</cp:revision>
  <cp:lastPrinted>2016-12-23T12:52:00Z</cp:lastPrinted>
  <dcterms:created xsi:type="dcterms:W3CDTF">2024-07-01T07:06:00Z</dcterms:created>
  <dcterms:modified xsi:type="dcterms:W3CDTF">2024-07-01T07:06:00Z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TSAG-TD537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29 July - 2 August 2024</vt:lpwstr>
  </property>
  <property fmtid="{D5CDD505-2E9C-101B-9397-08002B2CF9AE}" pid="8" name="Docauthor">
    <vt:lpwstr>Chair, ITU-T SG12</vt:lpwstr>
  </property>
</Properties>
</file>