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9"/>
        <w:gridCol w:w="4588"/>
        <w:gridCol w:w="3625"/>
        <w:gridCol w:w="7"/>
      </w:tblGrid>
      <w:tr w:rsidR="008C39F0" w:rsidRPr="00233DC4" w14:paraId="3A7FDD0B" w14:textId="77777777" w:rsidTr="00AB77D7">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3"/>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gridSpan w:val="2"/>
            <w:shd w:val="clear" w:color="auto" w:fill="auto"/>
            <w:hideMark/>
          </w:tcPr>
          <w:p w14:paraId="51CCD7CE" w14:textId="7E81E034" w:rsidR="008C39F0" w:rsidRPr="00233DC4" w:rsidRDefault="008C39F0" w:rsidP="00960FEC">
            <w:pPr>
              <w:pStyle w:val="Docnumber"/>
              <w:rPr>
                <w:color w:val="FF0000"/>
              </w:rPr>
            </w:pPr>
            <w:r w:rsidRPr="00233DC4">
              <w:rPr>
                <w:color w:val="000000" w:themeColor="text1"/>
              </w:rPr>
              <w:t>TSAG-TD</w:t>
            </w:r>
            <w:r w:rsidR="009A713C">
              <w:rPr>
                <w:color w:val="000000" w:themeColor="text1"/>
              </w:rPr>
              <w:t>61</w:t>
            </w:r>
            <w:r w:rsidR="00AB77D7">
              <w:rPr>
                <w:color w:val="000000" w:themeColor="text1"/>
              </w:rPr>
              <w:t>3</w:t>
            </w:r>
          </w:p>
        </w:tc>
      </w:tr>
      <w:tr w:rsidR="008C39F0" w:rsidRPr="00233DC4" w14:paraId="1183E310" w14:textId="77777777" w:rsidTr="00AB77D7">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gridSpan w:val="2"/>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AB77D7">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3"/>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gridSpan w:val="2"/>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AB77D7">
        <w:trPr>
          <w:cantSplit/>
          <w:trHeight w:val="20"/>
        </w:trPr>
        <w:tc>
          <w:tcPr>
            <w:tcW w:w="1701" w:type="dxa"/>
            <w:gridSpan w:val="2"/>
            <w:hideMark/>
          </w:tcPr>
          <w:p w14:paraId="05B93F94" w14:textId="77777777" w:rsidR="008C39F0" w:rsidRPr="00060166" w:rsidRDefault="008C39F0" w:rsidP="00960FEC">
            <w:pPr>
              <w:rPr>
                <w:b/>
                <w:bCs/>
              </w:rPr>
            </w:pPr>
            <w:r w:rsidRPr="00060166">
              <w:rPr>
                <w:b/>
                <w:bCs/>
              </w:rPr>
              <w:t>Question(s):</w:t>
            </w:r>
          </w:p>
        </w:tc>
        <w:tc>
          <w:tcPr>
            <w:tcW w:w="4597" w:type="dxa"/>
            <w:gridSpan w:val="2"/>
            <w:hideMark/>
          </w:tcPr>
          <w:p w14:paraId="2EC8C991" w14:textId="77777777" w:rsidR="008C39F0" w:rsidRPr="00060166" w:rsidRDefault="008C39F0" w:rsidP="00960FEC">
            <w:r w:rsidRPr="00060166">
              <w:t>N/A</w:t>
            </w:r>
          </w:p>
        </w:tc>
        <w:tc>
          <w:tcPr>
            <w:tcW w:w="3632" w:type="dxa"/>
            <w:gridSpan w:val="2"/>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AB77D7">
        <w:trPr>
          <w:cantSplit/>
          <w:trHeight w:val="20"/>
        </w:trPr>
        <w:tc>
          <w:tcPr>
            <w:tcW w:w="9930" w:type="dxa"/>
            <w:gridSpan w:val="6"/>
            <w:hideMark/>
          </w:tcPr>
          <w:p w14:paraId="5B564A5A" w14:textId="77777777" w:rsidR="008C39F0" w:rsidRPr="00060166" w:rsidRDefault="008C39F0" w:rsidP="00960FEC">
            <w:pPr>
              <w:jc w:val="center"/>
              <w:rPr>
                <w:b/>
                <w:bCs/>
              </w:rPr>
            </w:pPr>
            <w:r w:rsidRPr="00060166">
              <w:rPr>
                <w:b/>
                <w:bCs/>
              </w:rPr>
              <w:t>TD</w:t>
            </w:r>
          </w:p>
        </w:tc>
      </w:tr>
      <w:tr w:rsidR="00AB77D7" w14:paraId="1A531D0E" w14:textId="77777777" w:rsidTr="00B42C72">
        <w:trPr>
          <w:gridAfter w:val="1"/>
          <w:wAfter w:w="7" w:type="dxa"/>
          <w:cantSplit/>
        </w:trPr>
        <w:tc>
          <w:tcPr>
            <w:tcW w:w="1710" w:type="dxa"/>
            <w:gridSpan w:val="3"/>
            <w:hideMark/>
          </w:tcPr>
          <w:p w14:paraId="1CA1FBAF" w14:textId="77777777" w:rsidR="00AB77D7" w:rsidRDefault="00AB77D7">
            <w:pPr>
              <w:spacing w:line="256" w:lineRule="auto"/>
              <w:rPr>
                <w:b/>
                <w:bCs/>
                <w:lang w:val="en-US"/>
              </w:rPr>
            </w:pPr>
            <w:r>
              <w:rPr>
                <w:b/>
                <w:bCs/>
                <w:lang w:val="en-US"/>
              </w:rPr>
              <w:t>Source:</w:t>
            </w:r>
          </w:p>
        </w:tc>
        <w:tc>
          <w:tcPr>
            <w:tcW w:w="8213" w:type="dxa"/>
            <w:gridSpan w:val="2"/>
            <w:hideMark/>
          </w:tcPr>
          <w:p w14:paraId="0D4139CD" w14:textId="7E2498B6" w:rsidR="00AB77D7" w:rsidRDefault="00AB77D7">
            <w:pPr>
              <w:pStyle w:val="TSBHeaderSource"/>
              <w:spacing w:line="256" w:lineRule="auto"/>
              <w:rPr>
                <w:lang w:val="en-US"/>
              </w:rPr>
            </w:pPr>
            <w:r>
              <w:t>Rapporteur, RG-WTSA</w:t>
            </w:r>
            <w:r>
              <w:rPr>
                <w:lang w:val="en-US"/>
              </w:rPr>
              <w:t xml:space="preserve"> </w:t>
            </w:r>
          </w:p>
        </w:tc>
      </w:tr>
      <w:tr w:rsidR="00AB77D7" w14:paraId="2C536DCE" w14:textId="77777777" w:rsidTr="00B42C72">
        <w:trPr>
          <w:gridAfter w:val="1"/>
          <w:wAfter w:w="7" w:type="dxa"/>
          <w:cantSplit/>
        </w:trPr>
        <w:tc>
          <w:tcPr>
            <w:tcW w:w="1710" w:type="dxa"/>
            <w:gridSpan w:val="3"/>
            <w:tcBorders>
              <w:top w:val="nil"/>
              <w:left w:val="nil"/>
              <w:bottom w:val="single" w:sz="8" w:space="0" w:color="auto"/>
              <w:right w:val="nil"/>
            </w:tcBorders>
            <w:hideMark/>
          </w:tcPr>
          <w:p w14:paraId="018E62AE" w14:textId="77777777" w:rsidR="00AB77D7" w:rsidRDefault="00AB77D7">
            <w:pPr>
              <w:spacing w:line="256" w:lineRule="auto"/>
              <w:rPr>
                <w:b/>
                <w:bCs/>
                <w:lang w:val="en-US"/>
              </w:rPr>
            </w:pPr>
            <w:r>
              <w:rPr>
                <w:b/>
                <w:bCs/>
                <w:lang w:val="en-US"/>
              </w:rPr>
              <w:t>Title:</w:t>
            </w:r>
          </w:p>
        </w:tc>
        <w:tc>
          <w:tcPr>
            <w:tcW w:w="8213" w:type="dxa"/>
            <w:gridSpan w:val="2"/>
            <w:tcBorders>
              <w:top w:val="nil"/>
              <w:left w:val="nil"/>
              <w:bottom w:val="single" w:sz="8" w:space="0" w:color="auto"/>
              <w:right w:val="nil"/>
            </w:tcBorders>
            <w:hideMark/>
          </w:tcPr>
          <w:p w14:paraId="4E6C505A" w14:textId="7EF4CB2E" w:rsidR="00AB77D7" w:rsidRDefault="00AB77D7">
            <w:pPr>
              <w:pStyle w:val="TSBHeaderTitle"/>
              <w:spacing w:line="256" w:lineRule="auto"/>
              <w:rPr>
                <w:lang w:val="en-US"/>
              </w:rPr>
            </w:pPr>
            <w:r w:rsidRPr="0001401C">
              <w:t>RG-WTSA deliverable: Draft A.</w:t>
            </w:r>
            <w:r w:rsidRPr="00010827">
              <w:rPr>
                <w:bCs/>
              </w:rPr>
              <w:t>BN</w:t>
            </w:r>
            <w:r w:rsidRPr="0001401C">
              <w:t xml:space="preserve"> </w:t>
            </w:r>
            <w:r w:rsidRPr="00AB77D7">
              <w:t>“Briefing note on how to chair WTSA Sub-committee/Ad Hoc Group meetings”</w:t>
            </w:r>
            <w:r w:rsidR="00F504DA">
              <w:t xml:space="preserve"> for agreement</w:t>
            </w:r>
          </w:p>
        </w:tc>
      </w:tr>
      <w:tr w:rsidR="008C39F0" w:rsidRPr="00B42C72" w14:paraId="16EB2DF4" w14:textId="77777777" w:rsidTr="00AB77D7">
        <w:trPr>
          <w:trHeight w:val="764"/>
        </w:trPr>
        <w:tc>
          <w:tcPr>
            <w:tcW w:w="1701" w:type="dxa"/>
            <w:gridSpan w:val="2"/>
            <w:tcBorders>
              <w:top w:val="nil"/>
              <w:left w:val="nil"/>
              <w:bottom w:val="single" w:sz="4" w:space="0" w:color="auto"/>
              <w:right w:val="nil"/>
            </w:tcBorders>
          </w:tcPr>
          <w:p w14:paraId="51F9477F" w14:textId="480E16D9" w:rsidR="008C39F0" w:rsidRPr="00060166" w:rsidRDefault="00B34358" w:rsidP="00B34358">
            <w:pPr>
              <w:rPr>
                <w:b/>
                <w:bCs/>
              </w:rPr>
            </w:pPr>
            <w:r w:rsidRPr="0068196C">
              <w:rPr>
                <w:b/>
                <w:bCs/>
              </w:rPr>
              <w:t>Contact:</w:t>
            </w:r>
            <w:r>
              <w:rPr>
                <w:b/>
                <w:bCs/>
              </w:rPr>
              <w:br/>
            </w:r>
            <w:r>
              <w:rPr>
                <w:b/>
                <w:bCs/>
              </w:rPr>
              <w:br/>
            </w:r>
          </w:p>
        </w:tc>
        <w:tc>
          <w:tcPr>
            <w:tcW w:w="4597" w:type="dxa"/>
            <w:gridSpan w:val="2"/>
            <w:tcBorders>
              <w:top w:val="nil"/>
              <w:left w:val="nil"/>
              <w:bottom w:val="single" w:sz="4" w:space="0" w:color="auto"/>
              <w:right w:val="nil"/>
            </w:tcBorders>
          </w:tcPr>
          <w:p w14:paraId="6338BB83" w14:textId="0F397235" w:rsidR="008C39F0" w:rsidRPr="005763B4" w:rsidRDefault="00B34358" w:rsidP="00960FEC">
            <w:pPr>
              <w:rPr>
                <w:lang w:val="fr-FR"/>
              </w:rPr>
            </w:pPr>
            <w:r w:rsidRPr="00350213">
              <w:rPr>
                <w:rFonts w:asciiTheme="majorBidi" w:hAnsiTheme="majorBidi" w:cstheme="majorBidi"/>
                <w:bCs/>
                <w:lang w:val="fr-FR"/>
              </w:rPr>
              <w:t>Fang LI</w:t>
            </w:r>
            <w:r>
              <w:rPr>
                <w:rFonts w:asciiTheme="majorBidi" w:hAnsiTheme="majorBidi" w:cstheme="majorBidi"/>
                <w:bCs/>
                <w:lang w:val="fr-FR"/>
              </w:rPr>
              <w:br/>
            </w:r>
            <w:r w:rsidRPr="00350213">
              <w:rPr>
                <w:rFonts w:asciiTheme="majorBidi" w:hAnsiTheme="majorBidi" w:cstheme="majorBidi"/>
                <w:bCs/>
                <w:lang w:val="fr-FR"/>
              </w:rPr>
              <w:t>Rapporteur, TSAG RG-WTSA</w:t>
            </w:r>
            <w:r>
              <w:rPr>
                <w:rFonts w:asciiTheme="majorBidi" w:hAnsiTheme="majorBidi" w:cstheme="majorBidi"/>
                <w:bCs/>
                <w:lang w:val="fr-FR"/>
              </w:rPr>
              <w:br/>
            </w:r>
            <w:r w:rsidRPr="00350213">
              <w:rPr>
                <w:rFonts w:asciiTheme="majorBidi" w:hAnsiTheme="majorBidi" w:cstheme="majorBidi"/>
                <w:bCs/>
                <w:lang w:val="fr-FR"/>
              </w:rPr>
              <w:t>CAICT, MIIT, China</w:t>
            </w:r>
          </w:p>
        </w:tc>
        <w:tc>
          <w:tcPr>
            <w:tcW w:w="3632" w:type="dxa"/>
            <w:gridSpan w:val="2"/>
            <w:tcBorders>
              <w:top w:val="nil"/>
              <w:left w:val="nil"/>
              <w:bottom w:val="single" w:sz="4" w:space="0" w:color="auto"/>
              <w:right w:val="nil"/>
            </w:tcBorders>
          </w:tcPr>
          <w:p w14:paraId="6C5EBEC2" w14:textId="6A3EFFAA" w:rsidR="00B34358" w:rsidRPr="00B34358" w:rsidRDefault="00B34358" w:rsidP="00B34358">
            <w:pPr>
              <w:rPr>
                <w:rFonts w:asciiTheme="majorBidi" w:hAnsiTheme="majorBidi" w:cstheme="majorBidi"/>
                <w:bCs/>
                <w:lang w:val="de-DE"/>
              </w:rPr>
            </w:pPr>
            <w:r w:rsidRPr="00B769A8">
              <w:rPr>
                <w:rFonts w:asciiTheme="majorBidi" w:hAnsiTheme="majorBidi" w:cstheme="majorBidi"/>
                <w:bCs/>
                <w:lang w:val="de-DE"/>
              </w:rPr>
              <w:t>Tel: +86-10-62300104</w:t>
            </w:r>
            <w:r>
              <w:rPr>
                <w:rFonts w:asciiTheme="majorBidi" w:hAnsiTheme="majorBidi" w:cstheme="majorBidi"/>
                <w:bCs/>
                <w:lang w:val="de-DE"/>
              </w:rPr>
              <w:br/>
            </w:r>
            <w:r w:rsidRPr="00B769A8">
              <w:rPr>
                <w:rFonts w:asciiTheme="majorBidi" w:hAnsiTheme="majorBidi" w:cstheme="majorBidi"/>
                <w:bCs/>
                <w:lang w:val="de-DE"/>
              </w:rPr>
              <w:t xml:space="preserve">E-mail: </w:t>
            </w:r>
            <w:hyperlink r:id="rId12" w:history="1">
              <w:r w:rsidRPr="00F26B0D">
                <w:rPr>
                  <w:rStyle w:val="Hyperlink"/>
                  <w:rFonts w:asciiTheme="majorBidi" w:hAnsiTheme="majorBidi" w:cstheme="majorBidi"/>
                  <w:lang w:val="de-DE"/>
                </w:rPr>
                <w:t>lifang@caict.ac.cn</w:t>
              </w:r>
            </w:hyperlink>
          </w:p>
          <w:p w14:paraId="127E6B68" w14:textId="0E2FF600" w:rsidR="008C39F0" w:rsidRPr="00060166" w:rsidRDefault="008C39F0" w:rsidP="00960FEC">
            <w:pPr>
              <w:rPr>
                <w:lang w:val="de-DE"/>
              </w:rPr>
            </w:pPr>
          </w:p>
        </w:tc>
      </w:tr>
      <w:tr w:rsidR="00AB77D7" w:rsidRPr="00B42C72" w14:paraId="45898708" w14:textId="77777777" w:rsidTr="003B4C91">
        <w:trPr>
          <w:trHeight w:val="851"/>
        </w:trPr>
        <w:tc>
          <w:tcPr>
            <w:tcW w:w="1701" w:type="dxa"/>
            <w:gridSpan w:val="2"/>
            <w:tcBorders>
              <w:top w:val="single" w:sz="4" w:space="0" w:color="auto"/>
              <w:left w:val="nil"/>
              <w:bottom w:val="single" w:sz="12" w:space="0" w:color="auto"/>
              <w:right w:val="nil"/>
            </w:tcBorders>
          </w:tcPr>
          <w:p w14:paraId="194D3ABD" w14:textId="17A13E27" w:rsidR="00AB77D7" w:rsidRPr="0068196C" w:rsidRDefault="00AB77D7" w:rsidP="00B34358">
            <w:pPr>
              <w:rPr>
                <w:b/>
                <w:bCs/>
              </w:rPr>
            </w:pPr>
            <w:r w:rsidRPr="00B42C72">
              <w:rPr>
                <w:b/>
                <w:bCs/>
                <w:lang w:val="de-DE"/>
              </w:rPr>
              <w:br/>
            </w:r>
            <w:r w:rsidRPr="00060166">
              <w:rPr>
                <w:b/>
                <w:bCs/>
              </w:rPr>
              <w:t>Contact:</w:t>
            </w:r>
          </w:p>
        </w:tc>
        <w:tc>
          <w:tcPr>
            <w:tcW w:w="4597" w:type="dxa"/>
            <w:gridSpan w:val="2"/>
            <w:tcBorders>
              <w:top w:val="single" w:sz="4" w:space="0" w:color="auto"/>
              <w:left w:val="nil"/>
              <w:bottom w:val="single" w:sz="12" w:space="0" w:color="auto"/>
              <w:right w:val="nil"/>
            </w:tcBorders>
          </w:tcPr>
          <w:p w14:paraId="42D321F4" w14:textId="77777777" w:rsidR="00AB77D7" w:rsidRPr="00AB77D7" w:rsidRDefault="00AB77D7" w:rsidP="00AB77D7">
            <w:pPr>
              <w:rPr>
                <w:rFonts w:asciiTheme="majorBidi" w:hAnsiTheme="majorBidi" w:cstheme="majorBidi"/>
                <w:bCs/>
              </w:rPr>
            </w:pPr>
            <w:r>
              <w:t>Xiaoya Yang</w:t>
            </w:r>
            <w:r w:rsidRPr="00060166">
              <w:t xml:space="preserve"> </w:t>
            </w:r>
            <w:r w:rsidRPr="00060166">
              <w:br/>
            </w:r>
            <w:r w:rsidRPr="004D4291">
              <w:rPr>
                <w:rFonts w:eastAsia="SimSun"/>
                <w:bCs/>
              </w:rPr>
              <w:t>Secretary of TSAG RG-WTSA</w:t>
            </w:r>
          </w:p>
        </w:tc>
        <w:tc>
          <w:tcPr>
            <w:tcW w:w="3632" w:type="dxa"/>
            <w:gridSpan w:val="2"/>
            <w:tcBorders>
              <w:top w:val="single" w:sz="4" w:space="0" w:color="auto"/>
              <w:left w:val="nil"/>
              <w:bottom w:val="single" w:sz="12" w:space="0" w:color="auto"/>
              <w:right w:val="nil"/>
            </w:tcBorders>
          </w:tcPr>
          <w:p w14:paraId="38CA5772" w14:textId="77777777" w:rsidR="00AB77D7" w:rsidRPr="00B769A8" w:rsidRDefault="00AB77D7" w:rsidP="00AB77D7">
            <w:pPr>
              <w:rPr>
                <w:rFonts w:asciiTheme="majorBidi" w:hAnsiTheme="majorBidi" w:cstheme="majorBidi"/>
                <w:bCs/>
                <w:lang w:val="de-DE"/>
              </w:rPr>
            </w:pPr>
            <w:r w:rsidRPr="00060166">
              <w:rPr>
                <w:lang w:val="de-DE"/>
              </w:rPr>
              <w:t>Tel.:</w:t>
            </w:r>
            <w:r w:rsidRPr="00060166">
              <w:rPr>
                <w:lang w:val="de-DE"/>
              </w:rPr>
              <w:tab/>
              <w:t xml:space="preserve">+41 22 730 </w:t>
            </w:r>
            <w:r>
              <w:rPr>
                <w:lang w:val="de-DE"/>
              </w:rPr>
              <w:t>6206</w:t>
            </w:r>
            <w:r w:rsidRPr="00060166">
              <w:rPr>
                <w:lang w:val="de-DE"/>
              </w:rPr>
              <w:br/>
              <w:t xml:space="preserve">E-mail: </w:t>
            </w:r>
            <w:r w:rsidR="003B4C91">
              <w:fldChar w:fldCharType="begin"/>
            </w:r>
            <w:r w:rsidR="003B4C91" w:rsidRPr="00B42C72">
              <w:rPr>
                <w:lang w:val="de-DE"/>
              </w:rPr>
              <w:instrText>HYPERLINK "mailto:xiaoya.yang@itu.int"</w:instrText>
            </w:r>
            <w:r w:rsidR="003B4C91">
              <w:fldChar w:fldCharType="separate"/>
            </w:r>
            <w:r w:rsidRPr="00B00222">
              <w:rPr>
                <w:rStyle w:val="Hyperlink"/>
                <w:rFonts w:eastAsia="SimSun"/>
                <w:lang w:val="de-DE"/>
              </w:rPr>
              <w:t>xiaoya.yang@itu.int</w:t>
            </w:r>
            <w:r w:rsidR="003B4C91">
              <w:rPr>
                <w:rStyle w:val="Hyperlink"/>
                <w:rFonts w:eastAsia="SimSun"/>
                <w:lang w:val="de-DE"/>
              </w:rPr>
              <w:fldChar w:fldCharType="end"/>
            </w:r>
            <w:r>
              <w:rPr>
                <w:rFonts w:eastAsia="SimSun"/>
                <w:lang w:val="de-DE"/>
              </w:rPr>
              <w:t xml:space="preserve"> </w:t>
            </w:r>
          </w:p>
        </w:tc>
      </w:tr>
    </w:tbl>
    <w:p w14:paraId="4901835C" w14:textId="77777777" w:rsidR="00B34358"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4F3339AE" w:rsidR="008C39F0" w:rsidRPr="00060166" w:rsidRDefault="00B34358" w:rsidP="00010827">
            <w:pPr>
              <w:pStyle w:val="Heading1"/>
              <w:shd w:val="clear" w:color="auto" w:fill="FFFFFF"/>
              <w:tabs>
                <w:tab w:val="clear" w:pos="794"/>
              </w:tabs>
              <w:spacing w:before="120"/>
              <w:ind w:left="0" w:firstLine="0"/>
              <w:rPr>
                <w:szCs w:val="24"/>
              </w:rPr>
            </w:pPr>
            <w:r w:rsidRPr="00B34358">
              <w:rPr>
                <w:b w:val="0"/>
                <w:bCs/>
              </w:rPr>
              <w:t xml:space="preserve">This TD is the </w:t>
            </w:r>
            <w:r w:rsidR="008419B9">
              <w:rPr>
                <w:b w:val="0"/>
                <w:bCs/>
              </w:rPr>
              <w:t xml:space="preserve">outcome of </w:t>
            </w:r>
            <w:r w:rsidRPr="00B34358">
              <w:rPr>
                <w:b w:val="0"/>
                <w:bCs/>
              </w:rPr>
              <w:t xml:space="preserve">TSAG RG-WTSA </w:t>
            </w:r>
            <w:r w:rsidR="008419B9">
              <w:rPr>
                <w:b w:val="0"/>
                <w:bCs/>
              </w:rPr>
              <w:t>RGM of</w:t>
            </w:r>
            <w:r w:rsidRPr="00B34358">
              <w:rPr>
                <w:rFonts w:hint="eastAsia"/>
                <w:b w:val="0"/>
                <w:bCs/>
              </w:rPr>
              <w:t xml:space="preserve"> draft </w:t>
            </w:r>
            <w:r w:rsidR="00010827" w:rsidRPr="00010827">
              <w:rPr>
                <w:b w:val="0"/>
                <w:bCs/>
              </w:rPr>
              <w:t>A.BN “Briefing note on how to chair WTSA Sub-committee/Ad Hoc Group meetings”</w:t>
            </w:r>
            <w:r w:rsidR="005763B4">
              <w:rPr>
                <w:b w:val="0"/>
                <w:bCs/>
              </w:rPr>
              <w:t xml:space="preserve"> (ref. TSAG RG-WTSA </w:t>
            </w:r>
            <w:hyperlink r:id="rId13" w:history="1">
              <w:r w:rsidR="005763B4" w:rsidRPr="005763B4">
                <w:rPr>
                  <w:rStyle w:val="Hyperlink"/>
                  <w:b w:val="0"/>
                  <w:bCs/>
                </w:rPr>
                <w:t>DOC2R1 (240418)</w:t>
              </w:r>
            </w:hyperlink>
            <w:r w:rsidR="005763B4">
              <w:rPr>
                <w:b w:val="0"/>
                <w:bCs/>
              </w:rPr>
              <w:t>)</w:t>
            </w:r>
            <w:r w:rsidRPr="00B34358">
              <w:rPr>
                <w:b w:val="0"/>
                <w:bCs/>
              </w:rPr>
              <w:t>.</w:t>
            </w:r>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07AA6EA6" w14:textId="14E4C400" w:rsidR="008C39F0" w:rsidRPr="00060166" w:rsidRDefault="00010827" w:rsidP="00960FEC">
            <w:r>
              <w:t>TSAG</w:t>
            </w:r>
            <w:r w:rsidR="00B34358">
              <w:t xml:space="preserve"> is </w:t>
            </w:r>
            <w:r>
              <w:t xml:space="preserve">requested to approve </w:t>
            </w:r>
            <w:r w:rsidR="008419B9">
              <w:t>this TD</w:t>
            </w:r>
            <w:r>
              <w:t xml:space="preserve"> by agreement following ITU-T A.13 procedure</w:t>
            </w:r>
            <w:r w:rsidR="005B5A16">
              <w:t>.</w:t>
            </w:r>
            <w:r w:rsidR="00B34358">
              <w:t xml:space="preserve"> </w:t>
            </w:r>
          </w:p>
        </w:tc>
      </w:tr>
    </w:tbl>
    <w:p w14:paraId="7308ED96" w14:textId="77777777" w:rsidR="008C39F0" w:rsidRDefault="008C39F0" w:rsidP="008C39F0"/>
    <w:bookmarkEnd w:id="0"/>
    <w:bookmarkEnd w:id="1"/>
    <w:p w14:paraId="4371F2A6" w14:textId="58C6A55F" w:rsidR="008419B9" w:rsidRPr="008419B9" w:rsidRDefault="008419B9" w:rsidP="008419B9">
      <w:pPr>
        <w:spacing w:before="0" w:after="160" w:line="259" w:lineRule="auto"/>
        <w:rPr>
          <w:rFonts w:eastAsia="SimSun"/>
          <w:b/>
          <w:bCs/>
          <w:lang w:val="en-US"/>
        </w:rPr>
      </w:pPr>
      <w:r w:rsidRPr="008419B9">
        <w:rPr>
          <w:rFonts w:eastAsia="SimSun"/>
          <w:b/>
          <w:bCs/>
          <w:sz w:val="28"/>
        </w:rPr>
        <w:t>Briefing note on how to chair WTSA Sub-committee/Ad Hoc Group meeting</w:t>
      </w:r>
    </w:p>
    <w:p w14:paraId="0576A56C"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Introduction</w:t>
      </w:r>
    </w:p>
    <w:p w14:paraId="33B4CEEA" w14:textId="77777777" w:rsidR="008419B9" w:rsidRPr="008419B9" w:rsidRDefault="008419B9" w:rsidP="008419B9">
      <w:pPr>
        <w:rPr>
          <w:rFonts w:eastAsia="SimSun"/>
        </w:rPr>
      </w:pPr>
      <w:r w:rsidRPr="008419B9">
        <w:rPr>
          <w:rFonts w:eastAsia="SimSun"/>
        </w:rPr>
        <w:t>The ITU provides a platform for member states to engage in dialogue, negotiation, and decision-making processes, aiming to reach agreements and harmonize approaches on matters of common interest.</w:t>
      </w:r>
    </w:p>
    <w:p w14:paraId="3A72C711" w14:textId="77777777" w:rsidR="008419B9" w:rsidRPr="008419B9" w:rsidRDefault="008419B9" w:rsidP="008419B9">
      <w:pPr>
        <w:rPr>
          <w:rFonts w:eastAsia="SimSun"/>
        </w:rPr>
      </w:pPr>
      <w:r w:rsidRPr="008419B9">
        <w:rPr>
          <w:rFonts w:eastAsia="SimSun"/>
        </w:rPr>
        <w:t xml:space="preserve">This document is based on the ITU </w:t>
      </w:r>
      <w:hyperlink r:id="rId14" w:history="1">
        <w:r w:rsidRPr="008419B9">
          <w:rPr>
            <w:rFonts w:eastAsia="SimSun"/>
            <w:color w:val="0000FF"/>
            <w:u w:val="single"/>
          </w:rPr>
          <w:t>General Rules</w:t>
        </w:r>
      </w:hyperlink>
      <w:r w:rsidRPr="008419B9">
        <w:rPr>
          <w:rFonts w:eastAsia="SimSun"/>
        </w:rPr>
        <w:t xml:space="preserve"> and aggregates information for guiding a chairman of a WTSA </w:t>
      </w:r>
      <w:r w:rsidRPr="008419B9">
        <w:rPr>
          <w:rFonts w:eastAsia="SimSun"/>
          <w:b/>
          <w:bCs/>
        </w:rPr>
        <w:t>sub-committee</w:t>
      </w:r>
      <w:r w:rsidRPr="008419B9">
        <w:rPr>
          <w:rFonts w:eastAsia="SimSun"/>
        </w:rPr>
        <w:t xml:space="preserve"> ( e.g., a working group of a Committee of the Assembly, Ad hoc groups) discussion to consensual agreement and highlight current common practices. This is not intended for use by the WTSA chair or COM Chairmen. </w:t>
      </w:r>
    </w:p>
    <w:p w14:paraId="4517D322" w14:textId="77777777" w:rsidR="008419B9" w:rsidRDefault="008419B9" w:rsidP="008419B9">
      <w:pPr>
        <w:rPr>
          <w:rFonts w:eastAsia="Times New Roman"/>
          <w:lang w:eastAsia="en-US"/>
        </w:rPr>
      </w:pPr>
      <w:r w:rsidRPr="008419B9">
        <w:rPr>
          <w:rFonts w:eastAsia="Times New Roman"/>
          <w:lang w:eastAsia="en-US"/>
        </w:rPr>
        <w:t>In the case of inconsistency, the Constitution, the Convention, the ITRs and the General Rules of conferences, assemblies and meetings of the Union (in that order) shall prevail over this briefing note.</w:t>
      </w:r>
    </w:p>
    <w:p w14:paraId="604BABC5" w14:textId="5CBBED16" w:rsidR="008419B9" w:rsidRPr="008419B9" w:rsidRDefault="008419B9" w:rsidP="008419B9">
      <w:pPr>
        <w:rPr>
          <w:rFonts w:eastAsia="SimSun"/>
          <w:i/>
          <w:iCs/>
        </w:rPr>
      </w:pPr>
      <w:r w:rsidRPr="008419B9">
        <w:rPr>
          <w:rFonts w:eastAsia="SimSun"/>
          <w:i/>
          <w:iCs/>
        </w:rPr>
        <w:t>Reference 1: General rules, chapter II, clause 12.</w:t>
      </w:r>
    </w:p>
    <w:p w14:paraId="5209812D" w14:textId="77777777" w:rsidR="008419B9" w:rsidRPr="008419B9" w:rsidRDefault="008419B9" w:rsidP="008419B9">
      <w:pPr>
        <w:rPr>
          <w:rFonts w:eastAsia="SimSun"/>
        </w:rPr>
      </w:pPr>
      <w:r w:rsidRPr="008419B9">
        <w:rPr>
          <w:rFonts w:eastAsia="SimSun"/>
        </w:rPr>
        <w:t xml:space="preserve">If time permit, it is recommended to read </w:t>
      </w:r>
      <w:hyperlink r:id="rId15" w:history="1">
        <w:r w:rsidRPr="008419B9">
          <w:rPr>
            <w:rFonts w:eastAsia="SimSun"/>
            <w:color w:val="0000FF"/>
            <w:u w:val="single"/>
          </w:rPr>
          <w:t>TSAG TD-120</w:t>
        </w:r>
      </w:hyperlink>
      <w:r w:rsidRPr="008419B9">
        <w:rPr>
          <w:rFonts w:eastAsia="SimSun"/>
        </w:rPr>
        <w:t xml:space="preserve"> “TSAG leadership team training” as well as the ITU Tutorial on</w:t>
      </w:r>
      <w:r w:rsidRPr="008419B9">
        <w:rPr>
          <w:rFonts w:eastAsia="SimSun"/>
          <w:b/>
          <w:bCs/>
        </w:rPr>
        <w:t xml:space="preserve"> </w:t>
      </w:r>
      <w:hyperlink r:id="rId16" w:history="1">
        <w:r w:rsidRPr="008419B9">
          <w:rPr>
            <w:rFonts w:eastAsia="SimSun"/>
            <w:color w:val="0000FF"/>
            <w:u w:val="single"/>
          </w:rPr>
          <w:t>“the art of reaching consensus”</w:t>
        </w:r>
      </w:hyperlink>
      <w:r w:rsidRPr="008419B9">
        <w:rPr>
          <w:rFonts w:eastAsia="SimSun"/>
          <w:b/>
          <w:bCs/>
        </w:rPr>
        <w:t xml:space="preserve">; </w:t>
      </w:r>
      <w:r w:rsidRPr="008419B9">
        <w:rPr>
          <w:rFonts w:eastAsia="SimSun"/>
        </w:rPr>
        <w:t>however keep in mind that these documents are not tailored to WTSA sub-committees and some information are not pertinent to your situation.</w:t>
      </w:r>
    </w:p>
    <w:p w14:paraId="51AD88AB"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lastRenderedPageBreak/>
        <w:t xml:space="preserve">Consensus-building </w:t>
      </w:r>
    </w:p>
    <w:p w14:paraId="0960E27D" w14:textId="77777777" w:rsidR="008419B9" w:rsidRPr="008419B9" w:rsidRDefault="008419B9" w:rsidP="008419B9">
      <w:pPr>
        <w:rPr>
          <w:rFonts w:eastAsia="SimSun"/>
        </w:rPr>
      </w:pPr>
      <w:r w:rsidRPr="008419B9">
        <w:rPr>
          <w:rFonts w:eastAsia="SimSun"/>
        </w:rPr>
        <w:t>There is no definition of consensus in ITU texts and consensus is left to the chairman’s appreciation. Consensus-building is fostered by the chairman of a meeting accommodating the different views with a common understanding and approach, then concluding that there is general agreement for adopting a decision without formal or sustained opposition.</w:t>
      </w:r>
    </w:p>
    <w:p w14:paraId="64DD8B22" w14:textId="77777777" w:rsidR="008419B9" w:rsidRPr="008419B9" w:rsidRDefault="008419B9" w:rsidP="008419B9">
      <w:pPr>
        <w:rPr>
          <w:rFonts w:eastAsia="SimSun"/>
        </w:rPr>
      </w:pPr>
      <w:r w:rsidRPr="008419B9">
        <w:rPr>
          <w:rFonts w:eastAsia="SimSun"/>
        </w:rPr>
        <w:t>The chairman should:</w:t>
      </w:r>
    </w:p>
    <w:p w14:paraId="222F7A42" w14:textId="77777777" w:rsidR="008419B9" w:rsidRPr="008419B9" w:rsidRDefault="008419B9" w:rsidP="008419B9">
      <w:pPr>
        <w:numPr>
          <w:ilvl w:val="0"/>
          <w:numId w:val="36"/>
        </w:numPr>
        <w:rPr>
          <w:rFonts w:eastAsia="SimSun"/>
        </w:rPr>
      </w:pPr>
      <w:r w:rsidRPr="008419B9">
        <w:rPr>
          <w:rFonts w:eastAsia="SimSun"/>
        </w:rPr>
        <w:t xml:space="preserve">Start the session by providing a concise overview of the agenda and discussions of the WTSA Sub-committee/Ad Hoc Group meeting. </w:t>
      </w:r>
    </w:p>
    <w:p w14:paraId="127206D4" w14:textId="77777777" w:rsidR="008419B9" w:rsidRPr="008419B9" w:rsidRDefault="008419B9" w:rsidP="008419B9">
      <w:pPr>
        <w:numPr>
          <w:ilvl w:val="0"/>
          <w:numId w:val="36"/>
        </w:numPr>
        <w:rPr>
          <w:rFonts w:eastAsia="SimSun"/>
        </w:rPr>
      </w:pPr>
      <w:r w:rsidRPr="008419B9">
        <w:rPr>
          <w:rFonts w:eastAsia="SimSun"/>
        </w:rPr>
        <w:t xml:space="preserve">Emphasize the significance of effective time management during the session. </w:t>
      </w:r>
    </w:p>
    <w:p w14:paraId="3B7CA61E" w14:textId="77777777" w:rsidR="008419B9" w:rsidRPr="008419B9" w:rsidRDefault="008419B9" w:rsidP="008419B9">
      <w:pPr>
        <w:numPr>
          <w:ilvl w:val="0"/>
          <w:numId w:val="36"/>
        </w:numPr>
        <w:rPr>
          <w:rFonts w:eastAsia="SimSun"/>
        </w:rPr>
      </w:pPr>
      <w:r w:rsidRPr="008419B9">
        <w:rPr>
          <w:rFonts w:eastAsia="SimSun"/>
        </w:rPr>
        <w:t>In case of a busy agenda, suggest establishing a time limit for interventions (for example: 3 minutes for the 1</w:t>
      </w:r>
      <w:r w:rsidRPr="008419B9">
        <w:rPr>
          <w:rFonts w:eastAsia="SimSun"/>
          <w:vertAlign w:val="superscript"/>
        </w:rPr>
        <w:t>st</w:t>
      </w:r>
      <w:r w:rsidRPr="008419B9">
        <w:rPr>
          <w:rFonts w:eastAsia="SimSun"/>
        </w:rPr>
        <w:t xml:space="preserve"> intervention, 1 minute for subsequent ones).</w:t>
      </w:r>
    </w:p>
    <w:p w14:paraId="37FDA218" w14:textId="77777777" w:rsidR="008419B9" w:rsidRPr="008419B9" w:rsidRDefault="008419B9" w:rsidP="008419B9">
      <w:pPr>
        <w:numPr>
          <w:ilvl w:val="0"/>
          <w:numId w:val="36"/>
        </w:numPr>
        <w:rPr>
          <w:rFonts w:eastAsia="SimSun"/>
        </w:rPr>
      </w:pPr>
      <w:r w:rsidRPr="008419B9">
        <w:rPr>
          <w:rFonts w:eastAsia="SimSun"/>
          <w:lang w:eastAsia="zh-CN"/>
        </w:rPr>
        <w:t>Listen carefully to ensure clear understanding of all concerns.</w:t>
      </w:r>
    </w:p>
    <w:p w14:paraId="18403A5A" w14:textId="77777777" w:rsidR="008419B9" w:rsidRPr="008419B9" w:rsidRDefault="008419B9" w:rsidP="008419B9">
      <w:pPr>
        <w:numPr>
          <w:ilvl w:val="0"/>
          <w:numId w:val="36"/>
        </w:numPr>
        <w:rPr>
          <w:rFonts w:eastAsia="SimSun"/>
        </w:rPr>
      </w:pPr>
      <w:r w:rsidRPr="008419B9">
        <w:rPr>
          <w:rFonts w:eastAsia="SimSun"/>
        </w:rPr>
        <w:t xml:space="preserve">Try to resolve all concerns with a neutral and respectful attitude and to the best of its ability.  </w:t>
      </w:r>
    </w:p>
    <w:p w14:paraId="730B5B0B" w14:textId="77777777" w:rsidR="008419B9" w:rsidRPr="008419B9" w:rsidRDefault="008419B9" w:rsidP="008419B9">
      <w:pPr>
        <w:numPr>
          <w:ilvl w:val="0"/>
          <w:numId w:val="36"/>
        </w:numPr>
        <w:rPr>
          <w:rFonts w:eastAsia="SimSun"/>
        </w:rPr>
      </w:pPr>
      <w:r w:rsidRPr="008419B9">
        <w:rPr>
          <w:rFonts w:eastAsia="SimSun"/>
        </w:rPr>
        <w:t xml:space="preserve">Ensure that discussion is limited to the point at </w:t>
      </w:r>
      <w:proofErr w:type="gramStart"/>
      <w:r w:rsidRPr="008419B9">
        <w:rPr>
          <w:rFonts w:eastAsia="SimSun"/>
        </w:rPr>
        <w:t>issue, and</w:t>
      </w:r>
      <w:proofErr w:type="gramEnd"/>
      <w:r w:rsidRPr="008419B9">
        <w:rPr>
          <w:rFonts w:eastAsia="SimSun"/>
        </w:rPr>
        <w:t xml:space="preserve"> may interrupt any speaker who departs therefrom and request such speakers to confine their remarks to the subject under discussion. </w:t>
      </w:r>
    </w:p>
    <w:p w14:paraId="15B0B8B9" w14:textId="77777777" w:rsidR="008419B9" w:rsidRPr="008419B9" w:rsidRDefault="008419B9" w:rsidP="008419B9">
      <w:pPr>
        <w:numPr>
          <w:ilvl w:val="0"/>
          <w:numId w:val="36"/>
        </w:numPr>
        <w:rPr>
          <w:rFonts w:eastAsia="SimSun"/>
        </w:rPr>
      </w:pPr>
      <w:r w:rsidRPr="008419B9">
        <w:rPr>
          <w:rFonts w:eastAsia="SimSun"/>
        </w:rPr>
        <w:t xml:space="preserve">Encourage the membership to negotiate and provide productive/constructive discussion to reach consensus. </w:t>
      </w:r>
    </w:p>
    <w:p w14:paraId="37AB5146" w14:textId="77777777" w:rsidR="008419B9" w:rsidRPr="008419B9" w:rsidRDefault="008419B9" w:rsidP="008419B9">
      <w:pPr>
        <w:numPr>
          <w:ilvl w:val="0"/>
          <w:numId w:val="36"/>
        </w:numPr>
        <w:rPr>
          <w:rFonts w:eastAsia="SimSun"/>
        </w:rPr>
      </w:pPr>
      <w:r w:rsidRPr="008419B9">
        <w:rPr>
          <w:rFonts w:eastAsia="SimSun"/>
        </w:rPr>
        <w:t xml:space="preserve"> ‘Informal polling’ (such as show of hands) may be used, but with much caution (see Section 4 below), for the Chairman to sense the temperature of the mood in the room.</w:t>
      </w:r>
    </w:p>
    <w:p w14:paraId="4259A985" w14:textId="77777777" w:rsidR="008419B9" w:rsidRPr="008419B9" w:rsidRDefault="008419B9" w:rsidP="008419B9">
      <w:pPr>
        <w:numPr>
          <w:ilvl w:val="0"/>
          <w:numId w:val="36"/>
        </w:numPr>
        <w:rPr>
          <w:rFonts w:eastAsia="SimSun"/>
        </w:rPr>
      </w:pPr>
      <w:r w:rsidRPr="008419B9">
        <w:rPr>
          <w:rFonts w:eastAsia="SimSun"/>
        </w:rPr>
        <w:t xml:space="preserve">After consuming all possible options to achieve consensus, report to COM or Plenary with remaining issues for discussion if any exist. </w:t>
      </w:r>
    </w:p>
    <w:p w14:paraId="04C92AE9" w14:textId="77777777" w:rsidR="008419B9" w:rsidRPr="008419B9" w:rsidRDefault="008419B9" w:rsidP="008419B9">
      <w:pPr>
        <w:rPr>
          <w:rFonts w:eastAsia="SimSun"/>
        </w:rPr>
      </w:pPr>
      <w:r w:rsidRPr="008419B9">
        <w:rPr>
          <w:rFonts w:eastAsia="SimSun"/>
        </w:rPr>
        <w:t>By order of preference, when a concern remains, the following can be offered:</w:t>
      </w:r>
    </w:p>
    <w:p w14:paraId="347FED15" w14:textId="77777777" w:rsidR="008419B9" w:rsidRPr="008419B9" w:rsidRDefault="008419B9" w:rsidP="008419B9">
      <w:pPr>
        <w:numPr>
          <w:ilvl w:val="0"/>
          <w:numId w:val="37"/>
        </w:numPr>
        <w:rPr>
          <w:rFonts w:eastAsia="SimSun"/>
        </w:rPr>
      </w:pPr>
      <w:r w:rsidRPr="008419B9">
        <w:rPr>
          <w:rFonts w:eastAsia="SimSun"/>
        </w:rPr>
        <w:t xml:space="preserve">A session break (coffee break, or longer if time permit) can be a useful tool to solve a particular point. </w:t>
      </w:r>
    </w:p>
    <w:p w14:paraId="2AB72090" w14:textId="77777777" w:rsidR="008419B9" w:rsidRPr="008419B9" w:rsidRDefault="008419B9" w:rsidP="008419B9">
      <w:pPr>
        <w:numPr>
          <w:ilvl w:val="0"/>
          <w:numId w:val="37"/>
        </w:numPr>
        <w:rPr>
          <w:rFonts w:eastAsia="SimSun"/>
        </w:rPr>
      </w:pPr>
      <w:r w:rsidRPr="008419B9">
        <w:rPr>
          <w:rFonts w:eastAsia="SimSun"/>
        </w:rPr>
        <w:t xml:space="preserve">Text may be bracketed and revisited at the end of the session. Bracketed text should be the exception, and not widely used. </w:t>
      </w:r>
    </w:p>
    <w:p w14:paraId="4E68F74C" w14:textId="0C9A4299" w:rsidR="008419B9" w:rsidRPr="008419B9" w:rsidRDefault="008419B9" w:rsidP="008419B9">
      <w:pPr>
        <w:numPr>
          <w:ilvl w:val="0"/>
          <w:numId w:val="37"/>
        </w:numPr>
        <w:rPr>
          <w:rFonts w:eastAsia="SimSun"/>
        </w:rPr>
      </w:pPr>
      <w:r w:rsidRPr="008419B9">
        <w:rPr>
          <w:rFonts w:eastAsia="SimSun"/>
        </w:rPr>
        <w:t>Provide a chairman’s proposal which consists of a compromise, or a new approach based on the understanding of the discussion.</w:t>
      </w:r>
    </w:p>
    <w:p w14:paraId="2BE40749" w14:textId="77777777" w:rsidR="008419B9" w:rsidRPr="008419B9" w:rsidRDefault="008419B9" w:rsidP="008419B9">
      <w:pPr>
        <w:numPr>
          <w:ilvl w:val="0"/>
          <w:numId w:val="37"/>
        </w:numPr>
        <w:rPr>
          <w:rFonts w:eastAsia="SimSun"/>
        </w:rPr>
      </w:pPr>
      <w:r w:rsidRPr="008419B9">
        <w:rPr>
          <w:rFonts w:eastAsia="SimSun"/>
        </w:rPr>
        <w:t>Rephrase and summarise the proposed resolution, and ensure it is clear and accurate.</w:t>
      </w:r>
    </w:p>
    <w:p w14:paraId="65F84BD7" w14:textId="77777777" w:rsidR="008419B9" w:rsidRPr="008419B9" w:rsidRDefault="008419B9" w:rsidP="008419B9">
      <w:pPr>
        <w:numPr>
          <w:ilvl w:val="0"/>
          <w:numId w:val="37"/>
        </w:numPr>
        <w:rPr>
          <w:rFonts w:eastAsia="SimSun"/>
        </w:rPr>
      </w:pPr>
      <w:r w:rsidRPr="008419B9">
        <w:rPr>
          <w:rFonts w:eastAsia="SimSun"/>
        </w:rPr>
        <w:t>After adequate deliberation, check consensus as a matter of fact (e.g. “I see no objection”) rather than continue with open ended questions (e.g., “is there any objection?) to avoid reopening an issue.</w:t>
      </w:r>
    </w:p>
    <w:p w14:paraId="01826C86" w14:textId="2C2B1A3C" w:rsidR="008419B9" w:rsidRPr="008419B9" w:rsidRDefault="008419B9" w:rsidP="008419B9">
      <w:pPr>
        <w:numPr>
          <w:ilvl w:val="0"/>
          <w:numId w:val="37"/>
        </w:numPr>
        <w:rPr>
          <w:rFonts w:eastAsia="SimSun"/>
        </w:rPr>
      </w:pPr>
      <w:r w:rsidRPr="008419B9">
        <w:rPr>
          <w:rFonts w:eastAsia="SimSun"/>
        </w:rPr>
        <w:t>Silence means agreement to the Chairman’s proposed consensus.</w:t>
      </w:r>
    </w:p>
    <w:p w14:paraId="0389F5FF" w14:textId="77777777" w:rsidR="008419B9" w:rsidRPr="008419B9" w:rsidRDefault="008419B9" w:rsidP="008419B9">
      <w:pPr>
        <w:numPr>
          <w:ilvl w:val="0"/>
          <w:numId w:val="37"/>
        </w:numPr>
        <w:rPr>
          <w:rFonts w:eastAsia="SimSun"/>
        </w:rPr>
      </w:pPr>
      <w:r w:rsidRPr="008419B9">
        <w:rPr>
          <w:rFonts w:eastAsia="SimSun"/>
        </w:rPr>
        <w:t>Declare consensus.</w:t>
      </w:r>
    </w:p>
    <w:p w14:paraId="5EAEFCA5" w14:textId="77777777" w:rsidR="008419B9" w:rsidRPr="008419B9" w:rsidRDefault="008419B9" w:rsidP="008419B9">
      <w:pPr>
        <w:numPr>
          <w:ilvl w:val="0"/>
          <w:numId w:val="37"/>
        </w:numPr>
        <w:rPr>
          <w:rFonts w:eastAsia="SimSun"/>
          <w:lang w:val="en-US"/>
        </w:rPr>
      </w:pPr>
      <w:r w:rsidRPr="008419B9">
        <w:rPr>
          <w:rFonts w:eastAsia="SimSun"/>
        </w:rPr>
        <w:t>Record dissent/objection in the meeting report, allowing to proceed with a resolution.</w:t>
      </w:r>
    </w:p>
    <w:p w14:paraId="7A1F3670" w14:textId="77777777" w:rsidR="008419B9" w:rsidRPr="008419B9" w:rsidRDefault="008419B9" w:rsidP="008419B9">
      <w:pPr>
        <w:numPr>
          <w:ilvl w:val="0"/>
          <w:numId w:val="37"/>
        </w:numPr>
        <w:rPr>
          <w:rFonts w:eastAsia="SimSun"/>
        </w:rPr>
      </w:pPr>
      <w:r w:rsidRPr="008419B9">
        <w:rPr>
          <w:rFonts w:eastAsia="SimSun"/>
        </w:rPr>
        <w:t xml:space="preserve">When there is no consensus, </w:t>
      </w:r>
      <w:r w:rsidRPr="008419B9">
        <w:rPr>
          <w:rFonts w:eastAsia="SimSun"/>
          <w:lang w:val="en-US"/>
        </w:rPr>
        <w:t>t</w:t>
      </w:r>
      <w:proofErr w:type="spellStart"/>
      <w:r w:rsidRPr="008419B9">
        <w:rPr>
          <w:rFonts w:eastAsia="SimSun"/>
        </w:rPr>
        <w:t>ext</w:t>
      </w:r>
      <w:proofErr w:type="spellEnd"/>
      <w:r w:rsidRPr="008419B9">
        <w:rPr>
          <w:rFonts w:eastAsia="SimSun"/>
        </w:rPr>
        <w:t xml:space="preserve"> may remain in bracket and be sent to COM/Plenary. This should happen in very limited instances.</w:t>
      </w:r>
    </w:p>
    <w:p w14:paraId="1A78683E"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lastRenderedPageBreak/>
        <w:t xml:space="preserve">Comments and objection in Reports and Minutes </w:t>
      </w:r>
    </w:p>
    <w:p w14:paraId="1843C840" w14:textId="77777777" w:rsidR="008419B9" w:rsidRPr="008419B9" w:rsidRDefault="008419B9" w:rsidP="008419B9">
      <w:pPr>
        <w:rPr>
          <w:rFonts w:eastAsia="Times New Roman"/>
          <w:b/>
          <w:bCs/>
        </w:rPr>
      </w:pPr>
      <w:r w:rsidRPr="008419B9">
        <w:rPr>
          <w:rFonts w:eastAsia="Times New Roman"/>
        </w:rPr>
        <w:t xml:space="preserve">Sub-committee may </w:t>
      </w:r>
      <w:r w:rsidRPr="008419B9">
        <w:rPr>
          <w:rFonts w:eastAsia="SimSun"/>
        </w:rPr>
        <w:t xml:space="preserve">prepare interim reports and may submit a final report recapitulating in concise terms the proposals and conclusions of its work. The chairman shall inquire whether there are any comments on the minutes of the previous meeting. In case of a substantive comment or objection </w:t>
      </w:r>
      <w:r w:rsidRPr="008419B9">
        <w:rPr>
          <w:rFonts w:eastAsia="Times New Roman"/>
        </w:rPr>
        <w:t>(either made verbally or submitted in writing), t</w:t>
      </w:r>
      <w:r w:rsidRPr="008419B9">
        <w:rPr>
          <w:rFonts w:eastAsia="SimSun"/>
        </w:rPr>
        <w:t xml:space="preserve">he appropriate amendments shall be made in the minutes. </w:t>
      </w:r>
      <w:r w:rsidRPr="008419B9">
        <w:rPr>
          <w:rFonts w:eastAsia="Times New Roman"/>
        </w:rPr>
        <w:t xml:space="preserve"> </w:t>
      </w:r>
      <w:r w:rsidRPr="008419B9">
        <w:rPr>
          <w:rFonts w:eastAsia="SimSun"/>
        </w:rPr>
        <w:t xml:space="preserve">Any interim or final report </w:t>
      </w:r>
      <w:r w:rsidRPr="008419B9">
        <w:rPr>
          <w:rFonts w:eastAsia="Times New Roman"/>
        </w:rPr>
        <w:t xml:space="preserve">w </w:t>
      </w:r>
      <w:r w:rsidRPr="008419B9">
        <w:rPr>
          <w:rFonts w:eastAsia="SimSun"/>
        </w:rPr>
        <w:t>must be approved by the sub-committee</w:t>
      </w:r>
      <w:r w:rsidRPr="008419B9">
        <w:rPr>
          <w:rFonts w:eastAsia="Times New Roman"/>
        </w:rPr>
        <w:t xml:space="preserve">. </w:t>
      </w:r>
      <w:r w:rsidRPr="008419B9">
        <w:rPr>
          <w:rFonts w:eastAsia="Times New Roman"/>
          <w:b/>
          <w:bCs/>
        </w:rPr>
        <w:t> </w:t>
      </w:r>
    </w:p>
    <w:p w14:paraId="7B65FBCA" w14:textId="77777777" w:rsidR="008419B9" w:rsidRPr="008419B9" w:rsidRDefault="008419B9" w:rsidP="008419B9">
      <w:pPr>
        <w:rPr>
          <w:rFonts w:eastAsia="SimSun"/>
          <w:b/>
          <w:bCs/>
          <w:i/>
          <w:iCs/>
        </w:rPr>
      </w:pPr>
      <w:r w:rsidRPr="008419B9">
        <w:rPr>
          <w:rFonts w:eastAsia="SimSun"/>
          <w:i/>
          <w:iCs/>
        </w:rPr>
        <w:t>Reference 2: General Rules Chapter II, clause 25.</w:t>
      </w:r>
    </w:p>
    <w:p w14:paraId="12796B99"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Voting</w:t>
      </w:r>
    </w:p>
    <w:p w14:paraId="57217FC2" w14:textId="77777777" w:rsidR="008419B9" w:rsidRPr="008419B9" w:rsidRDefault="008419B9" w:rsidP="008419B9">
      <w:pPr>
        <w:rPr>
          <w:rFonts w:eastAsia="SimSun"/>
        </w:rPr>
      </w:pPr>
      <w:r w:rsidRPr="008419B9">
        <w:rPr>
          <w:rFonts w:eastAsia="SimSun"/>
        </w:rPr>
        <w:t xml:space="preserve">For sub-committee meetings, it is strongly advised to not conduct voting, according to ITU General Rules; instead, to focus on seeking consensus through thorough discussions, open communication, and understanding different perspectives. </w:t>
      </w:r>
    </w:p>
    <w:p w14:paraId="3B2F11A4" w14:textId="77777777" w:rsidR="008419B9" w:rsidRPr="008419B9" w:rsidRDefault="008419B9" w:rsidP="008419B9">
      <w:pPr>
        <w:rPr>
          <w:rFonts w:eastAsia="SimSun"/>
        </w:rPr>
      </w:pPr>
      <w:r w:rsidRPr="008419B9">
        <w:rPr>
          <w:rFonts w:eastAsia="SimSun"/>
        </w:rPr>
        <w:t xml:space="preserve">‘Sensing the temperature of the mood in the room’ or ‘Informal polling’ (such as show of hands) may be used but may be difficult to interpret and depends heavily on how the question is phrased. </w:t>
      </w:r>
    </w:p>
    <w:p w14:paraId="17C48417" w14:textId="77777777" w:rsidR="008419B9" w:rsidRPr="008419B9" w:rsidRDefault="008419B9" w:rsidP="008419B9">
      <w:pPr>
        <w:rPr>
          <w:rFonts w:eastAsia="SimSun"/>
          <w:i/>
          <w:iCs/>
        </w:rPr>
      </w:pPr>
      <w:r w:rsidRPr="008419B9">
        <w:rPr>
          <w:rFonts w:eastAsia="SimSun"/>
          <w:i/>
          <w:iCs/>
        </w:rPr>
        <w:t xml:space="preserve">Reference 3: </w:t>
      </w:r>
      <w:r w:rsidRPr="008419B9">
        <w:rPr>
          <w:rFonts w:eastAsia="Times New Roman"/>
          <w:i/>
          <w:iCs/>
        </w:rPr>
        <w:t>General Rules Chapter II, clause 21</w:t>
      </w:r>
      <w:r w:rsidRPr="008419B9">
        <w:rPr>
          <w:rFonts w:eastAsia="SimSun"/>
          <w:i/>
          <w:iCs/>
        </w:rPr>
        <w:t xml:space="preserve"> (clause 21.5), clause 22.</w:t>
      </w:r>
    </w:p>
    <w:p w14:paraId="690C3314"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Editorial changes</w:t>
      </w:r>
    </w:p>
    <w:p w14:paraId="14108679" w14:textId="77777777" w:rsidR="008419B9" w:rsidRPr="008419B9" w:rsidRDefault="008419B9" w:rsidP="008419B9">
      <w:pPr>
        <w:rPr>
          <w:rFonts w:eastAsia="SimSun"/>
        </w:rPr>
      </w:pPr>
      <w:r w:rsidRPr="008419B9">
        <w:rPr>
          <w:rFonts w:eastAsia="SimSun"/>
        </w:rPr>
        <w:t xml:space="preserve">An editorial committee is available during WTSA to address all editorial changes. A chairman should indicate at the beginning of the session that editorial aspects will be deferred to the editorial committee </w:t>
      </w:r>
      <w:proofErr w:type="gramStart"/>
      <w:r w:rsidRPr="008419B9">
        <w:rPr>
          <w:rFonts w:eastAsia="SimSun"/>
        </w:rPr>
        <w:t>in order for</w:t>
      </w:r>
      <w:proofErr w:type="gramEnd"/>
      <w:r w:rsidRPr="008419B9">
        <w:rPr>
          <w:rFonts w:eastAsia="SimSun"/>
        </w:rPr>
        <w:t xml:space="preserve"> the group to spend time on substantial matters. </w:t>
      </w:r>
    </w:p>
    <w:p w14:paraId="59037B44" w14:textId="77777777" w:rsidR="008419B9" w:rsidRPr="008419B9" w:rsidRDefault="008419B9" w:rsidP="008419B9">
      <w:pPr>
        <w:rPr>
          <w:rFonts w:eastAsia="SimSun"/>
        </w:rPr>
      </w:pPr>
      <w:r w:rsidRPr="008419B9">
        <w:rPr>
          <w:rFonts w:eastAsia="SimSun"/>
        </w:rPr>
        <w:t>Terminology aspect can be dealt with by the editorial committee.</w:t>
      </w:r>
    </w:p>
    <w:p w14:paraId="759CB917" w14:textId="77777777" w:rsidR="008419B9" w:rsidRPr="008419B9" w:rsidRDefault="008419B9" w:rsidP="008419B9">
      <w:pPr>
        <w:rPr>
          <w:rFonts w:eastAsia="SimSun"/>
        </w:rPr>
      </w:pPr>
      <w:r w:rsidRPr="008419B9">
        <w:rPr>
          <w:rFonts w:eastAsia="SimSun"/>
          <w:i/>
          <w:iCs/>
        </w:rPr>
        <w:t>Reference 4: General Rules, Chapter II</w:t>
      </w:r>
      <w:r w:rsidRPr="008419B9">
        <w:rPr>
          <w:rFonts w:eastAsia="SimSun"/>
        </w:rPr>
        <w:t xml:space="preserve"> </w:t>
      </w:r>
      <w:r w:rsidRPr="008419B9">
        <w:rPr>
          <w:rFonts w:eastAsia="SimSun"/>
          <w:i/>
          <w:iCs/>
        </w:rPr>
        <w:t>clause 12.3</w:t>
      </w:r>
      <w:r w:rsidRPr="008419B9">
        <w:rPr>
          <w:rFonts w:eastAsia="SimSun"/>
        </w:rPr>
        <w:t xml:space="preserve">.  </w:t>
      </w:r>
    </w:p>
    <w:p w14:paraId="18759BF2" w14:textId="77777777" w:rsidR="008419B9" w:rsidRP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Expectation from a chairman</w:t>
      </w:r>
    </w:p>
    <w:p w14:paraId="72EC5EA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Be fair and impartial, and be seen to be so, </w:t>
      </w:r>
    </w:p>
    <w:p w14:paraId="70F89219"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Act in the interest of WTSA, not as a representative of your company/country,</w:t>
      </w:r>
    </w:p>
    <w:p w14:paraId="0B09AA1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Listen with care, be sensitive to language and culture,</w:t>
      </w:r>
    </w:p>
    <w:p w14:paraId="0CCFFD1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Give everyone the chance to express their views,</w:t>
      </w:r>
    </w:p>
    <w:p w14:paraId="222C498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Be mindful of time,</w:t>
      </w:r>
    </w:p>
    <w:p w14:paraId="180E4792"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rPr>
        <w:t xml:space="preserve">Know when &amp; how to close the debates and declare consensus, </w:t>
      </w:r>
    </w:p>
    <w:p w14:paraId="76DC58FE"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familiar with the topics of discussions and the documents submitted for consideration,</w:t>
      </w:r>
    </w:p>
    <w:p w14:paraId="7E4F07DF"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Know and follow the rules for holding meetings,</w:t>
      </w:r>
    </w:p>
    <w:p w14:paraId="38EE031A"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Be ready to propose a compromise text,</w:t>
      </w:r>
    </w:p>
    <w:p w14:paraId="1DF9D77C" w14:textId="77777777" w:rsidR="008419B9" w:rsidRPr="008419B9" w:rsidRDefault="008419B9" w:rsidP="008419B9">
      <w:pPr>
        <w:numPr>
          <w:ilvl w:val="0"/>
          <w:numId w:val="38"/>
        </w:numPr>
        <w:tabs>
          <w:tab w:val="num" w:pos="900"/>
        </w:tabs>
        <w:ind w:left="900" w:hanging="540"/>
        <w:rPr>
          <w:rFonts w:eastAsia="SimSun"/>
          <w:lang w:val="en-US"/>
        </w:rPr>
      </w:pPr>
      <w:r w:rsidRPr="008419B9">
        <w:rPr>
          <w:rFonts w:eastAsia="SimSun"/>
          <w:lang w:val="en-US"/>
        </w:rPr>
        <w:t>Cooperate closely with the secretariat before, during and after a meeting, and</w:t>
      </w:r>
    </w:p>
    <w:p w14:paraId="14CC7E20" w14:textId="77777777" w:rsidR="008419B9" w:rsidRPr="008419B9" w:rsidRDefault="008419B9" w:rsidP="008419B9">
      <w:pPr>
        <w:numPr>
          <w:ilvl w:val="0"/>
          <w:numId w:val="38"/>
        </w:numPr>
        <w:rPr>
          <w:rFonts w:eastAsia="SimSun"/>
          <w:lang w:val="en-US"/>
        </w:rPr>
      </w:pPr>
      <w:r w:rsidRPr="008419B9">
        <w:rPr>
          <w:rFonts w:eastAsia="SimSun"/>
          <w:lang w:val="en-US"/>
        </w:rPr>
        <w:t>Encourage membership to negotiation and provide productive/constructive discussion to reach consensus.</w:t>
      </w:r>
    </w:p>
    <w:p w14:paraId="040F4F72" w14:textId="77777777" w:rsidR="008419B9" w:rsidRDefault="008419B9" w:rsidP="008419B9">
      <w:pPr>
        <w:keepNext/>
        <w:keepLines/>
        <w:tabs>
          <w:tab w:val="left" w:pos="794"/>
          <w:tab w:val="left" w:pos="1191"/>
          <w:tab w:val="left" w:pos="1588"/>
          <w:tab w:val="left" w:pos="1985"/>
        </w:tabs>
        <w:overflowPunct w:val="0"/>
        <w:autoSpaceDE w:val="0"/>
        <w:autoSpaceDN w:val="0"/>
        <w:adjustRightInd w:val="0"/>
        <w:spacing w:before="360"/>
        <w:ind w:left="432" w:hanging="432"/>
        <w:outlineLvl w:val="0"/>
        <w:rPr>
          <w:rFonts w:eastAsia="Times New Roman"/>
          <w:b/>
          <w:szCs w:val="20"/>
          <w:lang w:eastAsia="en-US"/>
        </w:rPr>
      </w:pPr>
      <w:r w:rsidRPr="008419B9">
        <w:rPr>
          <w:rFonts w:eastAsia="Times New Roman"/>
          <w:b/>
          <w:szCs w:val="20"/>
          <w:lang w:eastAsia="en-US"/>
        </w:rPr>
        <w:t>Where to find information</w:t>
      </w:r>
    </w:p>
    <w:p w14:paraId="2F686613" w14:textId="54DCE6D9" w:rsidR="00483EF9" w:rsidRPr="00483EF9" w:rsidRDefault="00483EF9" w:rsidP="00483EF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483EF9">
        <w:rPr>
          <w:rFonts w:eastAsia="Times New Roman"/>
          <w:b/>
          <w:szCs w:val="20"/>
          <w:lang w:eastAsia="en-US"/>
        </w:rPr>
        <w:t xml:space="preserve">ITU Basic texts: </w:t>
      </w:r>
    </w:p>
    <w:p w14:paraId="0ECB16BF" w14:textId="654C3F3D" w:rsidR="00483EF9" w:rsidRPr="008419B9" w:rsidRDefault="00483EF9" w:rsidP="00483EF9">
      <w:pPr>
        <w:pStyle w:val="ListParagraph"/>
        <w:numPr>
          <w:ilvl w:val="0"/>
          <w:numId w:val="42"/>
        </w:numPr>
        <w:rPr>
          <w:lang w:eastAsia="en-US"/>
        </w:rPr>
      </w:pPr>
      <w:r w:rsidRPr="00483EF9">
        <w:rPr>
          <w:b/>
          <w:bCs/>
          <w:lang w:eastAsia="en-US"/>
        </w:rPr>
        <w:t>Edition 2023</w:t>
      </w:r>
      <w:r w:rsidRPr="00483EF9">
        <w:rPr>
          <w:lang w:eastAsia="en-US"/>
        </w:rPr>
        <w:t xml:space="preserve"> </w:t>
      </w:r>
      <w:r>
        <w:rPr>
          <w:lang w:eastAsia="en-US"/>
        </w:rPr>
        <w:t>(</w:t>
      </w:r>
      <w:r w:rsidRPr="00483EF9">
        <w:rPr>
          <w:lang w:eastAsia="en-US"/>
        </w:rPr>
        <w:t>from ITU PP-22</w:t>
      </w:r>
      <w:r>
        <w:rPr>
          <w:lang w:eastAsia="en-US"/>
        </w:rPr>
        <w:t>)</w:t>
      </w:r>
      <w:r w:rsidRPr="00483EF9">
        <w:rPr>
          <w:b/>
          <w:bCs/>
          <w:lang w:eastAsia="en-US"/>
        </w:rPr>
        <w:t xml:space="preserve">: </w:t>
      </w:r>
      <w:hyperlink r:id="rId17" w:history="1">
        <w:r w:rsidRPr="00DB2D4A">
          <w:rPr>
            <w:rStyle w:val="Hyperlink"/>
            <w:lang w:eastAsia="en-US"/>
          </w:rPr>
          <w:t>https://www.itu.int/hub/publication/s-conf-plen-2022/</w:t>
        </w:r>
      </w:hyperlink>
      <w:r>
        <w:rPr>
          <w:lang w:eastAsia="en-US"/>
        </w:rPr>
        <w:t xml:space="preserve">, including ITU </w:t>
      </w:r>
      <w:r w:rsidRPr="00483EF9">
        <w:rPr>
          <w:lang w:eastAsia="en-US"/>
        </w:rPr>
        <w:t>Constitution (CS), Convention (</w:t>
      </w:r>
      <w:r w:rsidRPr="008419B9">
        <w:rPr>
          <w:lang w:eastAsia="en-US"/>
        </w:rPr>
        <w:t>CV</w:t>
      </w:r>
      <w:r w:rsidRPr="00483EF9">
        <w:rPr>
          <w:lang w:eastAsia="en-US"/>
        </w:rPr>
        <w:t>), Gener</w:t>
      </w:r>
      <w:r>
        <w:rPr>
          <w:lang w:eastAsia="en-US"/>
        </w:rPr>
        <w:t>al Rules (GR) et al.</w:t>
      </w:r>
    </w:p>
    <w:p w14:paraId="5A677645"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lastRenderedPageBreak/>
        <w:t>On WTSA:</w:t>
      </w:r>
    </w:p>
    <w:p w14:paraId="4E311533" w14:textId="437869E3" w:rsidR="008419B9" w:rsidRPr="008419B9" w:rsidRDefault="008419B9" w:rsidP="008419B9">
      <w:pPr>
        <w:numPr>
          <w:ilvl w:val="0"/>
          <w:numId w:val="39"/>
        </w:numPr>
        <w:contextualSpacing/>
        <w:rPr>
          <w:rFonts w:eastAsia="SimSun"/>
          <w:lang w:val="fr-FR"/>
        </w:rPr>
      </w:pPr>
      <w:r w:rsidRPr="00483EF9">
        <w:rPr>
          <w:rFonts w:eastAsia="SimSun"/>
          <w:lang w:val="fr-FR"/>
        </w:rPr>
        <w:t>ITU Constitution/Convention (</w:t>
      </w:r>
      <w:r w:rsidRPr="008419B9">
        <w:rPr>
          <w:rFonts w:eastAsia="SimSun"/>
          <w:lang w:val="fr-FR"/>
        </w:rPr>
        <w:t>CS/CV</w:t>
      </w:r>
      <w:r w:rsidRPr="00483EF9">
        <w:rPr>
          <w:rFonts w:eastAsia="SimSun"/>
          <w:lang w:val="fr-FR"/>
        </w:rPr>
        <w:t>)</w:t>
      </w:r>
      <w:r w:rsidRPr="008419B9">
        <w:rPr>
          <w:rFonts w:eastAsia="SimSun"/>
          <w:lang w:val="fr-FR"/>
        </w:rPr>
        <w:t xml:space="preserve"> on WTSA</w:t>
      </w:r>
    </w:p>
    <w:p w14:paraId="4C072117" w14:textId="77777777" w:rsidR="008419B9" w:rsidRPr="008419B9" w:rsidRDefault="008419B9" w:rsidP="008419B9">
      <w:pPr>
        <w:numPr>
          <w:ilvl w:val="0"/>
          <w:numId w:val="39"/>
        </w:numPr>
        <w:contextualSpacing/>
        <w:rPr>
          <w:rFonts w:eastAsia="SimSun"/>
        </w:rPr>
      </w:pPr>
      <w:r w:rsidRPr="008419B9">
        <w:rPr>
          <w:rFonts w:eastAsia="SimSun"/>
        </w:rPr>
        <w:t>General Rules Chapter II</w:t>
      </w:r>
    </w:p>
    <w:p w14:paraId="488D47D8" w14:textId="77777777" w:rsidR="008419B9" w:rsidRPr="008419B9" w:rsidRDefault="008419B9" w:rsidP="008419B9">
      <w:pPr>
        <w:numPr>
          <w:ilvl w:val="0"/>
          <w:numId w:val="39"/>
        </w:numPr>
        <w:contextualSpacing/>
        <w:rPr>
          <w:rFonts w:eastAsia="SimSun"/>
        </w:rPr>
      </w:pPr>
      <w:r w:rsidRPr="008419B9">
        <w:rPr>
          <w:rFonts w:eastAsia="SimSun"/>
        </w:rPr>
        <w:t xml:space="preserve">Legal advisor’s briefing note for WTSA-20 </w:t>
      </w:r>
    </w:p>
    <w:p w14:paraId="6F0A1729" w14:textId="77777777" w:rsidR="008419B9" w:rsidRPr="008419B9" w:rsidRDefault="008419B9" w:rsidP="008419B9">
      <w:pPr>
        <w:numPr>
          <w:ilvl w:val="0"/>
          <w:numId w:val="39"/>
        </w:numPr>
        <w:contextualSpacing/>
        <w:rPr>
          <w:rFonts w:eastAsia="SimSun"/>
        </w:rPr>
      </w:pPr>
      <w:r w:rsidRPr="008419B9">
        <w:rPr>
          <w:rFonts w:eastAsia="SimSun"/>
        </w:rPr>
        <w:t xml:space="preserve">Rules of procedures of ITU-T: </w:t>
      </w:r>
      <w:hyperlink r:id="rId18" w:history="1">
        <w:r w:rsidRPr="008419B9">
          <w:rPr>
            <w:rFonts w:eastAsia="SimSun"/>
            <w:color w:val="0000FF"/>
            <w:u w:val="single"/>
          </w:rPr>
          <w:t>WTSA Resolution 1</w:t>
        </w:r>
      </w:hyperlink>
    </w:p>
    <w:p w14:paraId="71277D19"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ITU-T Working methods:</w:t>
      </w:r>
    </w:p>
    <w:p w14:paraId="12F71601" w14:textId="480AFE3E" w:rsidR="008419B9" w:rsidRPr="008419B9" w:rsidRDefault="008419B9" w:rsidP="008419B9">
      <w:pPr>
        <w:numPr>
          <w:ilvl w:val="0"/>
          <w:numId w:val="40"/>
        </w:numPr>
        <w:contextualSpacing/>
        <w:rPr>
          <w:rFonts w:eastAsia="SimSun"/>
          <w:lang w:val="en-US"/>
        </w:rPr>
      </w:pPr>
      <w:r w:rsidRPr="008419B9">
        <w:rPr>
          <w:rFonts w:eastAsia="SimSun"/>
        </w:rPr>
        <w:t>Working methods for study groups of the</w:t>
      </w:r>
      <w:r w:rsidRPr="008419B9">
        <w:rPr>
          <w:rFonts w:eastAsia="SimSun"/>
          <w:lang w:val="en-US"/>
        </w:rPr>
        <w:t xml:space="preserve"> ITU-T: ITU-T </w:t>
      </w:r>
      <w:hyperlink r:id="rId19" w:history="1">
        <w:r w:rsidRPr="008419B9">
          <w:rPr>
            <w:rFonts w:eastAsia="SimSun"/>
            <w:b/>
            <w:bCs/>
            <w:color w:val="0000FF"/>
            <w:u w:val="single"/>
          </w:rPr>
          <w:t>A.1</w:t>
        </w:r>
      </w:hyperlink>
    </w:p>
    <w:p w14:paraId="2C13E9D3" w14:textId="77777777" w:rsidR="008419B9" w:rsidRPr="008419B9" w:rsidRDefault="008419B9" w:rsidP="008419B9">
      <w:pPr>
        <w:numPr>
          <w:ilvl w:val="0"/>
          <w:numId w:val="40"/>
        </w:numPr>
        <w:contextualSpacing/>
        <w:rPr>
          <w:rFonts w:eastAsia="SimSun"/>
        </w:rPr>
      </w:pPr>
      <w:r w:rsidRPr="008419B9">
        <w:rPr>
          <w:rFonts w:eastAsia="SimSun"/>
        </w:rPr>
        <w:t xml:space="preserve">Focus Group: Establishment and working procedures </w:t>
      </w:r>
      <w:r w:rsidRPr="008419B9">
        <w:rPr>
          <w:rFonts w:eastAsia="SimSun"/>
          <w:lang w:val="en-US"/>
        </w:rPr>
        <w:t xml:space="preserve">ITU-T </w:t>
      </w:r>
      <w:hyperlink r:id="rId20" w:history="1">
        <w:r w:rsidRPr="008419B9">
          <w:rPr>
            <w:rFonts w:eastAsia="SimSun"/>
            <w:color w:val="0000FF"/>
            <w:u w:val="single"/>
          </w:rPr>
          <w:t>A.7</w:t>
        </w:r>
      </w:hyperlink>
      <w:r w:rsidRPr="008419B9">
        <w:rPr>
          <w:rFonts w:eastAsia="SimSun"/>
        </w:rPr>
        <w:t xml:space="preserve">  </w:t>
      </w:r>
    </w:p>
    <w:p w14:paraId="12FE05BE"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Collaboration:</w:t>
      </w:r>
    </w:p>
    <w:p w14:paraId="362F0571" w14:textId="77777777" w:rsidR="008419B9" w:rsidRPr="008419B9" w:rsidRDefault="008419B9" w:rsidP="008419B9">
      <w:pPr>
        <w:numPr>
          <w:ilvl w:val="0"/>
          <w:numId w:val="40"/>
        </w:numPr>
        <w:contextualSpacing/>
        <w:rPr>
          <w:rFonts w:eastAsia="SimSun"/>
          <w:lang w:val="en-US"/>
        </w:rPr>
      </w:pPr>
      <w:r w:rsidRPr="008419B9">
        <w:rPr>
          <w:rFonts w:eastAsia="SimSun"/>
          <w:lang w:val="en-US"/>
        </w:rPr>
        <w:t xml:space="preserve">collaboration with ISO and IEC: ITU-T </w:t>
      </w:r>
      <w:hyperlink r:id="rId21" w:history="1">
        <w:r w:rsidRPr="008419B9">
          <w:rPr>
            <w:rFonts w:eastAsia="SimSun"/>
            <w:b/>
            <w:bCs/>
            <w:color w:val="0000FF"/>
            <w:u w:val="single"/>
          </w:rPr>
          <w:t>A.23</w:t>
        </w:r>
      </w:hyperlink>
      <w:r w:rsidRPr="008419B9">
        <w:rPr>
          <w:rFonts w:eastAsia="SimSun"/>
          <w:b/>
          <w:bCs/>
        </w:rPr>
        <w:t xml:space="preserve"> </w:t>
      </w:r>
      <w:hyperlink r:id="rId22" w:history="1">
        <w:r w:rsidRPr="008419B9">
          <w:rPr>
            <w:rFonts w:eastAsia="SimSun"/>
          </w:rPr>
          <w:t xml:space="preserve">and </w:t>
        </w:r>
        <w:r w:rsidRPr="008419B9">
          <w:rPr>
            <w:rFonts w:eastAsia="SimSun"/>
            <w:color w:val="0000FF"/>
            <w:u w:val="single"/>
          </w:rPr>
          <w:t>WTSA Resolution 7</w:t>
        </w:r>
      </w:hyperlink>
      <w:r w:rsidRPr="008419B9">
        <w:rPr>
          <w:rFonts w:eastAsia="SimSun"/>
          <w:color w:val="0000FF"/>
          <w:u w:val="single"/>
        </w:rPr>
        <w:t xml:space="preserve"> </w:t>
      </w:r>
    </w:p>
    <w:p w14:paraId="44F09B77" w14:textId="77777777" w:rsidR="008419B9" w:rsidRPr="008419B9" w:rsidRDefault="008419B9" w:rsidP="008419B9">
      <w:pPr>
        <w:numPr>
          <w:ilvl w:val="0"/>
          <w:numId w:val="40"/>
        </w:numPr>
        <w:contextualSpacing/>
        <w:rPr>
          <w:rFonts w:eastAsia="SimSun"/>
        </w:rPr>
      </w:pPr>
      <w:r w:rsidRPr="008419B9">
        <w:rPr>
          <w:rFonts w:eastAsia="SimSun"/>
        </w:rPr>
        <w:t xml:space="preserve">Normative Referencing of text from other organizations: </w:t>
      </w:r>
      <w:r w:rsidRPr="008419B9">
        <w:rPr>
          <w:rFonts w:eastAsia="SimSun"/>
          <w:lang w:val="en-US"/>
        </w:rPr>
        <w:t xml:space="preserve">ITU-T </w:t>
      </w:r>
      <w:hyperlink r:id="rId23" w:history="1">
        <w:r w:rsidRPr="008419B9">
          <w:rPr>
            <w:rFonts w:eastAsia="SimSun"/>
            <w:b/>
            <w:bCs/>
            <w:color w:val="0000FF"/>
            <w:u w:val="single"/>
          </w:rPr>
          <w:t>A.5</w:t>
        </w:r>
      </w:hyperlink>
    </w:p>
    <w:p w14:paraId="5D88EEC8" w14:textId="77777777" w:rsidR="008419B9" w:rsidRPr="008419B9" w:rsidRDefault="008419B9" w:rsidP="008419B9">
      <w:pPr>
        <w:numPr>
          <w:ilvl w:val="0"/>
          <w:numId w:val="40"/>
        </w:numPr>
        <w:contextualSpacing/>
        <w:rPr>
          <w:rFonts w:eastAsia="SimSun"/>
        </w:rPr>
      </w:pPr>
      <w:r w:rsidRPr="008419B9">
        <w:rPr>
          <w:rFonts w:eastAsia="SimSun"/>
        </w:rPr>
        <w:t xml:space="preserve">Incorporation of text in part or in whole from other organizations: </w:t>
      </w:r>
      <w:r w:rsidRPr="008419B9">
        <w:rPr>
          <w:rFonts w:eastAsia="SimSun"/>
          <w:lang w:val="en-US"/>
        </w:rPr>
        <w:t xml:space="preserve">ITU-T </w:t>
      </w:r>
      <w:hyperlink r:id="rId24" w:history="1">
        <w:r w:rsidRPr="008419B9">
          <w:rPr>
            <w:rFonts w:eastAsia="SimSun"/>
            <w:b/>
            <w:bCs/>
            <w:color w:val="0000FF"/>
            <w:u w:val="single"/>
          </w:rPr>
          <w:t>A.25</w:t>
        </w:r>
      </w:hyperlink>
    </w:p>
    <w:p w14:paraId="693D6497" w14:textId="77777777" w:rsidR="008419B9" w:rsidRPr="008419B9" w:rsidRDefault="008419B9" w:rsidP="008419B9">
      <w:pPr>
        <w:keepNext/>
        <w:keepLines/>
        <w:numPr>
          <w:ilvl w:val="1"/>
          <w:numId w:val="0"/>
        </w:numPr>
        <w:tabs>
          <w:tab w:val="left" w:pos="794"/>
          <w:tab w:val="left" w:pos="1191"/>
          <w:tab w:val="left" w:pos="1588"/>
          <w:tab w:val="left" w:pos="1985"/>
        </w:tabs>
        <w:overflowPunct w:val="0"/>
        <w:autoSpaceDE w:val="0"/>
        <w:autoSpaceDN w:val="0"/>
        <w:adjustRightInd w:val="0"/>
        <w:spacing w:before="240"/>
        <w:ind w:left="576" w:hanging="576"/>
        <w:outlineLvl w:val="1"/>
        <w:rPr>
          <w:rFonts w:eastAsia="Times New Roman"/>
          <w:b/>
          <w:szCs w:val="20"/>
          <w:lang w:eastAsia="en-US"/>
        </w:rPr>
      </w:pPr>
      <w:r w:rsidRPr="008419B9">
        <w:rPr>
          <w:rFonts w:eastAsia="Times New Roman"/>
          <w:b/>
          <w:szCs w:val="20"/>
          <w:lang w:eastAsia="en-US"/>
        </w:rPr>
        <w:t>Approval process of ITU-T Recommendations:</w:t>
      </w:r>
    </w:p>
    <w:p w14:paraId="7348F14F" w14:textId="77777777" w:rsidR="008419B9" w:rsidRPr="008419B9" w:rsidRDefault="008419B9" w:rsidP="008419B9">
      <w:pPr>
        <w:numPr>
          <w:ilvl w:val="0"/>
          <w:numId w:val="40"/>
        </w:numPr>
        <w:contextualSpacing/>
        <w:rPr>
          <w:rFonts w:eastAsia="SimSun"/>
        </w:rPr>
      </w:pPr>
      <w:r w:rsidRPr="008419B9">
        <w:rPr>
          <w:rFonts w:eastAsia="SimSun"/>
        </w:rPr>
        <w:t xml:space="preserve">TAP: The traditional approval process (TAP) is described in </w:t>
      </w:r>
      <w:hyperlink r:id="rId25" w:history="1">
        <w:r w:rsidRPr="008419B9">
          <w:rPr>
            <w:rFonts w:eastAsia="SimSun"/>
            <w:color w:val="0000FF"/>
            <w:u w:val="single"/>
          </w:rPr>
          <w:t>WTSA Resolution 1</w:t>
        </w:r>
      </w:hyperlink>
      <w:r w:rsidRPr="008419B9">
        <w:rPr>
          <w:rFonts w:eastAsia="SimSun"/>
        </w:rPr>
        <w:t>, section 9. Section 8 of the same Resolution defines how selection is done between the traditional approval process and the alternative approval process (AAP).</w:t>
      </w:r>
    </w:p>
    <w:p w14:paraId="505E5896" w14:textId="68C87467" w:rsidR="008419B9" w:rsidRPr="008419B9" w:rsidRDefault="008419B9" w:rsidP="008419B9">
      <w:pPr>
        <w:numPr>
          <w:ilvl w:val="0"/>
          <w:numId w:val="40"/>
        </w:numPr>
        <w:contextualSpacing/>
        <w:rPr>
          <w:rFonts w:eastAsia="SimSun"/>
          <w:lang w:val="en-US"/>
        </w:rPr>
      </w:pPr>
      <w:r w:rsidRPr="008419B9">
        <w:rPr>
          <w:rFonts w:eastAsia="SimSun"/>
        </w:rPr>
        <w:t xml:space="preserve">AAP: The Alternative Approval Process for new and revised ITU-T Recommendations is defined in </w:t>
      </w:r>
      <w:r w:rsidRPr="008419B9">
        <w:rPr>
          <w:rFonts w:eastAsia="SimSun"/>
          <w:lang w:val="en-US"/>
        </w:rPr>
        <w:t xml:space="preserve">ITU-T </w:t>
      </w:r>
      <w:hyperlink r:id="rId26" w:history="1">
        <w:r w:rsidRPr="008419B9">
          <w:rPr>
            <w:rFonts w:eastAsia="SimSun"/>
            <w:color w:val="0000FF"/>
            <w:u w:val="single"/>
          </w:rPr>
          <w:t>A.8</w:t>
        </w:r>
      </w:hyperlink>
      <w:r>
        <w:rPr>
          <w:rFonts w:eastAsia="SimSun"/>
        </w:rPr>
        <w:t>.</w:t>
      </w:r>
    </w:p>
    <w:p w14:paraId="6CBAE64B" w14:textId="17BA5AC7" w:rsidR="00ED3358" w:rsidRPr="008419B9" w:rsidRDefault="00ED3358" w:rsidP="00BF2B84">
      <w:pPr>
        <w:ind w:left="360"/>
        <w:rPr>
          <w:rFonts w:eastAsia="MS Mincho"/>
          <w:lang w:val="en-US"/>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B42C72">
      <w:headerReference w:type="default" r:id="rId27"/>
      <w:pgSz w:w="11907" w:h="16840" w:code="9"/>
      <w:pgMar w:top="1134" w:right="1134" w:bottom="1134" w:left="1134"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6DA5" w14:textId="77777777" w:rsidR="00E25423" w:rsidRDefault="00E25423" w:rsidP="00C42125">
      <w:pPr>
        <w:spacing w:before="0"/>
      </w:pPr>
      <w:r>
        <w:separator/>
      </w:r>
    </w:p>
  </w:endnote>
  <w:endnote w:type="continuationSeparator" w:id="0">
    <w:p w14:paraId="4071C54B" w14:textId="77777777" w:rsidR="00E25423" w:rsidRDefault="00E2542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4BCC5" w14:textId="77777777" w:rsidR="00E25423" w:rsidRDefault="00E25423" w:rsidP="00C42125">
      <w:pPr>
        <w:spacing w:before="0"/>
      </w:pPr>
      <w:r>
        <w:separator/>
      </w:r>
    </w:p>
  </w:footnote>
  <w:footnote w:type="continuationSeparator" w:id="0">
    <w:p w14:paraId="3D8D5DEF" w14:textId="77777777" w:rsidR="00E25423" w:rsidRDefault="00E2542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478583"/>
      <w:docPartObj>
        <w:docPartGallery w:val="Page Numbers (Top of Page)"/>
        <w:docPartUnique/>
      </w:docPartObj>
    </w:sdtPr>
    <w:sdtEndPr>
      <w:rPr>
        <w:noProof/>
      </w:rPr>
    </w:sdtEndPr>
    <w:sdtContent>
      <w:p w14:paraId="03CEB5CF" w14:textId="789B91B2" w:rsidR="00B42C72" w:rsidRDefault="00B42C72">
        <w:pPr>
          <w:pStyle w:val="Header"/>
        </w:pPr>
        <w:r>
          <w:fldChar w:fldCharType="begin"/>
        </w:r>
        <w:r>
          <w:instrText xml:space="preserve"> PAGE   \* MERGEFORMAT </w:instrText>
        </w:r>
        <w:r>
          <w:fldChar w:fldCharType="separate"/>
        </w:r>
        <w:r>
          <w:rPr>
            <w:noProof/>
          </w:rPr>
          <w:t>2</w:t>
        </w:r>
        <w:r>
          <w:rPr>
            <w:noProof/>
          </w:rPr>
          <w:fldChar w:fldCharType="end"/>
        </w:r>
        <w:r>
          <w:rPr>
            <w:noProof/>
          </w:rPr>
          <w:br/>
          <w:t>TSAG-TD613</w:t>
        </w:r>
      </w:p>
    </w:sdtContent>
  </w:sdt>
  <w:p w14:paraId="6BC33738" w14:textId="0ECAC889" w:rsidR="00E54072" w:rsidRPr="00B11596" w:rsidRDefault="00E54072" w:rsidP="00B1159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0C3F40"/>
    <w:multiLevelType w:val="hybridMultilevel"/>
    <w:tmpl w:val="9A346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E0DAD"/>
    <w:multiLevelType w:val="hybridMultilevel"/>
    <w:tmpl w:val="D34EE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8062E60"/>
    <w:multiLevelType w:val="hybridMultilevel"/>
    <w:tmpl w:val="AD08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828FC"/>
    <w:multiLevelType w:val="hybridMultilevel"/>
    <w:tmpl w:val="24D6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5"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7"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1649166730">
    <w:abstractNumId w:val="21"/>
  </w:num>
  <w:num w:numId="12" w16cid:durableId="832990145">
    <w:abstractNumId w:val="30"/>
  </w:num>
  <w:num w:numId="13" w16cid:durableId="1867330358">
    <w:abstractNumId w:val="36"/>
  </w:num>
  <w:num w:numId="14" w16cid:durableId="823815878">
    <w:abstractNumId w:val="27"/>
  </w:num>
  <w:num w:numId="15" w16cid:durableId="873809400">
    <w:abstractNumId w:val="32"/>
  </w:num>
  <w:num w:numId="16" w16cid:durableId="1092975327">
    <w:abstractNumId w:val="22"/>
  </w:num>
  <w:num w:numId="17" w16cid:durableId="2021201689">
    <w:abstractNumId w:val="35"/>
  </w:num>
  <w:num w:numId="18" w16cid:durableId="238178479">
    <w:abstractNumId w:val="33"/>
  </w:num>
  <w:num w:numId="19" w16cid:durableId="1506021074">
    <w:abstractNumId w:val="18"/>
  </w:num>
  <w:num w:numId="20" w16cid:durableId="1404789802">
    <w:abstractNumId w:val="11"/>
  </w:num>
  <w:num w:numId="21" w16cid:durableId="2055687408">
    <w:abstractNumId w:val="13"/>
  </w:num>
  <w:num w:numId="22" w16cid:durableId="1308437975">
    <w:abstractNumId w:val="10"/>
  </w:num>
  <w:num w:numId="23" w16cid:durableId="978612395">
    <w:abstractNumId w:val="12"/>
  </w:num>
  <w:num w:numId="24" w16cid:durableId="1104108121">
    <w:abstractNumId w:val="28"/>
  </w:num>
  <w:num w:numId="25" w16cid:durableId="763762351">
    <w:abstractNumId w:val="23"/>
  </w:num>
  <w:num w:numId="26" w16cid:durableId="1768889765">
    <w:abstractNumId w:val="26"/>
  </w:num>
  <w:num w:numId="27" w16cid:durableId="1887788516">
    <w:abstractNumId w:val="15"/>
  </w:num>
  <w:num w:numId="28" w16cid:durableId="1162886694">
    <w:abstractNumId w:val="14"/>
  </w:num>
  <w:num w:numId="29" w16cid:durableId="681055002">
    <w:abstractNumId w:val="25"/>
  </w:num>
  <w:num w:numId="30" w16cid:durableId="1809543630">
    <w:abstractNumId w:val="31"/>
  </w:num>
  <w:num w:numId="31" w16cid:durableId="84419489">
    <w:abstractNumId w:val="37"/>
  </w:num>
  <w:num w:numId="32" w16cid:durableId="1884369021">
    <w:abstractNumId w:val="17"/>
  </w:num>
  <w:num w:numId="33" w16cid:durableId="709493184">
    <w:abstractNumId w:val="38"/>
  </w:num>
  <w:num w:numId="34" w16cid:durableId="1282999715">
    <w:abstractNumId w:val="29"/>
  </w:num>
  <w:num w:numId="35" w16cid:durableId="2021854699">
    <w:abstractNumId w:val="34"/>
  </w:num>
  <w:num w:numId="36" w16cid:durableId="1099637645">
    <w:abstractNumId w:val="24"/>
  </w:num>
  <w:num w:numId="37" w16cid:durableId="879560540">
    <w:abstractNumId w:val="21"/>
  </w:num>
  <w:num w:numId="38" w16cid:durableId="1235969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1369883">
    <w:abstractNumId w:val="19"/>
  </w:num>
  <w:num w:numId="40" w16cid:durableId="783962066">
    <w:abstractNumId w:val="30"/>
  </w:num>
  <w:num w:numId="41" w16cid:durableId="1108887597">
    <w:abstractNumId w:val="16"/>
  </w:num>
  <w:num w:numId="42" w16cid:durableId="17204693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0827"/>
    <w:rsid w:val="0001401C"/>
    <w:rsid w:val="00021593"/>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6A3A"/>
    <w:rsid w:val="000E7DE0"/>
    <w:rsid w:val="00101257"/>
    <w:rsid w:val="00103EFD"/>
    <w:rsid w:val="00125432"/>
    <w:rsid w:val="001262B3"/>
    <w:rsid w:val="00130600"/>
    <w:rsid w:val="00132713"/>
    <w:rsid w:val="00134024"/>
    <w:rsid w:val="00137F40"/>
    <w:rsid w:val="00160028"/>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77326"/>
    <w:rsid w:val="00291567"/>
    <w:rsid w:val="002A401B"/>
    <w:rsid w:val="002A481B"/>
    <w:rsid w:val="002B3C3D"/>
    <w:rsid w:val="002C2246"/>
    <w:rsid w:val="002C26C0"/>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43EF"/>
    <w:rsid w:val="003B4C91"/>
    <w:rsid w:val="003D4CD8"/>
    <w:rsid w:val="003F239F"/>
    <w:rsid w:val="003F2BED"/>
    <w:rsid w:val="00405F88"/>
    <w:rsid w:val="00422DB9"/>
    <w:rsid w:val="00427BE8"/>
    <w:rsid w:val="00443878"/>
    <w:rsid w:val="00445484"/>
    <w:rsid w:val="004712CA"/>
    <w:rsid w:val="0047422E"/>
    <w:rsid w:val="00481D4C"/>
    <w:rsid w:val="00483EF9"/>
    <w:rsid w:val="0048565C"/>
    <w:rsid w:val="0049280A"/>
    <w:rsid w:val="004B483D"/>
    <w:rsid w:val="004B6D2A"/>
    <w:rsid w:val="004C0673"/>
    <w:rsid w:val="004C1FA4"/>
    <w:rsid w:val="004C25CF"/>
    <w:rsid w:val="004C4F8C"/>
    <w:rsid w:val="004D693E"/>
    <w:rsid w:val="004F3816"/>
    <w:rsid w:val="00510920"/>
    <w:rsid w:val="00510C75"/>
    <w:rsid w:val="0051199B"/>
    <w:rsid w:val="00517860"/>
    <w:rsid w:val="00531A50"/>
    <w:rsid w:val="00560703"/>
    <w:rsid w:val="0056481F"/>
    <w:rsid w:val="00566EDA"/>
    <w:rsid w:val="00572654"/>
    <w:rsid w:val="005763B4"/>
    <w:rsid w:val="005822F5"/>
    <w:rsid w:val="005B1E57"/>
    <w:rsid w:val="005B5629"/>
    <w:rsid w:val="005B5A16"/>
    <w:rsid w:val="005C0300"/>
    <w:rsid w:val="005D506F"/>
    <w:rsid w:val="005F4B6A"/>
    <w:rsid w:val="00615A0A"/>
    <w:rsid w:val="00621A25"/>
    <w:rsid w:val="006333D4"/>
    <w:rsid w:val="006369B2"/>
    <w:rsid w:val="00644730"/>
    <w:rsid w:val="00650859"/>
    <w:rsid w:val="00652C03"/>
    <w:rsid w:val="0065530C"/>
    <w:rsid w:val="00656F5E"/>
    <w:rsid w:val="006570B0"/>
    <w:rsid w:val="00657F7D"/>
    <w:rsid w:val="00681FA7"/>
    <w:rsid w:val="0069210B"/>
    <w:rsid w:val="006A4055"/>
    <w:rsid w:val="006C5641"/>
    <w:rsid w:val="006D1089"/>
    <w:rsid w:val="006D11F6"/>
    <w:rsid w:val="006D7355"/>
    <w:rsid w:val="00704DA0"/>
    <w:rsid w:val="007052B7"/>
    <w:rsid w:val="0071504D"/>
    <w:rsid w:val="00731135"/>
    <w:rsid w:val="007324AF"/>
    <w:rsid w:val="007409B4"/>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664D"/>
    <w:rsid w:val="008071B7"/>
    <w:rsid w:val="008419B9"/>
    <w:rsid w:val="00842137"/>
    <w:rsid w:val="00871CF9"/>
    <w:rsid w:val="0089088E"/>
    <w:rsid w:val="00892297"/>
    <w:rsid w:val="00893914"/>
    <w:rsid w:val="008A07EE"/>
    <w:rsid w:val="008B2478"/>
    <w:rsid w:val="008B3C30"/>
    <w:rsid w:val="008B3ED8"/>
    <w:rsid w:val="008C39F0"/>
    <w:rsid w:val="008D2B69"/>
    <w:rsid w:val="008D489C"/>
    <w:rsid w:val="008D599B"/>
    <w:rsid w:val="008E0172"/>
    <w:rsid w:val="008E02FA"/>
    <w:rsid w:val="008E166A"/>
    <w:rsid w:val="008F5C46"/>
    <w:rsid w:val="00922242"/>
    <w:rsid w:val="00925BF5"/>
    <w:rsid w:val="00930F6B"/>
    <w:rsid w:val="009406B5"/>
    <w:rsid w:val="00943DCF"/>
    <w:rsid w:val="00945D28"/>
    <w:rsid w:val="00946166"/>
    <w:rsid w:val="009549DD"/>
    <w:rsid w:val="00971D47"/>
    <w:rsid w:val="00976615"/>
    <w:rsid w:val="00983164"/>
    <w:rsid w:val="009972EF"/>
    <w:rsid w:val="009A439E"/>
    <w:rsid w:val="009A713C"/>
    <w:rsid w:val="009C1EF0"/>
    <w:rsid w:val="009D4014"/>
    <w:rsid w:val="009E6045"/>
    <w:rsid w:val="009E766E"/>
    <w:rsid w:val="009F715E"/>
    <w:rsid w:val="00A10DBB"/>
    <w:rsid w:val="00A25503"/>
    <w:rsid w:val="00A377E6"/>
    <w:rsid w:val="00A4013E"/>
    <w:rsid w:val="00A427CD"/>
    <w:rsid w:val="00A4600B"/>
    <w:rsid w:val="00A52193"/>
    <w:rsid w:val="00A5408E"/>
    <w:rsid w:val="00A679D3"/>
    <w:rsid w:val="00A67A81"/>
    <w:rsid w:val="00A7178F"/>
    <w:rsid w:val="00A728A3"/>
    <w:rsid w:val="00A730A6"/>
    <w:rsid w:val="00A84D6D"/>
    <w:rsid w:val="00A87D67"/>
    <w:rsid w:val="00A971A0"/>
    <w:rsid w:val="00AA1F22"/>
    <w:rsid w:val="00AA50C6"/>
    <w:rsid w:val="00AB06EB"/>
    <w:rsid w:val="00AB0AAF"/>
    <w:rsid w:val="00AB77D7"/>
    <w:rsid w:val="00AC27F0"/>
    <w:rsid w:val="00AE15A9"/>
    <w:rsid w:val="00AE443D"/>
    <w:rsid w:val="00AE6E71"/>
    <w:rsid w:val="00AF01D4"/>
    <w:rsid w:val="00AF2789"/>
    <w:rsid w:val="00B05821"/>
    <w:rsid w:val="00B11596"/>
    <w:rsid w:val="00B26C28"/>
    <w:rsid w:val="00B34358"/>
    <w:rsid w:val="00B41E39"/>
    <w:rsid w:val="00B42C72"/>
    <w:rsid w:val="00B453F5"/>
    <w:rsid w:val="00B45494"/>
    <w:rsid w:val="00B52165"/>
    <w:rsid w:val="00B53D1B"/>
    <w:rsid w:val="00B718A5"/>
    <w:rsid w:val="00B85886"/>
    <w:rsid w:val="00BA7B1B"/>
    <w:rsid w:val="00BF2B84"/>
    <w:rsid w:val="00C06846"/>
    <w:rsid w:val="00C322E8"/>
    <w:rsid w:val="00C42125"/>
    <w:rsid w:val="00C62814"/>
    <w:rsid w:val="00C707AC"/>
    <w:rsid w:val="00C73498"/>
    <w:rsid w:val="00C74937"/>
    <w:rsid w:val="00C83D70"/>
    <w:rsid w:val="00C855D0"/>
    <w:rsid w:val="00C9460E"/>
    <w:rsid w:val="00CC6148"/>
    <w:rsid w:val="00CD54C5"/>
    <w:rsid w:val="00CE78B5"/>
    <w:rsid w:val="00CF08D8"/>
    <w:rsid w:val="00D2467F"/>
    <w:rsid w:val="00D50C42"/>
    <w:rsid w:val="00D56C01"/>
    <w:rsid w:val="00D82094"/>
    <w:rsid w:val="00D873DA"/>
    <w:rsid w:val="00DA3508"/>
    <w:rsid w:val="00DC1EB8"/>
    <w:rsid w:val="00DD45BB"/>
    <w:rsid w:val="00DD7E18"/>
    <w:rsid w:val="00DE3062"/>
    <w:rsid w:val="00DF109F"/>
    <w:rsid w:val="00E125BD"/>
    <w:rsid w:val="00E1406C"/>
    <w:rsid w:val="00E154E5"/>
    <w:rsid w:val="00E204DD"/>
    <w:rsid w:val="00E25423"/>
    <w:rsid w:val="00E407D1"/>
    <w:rsid w:val="00E53C24"/>
    <w:rsid w:val="00E54072"/>
    <w:rsid w:val="00E85082"/>
    <w:rsid w:val="00EA65F7"/>
    <w:rsid w:val="00EB444D"/>
    <w:rsid w:val="00EB797D"/>
    <w:rsid w:val="00ED3358"/>
    <w:rsid w:val="00ED4627"/>
    <w:rsid w:val="00EE187E"/>
    <w:rsid w:val="00F00EFD"/>
    <w:rsid w:val="00F02294"/>
    <w:rsid w:val="00F075D9"/>
    <w:rsid w:val="00F11CD1"/>
    <w:rsid w:val="00F134ED"/>
    <w:rsid w:val="00F35F57"/>
    <w:rsid w:val="00F405F5"/>
    <w:rsid w:val="00F42C81"/>
    <w:rsid w:val="00F50467"/>
    <w:rsid w:val="00F504DA"/>
    <w:rsid w:val="00F662C8"/>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uiPriority w:val="99"/>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 w:type="character" w:customStyle="1" w:styleId="normaltextrun">
    <w:name w:val="normaltextrun"/>
    <w:basedOn w:val="DefaultParagraphFont"/>
    <w:rsid w:val="00AB77D7"/>
  </w:style>
  <w:style w:type="character" w:customStyle="1" w:styleId="eop">
    <w:name w:val="eop"/>
    <w:basedOn w:val="DefaultParagraphFont"/>
    <w:rsid w:val="00AB77D7"/>
  </w:style>
  <w:style w:type="character" w:customStyle="1" w:styleId="tabchar">
    <w:name w:val="tabchar"/>
    <w:basedOn w:val="DefaultParagraphFont"/>
    <w:rsid w:val="00AB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45818">
      <w:bodyDiv w:val="1"/>
      <w:marLeft w:val="0"/>
      <w:marRight w:val="0"/>
      <w:marTop w:val="0"/>
      <w:marBottom w:val="0"/>
      <w:divBdr>
        <w:top w:val="none" w:sz="0" w:space="0" w:color="auto"/>
        <w:left w:val="none" w:sz="0" w:space="0" w:color="auto"/>
        <w:bottom w:val="none" w:sz="0" w:space="0" w:color="auto"/>
        <w:right w:val="none" w:sz="0" w:space="0" w:color="auto"/>
      </w:divBdr>
    </w:div>
    <w:div w:id="1727989202">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meetings/ITU-T/T22-TSAGRGM/RGWTSA-240418/DOCs/T22-TSAGRGM-RGWTSA-240418-DOC-0002.docx" TargetMode="External"/><Relationship Id="rId18" Type="http://schemas.openxmlformats.org/officeDocument/2006/relationships/hyperlink" Target="http://handle.itu.int/11.1002/pub/81c722f0-en" TargetMode="External"/><Relationship Id="rId26" Type="http://schemas.openxmlformats.org/officeDocument/2006/relationships/hyperlink" Target="https://www.itu.int/rec/T-REC-A.8/en" TargetMode="External"/><Relationship Id="rId3" Type="http://schemas.openxmlformats.org/officeDocument/2006/relationships/customXml" Target="../customXml/item3.xml"/><Relationship Id="rId21" Type="http://schemas.openxmlformats.org/officeDocument/2006/relationships/hyperlink" Target="https://www.itu.int/rec/T-REC-A/recommendation.asp?lang=en&amp;parent=T-REC-A.23" TargetMode="External"/><Relationship Id="rId7" Type="http://schemas.openxmlformats.org/officeDocument/2006/relationships/settings" Target="settings.xml"/><Relationship Id="rId12" Type="http://schemas.openxmlformats.org/officeDocument/2006/relationships/hyperlink" Target="mailto:lifang@caict.ac.cn" TargetMode="External"/><Relationship Id="rId17" Type="http://schemas.openxmlformats.org/officeDocument/2006/relationships/hyperlink" Target="https://www.itu.int/hub/publication/s-conf-plen-2022/" TargetMode="External"/><Relationship Id="rId25" Type="http://schemas.openxmlformats.org/officeDocument/2006/relationships/hyperlink" Target="http://handle.itu.int/11.1002/pub/81c722f0-en" TargetMode="External"/><Relationship Id="rId2" Type="http://schemas.openxmlformats.org/officeDocument/2006/relationships/customXml" Target="../customXml/item2.xml"/><Relationship Id="rId16" Type="http://schemas.openxmlformats.org/officeDocument/2006/relationships/hyperlink" Target="https://www.itu.int/en/ITU-T/tutorials/202203/Documents/Reinhard%20Scholl_v2_The%20art%20of%20reaching%20consensus.pdf" TargetMode="External"/><Relationship Id="rId20" Type="http://schemas.openxmlformats.org/officeDocument/2006/relationships/hyperlink" Target="https://www.itu.int/rec/T-REC-A.7/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rec/T-REC-A/recommendation.asp?lang=en&amp;parent=T-REC-A.25" TargetMode="External"/><Relationship Id="rId5" Type="http://schemas.openxmlformats.org/officeDocument/2006/relationships/numbering" Target="numbering.xml"/><Relationship Id="rId15" Type="http://schemas.openxmlformats.org/officeDocument/2006/relationships/hyperlink" Target="https://www.itu.int/md/T22-TSAG-221212-TD-GEN-0120/en" TargetMode="External"/><Relationship Id="rId23" Type="http://schemas.openxmlformats.org/officeDocument/2006/relationships/hyperlink" Target="https://www.itu.int/rec/T-REC-A/recommendation.asp?lang=en&amp;parent=T-REC-A.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rec/T-REC-A/recommendation.asp?lang=en&amp;parent=T-REC-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General-Rules-E.pdf" TargetMode="External"/><Relationship Id="rId22" Type="http://schemas.openxmlformats.org/officeDocument/2006/relationships/hyperlink" Target="http://handle.itu.int/11.1002/pub/81c722f2-en"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Draft A.SupWTSAGL “WTSA preparation guideline on Resolutions”</vt:lpstr>
    </vt:vector>
  </TitlesOfParts>
  <Manager>ITU-T</Manager>
  <Company>International Telecommunication Union (ITU)</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3</cp:revision>
  <dcterms:created xsi:type="dcterms:W3CDTF">2024-07-22T07:28:00Z</dcterms:created>
  <dcterms:modified xsi:type="dcterms:W3CDTF">2024-07-22T07:29:00Z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