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D07E1">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1288C0C7" w:rsidR="001B13F5" w:rsidRPr="0068196C" w:rsidRDefault="001B13F5" w:rsidP="001A4296">
            <w:pPr>
              <w:pStyle w:val="Docnumber"/>
            </w:pPr>
            <w:r w:rsidRPr="0068196C">
              <w:t>TSAG-</w:t>
            </w:r>
            <w:r w:rsidR="00146CF1" w:rsidRPr="0068196C">
              <w:t>TD</w:t>
            </w:r>
            <w:r w:rsidR="00146CF1">
              <w:t>630R4</w:t>
            </w:r>
          </w:p>
        </w:tc>
      </w:tr>
      <w:bookmarkEnd w:id="0"/>
      <w:tr w:rsidR="001B13F5" w:rsidRPr="0068196C" w14:paraId="7A8A1805" w14:textId="77777777" w:rsidTr="006D07E1">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D07E1">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D07E1">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6D07E1">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6D07E1">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D07E1">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115C9824" w:rsidR="001B13F5" w:rsidRPr="0068196C" w:rsidRDefault="00CD0B00" w:rsidP="001A4296">
            <w:pPr>
              <w:pStyle w:val="TSBHeaderTitle"/>
            </w:pPr>
            <w:r>
              <w:t>Draft revised WTSA</w:t>
            </w:r>
            <w:r w:rsidR="00B91F81">
              <w:t xml:space="preserve"> </w:t>
            </w:r>
            <w:r w:rsidR="00B91F81" w:rsidRPr="00B91F81">
              <w:t xml:space="preserve">Resolution 22 </w:t>
            </w:r>
            <w:r w:rsidR="00B91F81">
              <w:t>"</w:t>
            </w:r>
            <w:r w:rsidR="00B91F81" w:rsidRPr="00B91F81">
              <w:t>Authorization for the Telecommunication Standardization Advisory Group to act between world telecommunication standardization assemblies</w:t>
            </w:r>
            <w:r w:rsidR="00B91F81">
              <w:t>"</w:t>
            </w:r>
          </w:p>
        </w:tc>
      </w:tr>
      <w:tr w:rsidR="0061080C" w:rsidRPr="00146CF1" w14:paraId="5480818C" w14:textId="77777777" w:rsidTr="006D07E1">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0A0DDA33"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6D07E1">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507885E2" w:rsidR="008924B6" w:rsidRPr="00024B48" w:rsidRDefault="008924B6" w:rsidP="00600816">
            <w:pPr>
              <w:rPr>
                <w:rFonts w:asciiTheme="majorBidi" w:hAnsiTheme="majorBidi" w:cstheme="majorBidi"/>
                <w:lang w:val="en-US"/>
              </w:rPr>
            </w:pPr>
            <w:r w:rsidRPr="00024B48">
              <w:rPr>
                <w:rStyle w:val="normaltextrun"/>
                <w:rFonts w:asciiTheme="majorBidi" w:hAnsiTheme="majorBidi" w:cstheme="majorBidi"/>
                <w:lang w:val="en-US"/>
              </w:rPr>
              <w:t>Mr Stefano Polidori</w:t>
            </w:r>
            <w:r w:rsidRPr="00024B48">
              <w:rPr>
                <w:rFonts w:asciiTheme="majorBidi" w:hAnsiTheme="majorBidi" w:cstheme="majorBidi"/>
                <w:lang w:val="en-US"/>
              </w:rPr>
              <w:br/>
            </w:r>
            <w:r w:rsidRPr="00024B48">
              <w:rPr>
                <w:rStyle w:val="normaltextrun"/>
                <w:rFonts w:asciiTheme="majorBidi" w:hAnsiTheme="majorBidi" w:cstheme="majorBidi"/>
                <w:lang w:val="en-US"/>
              </w:rPr>
              <w:t>TSB</w:t>
            </w:r>
            <w:r w:rsidR="00EB25B3" w:rsidRPr="00024B48">
              <w:rPr>
                <w:rStyle w:val="normaltextrun"/>
                <w:rFonts w:asciiTheme="majorBidi" w:hAnsiTheme="majorBidi" w:cstheme="majorBidi"/>
                <w:lang w:val="en-US"/>
              </w:rPr>
              <w:t>,</w:t>
            </w:r>
            <w:r w:rsidRPr="00024B48">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
          <w:p w14:paraId="634ECC69" w14:textId="77777777" w:rsidR="008924B6" w:rsidRPr="008924B6" w:rsidRDefault="008924B6" w:rsidP="00600816">
            <w:pPr>
              <w:rPr>
                <w:rFonts w:asciiTheme="majorBidi" w:hAnsiTheme="majorBidi" w:cstheme="majorBidi"/>
                <w:lang w:val="de-DE"/>
              </w:rPr>
            </w:pPr>
            <w:r w:rsidRPr="008924B6">
              <w:rPr>
                <w:rStyle w:val="normaltextrun"/>
                <w:rFonts w:asciiTheme="majorBidi" w:hAnsiTheme="majorBidi" w:cstheme="majorBidi"/>
                <w:lang w:val="de-DE"/>
              </w:rPr>
              <w:t>E-mail:</w:t>
            </w:r>
            <w:r w:rsidRPr="008924B6">
              <w:rPr>
                <w:rStyle w:val="tabchar"/>
                <w:rFonts w:asciiTheme="majorBidi" w:hAnsiTheme="majorBidi" w:cstheme="majorBidi"/>
                <w:lang w:val="de-DE"/>
              </w:rPr>
              <w:tab/>
            </w:r>
            <w:hyperlink r:id="rId13" w:tgtFrame="_blank" w:history="1">
              <w:r w:rsidRPr="008924B6">
                <w:rPr>
                  <w:rStyle w:val="Hyperlink"/>
                  <w:rFonts w:asciiTheme="majorBidi" w:hAnsiTheme="majorBidi" w:cstheme="majorBidi"/>
                  <w:lang w:val="de-DE"/>
                </w:rPr>
                <w:t>stefano.polidori@itu.int</w:t>
              </w:r>
            </w:hyperlink>
            <w:r w:rsidRPr="008924B6">
              <w:rPr>
                <w:rStyle w:val="eop"/>
                <w:rFonts w:asciiTheme="majorBidi" w:hAnsiTheme="majorBidi" w:cstheme="majorBidi"/>
                <w:lang w:val="de-DE"/>
              </w:rPr>
              <w:t> </w:t>
            </w:r>
          </w:p>
        </w:tc>
      </w:tr>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7021929" w:rsidR="0089088E" w:rsidRPr="0068196C" w:rsidRDefault="00CA4050" w:rsidP="001A4296">
            <w:pPr>
              <w:pStyle w:val="TSBHeaderSummary"/>
            </w:pPr>
            <w:r>
              <w:t xml:space="preserve">This TD provides </w:t>
            </w:r>
            <w:r w:rsidR="001D5317">
              <w:t>a revis</w:t>
            </w:r>
            <w:r w:rsidR="00360E65">
              <w:t>ed</w:t>
            </w:r>
            <w:r w:rsidR="001D5317">
              <w:t xml:space="preserve"> version of WTSA Resolution 22 based on contributions </w:t>
            </w:r>
            <w:r w:rsidR="00142AB2">
              <w:t xml:space="preserve">C97 and </w:t>
            </w:r>
            <w:r w:rsidR="001D5317">
              <w:t>C111 at this TSAG meeting</w:t>
            </w:r>
            <w:r w:rsidR="00360E65">
              <w:t xml:space="preserve">, </w:t>
            </w:r>
            <w:r w:rsidR="00461AE3">
              <w:t>with editorial modifications by the Rapporteur</w:t>
            </w:r>
            <w:r w:rsidR="001D5317">
              <w:t>.</w:t>
            </w:r>
          </w:p>
        </w:tc>
      </w:tr>
    </w:tbl>
    <w:bookmarkEnd w:id="10"/>
    <w:p w14:paraId="75E1ABEE" w14:textId="1D7B5CC5" w:rsidR="004C1FCF" w:rsidRPr="00F23D5E" w:rsidRDefault="004C1FCF" w:rsidP="004C1FCF">
      <w:r w:rsidRPr="00F23D5E">
        <w:rPr>
          <w:b/>
        </w:rPr>
        <w:t>Action</w:t>
      </w:r>
      <w:r w:rsidRPr="00F23D5E">
        <w:t>:</w:t>
      </w:r>
      <w:r w:rsidRPr="00F23D5E">
        <w:tab/>
      </w:r>
      <w:r w:rsidR="00CD0B00">
        <w:t>RG-WM</w:t>
      </w:r>
      <w:r w:rsidRPr="00F23D5E">
        <w:t xml:space="preserve"> is invited to </w:t>
      </w:r>
      <w:r w:rsidR="00CD0B00">
        <w:t>discuss this document.</w:t>
      </w:r>
    </w:p>
    <w:p w14:paraId="6F8F7061" w14:textId="1D151D2C" w:rsidR="008C5A9A" w:rsidRDefault="008C5A9A" w:rsidP="008C5A9A"/>
    <w:p w14:paraId="72AA464A" w14:textId="1B6AD442" w:rsidR="003C5F35" w:rsidRDefault="003C5F35" w:rsidP="008C5A9A">
      <w:r>
        <w:t xml:space="preserve">Revision 1 of this TD captures the result of the RG-IEM ad hoc meeting on </w:t>
      </w:r>
      <w:r w:rsidR="00FC42B8">
        <w:t xml:space="preserve">30 July </w:t>
      </w:r>
      <w:r>
        <w:t>(</w:t>
      </w:r>
      <w:hyperlink r:id="rId14" w:history="1">
        <w:r w:rsidR="00D23F96" w:rsidRPr="00D23F96">
          <w:rPr>
            <w:rStyle w:val="Hyperlink"/>
          </w:rPr>
          <w:t>TD668R1</w:t>
        </w:r>
      </w:hyperlink>
      <w:r>
        <w:t>).</w:t>
      </w:r>
    </w:p>
    <w:p w14:paraId="6448BE68" w14:textId="6E76F54C" w:rsidR="003C5F35" w:rsidRDefault="00D23F96" w:rsidP="008C5A9A">
      <w:r>
        <w:t>Revision 2 of this TD captures the result of the RG-WM ad hoc meeting held on 31 July 2024, 12:30-13:30.</w:t>
      </w:r>
    </w:p>
    <w:p w14:paraId="196AB426" w14:textId="37606D39" w:rsidR="0012415F" w:rsidRDefault="0012415F" w:rsidP="0012415F">
      <w:r>
        <w:t>Revision 3 of this TD captures the result of the RG-IEM meeting held on 31 July 2024, 14:30-15:45.</w:t>
      </w:r>
    </w:p>
    <w:p w14:paraId="67F482D6" w14:textId="03EA36CA" w:rsidR="00D23F96" w:rsidRDefault="006B2E7B" w:rsidP="008C5A9A">
      <w:r>
        <w:t>Revision 4 of this TD takes into account the modifications suggested during the RG-WM last session on 1 Aug 2024.</w:t>
      </w:r>
    </w:p>
    <w:p w14:paraId="657A9AD2" w14:textId="77777777" w:rsidR="000015FD" w:rsidRPr="0068196C" w:rsidRDefault="000015FD" w:rsidP="000015FD">
      <w:pPr>
        <w:jc w:val="center"/>
      </w:pPr>
      <w:r w:rsidRPr="00DF123C">
        <w:t>_______________________</w:t>
      </w:r>
    </w:p>
    <w:p w14:paraId="1C9F8614" w14:textId="77777777" w:rsidR="00396996" w:rsidRDefault="00396996" w:rsidP="008C5A9A">
      <w:pPr>
        <w:rPr>
          <w:sz w:val="22"/>
          <w:szCs w:val="22"/>
        </w:rPr>
      </w:pPr>
    </w:p>
    <w:p w14:paraId="2594A912" w14:textId="4CB61C22" w:rsidR="00720A40" w:rsidRDefault="00720A40" w:rsidP="00720A40">
      <w:pPr>
        <w:pStyle w:val="ResNo"/>
        <w:rPr>
          <w:lang w:val="en-GB"/>
        </w:rPr>
      </w:pPr>
      <w:r w:rsidRPr="00AA1264">
        <w:rPr>
          <w:lang w:val="en-GB"/>
        </w:rPr>
        <w:t xml:space="preserve">RESOLUTION </w:t>
      </w:r>
      <w:r>
        <w:rPr>
          <w:rStyle w:val="href"/>
          <w:lang w:val="en-GB"/>
        </w:rPr>
        <w:t xml:space="preserve">22 </w:t>
      </w:r>
      <w:r w:rsidRPr="005D6BB3">
        <w:rPr>
          <w:lang w:val="en-GB"/>
        </w:rPr>
        <w:t>(R</w:t>
      </w:r>
      <w:r w:rsidRPr="005D6BB3">
        <w:rPr>
          <w:caps w:val="0"/>
          <w:lang w:val="en-GB"/>
        </w:rPr>
        <w:t>ev</w:t>
      </w:r>
      <w:r w:rsidRPr="005D6BB3">
        <w:rPr>
          <w:lang w:val="en-GB"/>
        </w:rPr>
        <w:t>. </w:t>
      </w:r>
      <w:del w:id="11" w:author="Olivier DUBUISSON" w:date="2024-07-18T11:44:00Z">
        <w:r w:rsidRPr="005D6BB3" w:rsidDel="00365CB8">
          <w:rPr>
            <w:lang w:val="en-GB"/>
          </w:rPr>
          <w:delText>G</w:delText>
        </w:r>
        <w:r w:rsidRPr="005D6BB3" w:rsidDel="00365CB8">
          <w:rPr>
            <w:caps w:val="0"/>
            <w:lang w:val="en-GB"/>
          </w:rPr>
          <w:delText>eneva</w:delText>
        </w:r>
      </w:del>
      <w:ins w:id="12" w:author="Olivier DUBUISSON" w:date="2024-07-18T11:44:00Z">
        <w:r w:rsidR="00365CB8">
          <w:rPr>
            <w:caps w:val="0"/>
            <w:lang w:val="en-GB"/>
          </w:rPr>
          <w:t>New Delhi</w:t>
        </w:r>
      </w:ins>
      <w:r w:rsidRPr="005D6BB3">
        <w:rPr>
          <w:lang w:val="en-GB"/>
        </w:rPr>
        <w:t>, 202</w:t>
      </w:r>
      <w:del w:id="13" w:author="Olivier DUBUISSON" w:date="2024-07-18T11:44:00Z">
        <w:r w:rsidRPr="005D6BB3" w:rsidDel="00365CB8">
          <w:rPr>
            <w:lang w:val="en-GB"/>
          </w:rPr>
          <w:delText>2</w:delText>
        </w:r>
      </w:del>
      <w:ins w:id="14" w:author="Olivier DUBUISSON" w:date="2024-07-18T11:44:00Z">
        <w:r w:rsidR="00365CB8">
          <w:rPr>
            <w:lang w:val="en-GB"/>
          </w:rPr>
          <w:t>4</w:t>
        </w:r>
      </w:ins>
      <w:r w:rsidRPr="005D6BB3">
        <w:rPr>
          <w:lang w:val="en-GB"/>
        </w:rPr>
        <w:t>)</w:t>
      </w:r>
      <w:r w:rsidRPr="00AA1264">
        <w:rPr>
          <w:lang w:val="en-GB"/>
        </w:rPr>
        <w:t xml:space="preserve"> </w:t>
      </w:r>
    </w:p>
    <w:p w14:paraId="5326CCAA" w14:textId="77777777" w:rsidR="00720A40" w:rsidRPr="005D6BB3" w:rsidRDefault="00720A40" w:rsidP="00720A40">
      <w:pPr>
        <w:pStyle w:val="Restitle"/>
        <w:rPr>
          <w:lang w:val="en-GB"/>
        </w:rPr>
      </w:pPr>
      <w:bookmarkStart w:id="15" w:name="_Hlk98406883"/>
      <w:r w:rsidRPr="00512117">
        <w:rPr>
          <w:lang w:val="en-GB"/>
        </w:rPr>
        <w:t>Authorization for the Telecommunication Standardization Advisory Group</w:t>
      </w:r>
      <w:r w:rsidRPr="00512117">
        <w:rPr>
          <w:lang w:val="en-GB"/>
        </w:rPr>
        <w:br/>
        <w:t>to act between world telecommunication standardization assemblies</w:t>
      </w:r>
    </w:p>
    <w:bookmarkEnd w:id="15"/>
    <w:p w14:paraId="12866748" w14:textId="2686D927" w:rsidR="00720A40" w:rsidRPr="00512117" w:rsidRDefault="00720A40" w:rsidP="00720A40">
      <w:pPr>
        <w:pStyle w:val="Resref"/>
        <w:rPr>
          <w:lang w:val="en-GB"/>
        </w:rPr>
      </w:pPr>
      <w:r w:rsidRPr="00512117">
        <w:rPr>
          <w:lang w:val="en-GB"/>
        </w:rPr>
        <w:t>(Geneva, 1996; Montreal, 2000; Florianópolis, 2004; Johannesburg, 2008;</w:t>
      </w:r>
      <w:r w:rsidRPr="00512117">
        <w:rPr>
          <w:lang w:val="en-GB"/>
        </w:rPr>
        <w:br/>
        <w:t xml:space="preserve"> Dubai, 2012; Hammamet, 2016; Geneva, 2022</w:t>
      </w:r>
      <w:ins w:id="16" w:author="Olivier DUBUISSON" w:date="2024-07-18T11:44:00Z">
        <w:r w:rsidR="00365CB8">
          <w:rPr>
            <w:lang w:val="en-GB"/>
          </w:rPr>
          <w:t>; New Delhi, 2024</w:t>
        </w:r>
      </w:ins>
      <w:r w:rsidRPr="00512117">
        <w:rPr>
          <w:lang w:val="en-GB"/>
        </w:rPr>
        <w:t>)</w:t>
      </w:r>
    </w:p>
    <w:p w14:paraId="4935009C" w14:textId="471F4551" w:rsidR="00720A40" w:rsidRPr="00275C2F" w:rsidRDefault="00720A40" w:rsidP="00720A40">
      <w:pPr>
        <w:pStyle w:val="Normalaftertitle"/>
      </w:pPr>
      <w:r w:rsidRPr="00275C2F">
        <w:t>The World Telecommunication Standardization Assembly (</w:t>
      </w:r>
      <w:del w:id="17" w:author="Olivier DUBUISSON" w:date="2024-07-18T11:44:00Z">
        <w:r w:rsidRPr="00275C2F" w:rsidDel="00DA2632">
          <w:delText>Geneva</w:delText>
        </w:r>
      </w:del>
      <w:ins w:id="18" w:author="Olivier DUBUISSON" w:date="2024-07-18T11:44:00Z">
        <w:r w:rsidR="00DA2632">
          <w:t>New Delhi</w:t>
        </w:r>
      </w:ins>
      <w:r w:rsidRPr="00275C2F">
        <w:t>, 202</w:t>
      </w:r>
      <w:del w:id="19" w:author="Olivier DUBUISSON" w:date="2024-07-18T11:44:00Z">
        <w:r w:rsidRPr="00275C2F" w:rsidDel="00DA2632">
          <w:delText>2</w:delText>
        </w:r>
      </w:del>
      <w:ins w:id="20" w:author="Olivier DUBUISSON" w:date="2024-07-18T11:44:00Z">
        <w:r w:rsidR="00DA2632">
          <w:t>4</w:t>
        </w:r>
      </w:ins>
      <w:r w:rsidRPr="00275C2F">
        <w:t>),</w:t>
      </w:r>
    </w:p>
    <w:p w14:paraId="11653724" w14:textId="77777777" w:rsidR="00720A40" w:rsidRPr="00512117" w:rsidRDefault="00720A40" w:rsidP="00720A40">
      <w:pPr>
        <w:pStyle w:val="Call"/>
        <w:rPr>
          <w:lang w:val="en-GB"/>
        </w:rPr>
      </w:pPr>
      <w:r w:rsidRPr="00512117">
        <w:rPr>
          <w:lang w:val="en-GB"/>
        </w:rPr>
        <w:t>considering</w:t>
      </w:r>
    </w:p>
    <w:p w14:paraId="73012B14" w14:textId="77777777" w:rsidR="00720A40" w:rsidRPr="00512117" w:rsidRDefault="00720A40" w:rsidP="00720A40">
      <w:r w:rsidRPr="00512117">
        <w:rPr>
          <w:i/>
          <w:iCs/>
        </w:rPr>
        <w:t>a)</w:t>
      </w:r>
      <w:r w:rsidRPr="00512117">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0EDE97A7" w14:textId="77777777" w:rsidR="00720A40" w:rsidRPr="00512117" w:rsidRDefault="00720A40" w:rsidP="00720A40">
      <w:r w:rsidRPr="00512117">
        <w:rPr>
          <w:i/>
          <w:iCs/>
        </w:rPr>
        <w:lastRenderedPageBreak/>
        <w:t>b)</w:t>
      </w:r>
      <w:r w:rsidRPr="00512117">
        <w:tab/>
        <w:t>that the rapid pace of change in the telecommunication/information and communication technology (ICT) environment and in industry groups dealing with telecommunications/ICT demands that the ITU Telecommunication Standardization Sector (ITU</w:t>
      </w:r>
      <w:r w:rsidRPr="00512117">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0C6C9F0A" w14:textId="77777777" w:rsidR="00720A40" w:rsidRPr="00512117" w:rsidRDefault="00720A40" w:rsidP="00720A40">
      <w:r w:rsidRPr="00512117">
        <w:rPr>
          <w:i/>
          <w:iCs/>
        </w:rPr>
        <w:t>c)</w:t>
      </w:r>
      <w:r w:rsidRPr="00512117">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3E1DED0B" w14:textId="231078FD" w:rsidR="00720A40" w:rsidRPr="00512117" w:rsidRDefault="00720A40" w:rsidP="00720A40">
      <w:r w:rsidRPr="00512117">
        <w:rPr>
          <w:i/>
          <w:iCs/>
        </w:rPr>
        <w:t>d)</w:t>
      </w:r>
      <w:r w:rsidRPr="00512117">
        <w:tab/>
        <w:t xml:space="preserve">that Resolution 122 (Rev. Guadalajara, 2010) </w:t>
      </w:r>
      <w:ins w:id="21" w:author="Olivier DUBUISSON" w:date="2024-07-18T11:46:00Z">
        <w:r w:rsidR="00756215" w:rsidRPr="00512117">
          <w:t xml:space="preserve">of the Plenipotentiary Conference </w:t>
        </w:r>
      </w:ins>
      <w:r w:rsidRPr="00512117">
        <w:t>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1D1B917F" w14:textId="63EE789A" w:rsidR="00720A40" w:rsidRPr="00512117" w:rsidRDefault="00720A40" w:rsidP="00B53ACB">
      <w:r w:rsidRPr="00512117">
        <w:rPr>
          <w:i/>
          <w:iCs/>
        </w:rPr>
        <w:t>e)</w:t>
      </w:r>
      <w:r w:rsidRPr="00512117">
        <w:tab/>
        <w:t>that GSS was held in conjunction with this assembly to consider bridging the standardization gap and examining global ICT standards challenges;</w:t>
      </w:r>
    </w:p>
    <w:p w14:paraId="45A96817" w14:textId="77777777" w:rsidR="00720A40" w:rsidRPr="00512117" w:rsidRDefault="00720A40" w:rsidP="00720A40">
      <w:r w:rsidRPr="00512117">
        <w:rPr>
          <w:i/>
          <w:iCs/>
        </w:rPr>
        <w:t>f)</w:t>
      </w:r>
      <w:r w:rsidRPr="00512117">
        <w:tab/>
        <w:t>that TSAG continues to make proposals for enhancing the operational efficiency of ITU</w:t>
      </w:r>
      <w:r w:rsidRPr="00512117">
        <w:noBreakHyphen/>
        <w:t>T, for improving the quality of ITU</w:t>
      </w:r>
      <w:r w:rsidRPr="00512117">
        <w:noBreakHyphen/>
        <w:t>T Recommendations and for methods of coordination and cooperation;</w:t>
      </w:r>
    </w:p>
    <w:p w14:paraId="0F0B019E" w14:textId="77777777" w:rsidR="00720A40" w:rsidRPr="00512117" w:rsidRDefault="00720A40" w:rsidP="00720A40">
      <w:pPr>
        <w:rPr>
          <w:i/>
          <w:iCs/>
        </w:rPr>
      </w:pPr>
      <w:r w:rsidRPr="00512117">
        <w:rPr>
          <w:i/>
          <w:iCs/>
        </w:rPr>
        <w:t>g)</w:t>
      </w:r>
      <w:r w:rsidRPr="00512117">
        <w:tab/>
        <w:t>that TSAG helps to improve coordination of the study process and provide improved decision-making processes for the important areas of ITU</w:t>
      </w:r>
      <w:r w:rsidRPr="00512117">
        <w:noBreakHyphen/>
        <w:t>T activities;</w:t>
      </w:r>
    </w:p>
    <w:p w14:paraId="3449B3E9" w14:textId="77777777" w:rsidR="00720A40" w:rsidRPr="00512117" w:rsidRDefault="00720A40" w:rsidP="00720A40">
      <w:r w:rsidRPr="00512117">
        <w:rPr>
          <w:i/>
          <w:iCs/>
        </w:rPr>
        <w:t>h)</w:t>
      </w:r>
      <w:r w:rsidRPr="00512117">
        <w:tab/>
        <w:t>that flexible administrative procedures, including those related to budgetary considerations, are needed in order to adapt to rapid changes in the telecommunication/ICT environment;</w:t>
      </w:r>
    </w:p>
    <w:p w14:paraId="0A87BD40" w14:textId="77777777" w:rsidR="00720A40" w:rsidRPr="00512117" w:rsidRDefault="00720A40" w:rsidP="00720A40">
      <w:r w:rsidRPr="00512117">
        <w:rPr>
          <w:i/>
          <w:iCs/>
        </w:rPr>
        <w:t>i)</w:t>
      </w:r>
      <w:r w:rsidRPr="00512117">
        <w:tab/>
        <w:t>the importance of TSAG to act in the four years between WTSAs in order to meet the needs of the marketplace in a timely manner and to be able to address unforeseen issues requiring urgent action in the interim period between assemblies;</w:t>
      </w:r>
    </w:p>
    <w:p w14:paraId="1473FE4B" w14:textId="77777777" w:rsidR="00720A40" w:rsidRPr="00512117" w:rsidRDefault="00720A40" w:rsidP="00720A40">
      <w:r w:rsidRPr="00512117">
        <w:rPr>
          <w:i/>
          <w:iCs/>
        </w:rPr>
        <w:t>j)</w:t>
      </w:r>
      <w:r w:rsidRPr="00512117">
        <w:tab/>
        <w:t>that it is desirable for TSAG to consider the implications of new and emerging technologies for the standardization activities of ITU</w:t>
      </w:r>
      <w:r w:rsidRPr="00512117">
        <w:noBreakHyphen/>
        <w:t>T related to technical, operating and tariff questions, on the basis of contributions submitted by the membership, and how such technologies can be included within the ITU</w:t>
      </w:r>
      <w:r w:rsidRPr="00512117">
        <w:noBreakHyphen/>
        <w:t>T work programme;</w:t>
      </w:r>
    </w:p>
    <w:p w14:paraId="40EF4602" w14:textId="77777777" w:rsidR="00720A40" w:rsidRPr="00512117" w:rsidRDefault="00720A40" w:rsidP="00720A40">
      <w:r w:rsidRPr="00512117">
        <w:rPr>
          <w:i/>
          <w:iCs/>
        </w:rPr>
        <w:t>k)</w:t>
      </w:r>
      <w:r w:rsidRPr="00512117">
        <w:tab/>
        <w:t>that TSAG plays an important role in ensuring coordination between study groups, as appropriate, on standardization issues, including, as required, avoiding duplication of work and identifying linkages and dependencies between related work items;</w:t>
      </w:r>
    </w:p>
    <w:p w14:paraId="365D8E7F" w14:textId="77777777" w:rsidR="00720A40" w:rsidRPr="00512117" w:rsidRDefault="00720A40" w:rsidP="00720A40">
      <w:r w:rsidRPr="00512117">
        <w:rPr>
          <w:i/>
          <w:iCs/>
        </w:rPr>
        <w:t>l)</w:t>
      </w:r>
      <w:r w:rsidRPr="00512117">
        <w:tab/>
        <w:t>that TSAG, in providing advice to study groups, may take account of the advice of other groups;</w:t>
      </w:r>
    </w:p>
    <w:p w14:paraId="3E307AD3" w14:textId="77777777" w:rsidR="00720A40" w:rsidRPr="00512117" w:rsidRDefault="00720A40" w:rsidP="00720A40">
      <w:r w:rsidRPr="00512117">
        <w:rPr>
          <w:i/>
          <w:iCs/>
        </w:rPr>
        <w:t>m)</w:t>
      </w:r>
      <w:r w:rsidRPr="00512117">
        <w:tab/>
        <w:t>that there is a need to continue improving coordination and collaboration with other relevant bodies, within ITU</w:t>
      </w:r>
      <w:r w:rsidRPr="00512117">
        <w:noBreakHyphen/>
        <w:t>T, with ITU</w:t>
      </w:r>
      <w:r w:rsidRPr="00512117">
        <w:noBreakHyphen/>
        <w:t>R and ITU</w:t>
      </w:r>
      <w:r w:rsidRPr="00512117">
        <w:noBreakHyphen/>
        <w:t>D and the General Secretariat, and with other standardization organizations, forums and consortia outside of ITU, and relevant entities;</w:t>
      </w:r>
    </w:p>
    <w:p w14:paraId="64E4BE93" w14:textId="77777777" w:rsidR="00720A40" w:rsidRPr="00512117" w:rsidRDefault="00720A40" w:rsidP="00720A40">
      <w:r w:rsidRPr="00512117">
        <w:rPr>
          <w:i/>
        </w:rPr>
        <w:t>n)</w:t>
      </w:r>
      <w:r w:rsidRPr="00512117">
        <w:tab/>
        <w:t>that effective coordination between study groups is critical to ITU-T's ability to meet emerging standardization challenges and the needs of its membership,</w:t>
      </w:r>
    </w:p>
    <w:p w14:paraId="36700A02" w14:textId="77777777" w:rsidR="00720A40" w:rsidRPr="00512117" w:rsidRDefault="00720A40" w:rsidP="00720A40">
      <w:pPr>
        <w:pStyle w:val="Call"/>
        <w:rPr>
          <w:lang w:val="en-GB"/>
        </w:rPr>
      </w:pPr>
      <w:r w:rsidRPr="00512117">
        <w:rPr>
          <w:lang w:val="en-GB"/>
        </w:rPr>
        <w:t>noting</w:t>
      </w:r>
    </w:p>
    <w:p w14:paraId="033CCB31" w14:textId="77777777" w:rsidR="00720A40" w:rsidRPr="00512117" w:rsidRDefault="00720A40" w:rsidP="00720A40">
      <w:r w:rsidRPr="00512117">
        <w:rPr>
          <w:i/>
          <w:iCs/>
        </w:rPr>
        <w:t>a)</w:t>
      </w:r>
      <w:r w:rsidRPr="00512117">
        <w:tab/>
        <w:t>that ITU</w:t>
      </w:r>
      <w:r w:rsidRPr="00512117">
        <w:noBreakHyphen/>
        <w:t>T is one of the pre-eminent global standardization bodies, comprising administrations, equipment vendors, operators and regulators, universities and research institutes;</w:t>
      </w:r>
    </w:p>
    <w:p w14:paraId="4E4BCFD2" w14:textId="77777777" w:rsidR="00720A40" w:rsidRPr="00512117" w:rsidRDefault="00720A40" w:rsidP="00720A40">
      <w:r w:rsidRPr="00512117">
        <w:rPr>
          <w:i/>
          <w:iCs/>
        </w:rPr>
        <w:lastRenderedPageBreak/>
        <w:t>b)</w:t>
      </w:r>
      <w:r w:rsidRPr="00512117">
        <w:tab/>
        <w:t>that Article 13 of the Convention states the duties of WTSA, among them that it may assign specific matters within its competence to TSAG indicating the action required on those matters;</w:t>
      </w:r>
    </w:p>
    <w:p w14:paraId="4D708DE6" w14:textId="77777777" w:rsidR="00720A40" w:rsidRPr="00512117" w:rsidRDefault="00720A40" w:rsidP="00720A40">
      <w:r w:rsidRPr="00512117">
        <w:rPr>
          <w:i/>
          <w:iCs/>
        </w:rPr>
        <w:t>c)</w:t>
      </w:r>
      <w:r w:rsidRPr="00512117">
        <w:tab/>
        <w:t>that TSAG meets at least on a yearly basis;</w:t>
      </w:r>
    </w:p>
    <w:p w14:paraId="72007C87" w14:textId="77777777" w:rsidR="00720A40" w:rsidRPr="00512117" w:rsidRDefault="00720A40" w:rsidP="00720A40">
      <w:r w:rsidRPr="00512117">
        <w:rPr>
          <w:i/>
          <w:iCs/>
        </w:rPr>
        <w:t>d)</w:t>
      </w:r>
      <w:r w:rsidRPr="00512117">
        <w:tab/>
        <w:t>that TSAG has already exhibited the capability to act effectively on matters assigned to it by WTSA;</w:t>
      </w:r>
    </w:p>
    <w:p w14:paraId="17B64E4B" w14:textId="39639E34" w:rsidR="00720A40" w:rsidRPr="00512117" w:rsidRDefault="00720A40" w:rsidP="00720A40">
      <w:r w:rsidRPr="00512117">
        <w:rPr>
          <w:i/>
          <w:iCs/>
        </w:rPr>
        <w:t>e)</w:t>
      </w:r>
      <w:r w:rsidRPr="00512117">
        <w:tab/>
        <w:t>that WTSA Resolution 68 (Rev. </w:t>
      </w:r>
      <w:r w:rsidRPr="00611B6D">
        <w:t>Hammamet, 2016</w:t>
      </w:r>
      <w:r w:rsidRPr="00512117">
        <w:t>)</w:t>
      </w:r>
      <w:del w:id="22" w:author="Olivier DUBUISSON" w:date="2024-07-23T15:37:00Z">
        <w:r w:rsidRPr="00512117" w:rsidDel="009628DB">
          <w:delText>)</w:delText>
        </w:r>
      </w:del>
      <w:r w:rsidRPr="00512117">
        <w:t xml:space="preserve">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47E6417A" w14:textId="77777777" w:rsidR="00720A40" w:rsidRPr="00512117" w:rsidRDefault="00720A40" w:rsidP="00720A40">
      <w:r w:rsidRPr="00512117">
        <w:rPr>
          <w:i/>
          <w:iCs/>
        </w:rPr>
        <w:t>f)</w:t>
      </w:r>
      <w:r w:rsidRPr="00512117">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676AC1EE" w14:textId="77777777" w:rsidR="00720A40" w:rsidRPr="00512117" w:rsidRDefault="00720A40" w:rsidP="00720A40">
      <w:pPr>
        <w:pStyle w:val="Call"/>
        <w:rPr>
          <w:lang w:val="en-GB"/>
        </w:rPr>
      </w:pPr>
      <w:r w:rsidRPr="00512117">
        <w:rPr>
          <w:lang w:val="en-GB"/>
        </w:rPr>
        <w:t xml:space="preserve">recognizing </w:t>
      </w:r>
    </w:p>
    <w:p w14:paraId="059EB4C9" w14:textId="77777777" w:rsidR="00720A40" w:rsidRPr="00512117" w:rsidRDefault="00720A40" w:rsidP="00720A40">
      <w:r w:rsidRPr="00512117">
        <w:rPr>
          <w:i/>
          <w:iCs/>
        </w:rPr>
        <w:t>a)</w:t>
      </w:r>
      <w:r w:rsidRPr="00512117">
        <w:tab/>
        <w:t>that Nos. 191A and 191B of the Convention allow WTSA to maintain, establish or terminate other groups as needed, as well as their mandates;</w:t>
      </w:r>
    </w:p>
    <w:p w14:paraId="348A3705" w14:textId="77777777" w:rsidR="00720A40" w:rsidRPr="00512117" w:rsidRDefault="00720A40" w:rsidP="00720A40">
      <w:r w:rsidRPr="00512117">
        <w:rPr>
          <w:i/>
          <w:iCs/>
        </w:rPr>
        <w:t>b)</w:t>
      </w:r>
      <w:r w:rsidRPr="00512117">
        <w:tab/>
        <w:t>that coordination should serve to improve the effectiveness of ITU</w:t>
      </w:r>
      <w:r w:rsidRPr="00512117">
        <w:noBreakHyphen/>
        <w:t>T activities and should not limit the work of each study group to develop Recommendations;</w:t>
      </w:r>
    </w:p>
    <w:p w14:paraId="356D96E7" w14:textId="77777777" w:rsidR="00720A40" w:rsidRPr="00512117" w:rsidRDefault="00720A40" w:rsidP="00720A40">
      <w:r w:rsidRPr="00512117">
        <w:rPr>
          <w:i/>
          <w:iCs/>
        </w:rPr>
        <w:t>c)</w:t>
      </w:r>
      <w:r w:rsidRPr="00512117">
        <w:tab/>
        <w:t>that the tasks undertaken in ITU</w:t>
      </w:r>
      <w:r w:rsidRPr="00512117">
        <w:noBreakHyphen/>
        <w:t xml:space="preserve">T cover technical, operating and tariff questions, </w:t>
      </w:r>
    </w:p>
    <w:p w14:paraId="4842FED3" w14:textId="77777777" w:rsidR="00720A40" w:rsidRPr="00512117" w:rsidRDefault="00720A40" w:rsidP="00720A40">
      <w:pPr>
        <w:pStyle w:val="Call"/>
        <w:rPr>
          <w:lang w:val="en-GB"/>
        </w:rPr>
      </w:pPr>
      <w:r w:rsidRPr="00512117">
        <w:rPr>
          <w:lang w:val="en-GB"/>
        </w:rPr>
        <w:t>resolves</w:t>
      </w:r>
    </w:p>
    <w:p w14:paraId="4D36B580" w14:textId="77777777" w:rsidR="00720A40" w:rsidRPr="00512117" w:rsidRDefault="00720A40" w:rsidP="00720A40">
      <w:r w:rsidRPr="00512117">
        <w:t>1</w:t>
      </w:r>
      <w:r w:rsidRPr="00512117">
        <w:tab/>
        <w:t>to assign to TSAG the following specific matters within its competence between this assembly and the next assembly, to act in the following areas in consultation with the Director of TSB:</w:t>
      </w:r>
    </w:p>
    <w:p w14:paraId="46DDC8F7" w14:textId="77777777" w:rsidR="00720A40" w:rsidRPr="00512117" w:rsidRDefault="00720A40" w:rsidP="00720A40">
      <w:pPr>
        <w:pStyle w:val="enumlev1"/>
      </w:pPr>
      <w:r w:rsidRPr="00512117">
        <w:rPr>
          <w:i/>
          <w:iCs/>
        </w:rPr>
        <w:t>a)</w:t>
      </w:r>
      <w:r w:rsidRPr="00512117">
        <w:tab/>
        <w:t xml:space="preserve">maintain </w:t>
      </w:r>
      <w:r w:rsidRPr="00512117" w:rsidDel="0032114E">
        <w:t xml:space="preserve">and provide </w:t>
      </w:r>
      <w:r w:rsidRPr="00512117">
        <w:t>up-to-date, efficient and flexible working guidelines;</w:t>
      </w:r>
    </w:p>
    <w:p w14:paraId="457380ED" w14:textId="77777777" w:rsidR="00720A40" w:rsidRPr="00512117" w:rsidRDefault="00720A40" w:rsidP="00720A40">
      <w:pPr>
        <w:pStyle w:val="enumlev1"/>
      </w:pPr>
      <w:r w:rsidRPr="00512117">
        <w:rPr>
          <w:i/>
          <w:iCs/>
        </w:rPr>
        <w:t>b)</w:t>
      </w:r>
      <w:r w:rsidRPr="00512117">
        <w:tab/>
        <w:t>promote high-priority standardization activities related to technical, operating and tariff questions on the basis of contributions submitted by the membership from a global viewpoint and coordinate among ITU-T study groups in this regard;</w:t>
      </w:r>
    </w:p>
    <w:p w14:paraId="7B25CBBA" w14:textId="77777777" w:rsidR="00720A40" w:rsidRPr="00512117" w:rsidRDefault="00720A40" w:rsidP="00720A40">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series Recommendations;</w:t>
      </w:r>
    </w:p>
    <w:p w14:paraId="74059148" w14:textId="23074E1B" w:rsidR="00720A40" w:rsidRPr="00512117" w:rsidRDefault="00720A40" w:rsidP="00720A40">
      <w:pPr>
        <w:pStyle w:val="enumlev1"/>
      </w:pPr>
      <w:r w:rsidRPr="00512117">
        <w:rPr>
          <w:i/>
          <w:iCs/>
        </w:rPr>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chairmen to act until the next WTSA, in accordance with Resolution 208 (</w:t>
      </w:r>
      <w:del w:id="23" w:author="Olivier DUBUISSON" w:date="2024-07-18T11:58:00Z">
        <w:r w:rsidRPr="00512117" w:rsidDel="007C42D8">
          <w:delText>Dubai</w:delText>
        </w:r>
      </w:del>
      <w:ins w:id="24" w:author="Olivier DUBUISSON" w:date="2024-07-18T11:58:00Z">
        <w:r w:rsidR="007C42D8">
          <w:t>Bucharest</w:t>
        </w:r>
      </w:ins>
      <w:r w:rsidRPr="00512117">
        <w:t>, 20</w:t>
      </w:r>
      <w:del w:id="25" w:author="Olivier DUBUISSON" w:date="2024-07-18T11:58:00Z">
        <w:r w:rsidRPr="00512117" w:rsidDel="00AF19DE">
          <w:delText>18</w:delText>
        </w:r>
      </w:del>
      <w:ins w:id="26" w:author="Olivier DUBUISSON" w:date="2024-07-18T11:58:00Z">
        <w:r w:rsidR="00AF19DE">
          <w:t>22</w:t>
        </w:r>
      </w:ins>
      <w:r w:rsidRPr="00512117">
        <w:t>) of the Plenipotentiary Conference;</w:t>
      </w:r>
    </w:p>
    <w:p w14:paraId="14A37AF5" w14:textId="77777777" w:rsidR="00720A40" w:rsidRPr="00512117" w:rsidRDefault="00720A40" w:rsidP="00720A40">
      <w:pPr>
        <w:pStyle w:val="enumlev1"/>
      </w:pPr>
      <w:r w:rsidRPr="00512117">
        <w:rPr>
          <w:i/>
          <w:iCs/>
        </w:rPr>
        <w:t>e)</w:t>
      </w:r>
      <w:r w:rsidRPr="00512117">
        <w:rPr>
          <w:i/>
          <w:iCs/>
        </w:rPr>
        <w:tab/>
      </w:r>
      <w:r w:rsidRPr="00512117">
        <w:t>issue advice on study group schedules to meet standardization priorities;</w:t>
      </w:r>
    </w:p>
    <w:p w14:paraId="5EB0CFF6" w14:textId="77777777" w:rsidR="00720A40" w:rsidRPr="00512117" w:rsidRDefault="00720A40" w:rsidP="00720A40">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4026EABB" w14:textId="77777777" w:rsidR="00720A40" w:rsidRPr="00512117" w:rsidRDefault="00720A40" w:rsidP="00720A40">
      <w:pPr>
        <w:pStyle w:val="enumlev1"/>
      </w:pPr>
      <w:r w:rsidRPr="00512117">
        <w:rPr>
          <w:i/>
          <w:iCs/>
        </w:rPr>
        <w:t>g)</w:t>
      </w:r>
      <w:r w:rsidRPr="00512117">
        <w:rPr>
          <w:i/>
          <w:iCs/>
        </w:rPr>
        <w:tab/>
      </w:r>
      <w:r w:rsidRPr="00512117">
        <w:t>identify changing requirements and provide advice on appropriate changes to be made to the priority of work in ITU</w:t>
      </w:r>
      <w:r w:rsidRPr="00512117">
        <w:noBreakHyphen/>
        <w:t>T study groups, planning and allocation of work between study groups, having due regard for the cost and availability of resources;</w:t>
      </w:r>
    </w:p>
    <w:p w14:paraId="3007E406" w14:textId="77777777" w:rsidR="00720A40" w:rsidRPr="00512117" w:rsidRDefault="00720A40" w:rsidP="00720A40">
      <w:pPr>
        <w:pStyle w:val="enumlev1"/>
      </w:pPr>
      <w:r w:rsidRPr="00512117">
        <w:rPr>
          <w:i/>
          <w:iCs/>
        </w:rPr>
        <w:lastRenderedPageBreak/>
        <w:t>h</w:t>
      </w:r>
      <w:r>
        <w:rPr>
          <w:i/>
          <w:iCs/>
        </w:rPr>
        <w:t>)</w:t>
      </w:r>
      <w:r w:rsidRPr="00512117">
        <w:tab/>
        <w:t>take an active role in ensuring coordination among ITU-T activities, particularly on standardization issues that are being studied in more than one group;</w:t>
      </w:r>
    </w:p>
    <w:p w14:paraId="39C376B9" w14:textId="77777777" w:rsidR="00720A40" w:rsidRPr="00512117" w:rsidRDefault="00720A40" w:rsidP="00720A40">
      <w:pPr>
        <w:pStyle w:val="enumlev1"/>
      </w:pPr>
      <w:r w:rsidRPr="00512117">
        <w:rPr>
          <w:i/>
          <w:iCs/>
        </w:rPr>
        <w:t>i)</w:t>
      </w:r>
      <w:r w:rsidRPr="00512117">
        <w:tab/>
        <w:t>review reports of and consider appropriate proposals made by coordination groups and other groups, and implement those that are agreed;</w:t>
      </w:r>
    </w:p>
    <w:p w14:paraId="1AAE680F" w14:textId="77777777" w:rsidR="00720A40" w:rsidRPr="00512117" w:rsidRDefault="00720A40" w:rsidP="00720A40">
      <w:pPr>
        <w:pStyle w:val="enumlev1"/>
      </w:pPr>
      <w:r w:rsidRPr="00512117">
        <w:rPr>
          <w:i/>
          <w:iCs/>
        </w:rPr>
        <w:t>j)</w:t>
      </w:r>
      <w:r w:rsidRPr="00512117">
        <w:tab/>
        <w:t>identify requirements and provide determination on appropriate changes to be made where overlapping issues arise, which includes, but is not limited to, assignment of a mandate to a study group to lead on coordination work;</w:t>
      </w:r>
    </w:p>
    <w:p w14:paraId="2FDABA8D" w14:textId="77777777" w:rsidR="00720A40" w:rsidRPr="00512117" w:rsidRDefault="00720A40" w:rsidP="00720A40">
      <w:pPr>
        <w:pStyle w:val="enumlev1"/>
      </w:pPr>
      <w:r w:rsidRPr="00512117">
        <w:rPr>
          <w:i/>
          <w:iCs/>
        </w:rPr>
        <w:t>k)</w:t>
      </w:r>
      <w:r w:rsidRPr="00512117">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7533886A" w14:textId="77777777" w:rsidR="00720A40" w:rsidRPr="00512117" w:rsidRDefault="00720A40" w:rsidP="00720A40">
      <w:pPr>
        <w:pStyle w:val="enumlev1"/>
      </w:pPr>
      <w:r w:rsidRPr="00512117">
        <w:rPr>
          <w:i/>
          <w:iCs/>
        </w:rPr>
        <w:t>l)</w:t>
      </w:r>
      <w:r w:rsidRPr="00512117">
        <w:tab/>
        <w:t>review progress in the implementation of the ITU</w:t>
      </w:r>
      <w:r w:rsidRPr="00512117">
        <w:noBreakHyphen/>
        <w:t>T work programme, including fostering coordination and collaboration with other relevant bodies such as standardization organizations, forums and consortia outside of ITU;</w:t>
      </w:r>
    </w:p>
    <w:p w14:paraId="55053880" w14:textId="77777777" w:rsidR="00720A40" w:rsidRPr="00512117" w:rsidRDefault="00720A40" w:rsidP="00720A40">
      <w:pPr>
        <w:pStyle w:val="enumlev1"/>
      </w:pPr>
      <w:r w:rsidRPr="00512117">
        <w:rPr>
          <w:i/>
          <w:iCs/>
        </w:rPr>
        <w:t>m)</w:t>
      </w:r>
      <w:r w:rsidRPr="00512117">
        <w:tab/>
        <w:t>cooperate and coordinate with ITU-R and ITU-D and with other, external, standardization bodies;</w:t>
      </w:r>
    </w:p>
    <w:p w14:paraId="44557937" w14:textId="77777777" w:rsidR="00720A40" w:rsidRPr="00512117" w:rsidRDefault="00720A40" w:rsidP="00720A40">
      <w:pPr>
        <w:pStyle w:val="enumlev1"/>
      </w:pPr>
      <w:r w:rsidRPr="00512117">
        <w:rPr>
          <w:i/>
          <w:iCs/>
        </w:rPr>
        <w:t>n)</w:t>
      </w:r>
      <w:r w:rsidRPr="00512117">
        <w:tab/>
        <w:t>advise the Director of TSB on financial and other matters;</w:t>
      </w:r>
    </w:p>
    <w:p w14:paraId="1E181058" w14:textId="77777777" w:rsidR="00720A40" w:rsidRPr="00512117" w:rsidRDefault="00720A40" w:rsidP="00720A40">
      <w:pPr>
        <w:pStyle w:val="enumlev1"/>
      </w:pPr>
      <w:r w:rsidRPr="00512117">
        <w:rPr>
          <w:i/>
          <w:iCs/>
        </w:rPr>
        <w:t>o)</w:t>
      </w:r>
      <w:r w:rsidRPr="00512117">
        <w:tab/>
        <w:t>approve the programme of work arising from the review of existing and new Questions and determine the priority, urgency, estimated financial implications and time-scale for the completion of their study;</w:t>
      </w:r>
    </w:p>
    <w:p w14:paraId="1C37BFE3" w14:textId="77777777" w:rsidR="00720A40" w:rsidRPr="00512117" w:rsidRDefault="00720A40" w:rsidP="00720A40">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1"/>
        <w:t>1</w:t>
      </w:r>
      <w:r w:rsidRPr="00512117">
        <w:t xml:space="preserve"> in order to facilitate their participation in these studies;</w:t>
      </w:r>
    </w:p>
    <w:p w14:paraId="21C9189F" w14:textId="77777777" w:rsidR="00720A40" w:rsidRPr="00512117" w:rsidRDefault="00720A40" w:rsidP="00720A40">
      <w:pPr>
        <w:pStyle w:val="enumlev1"/>
      </w:pPr>
      <w:r w:rsidRPr="00512117">
        <w:rPr>
          <w:i/>
          <w:iCs/>
        </w:rPr>
        <w:t>q)</w:t>
      </w:r>
      <w:r w:rsidRPr="00512117">
        <w:tab/>
        <w:t>address other specific matters within the competence of WTSA, subject to the approval of Member States, using the approval procedure contained in Resolution 1 (Rev. </w:t>
      </w:r>
      <w:r w:rsidRPr="00611B6D">
        <w:t>Geneva, 2022</w:t>
      </w:r>
      <w:r w:rsidRPr="00512117">
        <w:t>) of this assembly, Section 9;</w:t>
      </w:r>
    </w:p>
    <w:p w14:paraId="7A4FC304" w14:textId="77777777" w:rsidR="00D83475" w:rsidRDefault="00720A40" w:rsidP="00D83475">
      <w:pPr>
        <w:pStyle w:val="enumlev1"/>
        <w:tabs>
          <w:tab w:val="clear" w:pos="794"/>
          <w:tab w:val="left" w:pos="0"/>
        </w:tabs>
        <w:rPr>
          <w:ins w:id="28" w:author="Olivier DUBUISSON" w:date="2024-07-18T11:58:00Z"/>
        </w:rPr>
      </w:pPr>
      <w:r w:rsidRPr="00512117">
        <w:rPr>
          <w:i/>
          <w:iCs/>
        </w:rPr>
        <w:t>r)</w:t>
      </w:r>
      <w:r w:rsidRPr="00512117">
        <w:tab/>
        <w:t>take into account the interests of developing countries and encourage and facilitate their involvement in these activities</w:t>
      </w:r>
      <w:ins w:id="29" w:author="Olivier DUBUISSON" w:date="2024-07-18T11:58:00Z">
        <w:r w:rsidR="00D83475">
          <w:t>;</w:t>
        </w:r>
      </w:ins>
    </w:p>
    <w:p w14:paraId="3AC2453B" w14:textId="776992B8" w:rsidR="00720A40" w:rsidRPr="00512117" w:rsidRDefault="00D83475" w:rsidP="00D83475">
      <w:pPr>
        <w:pStyle w:val="enumlev1"/>
        <w:tabs>
          <w:tab w:val="clear" w:pos="794"/>
          <w:tab w:val="left" w:pos="0"/>
        </w:tabs>
      </w:pPr>
      <w:ins w:id="30" w:author="Olivier DUBUISSON" w:date="2024-07-18T11:58:00Z">
        <w:r>
          <w:rPr>
            <w:i/>
            <w:iCs/>
          </w:rPr>
          <w:t xml:space="preserve">s) </w:t>
        </w:r>
        <w:r>
          <w:rPr>
            <w:i/>
            <w:iCs/>
          </w:rPr>
          <w:tab/>
        </w:r>
        <w:r w:rsidRPr="009D34C3">
          <w:rPr>
            <w:szCs w:val="24"/>
          </w:rPr>
          <w:t xml:space="preserve">to review annually the use of all official languages of the Union on an equal basis in ITU publications and </w:t>
        </w:r>
        <w:r>
          <w:rPr>
            <w:szCs w:val="24"/>
          </w:rPr>
          <w:t xml:space="preserve">on ITU </w:t>
        </w:r>
        <w:r w:rsidRPr="009D34C3">
          <w:rPr>
            <w:szCs w:val="24"/>
          </w:rPr>
          <w:t>websites</w:t>
        </w:r>
      </w:ins>
      <w:r w:rsidR="00720A40" w:rsidRPr="00512117">
        <w:t>,</w:t>
      </w:r>
    </w:p>
    <w:p w14:paraId="368C5406" w14:textId="77777777" w:rsidR="00720A40" w:rsidRPr="00512117" w:rsidRDefault="00720A40" w:rsidP="00720A40">
      <w:r w:rsidRPr="00512117">
        <w:t>2</w:t>
      </w:r>
      <w:r w:rsidRPr="00512117">
        <w:tab/>
        <w:t>that TSAG examine implementation of the actions and achievement of the goals as reflected in the annual ITU-T operational plan and in the WTSA</w:t>
      </w:r>
      <w:r w:rsidRPr="00512117">
        <w:noBreakHyphen/>
        <w:t>20 Action Plan, which includes the WTSA resolutions, for the purpose of identifying possible difficulties and possible strategies for implementing key elements, and recommending solutions to the Director of TSB regarding them;</w:t>
      </w:r>
    </w:p>
    <w:p w14:paraId="40803003" w14:textId="77777777" w:rsidR="00720A40" w:rsidRPr="00512117" w:rsidRDefault="00720A40" w:rsidP="00720A40">
      <w:r w:rsidRPr="00512117">
        <w:t>3</w:t>
      </w:r>
      <w:r w:rsidRPr="00512117">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r w:rsidRPr="00611B6D">
        <w:t>Geneva, 2022</w:t>
      </w:r>
      <w:r w:rsidRPr="00512117">
        <w:t>) of this assembly, Section 9;</w:t>
      </w:r>
    </w:p>
    <w:p w14:paraId="10BEC805" w14:textId="77777777" w:rsidR="00720A40" w:rsidRPr="00512117" w:rsidRDefault="00720A40" w:rsidP="00720A40">
      <w:r w:rsidRPr="00512117">
        <w:t>4</w:t>
      </w:r>
      <w:r w:rsidRPr="00512117">
        <w:tab/>
        <w:t>that TSAG provide liaison on its activities to relevant organizations outside ITU in consultation with the Director of TSB, as appropriate;</w:t>
      </w:r>
    </w:p>
    <w:p w14:paraId="020C34FF" w14:textId="31BEEA5C" w:rsidR="00720A40" w:rsidRPr="00512117" w:rsidDel="00DF44A7" w:rsidRDefault="00720A40" w:rsidP="00720A40">
      <w:pPr>
        <w:rPr>
          <w:del w:id="31" w:author="Olivier DUBUISSON" w:date="2024-07-18T13:51:00Z"/>
        </w:rPr>
      </w:pPr>
      <w:del w:id="32" w:author="Olivier DUBUISSON" w:date="2024-07-18T13:51:00Z">
        <w:r w:rsidRPr="00512117" w:rsidDel="00DF44A7">
          <w:delText>5</w:delText>
        </w:r>
        <w:r w:rsidRPr="00512117" w:rsidDel="00DF44A7">
          <w:tab/>
          <w:delText>that TSAG consider the implications, for ITU</w:delText>
        </w:r>
        <w:r w:rsidRPr="00512117" w:rsidDel="00DF44A7">
          <w:noBreakHyphen/>
          <w:delText>T, of market needs and new and emerging technologies that have not yet been considered for standardization by ITU</w:delText>
        </w:r>
        <w:r w:rsidRPr="00512117" w:rsidDel="00DF44A7">
          <w:noBreakHyphen/>
          <w:delText>T, establish an appropriate mechanism to facilitate the examination of their consideration, for example assigning Questions, coordinating the work of study groups or establishing coordination groups or other groups, and appoint their chairmen and vice-chairmen;</w:delText>
        </w:r>
      </w:del>
    </w:p>
    <w:p w14:paraId="2959D190" w14:textId="582B9282" w:rsidR="00720A40" w:rsidRPr="00512117" w:rsidDel="003546FF" w:rsidRDefault="00720A40" w:rsidP="00720A40">
      <w:pPr>
        <w:rPr>
          <w:del w:id="33" w:author="Olivier DUBUISSON" w:date="2024-07-18T14:00:00Z"/>
        </w:rPr>
      </w:pPr>
      <w:del w:id="34" w:author="Olivier DUBUISSON" w:date="2024-07-18T14:00:00Z">
        <w:r w:rsidRPr="00512117" w:rsidDel="003546FF">
          <w:delText>6</w:delText>
        </w:r>
        <w:r w:rsidRPr="00512117" w:rsidDel="003546FF">
          <w:tab/>
          <w:delText>that TSAG review and coordinate standardization strategies for ITU</w:delText>
        </w:r>
        <w:r w:rsidRPr="00512117" w:rsidDel="003546FF">
          <w:noBreakHyphen/>
          <w:delText>T by identifying the main technological trends and market, economic and policy needs in the fields of activity relevant to the mandate of ITU</w:delText>
        </w:r>
        <w:r w:rsidRPr="00512117" w:rsidDel="003546FF">
          <w:noBreakHyphen/>
          <w:delText>T, and identify possible topics and issues for consideration in ITU</w:delText>
        </w:r>
        <w:r w:rsidRPr="00512117" w:rsidDel="003546FF">
          <w:noBreakHyphen/>
          <w:delText>T's standardization strategies;</w:delText>
        </w:r>
      </w:del>
    </w:p>
    <w:p w14:paraId="32C4D0D7" w14:textId="4C35E582" w:rsidR="006800F0" w:rsidRDefault="00720A40" w:rsidP="00E858BC">
      <w:pPr>
        <w:rPr>
          <w:ins w:id="35" w:author="Olivier DUBUISSON" w:date="2024-07-31T11:10:00Z"/>
        </w:rPr>
      </w:pPr>
      <w:del w:id="36" w:author="Olivier DUBUISSON" w:date="2024-07-18T14:00:00Z">
        <w:r w:rsidRPr="00512117" w:rsidDel="003546FF">
          <w:delText>7</w:delText>
        </w:r>
      </w:del>
      <w:ins w:id="37" w:author="Olivier DUBUISSON" w:date="2024-07-18T14:00:00Z">
        <w:r w:rsidR="003546FF">
          <w:t>5</w:t>
        </w:r>
      </w:ins>
      <w:r w:rsidRPr="00512117">
        <w:tab/>
        <w:t>that TSAG establish a</w:t>
      </w:r>
      <w:del w:id="38" w:author="Olivier DUBUISSON" w:date="2024-07-18T14:01:00Z">
        <w:r w:rsidRPr="00512117" w:rsidDel="00907BE1">
          <w:delText>n appropriate</w:delText>
        </w:r>
      </w:del>
      <w:r w:rsidRPr="00512117">
        <w:t xml:space="preserve"> mechanism to facilitate </w:t>
      </w:r>
      <w:ins w:id="39" w:author="Olivier DUBUISSON" w:date="2024-07-18T14:01:00Z">
        <w:r w:rsidR="00907BE1">
          <w:t xml:space="preserve">and coordinate </w:t>
        </w:r>
      </w:ins>
      <w:r w:rsidRPr="00512117">
        <w:t>standardization</w:t>
      </w:r>
      <w:ins w:id="40" w:author="Olivier DUBUISSON" w:date="2024-07-31T11:07:00Z">
        <w:r w:rsidR="006E0CF3">
          <w:t xml:space="preserve"> development</w:t>
        </w:r>
      </w:ins>
      <w:r w:rsidRPr="00512117">
        <w:t xml:space="preserve"> strategies</w:t>
      </w:r>
      <w:del w:id="41" w:author="Olivier DUBUISSON" w:date="2024-07-18T14:06:00Z">
        <w:r w:rsidRPr="00512117" w:rsidDel="00BB0E98">
          <w:delText xml:space="preserve">, </w:delText>
        </w:r>
      </w:del>
      <w:del w:id="42" w:author="Olivier DUBUISSON" w:date="2024-07-18T14:01:00Z">
        <w:r w:rsidRPr="00512117" w:rsidDel="006E6645">
          <w:delText>for example assigning Questions, coordinating the work of study groups or establishing coordination groups or other groups, and appoint their chairmen and vice-chairmen</w:delText>
        </w:r>
      </w:del>
      <w:ins w:id="43" w:author="Olivier DUBUISSON" w:date="2024-07-31T11:07:00Z">
        <w:r w:rsidR="00BD5B9A" w:rsidRPr="00BD5B9A">
          <w:t xml:space="preserve"> that in particular, will </w:t>
        </w:r>
      </w:ins>
      <w:ins w:id="44" w:author="Olivier DUBUISSON" w:date="2024-07-31T12:51:00Z">
        <w:r w:rsidR="008814B0">
          <w:t xml:space="preserve">provide </w:t>
        </w:r>
      </w:ins>
      <w:ins w:id="45" w:author="Olivier DUBUISSON" w:date="2024-07-31T11:07:00Z">
        <w:r w:rsidR="00BD5B9A" w:rsidRPr="00BD5B9A">
          <w:t>support</w:t>
        </w:r>
      </w:ins>
      <w:ins w:id="46" w:author="Olivier DUBUISSON" w:date="2024-07-31T12:51:00Z">
        <w:r w:rsidR="008814B0">
          <w:t xml:space="preserve"> to</w:t>
        </w:r>
      </w:ins>
      <w:ins w:id="47" w:author="Olivier DUBUISSON" w:date="2024-07-31T11:11:00Z">
        <w:r w:rsidR="002E21D9">
          <w:t>:</w:t>
        </w:r>
      </w:ins>
    </w:p>
    <w:p w14:paraId="6DB92D66" w14:textId="303FF08B" w:rsidR="006800F0" w:rsidRDefault="006800F0" w:rsidP="006800F0">
      <w:pPr>
        <w:pStyle w:val="enumlev1"/>
        <w:rPr>
          <w:ins w:id="48" w:author="Olivier DUBUISSON" w:date="2024-07-31T11:10:00Z"/>
        </w:rPr>
      </w:pPr>
      <w:ins w:id="49" w:author="Olivier DUBUISSON" w:date="2024-07-31T11:11:00Z">
        <w:r>
          <w:t>–</w:t>
        </w:r>
        <w:r w:rsidRPr="00512117">
          <w:tab/>
        </w:r>
      </w:ins>
      <w:ins w:id="50" w:author="Olivier DUBUISSON" w:date="2024-07-31T11:07:00Z">
        <w:r w:rsidR="00BD5B9A" w:rsidRPr="00BD5B9A">
          <w:t xml:space="preserve">the identification of </w:t>
        </w:r>
      </w:ins>
      <w:ins w:id="51" w:author="Olivier DUBUISSON" w:date="2024-08-01T15:11:00Z">
        <w:r w:rsidR="00611B6D">
          <w:t>[</w:t>
        </w:r>
      </w:ins>
      <w:ins w:id="52" w:author="Olivier DUBUISSON" w:date="2024-07-31T11:07:00Z">
        <w:r w:rsidR="00BD5B9A" w:rsidRPr="00BD5B9A">
          <w:t>new and emerging telecommunication</w:t>
        </w:r>
      </w:ins>
      <w:ins w:id="53" w:author="Olivier DUBUISSON" w:date="2024-08-01T15:34:00Z">
        <w:r w:rsidR="008A579F">
          <w:t>,</w:t>
        </w:r>
      </w:ins>
      <w:ins w:id="54" w:author="Olivier DUBUISSON" w:date="2024-08-01T15:13:00Z">
        <w:r w:rsidR="00035400">
          <w:t xml:space="preserve"> and information </w:t>
        </w:r>
      </w:ins>
      <w:ins w:id="55" w:author="Olivier DUBUISSON" w:date="2024-08-01T15:34:00Z">
        <w:r w:rsidR="008A579F">
          <w:t xml:space="preserve">and communication </w:t>
        </w:r>
      </w:ins>
      <w:ins w:id="56" w:author="Olivier DUBUISSON" w:date="2024-08-01T15:13:00Z">
        <w:r w:rsidR="00035400">
          <w:t>technologies</w:t>
        </w:r>
      </w:ins>
      <w:ins w:id="57" w:author="Olivier DUBUISSON" w:date="2024-08-01T15:11:00Z">
        <w:r w:rsidR="00611B6D">
          <w:t>]</w:t>
        </w:r>
      </w:ins>
      <w:ins w:id="58" w:author="Olivier DUBUISSON" w:date="2024-07-31T11:07:00Z">
        <w:r w:rsidR="00BD5B9A" w:rsidRPr="00BD5B9A">
          <w:t xml:space="preserve"> considering their drivers in the fields of activity relevant to the mandate of ITU</w:t>
        </w:r>
      </w:ins>
      <w:ins w:id="59" w:author="Olivier DUBUISSON" w:date="2024-07-31T15:02:00Z">
        <w:r w:rsidR="00E533F0">
          <w:t>-</w:t>
        </w:r>
      </w:ins>
      <w:ins w:id="60" w:author="Olivier DUBUISSON" w:date="2024-07-31T11:07:00Z">
        <w:r w:rsidR="00BD5B9A" w:rsidRPr="00BD5B9A">
          <w:t>T</w:t>
        </w:r>
      </w:ins>
      <w:ins w:id="61" w:author="Olivier DUBUISSON" w:date="2024-07-31T11:10:00Z">
        <w:r>
          <w:t>;</w:t>
        </w:r>
      </w:ins>
      <w:ins w:id="62" w:author="Olivier DUBUISSON" w:date="2024-07-31T11:07:00Z">
        <w:r w:rsidR="00BD5B9A" w:rsidRPr="00BD5B9A">
          <w:t xml:space="preserve"> </w:t>
        </w:r>
      </w:ins>
      <w:ins w:id="63" w:author="Olivier DUBUISSON" w:date="2024-07-31T11:10:00Z">
        <w:r>
          <w:t>and</w:t>
        </w:r>
      </w:ins>
    </w:p>
    <w:p w14:paraId="75C93A42" w14:textId="6A53F0B2" w:rsidR="00720A40" w:rsidRPr="002E153E" w:rsidRDefault="006800F0" w:rsidP="007C1108">
      <w:pPr>
        <w:pStyle w:val="enumlev1"/>
      </w:pPr>
      <w:ins w:id="64" w:author="Olivier DUBUISSON" w:date="2024-07-31T11:11:00Z">
        <w:r>
          <w:lastRenderedPageBreak/>
          <w:t>–</w:t>
        </w:r>
        <w:r w:rsidRPr="00512117">
          <w:tab/>
        </w:r>
      </w:ins>
      <w:ins w:id="65" w:author="Olivier DUBUISSON" w:date="2024-07-31T11:07:00Z">
        <w:r w:rsidR="00BD5B9A" w:rsidRPr="00BD5B9A">
          <w:t>the identification and examination of possible topics and issues for consideration in ITU</w:t>
        </w:r>
      </w:ins>
      <w:ins w:id="66" w:author="Olivier DUBUISSON" w:date="2024-07-31T15:02:00Z">
        <w:r w:rsidR="00E533F0">
          <w:t>-</w:t>
        </w:r>
      </w:ins>
      <w:ins w:id="67" w:author="Olivier DUBUISSON" w:date="2024-07-31T11:07:00Z">
        <w:r w:rsidR="00BD5B9A" w:rsidRPr="00BD5B9A">
          <w:t>T's standardization development strategies</w:t>
        </w:r>
      </w:ins>
      <w:r w:rsidR="00720A40" w:rsidRPr="002E153E">
        <w:t>;</w:t>
      </w:r>
    </w:p>
    <w:p w14:paraId="43CCE89E" w14:textId="74877D1E" w:rsidR="00720A40" w:rsidRPr="00512117" w:rsidRDefault="00720A40" w:rsidP="007C1108">
      <w:del w:id="68" w:author="Olivier DUBUISSON" w:date="2024-07-18T14:00:00Z">
        <w:r w:rsidRPr="00512117" w:rsidDel="003546FF">
          <w:delText>8</w:delText>
        </w:r>
      </w:del>
      <w:ins w:id="69" w:author="Olivier DUBUISSON" w:date="2024-07-18T14:00:00Z">
        <w:r w:rsidR="003546FF">
          <w:t>6</w:t>
        </w:r>
      </w:ins>
      <w:r w:rsidRPr="00512117">
        <w:tab/>
        <w:t>that TSAG consider the result of this assembly concerning GSS and take follow-up actions, as appropriate;</w:t>
      </w:r>
    </w:p>
    <w:p w14:paraId="2704CBF1" w14:textId="1126625B" w:rsidR="00720A40" w:rsidRPr="00512117" w:rsidRDefault="00720A40" w:rsidP="00720A40">
      <w:del w:id="70" w:author="Olivier DUBUISSON" w:date="2024-07-18T14:00:00Z">
        <w:r w:rsidRPr="00512117" w:rsidDel="003546FF">
          <w:delText>9</w:delText>
        </w:r>
      </w:del>
      <w:ins w:id="71" w:author="Olivier DUBUISSON" w:date="2024-07-18T14:00:00Z">
        <w:r w:rsidR="003546FF">
          <w:t>7</w:t>
        </w:r>
      </w:ins>
      <w:r w:rsidRPr="00512117">
        <w:tab/>
        <w:t>that a report on the above TSAG activities shall be submitted to the next WTSA,</w:t>
      </w:r>
    </w:p>
    <w:p w14:paraId="7E10AE85" w14:textId="77777777" w:rsidR="00720A40" w:rsidRPr="00512117" w:rsidRDefault="00720A40" w:rsidP="00720A40">
      <w:pPr>
        <w:pStyle w:val="Call"/>
        <w:rPr>
          <w:lang w:val="en-GB"/>
        </w:rPr>
      </w:pPr>
      <w:bookmarkStart w:id="72" w:name="_Hlk97195382"/>
      <w:r w:rsidRPr="00512117">
        <w:rPr>
          <w:lang w:val="en-GB"/>
        </w:rPr>
        <w:t>instructs the Director of the Telecommunication Standardization Bureau</w:t>
      </w:r>
    </w:p>
    <w:bookmarkEnd w:id="72"/>
    <w:p w14:paraId="61041994" w14:textId="77777777" w:rsidR="00720A40" w:rsidRPr="00512117" w:rsidRDefault="00720A40" w:rsidP="00720A40">
      <w:r w:rsidRPr="00512117">
        <w:t>1</w:t>
      </w:r>
      <w:r w:rsidRPr="00512117">
        <w:tab/>
        <w:t>to take into consideration the advice and guidance of TSAG in order to improve the effectiveness and efficiency of ITU-T;</w:t>
      </w:r>
    </w:p>
    <w:p w14:paraId="755626F1" w14:textId="77777777" w:rsidR="00720A40" w:rsidRPr="00512117" w:rsidRDefault="00720A40" w:rsidP="00720A40">
      <w:r w:rsidRPr="00512117">
        <w:t>2</w:t>
      </w:r>
      <w:r w:rsidRPr="00512117">
        <w:tab/>
        <w:t xml:space="preserve">to provide to each TSAG meeting a report on: </w:t>
      </w:r>
    </w:p>
    <w:p w14:paraId="0520E623" w14:textId="77777777" w:rsidR="00720A40" w:rsidRPr="00512117" w:rsidRDefault="00720A40" w:rsidP="00720A40">
      <w:pPr>
        <w:pStyle w:val="enumlev1"/>
      </w:pPr>
      <w:r>
        <w:t>–</w:t>
      </w:r>
      <w:r w:rsidRPr="00512117">
        <w:tab/>
        <w:t>the implementation of WTSA resolutions and actions to be undertaken pursuant to their operative paragraphs;</w:t>
      </w:r>
    </w:p>
    <w:p w14:paraId="5A29867C" w14:textId="77777777" w:rsidR="00720A40" w:rsidRPr="00512117" w:rsidRDefault="00720A40" w:rsidP="00720A40">
      <w:pPr>
        <w:pStyle w:val="enumlev1"/>
        <w:rPr>
          <w:szCs w:val="24"/>
        </w:rPr>
      </w:pPr>
      <w:r>
        <w:t>–</w:t>
      </w:r>
      <w:r w:rsidRPr="00512117">
        <w:rPr>
          <w:szCs w:val="24"/>
        </w:rPr>
        <w:tab/>
        <w:t>the progress of the ITU-T annual operational plan and WTSA</w:t>
      </w:r>
      <w:r w:rsidRPr="00512117">
        <w:rPr>
          <w:szCs w:val="24"/>
        </w:rPr>
        <w:noBreakHyphen/>
        <w:t>20 Action Plan, identifying difficulties, if any, that hinder the progress, and possible solutions;</w:t>
      </w:r>
    </w:p>
    <w:p w14:paraId="06191E9D" w14:textId="77777777" w:rsidR="00720A40" w:rsidRPr="00512117" w:rsidRDefault="00720A40" w:rsidP="00720A40">
      <w:r w:rsidRPr="00512117">
        <w:t>3</w:t>
      </w:r>
      <w:r w:rsidRPr="00512117">
        <w:tab/>
        <w:t>to provide information about any work item that has not given rise to any contribution in the time interval of the previous two study group meetings through the Director’s report on study group activity;</w:t>
      </w:r>
    </w:p>
    <w:p w14:paraId="0CB81F2A" w14:textId="64B4AE94" w:rsidR="00720A40" w:rsidRPr="00512117" w:rsidRDefault="00720A40" w:rsidP="00D74130">
      <w:r w:rsidRPr="00512117">
        <w:rPr>
          <w:iCs/>
        </w:rPr>
        <w:t>4</w:t>
      </w:r>
      <w:r w:rsidRPr="00512117">
        <w:rPr>
          <w:iCs/>
        </w:rPr>
        <w:tab/>
      </w:r>
      <w:r w:rsidRPr="00512117">
        <w:t>to report to TSAG on the experience in the implementation of the A-series Recommendations for consideration by the ITU</w:t>
      </w:r>
      <w:r w:rsidRPr="00512117">
        <w:noBreakHyphen/>
        <w:t>T membership.</w:t>
      </w:r>
    </w:p>
    <w:p w14:paraId="74039454" w14:textId="65F8FBF4" w:rsidR="00DF4500" w:rsidRPr="0068196C" w:rsidRDefault="008C5A9A" w:rsidP="00DA4466">
      <w:pPr>
        <w:jc w:val="center"/>
      </w:pPr>
      <w:bookmarkStart w:id="73" w:name="_Hlk98856042"/>
      <w:r w:rsidRPr="00DF123C">
        <w:t>_______________________</w:t>
      </w:r>
      <w:bookmarkEnd w:id="73"/>
    </w:p>
    <w:sectPr w:rsidR="00DF4500" w:rsidRPr="0068196C" w:rsidSect="004C1FCF">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CD54" w14:textId="77777777" w:rsidR="00C25B9B" w:rsidRDefault="00C25B9B" w:rsidP="00C42125">
      <w:pPr>
        <w:spacing w:before="0"/>
      </w:pPr>
      <w:r>
        <w:separator/>
      </w:r>
    </w:p>
  </w:endnote>
  <w:endnote w:type="continuationSeparator" w:id="0">
    <w:p w14:paraId="567357FA" w14:textId="77777777" w:rsidR="00C25B9B" w:rsidRDefault="00C25B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6CC1" w14:textId="77777777" w:rsidR="00C25B9B" w:rsidRDefault="00C25B9B" w:rsidP="00C42125">
      <w:pPr>
        <w:spacing w:before="0"/>
      </w:pPr>
      <w:r>
        <w:separator/>
      </w:r>
    </w:p>
  </w:footnote>
  <w:footnote w:type="continuationSeparator" w:id="0">
    <w:p w14:paraId="610646F6" w14:textId="77777777" w:rsidR="00C25B9B" w:rsidRDefault="00C25B9B" w:rsidP="00C42125">
      <w:pPr>
        <w:spacing w:before="0"/>
      </w:pPr>
      <w:r>
        <w:continuationSeparator/>
      </w:r>
    </w:p>
  </w:footnote>
  <w:footnote w:id="1">
    <w:p w14:paraId="0E905598" w14:textId="77777777" w:rsidR="00720A40" w:rsidRPr="00512117" w:rsidRDefault="00720A40" w:rsidP="00720A40">
      <w:pPr>
        <w:pStyle w:val="FootnoteText"/>
      </w:pPr>
      <w:r w:rsidRPr="00512117">
        <w:rPr>
          <w:rStyle w:val="FootnoteReference"/>
        </w:rPr>
        <w:t>1</w:t>
      </w:r>
      <w:r w:rsidRPr="00512117">
        <w:t xml:space="preserve"> </w:t>
      </w:r>
      <w:r w:rsidRPr="00512117">
        <w:tab/>
      </w:r>
      <w:bookmarkStart w:id="27"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2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14AA8159"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EF4937">
      <w:rPr>
        <w:noProof/>
      </w:rPr>
      <w:t>TSAG-TD630R4</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F67908"/>
    <w:multiLevelType w:val="hybridMultilevel"/>
    <w:tmpl w:val="F92E0C22"/>
    <w:lvl w:ilvl="0" w:tplc="DFE035B6">
      <w:start w:val="1"/>
      <w:numFmt w:val="bullet"/>
      <w:lvlText w:val=""/>
      <w:lvlJc w:val="left"/>
      <w:pPr>
        <w:ind w:left="1440" w:hanging="360"/>
      </w:pPr>
      <w:rPr>
        <w:rFonts w:ascii="Symbol" w:hAnsi="Symbol"/>
      </w:rPr>
    </w:lvl>
    <w:lvl w:ilvl="1" w:tplc="1130C194">
      <w:start w:val="1"/>
      <w:numFmt w:val="bullet"/>
      <w:lvlText w:val=""/>
      <w:lvlJc w:val="left"/>
      <w:pPr>
        <w:ind w:left="1440" w:hanging="360"/>
      </w:pPr>
      <w:rPr>
        <w:rFonts w:ascii="Symbol" w:hAnsi="Symbol"/>
      </w:rPr>
    </w:lvl>
    <w:lvl w:ilvl="2" w:tplc="FBC2CCC0">
      <w:start w:val="1"/>
      <w:numFmt w:val="bullet"/>
      <w:lvlText w:val=""/>
      <w:lvlJc w:val="left"/>
      <w:pPr>
        <w:ind w:left="1440" w:hanging="360"/>
      </w:pPr>
      <w:rPr>
        <w:rFonts w:ascii="Symbol" w:hAnsi="Symbol"/>
      </w:rPr>
    </w:lvl>
    <w:lvl w:ilvl="3" w:tplc="8E06278A">
      <w:start w:val="1"/>
      <w:numFmt w:val="bullet"/>
      <w:lvlText w:val=""/>
      <w:lvlJc w:val="left"/>
      <w:pPr>
        <w:ind w:left="1440" w:hanging="360"/>
      </w:pPr>
      <w:rPr>
        <w:rFonts w:ascii="Symbol" w:hAnsi="Symbol"/>
      </w:rPr>
    </w:lvl>
    <w:lvl w:ilvl="4" w:tplc="615090FA">
      <w:start w:val="1"/>
      <w:numFmt w:val="bullet"/>
      <w:lvlText w:val=""/>
      <w:lvlJc w:val="left"/>
      <w:pPr>
        <w:ind w:left="1440" w:hanging="360"/>
      </w:pPr>
      <w:rPr>
        <w:rFonts w:ascii="Symbol" w:hAnsi="Symbol"/>
      </w:rPr>
    </w:lvl>
    <w:lvl w:ilvl="5" w:tplc="3BAA639A">
      <w:start w:val="1"/>
      <w:numFmt w:val="bullet"/>
      <w:lvlText w:val=""/>
      <w:lvlJc w:val="left"/>
      <w:pPr>
        <w:ind w:left="1440" w:hanging="360"/>
      </w:pPr>
      <w:rPr>
        <w:rFonts w:ascii="Symbol" w:hAnsi="Symbol"/>
      </w:rPr>
    </w:lvl>
    <w:lvl w:ilvl="6" w:tplc="6EECE3D2">
      <w:start w:val="1"/>
      <w:numFmt w:val="bullet"/>
      <w:lvlText w:val=""/>
      <w:lvlJc w:val="left"/>
      <w:pPr>
        <w:ind w:left="1440" w:hanging="360"/>
      </w:pPr>
      <w:rPr>
        <w:rFonts w:ascii="Symbol" w:hAnsi="Symbol"/>
      </w:rPr>
    </w:lvl>
    <w:lvl w:ilvl="7" w:tplc="88AA50AC">
      <w:start w:val="1"/>
      <w:numFmt w:val="bullet"/>
      <w:lvlText w:val=""/>
      <w:lvlJc w:val="left"/>
      <w:pPr>
        <w:ind w:left="1440" w:hanging="360"/>
      </w:pPr>
      <w:rPr>
        <w:rFonts w:ascii="Symbol" w:hAnsi="Symbol"/>
      </w:rPr>
    </w:lvl>
    <w:lvl w:ilvl="8" w:tplc="3B94289E">
      <w:start w:val="1"/>
      <w:numFmt w:val="bullet"/>
      <w:lvlText w:val=""/>
      <w:lvlJc w:val="left"/>
      <w:pPr>
        <w:ind w:left="1440" w:hanging="360"/>
      </w:pPr>
      <w:rPr>
        <w:rFonts w:ascii="Symbol" w:hAnsi="Symbol"/>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0BD20A1"/>
    <w:multiLevelType w:val="hybridMultilevel"/>
    <w:tmpl w:val="CC1E159A"/>
    <w:lvl w:ilvl="0" w:tplc="0512E4CA">
      <w:start w:val="1"/>
      <w:numFmt w:val="bullet"/>
      <w:lvlText w:val=""/>
      <w:lvlJc w:val="left"/>
      <w:pPr>
        <w:ind w:left="1440" w:hanging="360"/>
      </w:pPr>
      <w:rPr>
        <w:rFonts w:ascii="Symbol" w:hAnsi="Symbol"/>
      </w:rPr>
    </w:lvl>
    <w:lvl w:ilvl="1" w:tplc="C0C4D34A">
      <w:start w:val="1"/>
      <w:numFmt w:val="bullet"/>
      <w:lvlText w:val=""/>
      <w:lvlJc w:val="left"/>
      <w:pPr>
        <w:ind w:left="1440" w:hanging="360"/>
      </w:pPr>
      <w:rPr>
        <w:rFonts w:ascii="Symbol" w:hAnsi="Symbol"/>
      </w:rPr>
    </w:lvl>
    <w:lvl w:ilvl="2" w:tplc="7EFA9FD8">
      <w:start w:val="1"/>
      <w:numFmt w:val="bullet"/>
      <w:lvlText w:val=""/>
      <w:lvlJc w:val="left"/>
      <w:pPr>
        <w:ind w:left="1440" w:hanging="360"/>
      </w:pPr>
      <w:rPr>
        <w:rFonts w:ascii="Symbol" w:hAnsi="Symbol"/>
      </w:rPr>
    </w:lvl>
    <w:lvl w:ilvl="3" w:tplc="CE0EA978">
      <w:start w:val="1"/>
      <w:numFmt w:val="bullet"/>
      <w:lvlText w:val=""/>
      <w:lvlJc w:val="left"/>
      <w:pPr>
        <w:ind w:left="1440" w:hanging="360"/>
      </w:pPr>
      <w:rPr>
        <w:rFonts w:ascii="Symbol" w:hAnsi="Symbol"/>
      </w:rPr>
    </w:lvl>
    <w:lvl w:ilvl="4" w:tplc="E88E232E">
      <w:start w:val="1"/>
      <w:numFmt w:val="bullet"/>
      <w:lvlText w:val=""/>
      <w:lvlJc w:val="left"/>
      <w:pPr>
        <w:ind w:left="1440" w:hanging="360"/>
      </w:pPr>
      <w:rPr>
        <w:rFonts w:ascii="Symbol" w:hAnsi="Symbol"/>
      </w:rPr>
    </w:lvl>
    <w:lvl w:ilvl="5" w:tplc="DDC2E69C">
      <w:start w:val="1"/>
      <w:numFmt w:val="bullet"/>
      <w:lvlText w:val=""/>
      <w:lvlJc w:val="left"/>
      <w:pPr>
        <w:ind w:left="1440" w:hanging="360"/>
      </w:pPr>
      <w:rPr>
        <w:rFonts w:ascii="Symbol" w:hAnsi="Symbol"/>
      </w:rPr>
    </w:lvl>
    <w:lvl w:ilvl="6" w:tplc="6A0E2CF6">
      <w:start w:val="1"/>
      <w:numFmt w:val="bullet"/>
      <w:lvlText w:val=""/>
      <w:lvlJc w:val="left"/>
      <w:pPr>
        <w:ind w:left="1440" w:hanging="360"/>
      </w:pPr>
      <w:rPr>
        <w:rFonts w:ascii="Symbol" w:hAnsi="Symbol"/>
      </w:rPr>
    </w:lvl>
    <w:lvl w:ilvl="7" w:tplc="2FDA4A04">
      <w:start w:val="1"/>
      <w:numFmt w:val="bullet"/>
      <w:lvlText w:val=""/>
      <w:lvlJc w:val="left"/>
      <w:pPr>
        <w:ind w:left="1440" w:hanging="360"/>
      </w:pPr>
      <w:rPr>
        <w:rFonts w:ascii="Symbol" w:hAnsi="Symbol"/>
      </w:rPr>
    </w:lvl>
    <w:lvl w:ilvl="8" w:tplc="DC6E0016">
      <w:start w:val="1"/>
      <w:numFmt w:val="bullet"/>
      <w:lvlText w:val=""/>
      <w:lvlJc w:val="left"/>
      <w:pPr>
        <w:ind w:left="1440" w:hanging="360"/>
      </w:pPr>
      <w:rPr>
        <w:rFonts w:ascii="Symbol" w:hAnsi="Symbol"/>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093254"/>
    <w:multiLevelType w:val="hybridMultilevel"/>
    <w:tmpl w:val="D5940AE2"/>
    <w:lvl w:ilvl="0" w:tplc="FFC4C552">
      <w:start w:val="1"/>
      <w:numFmt w:val="bullet"/>
      <w:lvlText w:val=""/>
      <w:lvlJc w:val="left"/>
      <w:pPr>
        <w:ind w:left="1440" w:hanging="360"/>
      </w:pPr>
      <w:rPr>
        <w:rFonts w:ascii="Symbol" w:hAnsi="Symbol"/>
      </w:rPr>
    </w:lvl>
    <w:lvl w:ilvl="1" w:tplc="6E620F0A">
      <w:start w:val="1"/>
      <w:numFmt w:val="bullet"/>
      <w:lvlText w:val=""/>
      <w:lvlJc w:val="left"/>
      <w:pPr>
        <w:ind w:left="1440" w:hanging="360"/>
      </w:pPr>
      <w:rPr>
        <w:rFonts w:ascii="Symbol" w:hAnsi="Symbol"/>
      </w:rPr>
    </w:lvl>
    <w:lvl w:ilvl="2" w:tplc="734ED740">
      <w:start w:val="1"/>
      <w:numFmt w:val="bullet"/>
      <w:lvlText w:val=""/>
      <w:lvlJc w:val="left"/>
      <w:pPr>
        <w:ind w:left="1440" w:hanging="360"/>
      </w:pPr>
      <w:rPr>
        <w:rFonts w:ascii="Symbol" w:hAnsi="Symbol"/>
      </w:rPr>
    </w:lvl>
    <w:lvl w:ilvl="3" w:tplc="4BD80B04">
      <w:start w:val="1"/>
      <w:numFmt w:val="bullet"/>
      <w:lvlText w:val=""/>
      <w:lvlJc w:val="left"/>
      <w:pPr>
        <w:ind w:left="1440" w:hanging="360"/>
      </w:pPr>
      <w:rPr>
        <w:rFonts w:ascii="Symbol" w:hAnsi="Symbol"/>
      </w:rPr>
    </w:lvl>
    <w:lvl w:ilvl="4" w:tplc="0D1E864A">
      <w:start w:val="1"/>
      <w:numFmt w:val="bullet"/>
      <w:lvlText w:val=""/>
      <w:lvlJc w:val="left"/>
      <w:pPr>
        <w:ind w:left="1440" w:hanging="360"/>
      </w:pPr>
      <w:rPr>
        <w:rFonts w:ascii="Symbol" w:hAnsi="Symbol"/>
      </w:rPr>
    </w:lvl>
    <w:lvl w:ilvl="5" w:tplc="67FCC7B6">
      <w:start w:val="1"/>
      <w:numFmt w:val="bullet"/>
      <w:lvlText w:val=""/>
      <w:lvlJc w:val="left"/>
      <w:pPr>
        <w:ind w:left="1440" w:hanging="360"/>
      </w:pPr>
      <w:rPr>
        <w:rFonts w:ascii="Symbol" w:hAnsi="Symbol"/>
      </w:rPr>
    </w:lvl>
    <w:lvl w:ilvl="6" w:tplc="212E621C">
      <w:start w:val="1"/>
      <w:numFmt w:val="bullet"/>
      <w:lvlText w:val=""/>
      <w:lvlJc w:val="left"/>
      <w:pPr>
        <w:ind w:left="1440" w:hanging="360"/>
      </w:pPr>
      <w:rPr>
        <w:rFonts w:ascii="Symbol" w:hAnsi="Symbol"/>
      </w:rPr>
    </w:lvl>
    <w:lvl w:ilvl="7" w:tplc="3A4E3C7A">
      <w:start w:val="1"/>
      <w:numFmt w:val="bullet"/>
      <w:lvlText w:val=""/>
      <w:lvlJc w:val="left"/>
      <w:pPr>
        <w:ind w:left="1440" w:hanging="360"/>
      </w:pPr>
      <w:rPr>
        <w:rFonts w:ascii="Symbol" w:hAnsi="Symbol"/>
      </w:rPr>
    </w:lvl>
    <w:lvl w:ilvl="8" w:tplc="79E4BDA0">
      <w:start w:val="1"/>
      <w:numFmt w:val="bullet"/>
      <w:lvlText w:val=""/>
      <w:lvlJc w:val="left"/>
      <w:pPr>
        <w:ind w:left="1440" w:hanging="360"/>
      </w:pPr>
      <w:rPr>
        <w:rFonts w:ascii="Symbol" w:hAnsi="Symbol"/>
      </w:rPr>
    </w:lvl>
  </w:abstractNum>
  <w:abstractNum w:abstractNumId="2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6912E2E"/>
    <w:multiLevelType w:val="hybridMultilevel"/>
    <w:tmpl w:val="C574A7C8"/>
    <w:lvl w:ilvl="0" w:tplc="2358311E">
      <w:start w:val="1"/>
      <w:numFmt w:val="bullet"/>
      <w:lvlText w:val=""/>
      <w:lvlJc w:val="left"/>
      <w:pPr>
        <w:ind w:left="1440" w:hanging="360"/>
      </w:pPr>
      <w:rPr>
        <w:rFonts w:ascii="Symbol" w:hAnsi="Symbol"/>
      </w:rPr>
    </w:lvl>
    <w:lvl w:ilvl="1" w:tplc="C60AFE1E">
      <w:start w:val="1"/>
      <w:numFmt w:val="bullet"/>
      <w:lvlText w:val=""/>
      <w:lvlJc w:val="left"/>
      <w:pPr>
        <w:ind w:left="1440" w:hanging="360"/>
      </w:pPr>
      <w:rPr>
        <w:rFonts w:ascii="Symbol" w:hAnsi="Symbol"/>
      </w:rPr>
    </w:lvl>
    <w:lvl w:ilvl="2" w:tplc="6EF2A6D8">
      <w:start w:val="1"/>
      <w:numFmt w:val="bullet"/>
      <w:lvlText w:val=""/>
      <w:lvlJc w:val="left"/>
      <w:pPr>
        <w:ind w:left="1440" w:hanging="360"/>
      </w:pPr>
      <w:rPr>
        <w:rFonts w:ascii="Symbol" w:hAnsi="Symbol"/>
      </w:rPr>
    </w:lvl>
    <w:lvl w:ilvl="3" w:tplc="43128536">
      <w:start w:val="1"/>
      <w:numFmt w:val="bullet"/>
      <w:lvlText w:val=""/>
      <w:lvlJc w:val="left"/>
      <w:pPr>
        <w:ind w:left="1440" w:hanging="360"/>
      </w:pPr>
      <w:rPr>
        <w:rFonts w:ascii="Symbol" w:hAnsi="Symbol"/>
      </w:rPr>
    </w:lvl>
    <w:lvl w:ilvl="4" w:tplc="D2C6AEB6">
      <w:start w:val="1"/>
      <w:numFmt w:val="bullet"/>
      <w:lvlText w:val=""/>
      <w:lvlJc w:val="left"/>
      <w:pPr>
        <w:ind w:left="1440" w:hanging="360"/>
      </w:pPr>
      <w:rPr>
        <w:rFonts w:ascii="Symbol" w:hAnsi="Symbol"/>
      </w:rPr>
    </w:lvl>
    <w:lvl w:ilvl="5" w:tplc="1172B1D2">
      <w:start w:val="1"/>
      <w:numFmt w:val="bullet"/>
      <w:lvlText w:val=""/>
      <w:lvlJc w:val="left"/>
      <w:pPr>
        <w:ind w:left="1440" w:hanging="360"/>
      </w:pPr>
      <w:rPr>
        <w:rFonts w:ascii="Symbol" w:hAnsi="Symbol"/>
      </w:rPr>
    </w:lvl>
    <w:lvl w:ilvl="6" w:tplc="3822E56A">
      <w:start w:val="1"/>
      <w:numFmt w:val="bullet"/>
      <w:lvlText w:val=""/>
      <w:lvlJc w:val="left"/>
      <w:pPr>
        <w:ind w:left="1440" w:hanging="360"/>
      </w:pPr>
      <w:rPr>
        <w:rFonts w:ascii="Symbol" w:hAnsi="Symbol"/>
      </w:rPr>
    </w:lvl>
    <w:lvl w:ilvl="7" w:tplc="931868B8">
      <w:start w:val="1"/>
      <w:numFmt w:val="bullet"/>
      <w:lvlText w:val=""/>
      <w:lvlJc w:val="left"/>
      <w:pPr>
        <w:ind w:left="1440" w:hanging="360"/>
      </w:pPr>
      <w:rPr>
        <w:rFonts w:ascii="Symbol" w:hAnsi="Symbol"/>
      </w:rPr>
    </w:lvl>
    <w:lvl w:ilvl="8" w:tplc="D4902CF2">
      <w:start w:val="1"/>
      <w:numFmt w:val="bullet"/>
      <w:lvlText w:val=""/>
      <w:lvlJc w:val="left"/>
      <w:pPr>
        <w:ind w:left="1440" w:hanging="360"/>
      </w:pPr>
      <w:rPr>
        <w:rFonts w:ascii="Symbol" w:hAnsi="Symbol"/>
      </w:rPr>
    </w:lvl>
  </w:abstractNum>
  <w:abstractNum w:abstractNumId="25"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0"/>
  </w:num>
  <w:num w:numId="13" w16cid:durableId="1673484047">
    <w:abstractNumId w:val="27"/>
  </w:num>
  <w:num w:numId="14" w16cid:durableId="1977877175">
    <w:abstractNumId w:val="22"/>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6"/>
  </w:num>
  <w:num w:numId="20" w16cid:durableId="1928691294">
    <w:abstractNumId w:val="10"/>
  </w:num>
  <w:num w:numId="21" w16cid:durableId="2038776431">
    <w:abstractNumId w:val="12"/>
  </w:num>
  <w:num w:numId="22" w16cid:durableId="412051555">
    <w:abstractNumId w:val="23"/>
  </w:num>
  <w:num w:numId="23" w16cid:durableId="1784110109">
    <w:abstractNumId w:val="25"/>
  </w:num>
  <w:num w:numId="24" w16cid:durableId="1478378992">
    <w:abstractNumId w:val="13"/>
  </w:num>
  <w:num w:numId="25" w16cid:durableId="1703163138">
    <w:abstractNumId w:val="28"/>
  </w:num>
  <w:num w:numId="26" w16cid:durableId="1104492330">
    <w:abstractNumId w:val="15"/>
  </w:num>
  <w:num w:numId="27" w16cid:durableId="1189413674">
    <w:abstractNumId w:val="11"/>
  </w:num>
  <w:num w:numId="28" w16cid:durableId="484050842">
    <w:abstractNumId w:val="21"/>
  </w:num>
  <w:num w:numId="29" w16cid:durableId="139018076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15FD"/>
    <w:rsid w:val="00014F69"/>
    <w:rsid w:val="000171DB"/>
    <w:rsid w:val="00023D9A"/>
    <w:rsid w:val="00024B48"/>
    <w:rsid w:val="00035400"/>
    <w:rsid w:val="0003582E"/>
    <w:rsid w:val="00043D75"/>
    <w:rsid w:val="00057000"/>
    <w:rsid w:val="000640E0"/>
    <w:rsid w:val="00066807"/>
    <w:rsid w:val="00086D80"/>
    <w:rsid w:val="00092618"/>
    <w:rsid w:val="0009518F"/>
    <w:rsid w:val="000966A8"/>
    <w:rsid w:val="000A0A5C"/>
    <w:rsid w:val="000A5CA2"/>
    <w:rsid w:val="000C5715"/>
    <w:rsid w:val="000E3C61"/>
    <w:rsid w:val="000E3E55"/>
    <w:rsid w:val="000E6083"/>
    <w:rsid w:val="000E6125"/>
    <w:rsid w:val="000F0BA6"/>
    <w:rsid w:val="00100BAF"/>
    <w:rsid w:val="00113DBE"/>
    <w:rsid w:val="001200A6"/>
    <w:rsid w:val="001201E3"/>
    <w:rsid w:val="0012415F"/>
    <w:rsid w:val="001251DA"/>
    <w:rsid w:val="00125432"/>
    <w:rsid w:val="00132C98"/>
    <w:rsid w:val="00136DDD"/>
    <w:rsid w:val="00137F40"/>
    <w:rsid w:val="00142AB2"/>
    <w:rsid w:val="00144BDF"/>
    <w:rsid w:val="00146CF1"/>
    <w:rsid w:val="00155DDC"/>
    <w:rsid w:val="00162D64"/>
    <w:rsid w:val="001871EC"/>
    <w:rsid w:val="00191759"/>
    <w:rsid w:val="0019570C"/>
    <w:rsid w:val="001A20C3"/>
    <w:rsid w:val="001A4296"/>
    <w:rsid w:val="001A670F"/>
    <w:rsid w:val="001B13F5"/>
    <w:rsid w:val="001B6A45"/>
    <w:rsid w:val="001C1003"/>
    <w:rsid w:val="001C4B91"/>
    <w:rsid w:val="001C62B8"/>
    <w:rsid w:val="001D033C"/>
    <w:rsid w:val="001D22D8"/>
    <w:rsid w:val="001D4296"/>
    <w:rsid w:val="001D5317"/>
    <w:rsid w:val="001E243A"/>
    <w:rsid w:val="001E7B0E"/>
    <w:rsid w:val="001F141D"/>
    <w:rsid w:val="00200A06"/>
    <w:rsid w:val="00200A98"/>
    <w:rsid w:val="00201AFA"/>
    <w:rsid w:val="002038DB"/>
    <w:rsid w:val="00206ABC"/>
    <w:rsid w:val="002229F1"/>
    <w:rsid w:val="00230B96"/>
    <w:rsid w:val="00233F75"/>
    <w:rsid w:val="002432CA"/>
    <w:rsid w:val="0025233B"/>
    <w:rsid w:val="002528F9"/>
    <w:rsid w:val="00253DBE"/>
    <w:rsid w:val="00253DC6"/>
    <w:rsid w:val="0025489C"/>
    <w:rsid w:val="002622FA"/>
    <w:rsid w:val="00263518"/>
    <w:rsid w:val="002759E7"/>
    <w:rsid w:val="00277326"/>
    <w:rsid w:val="0029029B"/>
    <w:rsid w:val="002A11C4"/>
    <w:rsid w:val="002A399B"/>
    <w:rsid w:val="002C26C0"/>
    <w:rsid w:val="002C2BC5"/>
    <w:rsid w:val="002E0407"/>
    <w:rsid w:val="002E153E"/>
    <w:rsid w:val="002E21D9"/>
    <w:rsid w:val="002E79CB"/>
    <w:rsid w:val="002F0471"/>
    <w:rsid w:val="002F1714"/>
    <w:rsid w:val="002F5CA7"/>
    <w:rsid w:val="002F7F55"/>
    <w:rsid w:val="0030745F"/>
    <w:rsid w:val="00311D0E"/>
    <w:rsid w:val="00314630"/>
    <w:rsid w:val="0032090A"/>
    <w:rsid w:val="00321CDE"/>
    <w:rsid w:val="00322932"/>
    <w:rsid w:val="00333E15"/>
    <w:rsid w:val="00333F31"/>
    <w:rsid w:val="003416D3"/>
    <w:rsid w:val="00341EF8"/>
    <w:rsid w:val="003531F4"/>
    <w:rsid w:val="003546FF"/>
    <w:rsid w:val="003571BC"/>
    <w:rsid w:val="0036090C"/>
    <w:rsid w:val="00360E65"/>
    <w:rsid w:val="003643BF"/>
    <w:rsid w:val="00364979"/>
    <w:rsid w:val="00365CB8"/>
    <w:rsid w:val="00384961"/>
    <w:rsid w:val="00385B9C"/>
    <w:rsid w:val="00385FB5"/>
    <w:rsid w:val="0038715D"/>
    <w:rsid w:val="00392E84"/>
    <w:rsid w:val="00394B0B"/>
    <w:rsid w:val="00394DBF"/>
    <w:rsid w:val="003957A6"/>
    <w:rsid w:val="00396996"/>
    <w:rsid w:val="00397713"/>
    <w:rsid w:val="003A43EF"/>
    <w:rsid w:val="003B60A2"/>
    <w:rsid w:val="003C5F35"/>
    <w:rsid w:val="003C614C"/>
    <w:rsid w:val="003C7445"/>
    <w:rsid w:val="003C74C9"/>
    <w:rsid w:val="003D494C"/>
    <w:rsid w:val="003E39A2"/>
    <w:rsid w:val="003E57AB"/>
    <w:rsid w:val="003F2BED"/>
    <w:rsid w:val="003F5088"/>
    <w:rsid w:val="003F7F15"/>
    <w:rsid w:val="00400B49"/>
    <w:rsid w:val="0040415B"/>
    <w:rsid w:val="00411146"/>
    <w:rsid w:val="004139E4"/>
    <w:rsid w:val="00415999"/>
    <w:rsid w:val="00443878"/>
    <w:rsid w:val="0044402C"/>
    <w:rsid w:val="004461C9"/>
    <w:rsid w:val="004539A8"/>
    <w:rsid w:val="00461AE3"/>
    <w:rsid w:val="004646F1"/>
    <w:rsid w:val="004712CA"/>
    <w:rsid w:val="0047422E"/>
    <w:rsid w:val="00487208"/>
    <w:rsid w:val="00495E1D"/>
    <w:rsid w:val="0049674B"/>
    <w:rsid w:val="004B1418"/>
    <w:rsid w:val="004C0673"/>
    <w:rsid w:val="004C1FCF"/>
    <w:rsid w:val="004C4E4E"/>
    <w:rsid w:val="004C7890"/>
    <w:rsid w:val="004D3961"/>
    <w:rsid w:val="004E08F2"/>
    <w:rsid w:val="004F3816"/>
    <w:rsid w:val="004F500A"/>
    <w:rsid w:val="00500CD6"/>
    <w:rsid w:val="005126A0"/>
    <w:rsid w:val="00516B7B"/>
    <w:rsid w:val="00523499"/>
    <w:rsid w:val="005250B6"/>
    <w:rsid w:val="00543D41"/>
    <w:rsid w:val="00545472"/>
    <w:rsid w:val="005571A4"/>
    <w:rsid w:val="005604FC"/>
    <w:rsid w:val="00564209"/>
    <w:rsid w:val="00566EDA"/>
    <w:rsid w:val="0057081A"/>
    <w:rsid w:val="00572654"/>
    <w:rsid w:val="005976A1"/>
    <w:rsid w:val="005A34E7"/>
    <w:rsid w:val="005A688A"/>
    <w:rsid w:val="005A69A3"/>
    <w:rsid w:val="005A79EE"/>
    <w:rsid w:val="005B1B7A"/>
    <w:rsid w:val="005B5629"/>
    <w:rsid w:val="005C0300"/>
    <w:rsid w:val="005C0D27"/>
    <w:rsid w:val="005C27A2"/>
    <w:rsid w:val="005D4FEB"/>
    <w:rsid w:val="005D65ED"/>
    <w:rsid w:val="005E0E6C"/>
    <w:rsid w:val="005F1372"/>
    <w:rsid w:val="005F4B6A"/>
    <w:rsid w:val="005F5764"/>
    <w:rsid w:val="006010F3"/>
    <w:rsid w:val="00601AF4"/>
    <w:rsid w:val="00607078"/>
    <w:rsid w:val="0061080C"/>
    <w:rsid w:val="00611B6D"/>
    <w:rsid w:val="00613355"/>
    <w:rsid w:val="00615A0A"/>
    <w:rsid w:val="00616233"/>
    <w:rsid w:val="0063028B"/>
    <w:rsid w:val="006333D4"/>
    <w:rsid w:val="006369B2"/>
    <w:rsid w:val="0063718D"/>
    <w:rsid w:val="00637355"/>
    <w:rsid w:val="00647525"/>
    <w:rsid w:val="00647A71"/>
    <w:rsid w:val="006530A8"/>
    <w:rsid w:val="00653844"/>
    <w:rsid w:val="006570B0"/>
    <w:rsid w:val="0066022F"/>
    <w:rsid w:val="006725E1"/>
    <w:rsid w:val="006800F0"/>
    <w:rsid w:val="0068196C"/>
    <w:rsid w:val="006823F3"/>
    <w:rsid w:val="0069210B"/>
    <w:rsid w:val="00693139"/>
    <w:rsid w:val="00695DD7"/>
    <w:rsid w:val="006A0F3F"/>
    <w:rsid w:val="006A2A02"/>
    <w:rsid w:val="006A4055"/>
    <w:rsid w:val="006A7C27"/>
    <w:rsid w:val="006B1FD5"/>
    <w:rsid w:val="006B2E7B"/>
    <w:rsid w:val="006B2FE4"/>
    <w:rsid w:val="006B37B0"/>
    <w:rsid w:val="006B6BA2"/>
    <w:rsid w:val="006B7B4E"/>
    <w:rsid w:val="006C5641"/>
    <w:rsid w:val="006D07E1"/>
    <w:rsid w:val="006D1089"/>
    <w:rsid w:val="006D1B86"/>
    <w:rsid w:val="006D4F68"/>
    <w:rsid w:val="006D7355"/>
    <w:rsid w:val="006E03A0"/>
    <w:rsid w:val="006E0CF3"/>
    <w:rsid w:val="006E4161"/>
    <w:rsid w:val="006E55A7"/>
    <w:rsid w:val="006E6645"/>
    <w:rsid w:val="006E7BF7"/>
    <w:rsid w:val="006F7DEE"/>
    <w:rsid w:val="00715CA6"/>
    <w:rsid w:val="00720A40"/>
    <w:rsid w:val="0072554C"/>
    <w:rsid w:val="00731135"/>
    <w:rsid w:val="007324AF"/>
    <w:rsid w:val="007409B4"/>
    <w:rsid w:val="00741974"/>
    <w:rsid w:val="0074389D"/>
    <w:rsid w:val="007454B6"/>
    <w:rsid w:val="0075525E"/>
    <w:rsid w:val="00756215"/>
    <w:rsid w:val="00756D3D"/>
    <w:rsid w:val="007759E5"/>
    <w:rsid w:val="007806C2"/>
    <w:rsid w:val="00781FEE"/>
    <w:rsid w:val="007903F8"/>
    <w:rsid w:val="00794F4F"/>
    <w:rsid w:val="007974BE"/>
    <w:rsid w:val="007A0916"/>
    <w:rsid w:val="007A0DFD"/>
    <w:rsid w:val="007C1108"/>
    <w:rsid w:val="007C42D8"/>
    <w:rsid w:val="007C7122"/>
    <w:rsid w:val="007D3F11"/>
    <w:rsid w:val="007E2C69"/>
    <w:rsid w:val="007E53E4"/>
    <w:rsid w:val="007E656A"/>
    <w:rsid w:val="007F0F6A"/>
    <w:rsid w:val="007F3CAA"/>
    <w:rsid w:val="007F664D"/>
    <w:rsid w:val="00801B42"/>
    <w:rsid w:val="008037EC"/>
    <w:rsid w:val="008135F5"/>
    <w:rsid w:val="008249A7"/>
    <w:rsid w:val="00836D45"/>
    <w:rsid w:val="00837203"/>
    <w:rsid w:val="00842137"/>
    <w:rsid w:val="00851E6C"/>
    <w:rsid w:val="00853F5F"/>
    <w:rsid w:val="00856C7A"/>
    <w:rsid w:val="008623ED"/>
    <w:rsid w:val="00866604"/>
    <w:rsid w:val="008713B9"/>
    <w:rsid w:val="00871DAA"/>
    <w:rsid w:val="00875AA6"/>
    <w:rsid w:val="00880944"/>
    <w:rsid w:val="008814B0"/>
    <w:rsid w:val="00887A3D"/>
    <w:rsid w:val="0089088E"/>
    <w:rsid w:val="00892297"/>
    <w:rsid w:val="008924B6"/>
    <w:rsid w:val="008964D6"/>
    <w:rsid w:val="008970AF"/>
    <w:rsid w:val="008A579F"/>
    <w:rsid w:val="008B5123"/>
    <w:rsid w:val="008C5A9A"/>
    <w:rsid w:val="008D1E1E"/>
    <w:rsid w:val="008E0172"/>
    <w:rsid w:val="008E7F60"/>
    <w:rsid w:val="00907BE1"/>
    <w:rsid w:val="00936852"/>
    <w:rsid w:val="0094045D"/>
    <w:rsid w:val="009406B5"/>
    <w:rsid w:val="0094137B"/>
    <w:rsid w:val="00946166"/>
    <w:rsid w:val="009555AE"/>
    <w:rsid w:val="009628DB"/>
    <w:rsid w:val="00966B5C"/>
    <w:rsid w:val="0097755D"/>
    <w:rsid w:val="00983164"/>
    <w:rsid w:val="00984252"/>
    <w:rsid w:val="009972EF"/>
    <w:rsid w:val="009B5035"/>
    <w:rsid w:val="009B7077"/>
    <w:rsid w:val="009C3160"/>
    <w:rsid w:val="009D1DC7"/>
    <w:rsid w:val="009D644B"/>
    <w:rsid w:val="009E49ED"/>
    <w:rsid w:val="009E4B6B"/>
    <w:rsid w:val="009E766E"/>
    <w:rsid w:val="009F1960"/>
    <w:rsid w:val="009F2949"/>
    <w:rsid w:val="009F4B1A"/>
    <w:rsid w:val="009F715E"/>
    <w:rsid w:val="009F78FE"/>
    <w:rsid w:val="00A10DBB"/>
    <w:rsid w:val="00A11720"/>
    <w:rsid w:val="00A21247"/>
    <w:rsid w:val="00A2558C"/>
    <w:rsid w:val="00A311F0"/>
    <w:rsid w:val="00A31D47"/>
    <w:rsid w:val="00A347FC"/>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B6FA2"/>
    <w:rsid w:val="00AC3E73"/>
    <w:rsid w:val="00AC5A31"/>
    <w:rsid w:val="00AC63B0"/>
    <w:rsid w:val="00AD0A88"/>
    <w:rsid w:val="00AD55C2"/>
    <w:rsid w:val="00AE0F14"/>
    <w:rsid w:val="00AF19DE"/>
    <w:rsid w:val="00B05821"/>
    <w:rsid w:val="00B100D6"/>
    <w:rsid w:val="00B125C2"/>
    <w:rsid w:val="00B164C9"/>
    <w:rsid w:val="00B26C28"/>
    <w:rsid w:val="00B4174C"/>
    <w:rsid w:val="00B453F5"/>
    <w:rsid w:val="00B5162E"/>
    <w:rsid w:val="00B53ACB"/>
    <w:rsid w:val="00B61624"/>
    <w:rsid w:val="00B66481"/>
    <w:rsid w:val="00B7189C"/>
    <w:rsid w:val="00B718A5"/>
    <w:rsid w:val="00B742B5"/>
    <w:rsid w:val="00B82ECE"/>
    <w:rsid w:val="00B86602"/>
    <w:rsid w:val="00B91F81"/>
    <w:rsid w:val="00B95D70"/>
    <w:rsid w:val="00BA7411"/>
    <w:rsid w:val="00BA788A"/>
    <w:rsid w:val="00BB0E98"/>
    <w:rsid w:val="00BB4120"/>
    <w:rsid w:val="00BB4983"/>
    <w:rsid w:val="00BB7597"/>
    <w:rsid w:val="00BC62E2"/>
    <w:rsid w:val="00BD5B9A"/>
    <w:rsid w:val="00BE4AC3"/>
    <w:rsid w:val="00BF56AC"/>
    <w:rsid w:val="00C21D03"/>
    <w:rsid w:val="00C25B9B"/>
    <w:rsid w:val="00C42125"/>
    <w:rsid w:val="00C47120"/>
    <w:rsid w:val="00C52462"/>
    <w:rsid w:val="00C557CE"/>
    <w:rsid w:val="00C62814"/>
    <w:rsid w:val="00C63F66"/>
    <w:rsid w:val="00C67B25"/>
    <w:rsid w:val="00C748F7"/>
    <w:rsid w:val="00C74937"/>
    <w:rsid w:val="00C95C71"/>
    <w:rsid w:val="00CA4050"/>
    <w:rsid w:val="00CB2599"/>
    <w:rsid w:val="00CC386F"/>
    <w:rsid w:val="00CD0B00"/>
    <w:rsid w:val="00CD2139"/>
    <w:rsid w:val="00CE46DE"/>
    <w:rsid w:val="00CE5986"/>
    <w:rsid w:val="00CE5E77"/>
    <w:rsid w:val="00D0000B"/>
    <w:rsid w:val="00D10A47"/>
    <w:rsid w:val="00D23F96"/>
    <w:rsid w:val="00D26477"/>
    <w:rsid w:val="00D3587B"/>
    <w:rsid w:val="00D4027E"/>
    <w:rsid w:val="00D519F7"/>
    <w:rsid w:val="00D56CC3"/>
    <w:rsid w:val="00D647EF"/>
    <w:rsid w:val="00D70826"/>
    <w:rsid w:val="00D73137"/>
    <w:rsid w:val="00D74130"/>
    <w:rsid w:val="00D83475"/>
    <w:rsid w:val="00D977A2"/>
    <w:rsid w:val="00DA1D47"/>
    <w:rsid w:val="00DA2632"/>
    <w:rsid w:val="00DA4466"/>
    <w:rsid w:val="00DB0706"/>
    <w:rsid w:val="00DB7B14"/>
    <w:rsid w:val="00DC5278"/>
    <w:rsid w:val="00DD50DE"/>
    <w:rsid w:val="00DE1204"/>
    <w:rsid w:val="00DE3062"/>
    <w:rsid w:val="00DF123C"/>
    <w:rsid w:val="00DF44A7"/>
    <w:rsid w:val="00DF4500"/>
    <w:rsid w:val="00E0581D"/>
    <w:rsid w:val="00E122A3"/>
    <w:rsid w:val="00E1590B"/>
    <w:rsid w:val="00E204DD"/>
    <w:rsid w:val="00E228B7"/>
    <w:rsid w:val="00E257CC"/>
    <w:rsid w:val="00E30CC1"/>
    <w:rsid w:val="00E353EC"/>
    <w:rsid w:val="00E51F61"/>
    <w:rsid w:val="00E533F0"/>
    <w:rsid w:val="00E53C24"/>
    <w:rsid w:val="00E56E77"/>
    <w:rsid w:val="00E858BC"/>
    <w:rsid w:val="00EA0BE7"/>
    <w:rsid w:val="00EA398E"/>
    <w:rsid w:val="00EB25B3"/>
    <w:rsid w:val="00EB444D"/>
    <w:rsid w:val="00EB5E19"/>
    <w:rsid w:val="00EC31BF"/>
    <w:rsid w:val="00ED1B45"/>
    <w:rsid w:val="00ED66CA"/>
    <w:rsid w:val="00EE10FB"/>
    <w:rsid w:val="00EE1A06"/>
    <w:rsid w:val="00EE5C0D"/>
    <w:rsid w:val="00EF4792"/>
    <w:rsid w:val="00EF4937"/>
    <w:rsid w:val="00EF76DC"/>
    <w:rsid w:val="00F02294"/>
    <w:rsid w:val="00F30DE7"/>
    <w:rsid w:val="00F31037"/>
    <w:rsid w:val="00F341C1"/>
    <w:rsid w:val="00F35F57"/>
    <w:rsid w:val="00F50467"/>
    <w:rsid w:val="00F52B86"/>
    <w:rsid w:val="00F562A0"/>
    <w:rsid w:val="00F57FA4"/>
    <w:rsid w:val="00F668D2"/>
    <w:rsid w:val="00F91FF0"/>
    <w:rsid w:val="00F9420D"/>
    <w:rsid w:val="00F9547A"/>
    <w:rsid w:val="00FA02CB"/>
    <w:rsid w:val="00FA2177"/>
    <w:rsid w:val="00FB0783"/>
    <w:rsid w:val="00FB618D"/>
    <w:rsid w:val="00FB7A8B"/>
    <w:rsid w:val="00FC2485"/>
    <w:rsid w:val="00FC42B8"/>
    <w:rsid w:val="00FC6E43"/>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rsid w:val="00720A40"/>
    <w:rPr>
      <w:rFonts w:ascii="Times New Roman" w:eastAsia="Times New Roman" w:hAnsi="Times New Roman" w:cs="Times New Roman"/>
      <w:sz w:val="24"/>
      <w:szCs w:val="20"/>
      <w:lang w:val="en-GB" w:eastAsia="en-US"/>
    </w:rPr>
  </w:style>
  <w:style w:type="paragraph" w:customStyle="1" w:styleId="Call">
    <w:name w:val="Call"/>
    <w:basedOn w:val="Normal"/>
    <w:next w:val="Normal"/>
    <w:link w:val="CallChar"/>
    <w:rsid w:val="00720A40"/>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720A40"/>
    <w:rPr>
      <w:rFonts w:ascii="Times New Roman" w:eastAsia="Times New Roman" w:hAnsi="Times New Roman" w:cs="Times New Roman"/>
      <w:i/>
      <w:szCs w:val="20"/>
      <w:lang w:val="fr-FR" w:eastAsia="en-US"/>
    </w:rPr>
  </w:style>
  <w:style w:type="paragraph" w:customStyle="1" w:styleId="ResNo">
    <w:name w:val="Res_No"/>
    <w:basedOn w:val="RecNo"/>
    <w:next w:val="Restitle"/>
    <w:link w:val="ResNoChar"/>
    <w:rsid w:val="00720A40"/>
    <w:pPr>
      <w:tabs>
        <w:tab w:val="clear" w:pos="794"/>
        <w:tab w:val="clear" w:pos="1191"/>
        <w:tab w:val="clear" w:pos="1588"/>
        <w:tab w:val="clear" w:pos="1985"/>
      </w:tabs>
      <w:spacing w:line="280" w:lineRule="exact"/>
      <w:jc w:val="center"/>
      <w:outlineLvl w:val="0"/>
    </w:pPr>
    <w:rPr>
      <w:rFonts w:eastAsia="Times New Roman"/>
      <w:b w:val="0"/>
      <w:caps/>
      <w:lang w:val="fr-FR" w:eastAsia="en-US"/>
    </w:rPr>
  </w:style>
  <w:style w:type="paragraph" w:customStyle="1" w:styleId="Restitle">
    <w:name w:val="Res_title"/>
    <w:basedOn w:val="Rectitle"/>
    <w:next w:val="Resref"/>
    <w:link w:val="RestitleChar"/>
    <w:rsid w:val="00720A40"/>
    <w:pPr>
      <w:outlineLvl w:val="0"/>
    </w:pPr>
    <w:rPr>
      <w:rFonts w:eastAsia="Times New Roman"/>
      <w:lang w:val="fr-FR" w:eastAsia="en-US"/>
    </w:rPr>
  </w:style>
  <w:style w:type="paragraph" w:customStyle="1" w:styleId="Resref">
    <w:name w:val="Res_ref"/>
    <w:basedOn w:val="Normal"/>
    <w:next w:val="Normal"/>
    <w:qFormat/>
    <w:rsid w:val="00720A40"/>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rsid w:val="00720A40"/>
    <w:rPr>
      <w:rFonts w:ascii="Times New Roman" w:eastAsia="Times New Roman" w:hAnsi="Times New Roman" w:cs="Times New Roman"/>
      <w:b/>
      <w:sz w:val="28"/>
      <w:szCs w:val="20"/>
      <w:lang w:val="fr-FR" w:eastAsia="en-US"/>
    </w:rPr>
  </w:style>
  <w:style w:type="character" w:customStyle="1" w:styleId="ResNoChar">
    <w:name w:val="Res_No Char"/>
    <w:link w:val="ResNo"/>
    <w:rsid w:val="00720A40"/>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720A40"/>
  </w:style>
  <w:style w:type="paragraph" w:customStyle="1" w:styleId="Normalaftertitle">
    <w:name w:val="Normal after title"/>
    <w:basedOn w:val="Normal"/>
    <w:next w:val="Normal"/>
    <w:link w:val="NormalaftertitleChar"/>
    <w:rsid w:val="00720A40"/>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720A40"/>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729-TD-GEN-066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12250</Characters>
  <Application>Microsoft Office Word</Application>
  <DocSecurity>4</DocSecurity>
  <Lines>102</Lines>
  <Paragraphs>28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2024-08-01T13:46:00Z</dcterms:created>
  <dcterms:modified xsi:type="dcterms:W3CDTF">2024-08-01T13:46:00Z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