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C2E21" w:rsidRPr="00BC2E21" w14:paraId="0E2A6124" w14:textId="77777777" w:rsidTr="00BC2E21">
        <w:trPr>
          <w:cantSplit/>
        </w:trPr>
        <w:tc>
          <w:tcPr>
            <w:tcW w:w="1132" w:type="dxa"/>
            <w:vMerge w:val="restart"/>
            <w:vAlign w:val="center"/>
          </w:tcPr>
          <w:p w14:paraId="118D7EC2" w14:textId="77777777" w:rsidR="00BC2E21" w:rsidRPr="00BC2E21" w:rsidRDefault="00BC2E21" w:rsidP="00BC2E21">
            <w:pPr>
              <w:spacing w:before="0"/>
              <w:jc w:val="center"/>
              <w:rPr>
                <w:sz w:val="20"/>
                <w:szCs w:val="20"/>
              </w:rPr>
            </w:pPr>
            <w:bookmarkStart w:id="0" w:name="dnum" w:colFirst="2" w:colLast="2"/>
            <w:bookmarkStart w:id="1" w:name="dtableau"/>
            <w:r w:rsidRPr="00BC2E21">
              <w:rPr>
                <w:noProof/>
              </w:rPr>
              <w:drawing>
                <wp:inline distT="0" distB="0" distL="0" distR="0" wp14:anchorId="6DD03E88" wp14:editId="68FBDC4B">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C44A08E" w14:textId="77777777" w:rsidR="00BC2E21" w:rsidRPr="00BC2E21" w:rsidRDefault="00BC2E21" w:rsidP="00BC2E21">
            <w:pPr>
              <w:rPr>
                <w:sz w:val="16"/>
                <w:szCs w:val="16"/>
              </w:rPr>
            </w:pPr>
            <w:r w:rsidRPr="00BC2E21">
              <w:rPr>
                <w:sz w:val="16"/>
                <w:szCs w:val="16"/>
              </w:rPr>
              <w:t>INTERNATIONAL TELECOMMUNICATION UNION</w:t>
            </w:r>
          </w:p>
          <w:p w14:paraId="6FD05DBF" w14:textId="77777777" w:rsidR="00BC2E21" w:rsidRPr="00BC2E21" w:rsidRDefault="00BC2E21" w:rsidP="00BC2E21">
            <w:pPr>
              <w:rPr>
                <w:b/>
                <w:bCs/>
                <w:sz w:val="26"/>
                <w:szCs w:val="26"/>
              </w:rPr>
            </w:pPr>
            <w:r w:rsidRPr="00BC2E21">
              <w:rPr>
                <w:b/>
                <w:bCs/>
                <w:sz w:val="26"/>
                <w:szCs w:val="26"/>
              </w:rPr>
              <w:t>TELECOMMUNICATION</w:t>
            </w:r>
            <w:r w:rsidRPr="00BC2E21">
              <w:rPr>
                <w:b/>
                <w:bCs/>
                <w:sz w:val="26"/>
                <w:szCs w:val="26"/>
              </w:rPr>
              <w:br/>
              <w:t>STANDARDIZATION SECTOR</w:t>
            </w:r>
          </w:p>
          <w:p w14:paraId="27A95376" w14:textId="77777777" w:rsidR="00BC2E21" w:rsidRPr="00BC2E21" w:rsidRDefault="00BC2E21" w:rsidP="00BC2E21">
            <w:pPr>
              <w:rPr>
                <w:sz w:val="20"/>
                <w:szCs w:val="20"/>
              </w:rPr>
            </w:pPr>
            <w:r w:rsidRPr="00BC2E21">
              <w:rPr>
                <w:sz w:val="20"/>
                <w:szCs w:val="20"/>
              </w:rPr>
              <w:t xml:space="preserve">STUDY PERIOD </w:t>
            </w:r>
            <w:bookmarkStart w:id="2" w:name="dstudyperiod"/>
            <w:r w:rsidRPr="00BC2E21">
              <w:rPr>
                <w:sz w:val="20"/>
              </w:rPr>
              <w:t>2022</w:t>
            </w:r>
            <w:r w:rsidRPr="00BC2E21">
              <w:rPr>
                <w:sz w:val="20"/>
                <w:szCs w:val="20"/>
              </w:rPr>
              <w:t>-</w:t>
            </w:r>
            <w:r w:rsidRPr="00BC2E21">
              <w:rPr>
                <w:sz w:val="20"/>
              </w:rPr>
              <w:t>2024</w:t>
            </w:r>
            <w:bookmarkEnd w:id="2"/>
          </w:p>
        </w:tc>
        <w:tc>
          <w:tcPr>
            <w:tcW w:w="4026" w:type="dxa"/>
            <w:vAlign w:val="center"/>
          </w:tcPr>
          <w:p w14:paraId="25F39F13" w14:textId="5CC0C4FE" w:rsidR="00BC2E21" w:rsidRPr="00BC2E21" w:rsidRDefault="00BC2E21" w:rsidP="00BC2E21">
            <w:pPr>
              <w:pStyle w:val="Docnumber"/>
            </w:pPr>
            <w:r>
              <w:t>TSAG-TD</w:t>
            </w:r>
            <w:r w:rsidR="00DF76BC">
              <w:t>656</w:t>
            </w:r>
          </w:p>
        </w:tc>
      </w:tr>
      <w:tr w:rsidR="00BC2E21" w:rsidRPr="00BC2E21" w14:paraId="0E568658" w14:textId="77777777" w:rsidTr="00BC2E21">
        <w:trPr>
          <w:cantSplit/>
        </w:trPr>
        <w:tc>
          <w:tcPr>
            <w:tcW w:w="1132" w:type="dxa"/>
            <w:vMerge/>
          </w:tcPr>
          <w:p w14:paraId="0ADD4F43" w14:textId="77777777" w:rsidR="00BC2E21" w:rsidRPr="00BC2E21" w:rsidRDefault="00BC2E21" w:rsidP="00BC2E21">
            <w:pPr>
              <w:rPr>
                <w:smallCaps/>
                <w:sz w:val="20"/>
              </w:rPr>
            </w:pPr>
            <w:bookmarkStart w:id="3" w:name="dsg" w:colFirst="2" w:colLast="2"/>
            <w:bookmarkEnd w:id="0"/>
          </w:p>
        </w:tc>
        <w:tc>
          <w:tcPr>
            <w:tcW w:w="4481" w:type="dxa"/>
            <w:gridSpan w:val="2"/>
            <w:vMerge/>
          </w:tcPr>
          <w:p w14:paraId="6736851E" w14:textId="77777777" w:rsidR="00BC2E21" w:rsidRPr="00BC2E21" w:rsidRDefault="00BC2E21" w:rsidP="00BC2E21">
            <w:pPr>
              <w:rPr>
                <w:smallCaps/>
                <w:sz w:val="20"/>
              </w:rPr>
            </w:pPr>
          </w:p>
        </w:tc>
        <w:tc>
          <w:tcPr>
            <w:tcW w:w="4026" w:type="dxa"/>
          </w:tcPr>
          <w:p w14:paraId="319DD08D" w14:textId="007187F3" w:rsidR="00BC2E21" w:rsidRPr="00BC2E21" w:rsidRDefault="00BC2E21" w:rsidP="00BC2E21">
            <w:pPr>
              <w:pStyle w:val="TSBHeaderRight14"/>
              <w:rPr>
                <w:smallCaps/>
              </w:rPr>
            </w:pPr>
            <w:r>
              <w:rPr>
                <w:smallCaps/>
              </w:rPr>
              <w:t>TSAG</w:t>
            </w:r>
          </w:p>
        </w:tc>
      </w:tr>
      <w:bookmarkEnd w:id="3"/>
      <w:tr w:rsidR="00BC2E21" w:rsidRPr="00BC2E21" w14:paraId="6F5A4683" w14:textId="77777777" w:rsidTr="00BC2E21">
        <w:trPr>
          <w:cantSplit/>
        </w:trPr>
        <w:tc>
          <w:tcPr>
            <w:tcW w:w="1132" w:type="dxa"/>
            <w:vMerge/>
            <w:tcBorders>
              <w:bottom w:val="single" w:sz="12" w:space="0" w:color="auto"/>
            </w:tcBorders>
          </w:tcPr>
          <w:p w14:paraId="286C9EA2" w14:textId="77777777" w:rsidR="00BC2E21" w:rsidRPr="00BC2E21" w:rsidRDefault="00BC2E21" w:rsidP="00BC2E21">
            <w:pPr>
              <w:rPr>
                <w:b/>
                <w:bCs/>
                <w:sz w:val="26"/>
              </w:rPr>
            </w:pPr>
          </w:p>
        </w:tc>
        <w:tc>
          <w:tcPr>
            <w:tcW w:w="4481" w:type="dxa"/>
            <w:gridSpan w:val="2"/>
            <w:vMerge/>
            <w:tcBorders>
              <w:bottom w:val="single" w:sz="12" w:space="0" w:color="auto"/>
            </w:tcBorders>
          </w:tcPr>
          <w:p w14:paraId="6A0E7D53" w14:textId="77777777" w:rsidR="00BC2E21" w:rsidRPr="00BC2E21" w:rsidRDefault="00BC2E21" w:rsidP="00BC2E21">
            <w:pPr>
              <w:rPr>
                <w:b/>
                <w:bCs/>
                <w:sz w:val="26"/>
              </w:rPr>
            </w:pPr>
          </w:p>
        </w:tc>
        <w:tc>
          <w:tcPr>
            <w:tcW w:w="4026" w:type="dxa"/>
            <w:tcBorders>
              <w:bottom w:val="single" w:sz="12" w:space="0" w:color="auto"/>
            </w:tcBorders>
            <w:vAlign w:val="center"/>
          </w:tcPr>
          <w:p w14:paraId="48EAB623" w14:textId="77777777" w:rsidR="00BC2E21" w:rsidRPr="00BC2E21" w:rsidRDefault="00BC2E21" w:rsidP="00BC2E21">
            <w:pPr>
              <w:pStyle w:val="TSBHeaderRight14"/>
            </w:pPr>
            <w:r w:rsidRPr="00BC2E21">
              <w:t>Original: English</w:t>
            </w:r>
          </w:p>
        </w:tc>
      </w:tr>
      <w:tr w:rsidR="00BC2E21" w:rsidRPr="00BC2E21" w14:paraId="2FCA75FC" w14:textId="77777777" w:rsidTr="00BC2E21">
        <w:trPr>
          <w:cantSplit/>
        </w:trPr>
        <w:tc>
          <w:tcPr>
            <w:tcW w:w="1587" w:type="dxa"/>
            <w:gridSpan w:val="2"/>
          </w:tcPr>
          <w:p w14:paraId="754FFBB5" w14:textId="77777777" w:rsidR="00BC2E21" w:rsidRPr="00BC2E21" w:rsidRDefault="00BC2E21" w:rsidP="00BC2E21">
            <w:pPr>
              <w:rPr>
                <w:b/>
                <w:bCs/>
              </w:rPr>
            </w:pPr>
            <w:bookmarkStart w:id="4" w:name="dbluepink" w:colFirst="1" w:colLast="1"/>
            <w:bookmarkStart w:id="5" w:name="dmeeting" w:colFirst="2" w:colLast="2"/>
            <w:r w:rsidRPr="00BC2E21">
              <w:rPr>
                <w:b/>
                <w:bCs/>
              </w:rPr>
              <w:t>Question(s):</w:t>
            </w:r>
          </w:p>
        </w:tc>
        <w:tc>
          <w:tcPr>
            <w:tcW w:w="4026" w:type="dxa"/>
          </w:tcPr>
          <w:p w14:paraId="18785328" w14:textId="278AD7E5" w:rsidR="00BC2E21" w:rsidRPr="00BC2E21" w:rsidRDefault="00BC2E21" w:rsidP="00BC2E21">
            <w:pPr>
              <w:pStyle w:val="TSBHeaderQuestion"/>
            </w:pPr>
            <w:r w:rsidRPr="00BC2E21">
              <w:t>N/A</w:t>
            </w:r>
          </w:p>
        </w:tc>
        <w:tc>
          <w:tcPr>
            <w:tcW w:w="4026" w:type="dxa"/>
          </w:tcPr>
          <w:p w14:paraId="5B1AD782" w14:textId="14892C38" w:rsidR="00BC2E21" w:rsidRPr="00BC2E21" w:rsidRDefault="00BC2E21" w:rsidP="00BC2E21">
            <w:pPr>
              <w:pStyle w:val="VenueDate"/>
            </w:pPr>
            <w:r w:rsidRPr="00BC2E21">
              <w:t>Geneva, 29 July – 2 August 2024</w:t>
            </w:r>
          </w:p>
        </w:tc>
      </w:tr>
      <w:tr w:rsidR="00BC2E21" w:rsidRPr="00BC2E21" w14:paraId="49ECC495" w14:textId="77777777" w:rsidTr="005F7827">
        <w:trPr>
          <w:cantSplit/>
        </w:trPr>
        <w:tc>
          <w:tcPr>
            <w:tcW w:w="9639" w:type="dxa"/>
            <w:gridSpan w:val="4"/>
          </w:tcPr>
          <w:p w14:paraId="051D23A3" w14:textId="5FD88E42" w:rsidR="00BC2E21" w:rsidRPr="00BC2E21" w:rsidRDefault="00BC2E21" w:rsidP="00BC2E21">
            <w:pPr>
              <w:jc w:val="center"/>
              <w:rPr>
                <w:b/>
                <w:bCs/>
              </w:rPr>
            </w:pPr>
            <w:bookmarkStart w:id="6" w:name="ddoctype"/>
            <w:bookmarkEnd w:id="4"/>
            <w:bookmarkEnd w:id="5"/>
            <w:r w:rsidRPr="00BC2E21">
              <w:rPr>
                <w:b/>
                <w:bCs/>
              </w:rPr>
              <w:t>TD</w:t>
            </w:r>
          </w:p>
        </w:tc>
      </w:tr>
      <w:tr w:rsidR="00BC2E21" w:rsidRPr="00BC2E21" w14:paraId="1A2ED65B" w14:textId="77777777" w:rsidTr="00BC2E21">
        <w:trPr>
          <w:cantSplit/>
        </w:trPr>
        <w:tc>
          <w:tcPr>
            <w:tcW w:w="1587" w:type="dxa"/>
            <w:gridSpan w:val="2"/>
          </w:tcPr>
          <w:p w14:paraId="1B3E73F4" w14:textId="77777777" w:rsidR="00BC2E21" w:rsidRPr="00BC2E21" w:rsidRDefault="00BC2E21" w:rsidP="00BC2E21">
            <w:pPr>
              <w:rPr>
                <w:b/>
                <w:bCs/>
              </w:rPr>
            </w:pPr>
            <w:bookmarkStart w:id="7" w:name="dsource" w:colFirst="1" w:colLast="1"/>
            <w:bookmarkEnd w:id="6"/>
            <w:r w:rsidRPr="00BC2E21">
              <w:rPr>
                <w:b/>
                <w:bCs/>
              </w:rPr>
              <w:t>Source:</w:t>
            </w:r>
          </w:p>
        </w:tc>
        <w:tc>
          <w:tcPr>
            <w:tcW w:w="8052" w:type="dxa"/>
            <w:gridSpan w:val="2"/>
          </w:tcPr>
          <w:p w14:paraId="45F319BA" w14:textId="6D722F21" w:rsidR="00BC2E21" w:rsidRPr="00BC2E21" w:rsidRDefault="00BC2E21" w:rsidP="00BC2E21">
            <w:pPr>
              <w:pStyle w:val="TSBHeaderSource"/>
            </w:pPr>
            <w:r w:rsidRPr="00BC2E21">
              <w:t>TSB</w:t>
            </w:r>
          </w:p>
        </w:tc>
      </w:tr>
      <w:tr w:rsidR="00BC2E21" w:rsidRPr="00BC2E21" w14:paraId="547D8125" w14:textId="77777777" w:rsidTr="00BC2E21">
        <w:trPr>
          <w:cantSplit/>
        </w:trPr>
        <w:tc>
          <w:tcPr>
            <w:tcW w:w="1587" w:type="dxa"/>
            <w:gridSpan w:val="2"/>
            <w:tcBorders>
              <w:bottom w:val="single" w:sz="8" w:space="0" w:color="auto"/>
            </w:tcBorders>
          </w:tcPr>
          <w:p w14:paraId="11E2161C" w14:textId="77777777" w:rsidR="00BC2E21" w:rsidRPr="00BC2E21" w:rsidRDefault="00BC2E21" w:rsidP="00BC2E21">
            <w:pPr>
              <w:rPr>
                <w:b/>
                <w:bCs/>
              </w:rPr>
            </w:pPr>
            <w:bookmarkStart w:id="8" w:name="dtitle1" w:colFirst="1" w:colLast="1"/>
            <w:bookmarkEnd w:id="7"/>
            <w:r w:rsidRPr="00BC2E21">
              <w:rPr>
                <w:b/>
                <w:bCs/>
              </w:rPr>
              <w:t>Title:</w:t>
            </w:r>
          </w:p>
        </w:tc>
        <w:tc>
          <w:tcPr>
            <w:tcW w:w="8052" w:type="dxa"/>
            <w:gridSpan w:val="2"/>
            <w:tcBorders>
              <w:bottom w:val="single" w:sz="8" w:space="0" w:color="auto"/>
            </w:tcBorders>
          </w:tcPr>
          <w:p w14:paraId="2976FABA" w14:textId="5086F1D2" w:rsidR="00BC2E21" w:rsidRPr="00BC2E21" w:rsidRDefault="00BC2E21" w:rsidP="00BC2E21">
            <w:pPr>
              <w:pStyle w:val="TSBHeaderTitle"/>
            </w:pPr>
            <w:r w:rsidRPr="00BC2E21">
              <w:t>UNGA Resolution 78/287 “International Year of Quantum Science and Technology, 2025”</w:t>
            </w:r>
          </w:p>
        </w:tc>
      </w:tr>
      <w:tr w:rsidR="00DC4F9B" w:rsidRPr="00DF76BC" w14:paraId="44575018" w14:textId="77777777" w:rsidTr="001E58A2">
        <w:trPr>
          <w:cantSplit/>
          <w:trHeight w:val="248"/>
        </w:trPr>
        <w:tc>
          <w:tcPr>
            <w:tcW w:w="1587" w:type="dxa"/>
            <w:gridSpan w:val="2"/>
            <w:tcBorders>
              <w:top w:val="single" w:sz="8" w:space="0" w:color="auto"/>
              <w:bottom w:val="single" w:sz="8" w:space="0" w:color="auto"/>
            </w:tcBorders>
          </w:tcPr>
          <w:p w14:paraId="571BDB03" w14:textId="77777777" w:rsidR="00DC4F9B" w:rsidRPr="002B5717" w:rsidRDefault="00DC4F9B" w:rsidP="00DC4F9B">
            <w:pPr>
              <w:rPr>
                <w:b/>
                <w:bCs/>
              </w:rPr>
            </w:pPr>
            <w:bookmarkStart w:id="9" w:name="dcontact"/>
            <w:bookmarkStart w:id="10" w:name="dcontact1"/>
            <w:bookmarkStart w:id="11" w:name="dcontent1" w:colFirst="1" w:colLast="1"/>
            <w:bookmarkStart w:id="12" w:name="_Hlk98768222"/>
            <w:bookmarkEnd w:id="1"/>
            <w:bookmarkEnd w:id="8"/>
            <w:r w:rsidRPr="002B5717">
              <w:rPr>
                <w:b/>
                <w:bCs/>
              </w:rPr>
              <w:t>Contact:</w:t>
            </w:r>
          </w:p>
        </w:tc>
        <w:tc>
          <w:tcPr>
            <w:tcW w:w="4026" w:type="dxa"/>
            <w:tcBorders>
              <w:top w:val="single" w:sz="8" w:space="0" w:color="auto"/>
              <w:bottom w:val="single" w:sz="8" w:space="0" w:color="auto"/>
            </w:tcBorders>
          </w:tcPr>
          <w:p w14:paraId="5F1C4B58" w14:textId="5DB50359" w:rsidR="00B74C81" w:rsidRPr="002B5717" w:rsidRDefault="00126B22" w:rsidP="00DC4F9B">
            <w:r>
              <w:t>Gillian Makamara</w:t>
            </w:r>
          </w:p>
          <w:p w14:paraId="62ADEF8F" w14:textId="7A7ACB19" w:rsidR="00DC4F9B" w:rsidRPr="002B5717" w:rsidRDefault="00DC4F9B" w:rsidP="00B74C81">
            <w:pPr>
              <w:spacing w:before="0"/>
            </w:pPr>
            <w:r w:rsidRPr="002B5717">
              <w:t>TSB</w:t>
            </w:r>
            <w:r w:rsidR="008741D8" w:rsidRPr="002B5717">
              <w:t>;</w:t>
            </w:r>
            <w:r w:rsidR="00FD2D61" w:rsidRPr="002B5717">
              <w:t xml:space="preserve"> ITU Focal Point </w:t>
            </w:r>
            <w:r w:rsidR="00BC2E21">
              <w:t>for the</w:t>
            </w:r>
            <w:r w:rsidR="00FD2D61" w:rsidRPr="002B5717">
              <w:t xml:space="preserve"> </w:t>
            </w:r>
            <w:r w:rsidR="00BC2E21" w:rsidRPr="00DC2E2A">
              <w:t>International Year of Quantum Science and Technology</w:t>
            </w:r>
          </w:p>
        </w:tc>
        <w:tc>
          <w:tcPr>
            <w:tcW w:w="4026" w:type="dxa"/>
            <w:tcBorders>
              <w:top w:val="single" w:sz="8" w:space="0" w:color="auto"/>
              <w:bottom w:val="single" w:sz="8" w:space="0" w:color="auto"/>
            </w:tcBorders>
          </w:tcPr>
          <w:p w14:paraId="45CC2940" w14:textId="2909F0C6" w:rsidR="00DC4F9B" w:rsidRPr="002B5717" w:rsidRDefault="00DC4F9B" w:rsidP="00126B22">
            <w:pPr>
              <w:tabs>
                <w:tab w:val="left" w:pos="794"/>
              </w:tabs>
              <w:rPr>
                <w:lang w:val="de-DE"/>
              </w:rPr>
            </w:pPr>
            <w:r w:rsidRPr="002B5717">
              <w:rPr>
                <w:lang w:val="de-DE"/>
              </w:rPr>
              <w:t>E</w:t>
            </w:r>
            <w:r w:rsidR="00F618F6" w:rsidRPr="002B5717">
              <w:rPr>
                <w:lang w:val="de-DE"/>
              </w:rPr>
              <w:t>-</w:t>
            </w:r>
            <w:r w:rsidRPr="002B5717">
              <w:rPr>
                <w:lang w:val="de-DE"/>
              </w:rPr>
              <w:t>mail:</w:t>
            </w:r>
            <w:r w:rsidR="00126B22">
              <w:rPr>
                <w:lang w:val="de-DE"/>
              </w:rPr>
              <w:t xml:space="preserve"> </w:t>
            </w:r>
            <w:hyperlink r:id="rId12" w:history="1">
              <w:r w:rsidR="00126B22" w:rsidRPr="00FE5A26">
                <w:rPr>
                  <w:rStyle w:val="Hyperlink"/>
                  <w:lang w:val="de-DE"/>
                </w:rPr>
                <w:t>gillian.makamara@itu.int</w:t>
              </w:r>
            </w:hyperlink>
            <w:r w:rsidR="00126B22">
              <w:rPr>
                <w:lang w:val="de-DE"/>
              </w:rPr>
              <w:t xml:space="preserve"> </w:t>
            </w:r>
            <w:r w:rsidR="000D7088" w:rsidRPr="002B5717">
              <w:rPr>
                <w:lang w:val="de-DE"/>
              </w:rPr>
              <w:t xml:space="preserve">  </w:t>
            </w:r>
          </w:p>
        </w:tc>
      </w:tr>
      <w:bookmarkEnd w:id="9"/>
      <w:bookmarkEnd w:id="10"/>
      <w:bookmarkEnd w:id="11"/>
    </w:tbl>
    <w:p w14:paraId="001CA3C9" w14:textId="77777777" w:rsidR="00DB0706" w:rsidRPr="002B5717"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2B5717" w14:paraId="101F633C" w14:textId="77777777" w:rsidTr="004646F1">
        <w:trPr>
          <w:cantSplit/>
        </w:trPr>
        <w:tc>
          <w:tcPr>
            <w:tcW w:w="1588" w:type="dxa"/>
          </w:tcPr>
          <w:p w14:paraId="65C41448" w14:textId="77777777" w:rsidR="0089088E" w:rsidRPr="002B5717" w:rsidRDefault="0089088E" w:rsidP="005976A1">
            <w:pPr>
              <w:rPr>
                <w:b/>
                <w:bCs/>
              </w:rPr>
            </w:pPr>
            <w:r w:rsidRPr="002B5717">
              <w:rPr>
                <w:b/>
                <w:bCs/>
              </w:rPr>
              <w:t>Abstract:</w:t>
            </w:r>
          </w:p>
        </w:tc>
        <w:tc>
          <w:tcPr>
            <w:tcW w:w="8051" w:type="dxa"/>
          </w:tcPr>
          <w:p w14:paraId="2E4B0C30" w14:textId="091F7E08" w:rsidR="00A94584" w:rsidRPr="003F51BE" w:rsidRDefault="00DC4F9B" w:rsidP="003F51BE">
            <w:pPr>
              <w:pStyle w:val="TSBHeaderSummary"/>
            </w:pPr>
            <w:r w:rsidRPr="002B5717">
              <w:t xml:space="preserve">This TD </w:t>
            </w:r>
            <w:r w:rsidR="001E58A2" w:rsidRPr="002B5717">
              <w:t xml:space="preserve">contains information on </w:t>
            </w:r>
            <w:r w:rsidR="00C87C4D" w:rsidRPr="002B5717">
              <w:t xml:space="preserve">the </w:t>
            </w:r>
            <w:r w:rsidR="00263D2D">
              <w:t>International Year of Quantum Science and Technology, 2025</w:t>
            </w:r>
            <w:r w:rsidR="0029459A" w:rsidRPr="002B5717">
              <w:t>.</w:t>
            </w:r>
          </w:p>
        </w:tc>
      </w:tr>
    </w:tbl>
    <w:bookmarkEnd w:id="12"/>
    <w:p w14:paraId="093A49DB" w14:textId="1C664C2A" w:rsidR="00126B22" w:rsidRDefault="00C12E12" w:rsidP="00DC2E2A">
      <w:pPr>
        <w:jc w:val="both"/>
      </w:pPr>
      <w:r w:rsidRPr="00DC2E2A">
        <w:t>2025 marks the 100th anniversary of the development of quantum mechanics</w:t>
      </w:r>
      <w:r>
        <w:t xml:space="preserve"> and o</w:t>
      </w:r>
      <w:r w:rsidR="00DC2E2A" w:rsidRPr="00DC2E2A">
        <w:t xml:space="preserve">n 7 June 2024, the UN General Assembly declared </w:t>
      </w:r>
      <w:r w:rsidR="00BC2E21">
        <w:t>it</w:t>
      </w:r>
      <w:r w:rsidR="00DC2E2A" w:rsidRPr="00DC2E2A">
        <w:t xml:space="preserve"> as the International Year of Quantum Science and Technology (IYQ)</w:t>
      </w:r>
      <w:r w:rsidR="00126B22">
        <w:t xml:space="preserve"> in </w:t>
      </w:r>
      <w:hyperlink r:id="rId13" w:history="1">
        <w:r w:rsidR="00126B22" w:rsidRPr="00126B22">
          <w:rPr>
            <w:rStyle w:val="Hyperlink"/>
          </w:rPr>
          <w:t>UNGA Resolution 78/287</w:t>
        </w:r>
      </w:hyperlink>
      <w:r w:rsidR="00DC2E2A">
        <w:t>.</w:t>
      </w:r>
      <w:r w:rsidR="00DC2E2A" w:rsidRPr="00DC2E2A">
        <w:t xml:space="preserve"> </w:t>
      </w:r>
    </w:p>
    <w:p w14:paraId="13B6AC2F" w14:textId="34786152" w:rsidR="00DC2E2A" w:rsidRPr="00DC2E2A" w:rsidRDefault="00DC2E2A" w:rsidP="00DC2E2A">
      <w:pPr>
        <w:jc w:val="both"/>
      </w:pPr>
      <w:r w:rsidRPr="00DC2E2A">
        <w:t xml:space="preserve">Key points of </w:t>
      </w:r>
      <w:r w:rsidR="00126B22">
        <w:t>the</w:t>
      </w:r>
      <w:r w:rsidRPr="00DC2E2A">
        <w:t xml:space="preserve"> Resolution:</w:t>
      </w:r>
    </w:p>
    <w:p w14:paraId="765821E3" w14:textId="29064F4F" w:rsidR="00DC2E2A" w:rsidRPr="00DC2E2A" w:rsidRDefault="00126B22" w:rsidP="00126B22">
      <w:pPr>
        <w:ind w:left="720" w:hanging="720"/>
        <w:jc w:val="both"/>
      </w:pPr>
      <w:r>
        <w:t>–</w:t>
      </w:r>
      <w:r>
        <w:tab/>
      </w:r>
      <w:r w:rsidR="00DC2E2A" w:rsidRPr="00126B22">
        <w:rPr>
          <w:b/>
          <w:bCs/>
        </w:rPr>
        <w:t>Proclamation:</w:t>
      </w:r>
      <w:r w:rsidR="00DC2E2A" w:rsidRPr="00DC2E2A">
        <w:t xml:space="preserve"> 2025 is designated as the International Year of Quantum Science and Technology</w:t>
      </w:r>
    </w:p>
    <w:p w14:paraId="5D146B68" w14:textId="2A97BDBF" w:rsidR="00DC2E2A" w:rsidRPr="00DC2E2A" w:rsidRDefault="00126B22" w:rsidP="00126B22">
      <w:pPr>
        <w:jc w:val="both"/>
      </w:pPr>
      <w:r>
        <w:t>–</w:t>
      </w:r>
      <w:r>
        <w:tab/>
      </w:r>
      <w:r w:rsidR="00DC2E2A" w:rsidRPr="00126B22">
        <w:rPr>
          <w:b/>
          <w:bCs/>
        </w:rPr>
        <w:t>Lead agency:</w:t>
      </w:r>
      <w:r w:rsidR="00DC2E2A" w:rsidRPr="00DC2E2A">
        <w:t xml:space="preserve"> UNESCO</w:t>
      </w:r>
    </w:p>
    <w:p w14:paraId="1799D677" w14:textId="736DDC38" w:rsidR="00DC2E2A" w:rsidRDefault="00126B22" w:rsidP="00126B22">
      <w:pPr>
        <w:ind w:left="720" w:hanging="720"/>
        <w:jc w:val="both"/>
      </w:pPr>
      <w:r>
        <w:t>–</w:t>
      </w:r>
      <w:r>
        <w:tab/>
      </w:r>
      <w:r w:rsidR="00DC2E2A" w:rsidRPr="00126B22">
        <w:rPr>
          <w:b/>
          <w:bCs/>
        </w:rPr>
        <w:t>Objectives:</w:t>
      </w:r>
      <w:r w:rsidR="00DC2E2A" w:rsidRPr="00DC2E2A">
        <w:t xml:space="preserve"> Increasing public awareness on the importance of quantum science and its applications; enhancing scientific cooperation among research institutions, researchers and innovators in quantum science and technology; and ensuring a focus on the application of quantum science and technology for sustainable development</w:t>
      </w:r>
    </w:p>
    <w:p w14:paraId="7BD3B0D8" w14:textId="78EC0E00" w:rsidR="00670DE1" w:rsidRPr="00DC2E2A" w:rsidRDefault="00126B22" w:rsidP="00126B22">
      <w:pPr>
        <w:ind w:left="720" w:hanging="720"/>
        <w:jc w:val="both"/>
      </w:pPr>
      <w:r>
        <w:t>–</w:t>
      </w:r>
      <w:r>
        <w:tab/>
      </w:r>
      <w:r w:rsidR="00670DE1" w:rsidRPr="00126B22">
        <w:rPr>
          <w:b/>
          <w:bCs/>
        </w:rPr>
        <w:t>Participation:</w:t>
      </w:r>
      <w:r w:rsidR="00670DE1" w:rsidRPr="00DC2E2A">
        <w:t xml:space="preserve"> UN Member States, UN specialized agencies and their members, observers of the General Assembly, organizations within the UN system, other international and regional organizations, academia, civil society, the private sector and other relevant stakeholders are encouraged to observe 2025 as the IYQ</w:t>
      </w:r>
    </w:p>
    <w:p w14:paraId="5F98D6DF" w14:textId="77777777" w:rsidR="00C12E12" w:rsidRDefault="00DC2E2A" w:rsidP="00C12E12">
      <w:pPr>
        <w:jc w:val="both"/>
        <w:rPr>
          <w:sz w:val="20"/>
          <w:szCs w:val="20"/>
        </w:rPr>
      </w:pPr>
      <w:r w:rsidRPr="00670DE1">
        <w:rPr>
          <w:sz w:val="20"/>
          <w:szCs w:val="20"/>
        </w:rPr>
        <w:t xml:space="preserve">NOTE: </w:t>
      </w:r>
      <w:r w:rsidR="00C12E12">
        <w:rPr>
          <w:sz w:val="20"/>
          <w:szCs w:val="20"/>
        </w:rPr>
        <w:t>This</w:t>
      </w:r>
      <w:r w:rsidRPr="00670DE1">
        <w:rPr>
          <w:sz w:val="20"/>
          <w:szCs w:val="20"/>
        </w:rPr>
        <w:t xml:space="preserve"> follows past UNESCO recognition of scientific fields e.g., the International Year of Light and Light-based Technologies (2015).</w:t>
      </w:r>
    </w:p>
    <w:p w14:paraId="643ADC46" w14:textId="7785F707" w:rsidR="00C12E12" w:rsidRDefault="00C12E12" w:rsidP="00126B22">
      <w:pPr>
        <w:spacing w:before="240" w:after="80"/>
        <w:rPr>
          <w:b/>
          <w:bCs/>
        </w:rPr>
      </w:pPr>
      <w:r>
        <w:rPr>
          <w:b/>
          <w:bCs/>
        </w:rPr>
        <w:t>Implementation</w:t>
      </w:r>
      <w:r w:rsidR="00126B22">
        <w:rPr>
          <w:b/>
          <w:bCs/>
        </w:rPr>
        <w:t xml:space="preserve"> and sponsorship</w:t>
      </w:r>
      <w:r w:rsidRPr="00DC2E2A">
        <w:rPr>
          <w:b/>
          <w:bCs/>
        </w:rPr>
        <w:t>:</w:t>
      </w:r>
    </w:p>
    <w:p w14:paraId="1C8383BA" w14:textId="661E9F12" w:rsidR="00C12E12" w:rsidRDefault="00DC2E2A" w:rsidP="00C12E12">
      <w:pPr>
        <w:jc w:val="both"/>
      </w:pPr>
      <w:r w:rsidRPr="00DC2E2A">
        <w:t>The IYQ will be executed through two tracks:</w:t>
      </w:r>
    </w:p>
    <w:p w14:paraId="0910162D" w14:textId="3C55ED1B" w:rsidR="00C12E12" w:rsidRDefault="00263D2D" w:rsidP="00263D2D">
      <w:pPr>
        <w:ind w:left="714" w:hanging="714"/>
        <w:jc w:val="both"/>
      </w:pPr>
      <w:r>
        <w:t>–</w:t>
      </w:r>
      <w:r>
        <w:tab/>
      </w:r>
      <w:r>
        <w:tab/>
      </w:r>
      <w:r w:rsidR="00DC2E2A" w:rsidRPr="00263D2D">
        <w:rPr>
          <w:b/>
          <w:bCs/>
        </w:rPr>
        <w:t>Global activities/events:</w:t>
      </w:r>
      <w:r w:rsidR="00DC2E2A" w:rsidRPr="00DC2E2A">
        <w:t xml:space="preserve"> Organized by the Steering Committee, these include </w:t>
      </w:r>
      <w:r w:rsidR="00670DE1">
        <w:t>the</w:t>
      </w:r>
      <w:r w:rsidR="00DC2E2A" w:rsidRPr="00DC2E2A">
        <w:t xml:space="preserve"> opening</w:t>
      </w:r>
      <w:r w:rsidR="00670DE1">
        <w:t xml:space="preserve"> and </w:t>
      </w:r>
      <w:r w:rsidR="00DC2E2A" w:rsidRPr="00DC2E2A">
        <w:t>closing ceremonies and other flagship events (TBD).</w:t>
      </w:r>
      <w:r w:rsidR="00C12E12">
        <w:t xml:space="preserve"> </w:t>
      </w:r>
    </w:p>
    <w:p w14:paraId="51174123" w14:textId="2E74D0EA" w:rsidR="00C12E12" w:rsidRDefault="00263D2D" w:rsidP="00263D2D">
      <w:pPr>
        <w:ind w:left="714" w:hanging="714"/>
        <w:jc w:val="both"/>
      </w:pPr>
      <w:r>
        <w:t>–</w:t>
      </w:r>
      <w:r>
        <w:tab/>
      </w:r>
      <w:r w:rsidR="00DC2E2A" w:rsidRPr="00263D2D">
        <w:rPr>
          <w:b/>
          <w:bCs/>
        </w:rPr>
        <w:t>Independent activities:</w:t>
      </w:r>
      <w:r w:rsidR="00DC2E2A" w:rsidRPr="00DC2E2A">
        <w:t xml:space="preserve"> Organized independently by various global organizations under the IYQ banner. These events will be promoted and given visibility on the official IYQ page.</w:t>
      </w:r>
      <w:r w:rsidR="00C12E12">
        <w:t xml:space="preserve"> </w:t>
      </w:r>
    </w:p>
    <w:p w14:paraId="16967A82" w14:textId="77777777" w:rsidR="00126B22" w:rsidRPr="00DC2E2A" w:rsidRDefault="00126B22" w:rsidP="00126B22">
      <w:pPr>
        <w:keepNext/>
        <w:keepLines/>
        <w:jc w:val="both"/>
      </w:pPr>
      <w:r w:rsidRPr="00DC2E2A">
        <w:lastRenderedPageBreak/>
        <w:t xml:space="preserve">Financial contributions to the IYQ will fund global events and activities. More information is available at: </w:t>
      </w:r>
      <w:hyperlink r:id="rId14" w:history="1">
        <w:r w:rsidRPr="00DC2E2A">
          <w:rPr>
            <w:rStyle w:val="Hyperlink"/>
          </w:rPr>
          <w:t>https://quantum2025.org/en/sponsor/</w:t>
        </w:r>
      </w:hyperlink>
      <w:r w:rsidRPr="00DC2E2A">
        <w:t xml:space="preserve">. </w:t>
      </w:r>
    </w:p>
    <w:p w14:paraId="25E69190" w14:textId="77777777" w:rsidR="00126B22" w:rsidRDefault="00126B22" w:rsidP="00126B22">
      <w:pPr>
        <w:keepNext/>
        <w:keepLines/>
        <w:jc w:val="both"/>
      </w:pPr>
      <w:r w:rsidRPr="00DC2E2A">
        <w:t>Funding for individual events will be the responsibility of the respective organizing entities.</w:t>
      </w:r>
    </w:p>
    <w:p w14:paraId="13A4CECE" w14:textId="0FB1D6AF" w:rsidR="00C12E12" w:rsidRDefault="00DC2E2A" w:rsidP="00126B22">
      <w:pPr>
        <w:spacing w:before="240" w:after="80"/>
        <w:rPr>
          <w:b/>
          <w:bCs/>
        </w:rPr>
      </w:pPr>
      <w:r w:rsidRPr="00DC2E2A">
        <w:rPr>
          <w:b/>
          <w:bCs/>
        </w:rPr>
        <w:t>Governance structure:</w:t>
      </w:r>
    </w:p>
    <w:p w14:paraId="3AC0B89D" w14:textId="52E94A30" w:rsidR="00C12E12" w:rsidRDefault="00DC2E2A" w:rsidP="00126B22">
      <w:pPr>
        <w:jc w:val="both"/>
      </w:pPr>
      <w:r w:rsidRPr="00670DE1">
        <w:rPr>
          <w:b/>
          <w:bCs/>
        </w:rPr>
        <w:t>1.</w:t>
      </w:r>
      <w:r w:rsidRPr="00DC2E2A">
        <w:t xml:space="preserve"> </w:t>
      </w:r>
      <w:r w:rsidRPr="00DC2E2A">
        <w:rPr>
          <w:b/>
          <w:bCs/>
        </w:rPr>
        <w:t>Steering Committee:</w:t>
      </w:r>
      <w:r w:rsidRPr="00DC2E2A">
        <w:t xml:space="preserve"> </w:t>
      </w:r>
      <w:r w:rsidR="00FC5150" w:rsidRPr="00DC2E2A">
        <w:t>Guide</w:t>
      </w:r>
      <w:r w:rsidR="00FC5150">
        <w:t>s</w:t>
      </w:r>
      <w:r w:rsidR="00FC5150" w:rsidRPr="00DC2E2A">
        <w:t xml:space="preserve"> the implementation of IYQ</w:t>
      </w:r>
      <w:r w:rsidR="00FC5150">
        <w:t>, plans</w:t>
      </w:r>
      <w:r w:rsidR="00670DE1">
        <w:t xml:space="preserve"> IYQ</w:t>
      </w:r>
      <w:r w:rsidRPr="00DC2E2A">
        <w:t xml:space="preserve"> global events and </w:t>
      </w:r>
      <w:r w:rsidR="00FC5150">
        <w:t xml:space="preserve">oversees </w:t>
      </w:r>
      <w:r w:rsidRPr="00DC2E2A">
        <w:t>expenditure related to IYQ.</w:t>
      </w:r>
    </w:p>
    <w:p w14:paraId="5D435DB8" w14:textId="77777777" w:rsidR="00C12E12" w:rsidRDefault="00670DE1" w:rsidP="00126B22">
      <w:pPr>
        <w:ind w:firstLine="720"/>
        <w:jc w:val="both"/>
      </w:pPr>
      <w:r w:rsidRPr="00670DE1">
        <w:rPr>
          <w:b/>
          <w:bCs/>
        </w:rPr>
        <w:t>Co-chairs:</w:t>
      </w:r>
      <w:r>
        <w:t xml:space="preserve"> </w:t>
      </w:r>
      <w:r>
        <w:tab/>
      </w:r>
      <w:r w:rsidRPr="00670DE1">
        <w:t>Sir Peter Knight FRS</w:t>
      </w:r>
      <w:r>
        <w:t>, Imperial College London</w:t>
      </w:r>
    </w:p>
    <w:p w14:paraId="3B9EBE19" w14:textId="77777777" w:rsidR="00C12E12" w:rsidRDefault="00670DE1" w:rsidP="00126B22">
      <w:pPr>
        <w:ind w:left="1440" w:firstLine="720"/>
        <w:jc w:val="both"/>
      </w:pPr>
      <w:r>
        <w:t xml:space="preserve">Rosario Fazio, </w:t>
      </w:r>
      <w:r w:rsidRPr="00670DE1">
        <w:t>International Centre for Theoretical Physics (ICTP)</w:t>
      </w:r>
    </w:p>
    <w:p w14:paraId="51B7E652" w14:textId="4A627E94" w:rsidR="00C12E12" w:rsidRDefault="00670DE1" w:rsidP="00263D2D">
      <w:pPr>
        <w:ind w:left="2160" w:hanging="1440"/>
        <w:jc w:val="both"/>
      </w:pPr>
      <w:r>
        <w:rPr>
          <w:b/>
          <w:bCs/>
        </w:rPr>
        <w:t>Role</w:t>
      </w:r>
      <w:r w:rsidR="00263D2D">
        <w:rPr>
          <w:b/>
          <w:bCs/>
        </w:rPr>
        <w:t>s</w:t>
      </w:r>
      <w:r w:rsidR="00DC2E2A" w:rsidRPr="00670DE1">
        <w:rPr>
          <w:b/>
          <w:bCs/>
        </w:rPr>
        <w:t>:</w:t>
      </w:r>
      <w:r>
        <w:t xml:space="preserve"> </w:t>
      </w:r>
      <w:r>
        <w:tab/>
      </w:r>
      <w:r w:rsidR="00DC2E2A" w:rsidRPr="00DC2E2A">
        <w:t>Guide the implementation of IYQ</w:t>
      </w:r>
      <w:r>
        <w:t>, p</w:t>
      </w:r>
      <w:r w:rsidR="00DC2E2A" w:rsidRPr="00DC2E2A">
        <w:t xml:space="preserve">lan global events </w:t>
      </w:r>
      <w:r>
        <w:t>ensuring their</w:t>
      </w:r>
      <w:r w:rsidR="00DC2E2A" w:rsidRPr="00DC2E2A">
        <w:t xml:space="preserve"> alignment with </w:t>
      </w:r>
      <w:r>
        <w:t xml:space="preserve">the </w:t>
      </w:r>
      <w:r w:rsidR="00DC2E2A" w:rsidRPr="00DC2E2A">
        <w:t xml:space="preserve">IYQ </w:t>
      </w:r>
      <w:r>
        <w:t>objectives, determine and oversee</w:t>
      </w:r>
      <w:r w:rsidR="00DC2E2A" w:rsidRPr="00DC2E2A">
        <w:t xml:space="preserve"> branding and media campaign strategies.</w:t>
      </w:r>
    </w:p>
    <w:p w14:paraId="3922E0CD" w14:textId="28D36AE0" w:rsidR="00DC2E2A" w:rsidRPr="00DC2E2A" w:rsidRDefault="00DC2E2A" w:rsidP="00126B22">
      <w:pPr>
        <w:jc w:val="both"/>
      </w:pPr>
      <w:r w:rsidRPr="00670DE1">
        <w:rPr>
          <w:b/>
          <w:bCs/>
        </w:rPr>
        <w:t>2. Secretariat:</w:t>
      </w:r>
      <w:r w:rsidRPr="00DC2E2A">
        <w:t xml:space="preserve"> Led by UNESCO with support from the American Physical Society, provides administrative support.</w:t>
      </w:r>
    </w:p>
    <w:p w14:paraId="0A16E6B4" w14:textId="1C8FB3D2" w:rsidR="00DC2E2A" w:rsidRPr="00DC2E2A" w:rsidRDefault="00DC2E2A" w:rsidP="00126B22">
      <w:pPr>
        <w:keepNext/>
        <w:keepLines/>
        <w:jc w:val="both"/>
      </w:pPr>
      <w:r w:rsidRPr="00670DE1">
        <w:rPr>
          <w:b/>
          <w:bCs/>
        </w:rPr>
        <w:t xml:space="preserve">3. Advisory </w:t>
      </w:r>
      <w:r w:rsidR="00C12E12">
        <w:rPr>
          <w:b/>
          <w:bCs/>
        </w:rPr>
        <w:t>b</w:t>
      </w:r>
      <w:r w:rsidRPr="00670DE1">
        <w:rPr>
          <w:b/>
          <w:bCs/>
        </w:rPr>
        <w:t>oard:</w:t>
      </w:r>
      <w:r w:rsidRPr="00DC2E2A">
        <w:t xml:space="preserve"> </w:t>
      </w:r>
      <w:r w:rsidR="00670DE1">
        <w:t>P</w:t>
      </w:r>
      <w:r w:rsidRPr="00DC2E2A">
        <w:t>rovides technical advice and guidance to the Steering Committee.</w:t>
      </w:r>
    </w:p>
    <w:p w14:paraId="68E8E0BC" w14:textId="02EEF9C3" w:rsidR="00C12E12" w:rsidRPr="00AC77DE" w:rsidRDefault="00C12E12" w:rsidP="00126B22">
      <w:pPr>
        <w:spacing w:before="240" w:after="80"/>
        <w:rPr>
          <w:b/>
          <w:bCs/>
        </w:rPr>
      </w:pPr>
      <w:r w:rsidRPr="00AC77DE">
        <w:rPr>
          <w:b/>
          <w:bCs/>
        </w:rPr>
        <w:t xml:space="preserve">ITU’s </w:t>
      </w:r>
      <w:r>
        <w:rPr>
          <w:b/>
          <w:bCs/>
        </w:rPr>
        <w:t>role</w:t>
      </w:r>
      <w:r w:rsidR="00126B22">
        <w:rPr>
          <w:b/>
          <w:bCs/>
        </w:rPr>
        <w:t xml:space="preserve"> and opportunities for engagement</w:t>
      </w:r>
      <w:r w:rsidRPr="00AC77DE">
        <w:rPr>
          <w:b/>
          <w:bCs/>
        </w:rPr>
        <w:t>:</w:t>
      </w:r>
    </w:p>
    <w:p w14:paraId="66C3452E" w14:textId="6463EB6A" w:rsidR="00263D2D" w:rsidRPr="00263D2D" w:rsidRDefault="00263D2D" w:rsidP="00263D2D">
      <w:pPr>
        <w:ind w:left="720" w:hanging="720"/>
        <w:jc w:val="both"/>
        <w:rPr>
          <w:color w:val="000000" w:themeColor="text1"/>
        </w:rPr>
      </w:pPr>
      <w:r>
        <w:t>–</w:t>
      </w:r>
      <w:r>
        <w:tab/>
      </w:r>
      <w:r w:rsidRPr="00263D2D">
        <w:rPr>
          <w:color w:val="000000" w:themeColor="text1"/>
        </w:rPr>
        <w:t xml:space="preserve">Steering Committee participation and </w:t>
      </w:r>
      <w:r w:rsidR="00BC2E21">
        <w:rPr>
          <w:color w:val="000000" w:themeColor="text1"/>
        </w:rPr>
        <w:t>contribution</w:t>
      </w:r>
      <w:r w:rsidRPr="00263D2D">
        <w:rPr>
          <w:color w:val="000000" w:themeColor="text1"/>
        </w:rPr>
        <w:t xml:space="preserve"> to global IYQ events: Gillian Makamara (TSB) has been appointed as ITU’s representative to the Steering Committee.</w:t>
      </w:r>
    </w:p>
    <w:p w14:paraId="40721250" w14:textId="0E827EE1" w:rsidR="00263D2D" w:rsidRPr="00263D2D" w:rsidRDefault="00263D2D" w:rsidP="00263D2D">
      <w:pPr>
        <w:spacing w:after="80" w:line="288" w:lineRule="auto"/>
      </w:pPr>
      <w:r>
        <w:t>–</w:t>
      </w:r>
      <w:r>
        <w:tab/>
      </w:r>
      <w:r w:rsidRPr="00263D2D">
        <w:rPr>
          <w:color w:val="000000" w:themeColor="text1"/>
        </w:rPr>
        <w:t xml:space="preserve">Secretariat support, </w:t>
      </w:r>
      <w:r>
        <w:rPr>
          <w:color w:val="000000" w:themeColor="text1"/>
        </w:rPr>
        <w:t>if</w:t>
      </w:r>
      <w:r w:rsidRPr="00263D2D">
        <w:rPr>
          <w:color w:val="000000" w:themeColor="text1"/>
        </w:rPr>
        <w:t xml:space="preserve"> needed, with the scope and degree of support to be defined. </w:t>
      </w:r>
    </w:p>
    <w:p w14:paraId="436DDDF5" w14:textId="5539B6AD" w:rsidR="00C12E12" w:rsidRPr="00DC2E2A" w:rsidRDefault="00263D2D" w:rsidP="00263D2D">
      <w:pPr>
        <w:spacing w:after="80" w:line="288" w:lineRule="auto"/>
        <w:ind w:left="720" w:hanging="720"/>
      </w:pPr>
      <w:r>
        <w:t>–</w:t>
      </w:r>
      <w:r>
        <w:tab/>
      </w:r>
      <w:r w:rsidRPr="00263D2D">
        <w:rPr>
          <w:color w:val="000000" w:themeColor="text1"/>
        </w:rPr>
        <w:t>Organization of individual events</w:t>
      </w:r>
      <w:r w:rsidRPr="00C12E12">
        <w:t xml:space="preserve"> </w:t>
      </w:r>
      <w:r w:rsidR="00C12E12" w:rsidRPr="00C12E12">
        <w:t>under the IYQ banner</w:t>
      </w:r>
      <w:r>
        <w:t xml:space="preserve">, </w:t>
      </w:r>
      <w:r w:rsidRPr="00263D2D">
        <w:rPr>
          <w:color w:val="000000" w:themeColor="text1"/>
        </w:rPr>
        <w:t>contributing to the global celebration and awareness efforts.</w:t>
      </w:r>
    </w:p>
    <w:p w14:paraId="1B789BB3" w14:textId="625A6C98" w:rsidR="00C87C4D" w:rsidRPr="00DC2E2A" w:rsidRDefault="00BC2E21" w:rsidP="00126B22">
      <w:pPr>
        <w:spacing w:before="240" w:after="80"/>
        <w:rPr>
          <w:b/>
          <w:bCs/>
        </w:rPr>
      </w:pPr>
      <w:r>
        <w:rPr>
          <w:b/>
          <w:bCs/>
        </w:rPr>
        <w:t xml:space="preserve">Scheduled </w:t>
      </w:r>
      <w:r w:rsidR="00126B22">
        <w:rPr>
          <w:b/>
          <w:bCs/>
        </w:rPr>
        <w:t xml:space="preserve">global </w:t>
      </w:r>
      <w:r w:rsidR="00C87C4D" w:rsidRPr="00DC2E2A">
        <w:rPr>
          <w:b/>
          <w:bCs/>
        </w:rPr>
        <w:t>events:</w:t>
      </w:r>
    </w:p>
    <w:p w14:paraId="7140473A" w14:textId="719A8361" w:rsidR="00DC2E2A" w:rsidRDefault="00C12E12" w:rsidP="00263D2D">
      <w:pPr>
        <w:spacing w:after="80" w:line="288" w:lineRule="auto"/>
      </w:pPr>
      <w:r>
        <w:t>O</w:t>
      </w:r>
      <w:r w:rsidR="00DC2E2A" w:rsidRPr="00DC2E2A">
        <w:t>pening ceremony</w:t>
      </w:r>
      <w:r>
        <w:t xml:space="preserve">: </w:t>
      </w:r>
      <w:r w:rsidR="00DC2E2A" w:rsidRPr="00DC2E2A">
        <w:t>4 February 2025 at UNESCO HQ in Paris</w:t>
      </w:r>
      <w:r>
        <w:t>, France</w:t>
      </w:r>
      <w:r w:rsidR="00DC2E2A" w:rsidRPr="00DC2E2A">
        <w:t>.</w:t>
      </w:r>
    </w:p>
    <w:p w14:paraId="334DD048" w14:textId="3F15A9C2" w:rsidR="00A94584" w:rsidRPr="00A94584" w:rsidRDefault="00A94584" w:rsidP="00A94584">
      <w:pPr>
        <w:jc w:val="both"/>
        <w:rPr>
          <w:color w:val="000000" w:themeColor="text1"/>
        </w:rPr>
      </w:pPr>
      <w:r>
        <w:rPr>
          <w:rStyle w:val="Hyperlink"/>
          <w:color w:val="000000" w:themeColor="text1"/>
          <w:u w:val="none"/>
        </w:rPr>
        <w:t>General</w:t>
      </w:r>
      <w:r w:rsidRPr="00DC2E2A">
        <w:rPr>
          <w:rStyle w:val="Hyperlink"/>
          <w:color w:val="000000" w:themeColor="text1"/>
          <w:u w:val="none"/>
        </w:rPr>
        <w:t xml:space="preserve"> information </w:t>
      </w:r>
      <w:r>
        <w:rPr>
          <w:rStyle w:val="Hyperlink"/>
          <w:color w:val="000000" w:themeColor="text1"/>
          <w:u w:val="none"/>
        </w:rPr>
        <w:t xml:space="preserve">on other events will be </w:t>
      </w:r>
      <w:r w:rsidRPr="00DC2E2A">
        <w:rPr>
          <w:rStyle w:val="Hyperlink"/>
          <w:color w:val="000000" w:themeColor="text1"/>
          <w:u w:val="none"/>
        </w:rPr>
        <w:t xml:space="preserve">available at: </w:t>
      </w:r>
      <w:hyperlink r:id="rId15" w:history="1">
        <w:r w:rsidRPr="00FE5A26">
          <w:rPr>
            <w:rStyle w:val="Hyperlink"/>
          </w:rPr>
          <w:t>https://quantum2025.org</w:t>
        </w:r>
      </w:hyperlink>
      <w:r w:rsidRPr="00DC2E2A">
        <w:rPr>
          <w:rStyle w:val="Hyperlink"/>
          <w:color w:val="000000" w:themeColor="text1"/>
          <w:u w:val="none"/>
        </w:rPr>
        <w:t xml:space="preserve">. </w:t>
      </w:r>
    </w:p>
    <w:p w14:paraId="018C4552" w14:textId="616D2CF2" w:rsidR="00263D2D" w:rsidRDefault="00A94584" w:rsidP="00263D2D">
      <w:pPr>
        <w:spacing w:before="240" w:after="80"/>
        <w:rPr>
          <w:b/>
          <w:bCs/>
        </w:rPr>
      </w:pPr>
      <w:r>
        <w:rPr>
          <w:b/>
          <w:bCs/>
        </w:rPr>
        <w:t>Action for TSAG</w:t>
      </w:r>
      <w:r w:rsidR="00263D2D">
        <w:rPr>
          <w:b/>
          <w:bCs/>
        </w:rPr>
        <w:t>:</w:t>
      </w:r>
    </w:p>
    <w:p w14:paraId="0E5CC4C1" w14:textId="098B123A" w:rsidR="00A94584" w:rsidRPr="00A94584" w:rsidRDefault="00A94584" w:rsidP="00A94584">
      <w:r>
        <w:t xml:space="preserve">TSAG is invited to note this information and </w:t>
      </w:r>
      <w:r w:rsidR="00BA7B4E">
        <w:t xml:space="preserve">to </w:t>
      </w:r>
      <w:r>
        <w:t xml:space="preserve">encourage the </w:t>
      </w:r>
      <w:r w:rsidRPr="00A94584">
        <w:t>ITU-T membership to participate in the International Year of Quantum Science and Technolog</w:t>
      </w:r>
      <w:r>
        <w:t xml:space="preserve">y. For more information </w:t>
      </w:r>
      <w:r w:rsidR="003F51BE">
        <w:t xml:space="preserve">or enquiries </w:t>
      </w:r>
      <w:r>
        <w:t xml:space="preserve">on participation, please contact Gillian Makamara (TSB) via </w:t>
      </w:r>
      <w:hyperlink r:id="rId16" w:history="1">
        <w:r w:rsidRPr="00FE5A26">
          <w:rPr>
            <w:rStyle w:val="Hyperlink"/>
          </w:rPr>
          <w:t>quantum@itu.int</w:t>
        </w:r>
      </w:hyperlink>
      <w:r>
        <w:t xml:space="preserve">. </w:t>
      </w:r>
    </w:p>
    <w:p w14:paraId="52372DBF" w14:textId="4C54E04D" w:rsidR="00B31200" w:rsidRPr="002B5717" w:rsidRDefault="00BC2E21" w:rsidP="00BC2E21">
      <w:pPr>
        <w:tabs>
          <w:tab w:val="left" w:pos="1071"/>
          <w:tab w:val="center" w:pos="4819"/>
        </w:tabs>
        <w:rPr>
          <w:lang w:eastAsia="en-US"/>
        </w:rPr>
      </w:pPr>
      <w:r>
        <w:rPr>
          <w:lang w:eastAsia="en-US"/>
        </w:rPr>
        <w:tab/>
      </w:r>
      <w:r>
        <w:rPr>
          <w:lang w:eastAsia="en-US"/>
        </w:rPr>
        <w:tab/>
      </w:r>
      <w:r w:rsidR="00B31200" w:rsidRPr="002B5717">
        <w:rPr>
          <w:lang w:eastAsia="en-US"/>
        </w:rPr>
        <w:t>____________</w:t>
      </w:r>
    </w:p>
    <w:sectPr w:rsidR="00B31200" w:rsidRPr="002B5717" w:rsidSect="00BC2E21">
      <w:headerReference w:type="default" r:id="rId1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E7D0D" w14:textId="77777777" w:rsidR="004B490B" w:rsidRDefault="004B490B" w:rsidP="00C42125">
      <w:pPr>
        <w:spacing w:before="0"/>
      </w:pPr>
      <w:r>
        <w:separator/>
      </w:r>
    </w:p>
  </w:endnote>
  <w:endnote w:type="continuationSeparator" w:id="0">
    <w:p w14:paraId="5E20D36A" w14:textId="77777777" w:rsidR="004B490B" w:rsidRDefault="004B490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B7D7" w14:textId="77777777" w:rsidR="004B490B" w:rsidRDefault="004B490B" w:rsidP="00C42125">
      <w:pPr>
        <w:spacing w:before="0"/>
      </w:pPr>
      <w:r>
        <w:separator/>
      </w:r>
    </w:p>
  </w:footnote>
  <w:footnote w:type="continuationSeparator" w:id="0">
    <w:p w14:paraId="362113E6" w14:textId="77777777" w:rsidR="004B490B" w:rsidRDefault="004B490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BF72" w14:textId="43CF5DE8" w:rsidR="00C85919" w:rsidRPr="00BC2E21" w:rsidRDefault="00BC2E21" w:rsidP="00BC2E21">
    <w:pPr>
      <w:pStyle w:val="Header"/>
    </w:pPr>
    <w:r w:rsidRPr="00BC2E21">
      <w:t xml:space="preserve">- </w:t>
    </w:r>
    <w:r w:rsidRPr="00BC2E21">
      <w:fldChar w:fldCharType="begin"/>
    </w:r>
    <w:r w:rsidRPr="00BC2E21">
      <w:instrText xml:space="preserve"> PAGE  \* MERGEFORMAT </w:instrText>
    </w:r>
    <w:r w:rsidRPr="00BC2E21">
      <w:fldChar w:fldCharType="separate"/>
    </w:r>
    <w:r w:rsidRPr="00BC2E21">
      <w:rPr>
        <w:noProof/>
      </w:rPr>
      <w:t>1</w:t>
    </w:r>
    <w:r w:rsidRPr="00BC2E21">
      <w:fldChar w:fldCharType="end"/>
    </w:r>
    <w:r w:rsidRPr="00BC2E21">
      <w:t xml:space="preserve"> -</w:t>
    </w:r>
  </w:p>
  <w:p w14:paraId="476189E1" w14:textId="694E1760" w:rsidR="00BC2E21" w:rsidRPr="00BC2E21" w:rsidRDefault="00BC2E21" w:rsidP="00BC2E21">
    <w:pPr>
      <w:pStyle w:val="Header"/>
      <w:spacing w:after="240"/>
    </w:pPr>
    <w:r w:rsidRPr="00BC2E21">
      <w:fldChar w:fldCharType="begin"/>
    </w:r>
    <w:r w:rsidRPr="00BC2E21">
      <w:instrText xml:space="preserve"> STYLEREF  Docnumber  </w:instrText>
    </w:r>
    <w:r w:rsidRPr="00BC2E21">
      <w:fldChar w:fldCharType="separate"/>
    </w:r>
    <w:r w:rsidR="00DF76BC">
      <w:rPr>
        <w:noProof/>
      </w:rPr>
      <w:t>TSAG-TD656</w:t>
    </w:r>
    <w:r w:rsidRPr="00BC2E2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92E4D"/>
    <w:multiLevelType w:val="hybridMultilevel"/>
    <w:tmpl w:val="6CF8FC90"/>
    <w:lvl w:ilvl="0" w:tplc="08090005">
      <w:start w:val="1"/>
      <w:numFmt w:val="bullet"/>
      <w:lvlText w:val=""/>
      <w:lvlJc w:val="left"/>
      <w:pPr>
        <w:ind w:left="720" w:hanging="360"/>
      </w:pPr>
      <w:rPr>
        <w:rFonts w:ascii="Wingdings" w:hAnsi="Wingdings" w:hint="default"/>
      </w:rPr>
    </w:lvl>
    <w:lvl w:ilvl="1" w:tplc="C7F4873A">
      <w:start w:val="1"/>
      <w:numFmt w:val="bullet"/>
      <w:lvlText w:val="o"/>
      <w:lvlJc w:val="left"/>
      <w:pPr>
        <w:ind w:left="1440" w:hanging="360"/>
      </w:pPr>
      <w:rPr>
        <w:rFonts w:ascii="Courier New" w:hAnsi="Courier New" w:cs="Courier New" w:hint="default"/>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7919D5"/>
    <w:multiLevelType w:val="hybridMultilevel"/>
    <w:tmpl w:val="5BBA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E12B8"/>
    <w:multiLevelType w:val="hybridMultilevel"/>
    <w:tmpl w:val="A3D250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666DE1"/>
    <w:multiLevelType w:val="hybridMultilevel"/>
    <w:tmpl w:val="A5D090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8C14F7"/>
    <w:multiLevelType w:val="hybridMultilevel"/>
    <w:tmpl w:val="03EA9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F83BCA"/>
    <w:multiLevelType w:val="hybridMultilevel"/>
    <w:tmpl w:val="ACF48212"/>
    <w:lvl w:ilvl="0" w:tplc="4FD898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D73D69"/>
    <w:multiLevelType w:val="hybridMultilevel"/>
    <w:tmpl w:val="D71CF45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1E3B73ED"/>
    <w:multiLevelType w:val="hybridMultilevel"/>
    <w:tmpl w:val="32D0C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07039"/>
    <w:multiLevelType w:val="hybridMultilevel"/>
    <w:tmpl w:val="6B2E26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DE56DD"/>
    <w:multiLevelType w:val="multilevel"/>
    <w:tmpl w:val="6062029E"/>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004DDA"/>
    <w:multiLevelType w:val="multilevel"/>
    <w:tmpl w:val="F9D0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B3A6D"/>
    <w:multiLevelType w:val="multilevel"/>
    <w:tmpl w:val="4808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5A6CEA"/>
    <w:multiLevelType w:val="hybridMultilevel"/>
    <w:tmpl w:val="39BA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50617"/>
    <w:multiLevelType w:val="hybridMultilevel"/>
    <w:tmpl w:val="993E8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E5083"/>
    <w:multiLevelType w:val="hybridMultilevel"/>
    <w:tmpl w:val="E5128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4804E3"/>
    <w:multiLevelType w:val="hybridMultilevel"/>
    <w:tmpl w:val="3760DE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FF43CE8"/>
    <w:multiLevelType w:val="hybridMultilevel"/>
    <w:tmpl w:val="AEBA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67921"/>
    <w:multiLevelType w:val="multilevel"/>
    <w:tmpl w:val="76F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173C0"/>
    <w:multiLevelType w:val="hybridMultilevel"/>
    <w:tmpl w:val="8B3875BC"/>
    <w:lvl w:ilvl="0" w:tplc="04090001">
      <w:start w:val="1"/>
      <w:numFmt w:val="bullet"/>
      <w:lvlText w:val=""/>
      <w:lvlJc w:val="left"/>
      <w:pPr>
        <w:ind w:left="833" w:hanging="360"/>
      </w:pPr>
      <w:rPr>
        <w:rFonts w:ascii="Symbol" w:hAnsi="Symbol" w:hint="default"/>
      </w:rPr>
    </w:lvl>
    <w:lvl w:ilvl="1" w:tplc="37DAF1CC">
      <w:numFmt w:val="bullet"/>
      <w:lvlText w:val="-"/>
      <w:lvlJc w:val="left"/>
      <w:pPr>
        <w:ind w:left="1805" w:hanging="612"/>
      </w:pPr>
      <w:rPr>
        <w:rFonts w:ascii="Arial" w:eastAsia="Times New Roman" w:hAnsi="Arial" w:cs="Arial"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9" w15:restartNumberingAfterBreak="0">
    <w:nsid w:val="7F2456BF"/>
    <w:multiLevelType w:val="hybridMultilevel"/>
    <w:tmpl w:val="63760A9E"/>
    <w:lvl w:ilvl="0" w:tplc="C7F4873A">
      <w:start w:val="1"/>
      <w:numFmt w:val="bullet"/>
      <w:lvlText w:val="o"/>
      <w:lvlJc w:val="left"/>
      <w:pPr>
        <w:ind w:left="1440" w:hanging="360"/>
      </w:pPr>
      <w:rPr>
        <w:rFonts w:ascii="Courier New" w:hAnsi="Courier New" w:cs="Courier New" w:hint="default"/>
        <w:b/>
        <w:bCs/>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3745117">
    <w:abstractNumId w:val="9"/>
  </w:num>
  <w:num w:numId="2" w16cid:durableId="1517304014">
    <w:abstractNumId w:val="7"/>
  </w:num>
  <w:num w:numId="3" w16cid:durableId="2137987166">
    <w:abstractNumId w:val="6"/>
  </w:num>
  <w:num w:numId="4" w16cid:durableId="2051757820">
    <w:abstractNumId w:val="5"/>
  </w:num>
  <w:num w:numId="5" w16cid:durableId="614144088">
    <w:abstractNumId w:val="4"/>
  </w:num>
  <w:num w:numId="6" w16cid:durableId="2057119910">
    <w:abstractNumId w:val="8"/>
  </w:num>
  <w:num w:numId="7" w16cid:durableId="320239282">
    <w:abstractNumId w:val="3"/>
  </w:num>
  <w:num w:numId="8" w16cid:durableId="918254854">
    <w:abstractNumId w:val="2"/>
  </w:num>
  <w:num w:numId="9" w16cid:durableId="373963709">
    <w:abstractNumId w:val="1"/>
  </w:num>
  <w:num w:numId="10" w16cid:durableId="28334804">
    <w:abstractNumId w:val="0"/>
  </w:num>
  <w:num w:numId="11" w16cid:durableId="685601196">
    <w:abstractNumId w:val="16"/>
  </w:num>
  <w:num w:numId="12" w16cid:durableId="462769248">
    <w:abstractNumId w:val="28"/>
  </w:num>
  <w:num w:numId="13" w16cid:durableId="866873274">
    <w:abstractNumId w:val="25"/>
  </w:num>
  <w:num w:numId="14" w16cid:durableId="1509250833">
    <w:abstractNumId w:val="19"/>
  </w:num>
  <w:num w:numId="15" w16cid:durableId="92409532">
    <w:abstractNumId w:val="26"/>
  </w:num>
  <w:num w:numId="16" w16cid:durableId="52314284">
    <w:abstractNumId w:val="18"/>
  </w:num>
  <w:num w:numId="17" w16cid:durableId="1839037592">
    <w:abstractNumId w:val="10"/>
  </w:num>
  <w:num w:numId="18" w16cid:durableId="2036613798">
    <w:abstractNumId w:val="14"/>
  </w:num>
  <w:num w:numId="19" w16cid:durableId="1717700159">
    <w:abstractNumId w:val="27"/>
  </w:num>
  <w:num w:numId="20" w16cid:durableId="1018431819">
    <w:abstractNumId w:val="21"/>
  </w:num>
  <w:num w:numId="21" w16cid:durableId="309940668">
    <w:abstractNumId w:val="20"/>
  </w:num>
  <w:num w:numId="22" w16cid:durableId="1648896738">
    <w:abstractNumId w:val="24"/>
  </w:num>
  <w:num w:numId="23" w16cid:durableId="383914862">
    <w:abstractNumId w:val="12"/>
  </w:num>
  <w:num w:numId="24" w16cid:durableId="179975661">
    <w:abstractNumId w:val="29"/>
  </w:num>
  <w:num w:numId="25" w16cid:durableId="1115635497">
    <w:abstractNumId w:val="22"/>
  </w:num>
  <w:num w:numId="26" w16cid:durableId="1230189274">
    <w:abstractNumId w:val="17"/>
  </w:num>
  <w:num w:numId="27" w16cid:durableId="494689279">
    <w:abstractNumId w:val="15"/>
  </w:num>
  <w:num w:numId="28" w16cid:durableId="1920401726">
    <w:abstractNumId w:val="13"/>
  </w:num>
  <w:num w:numId="29" w16cid:durableId="327366150">
    <w:abstractNumId w:val="23"/>
  </w:num>
  <w:num w:numId="30" w16cid:durableId="109780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2E71"/>
    <w:rsid w:val="00014F69"/>
    <w:rsid w:val="000171DB"/>
    <w:rsid w:val="0001789F"/>
    <w:rsid w:val="00023AFC"/>
    <w:rsid w:val="00023D9A"/>
    <w:rsid w:val="00025F89"/>
    <w:rsid w:val="0003582E"/>
    <w:rsid w:val="00042FD6"/>
    <w:rsid w:val="00043D75"/>
    <w:rsid w:val="000465FD"/>
    <w:rsid w:val="000466B0"/>
    <w:rsid w:val="00051A8B"/>
    <w:rsid w:val="00057000"/>
    <w:rsid w:val="000640E0"/>
    <w:rsid w:val="00077F63"/>
    <w:rsid w:val="00086D80"/>
    <w:rsid w:val="00087076"/>
    <w:rsid w:val="000873A6"/>
    <w:rsid w:val="000966A8"/>
    <w:rsid w:val="000A0A48"/>
    <w:rsid w:val="000A0A5C"/>
    <w:rsid w:val="000A5A37"/>
    <w:rsid w:val="000A5CA2"/>
    <w:rsid w:val="000B5EA9"/>
    <w:rsid w:val="000B62A8"/>
    <w:rsid w:val="000D2DE8"/>
    <w:rsid w:val="000D7088"/>
    <w:rsid w:val="000E3C61"/>
    <w:rsid w:val="000E3E55"/>
    <w:rsid w:val="000E6083"/>
    <w:rsid w:val="000E6125"/>
    <w:rsid w:val="000F457F"/>
    <w:rsid w:val="00100BAF"/>
    <w:rsid w:val="00107A32"/>
    <w:rsid w:val="00113B81"/>
    <w:rsid w:val="00113DBE"/>
    <w:rsid w:val="001200A6"/>
    <w:rsid w:val="001251DA"/>
    <w:rsid w:val="00125432"/>
    <w:rsid w:val="00126B22"/>
    <w:rsid w:val="00136DDD"/>
    <w:rsid w:val="00137F40"/>
    <w:rsid w:val="00144BDF"/>
    <w:rsid w:val="001544A6"/>
    <w:rsid w:val="00155DDC"/>
    <w:rsid w:val="001664AD"/>
    <w:rsid w:val="001871EC"/>
    <w:rsid w:val="001A20C3"/>
    <w:rsid w:val="001A670F"/>
    <w:rsid w:val="001B6A45"/>
    <w:rsid w:val="001C1003"/>
    <w:rsid w:val="001C4B91"/>
    <w:rsid w:val="001C62B8"/>
    <w:rsid w:val="001D033C"/>
    <w:rsid w:val="001D11B0"/>
    <w:rsid w:val="001D22D8"/>
    <w:rsid w:val="001D4296"/>
    <w:rsid w:val="001D7C55"/>
    <w:rsid w:val="001E58A2"/>
    <w:rsid w:val="001E7B0E"/>
    <w:rsid w:val="001F141D"/>
    <w:rsid w:val="001F4BF0"/>
    <w:rsid w:val="00200A06"/>
    <w:rsid w:val="00200A98"/>
    <w:rsid w:val="00201AFA"/>
    <w:rsid w:val="002229F1"/>
    <w:rsid w:val="0022341C"/>
    <w:rsid w:val="00230B96"/>
    <w:rsid w:val="00233F75"/>
    <w:rsid w:val="0025233B"/>
    <w:rsid w:val="002528F9"/>
    <w:rsid w:val="00253DBE"/>
    <w:rsid w:val="00253DC6"/>
    <w:rsid w:val="0025489C"/>
    <w:rsid w:val="002622FA"/>
    <w:rsid w:val="00263518"/>
    <w:rsid w:val="00263D2D"/>
    <w:rsid w:val="002759E7"/>
    <w:rsid w:val="00277326"/>
    <w:rsid w:val="0029459A"/>
    <w:rsid w:val="002A11C4"/>
    <w:rsid w:val="002A399B"/>
    <w:rsid w:val="002B5717"/>
    <w:rsid w:val="002C26C0"/>
    <w:rsid w:val="002C2BC5"/>
    <w:rsid w:val="002E0407"/>
    <w:rsid w:val="002E79CB"/>
    <w:rsid w:val="002E79D3"/>
    <w:rsid w:val="002F0471"/>
    <w:rsid w:val="002F1714"/>
    <w:rsid w:val="002F5CA7"/>
    <w:rsid w:val="002F7F55"/>
    <w:rsid w:val="0030745F"/>
    <w:rsid w:val="00314630"/>
    <w:rsid w:val="0032090A"/>
    <w:rsid w:val="00321CDE"/>
    <w:rsid w:val="00333E15"/>
    <w:rsid w:val="003416D3"/>
    <w:rsid w:val="003510EF"/>
    <w:rsid w:val="003571BC"/>
    <w:rsid w:val="0036090C"/>
    <w:rsid w:val="00364979"/>
    <w:rsid w:val="0036677C"/>
    <w:rsid w:val="00367299"/>
    <w:rsid w:val="00385B9C"/>
    <w:rsid w:val="00385FB5"/>
    <w:rsid w:val="0038715D"/>
    <w:rsid w:val="00392E84"/>
    <w:rsid w:val="00394DBF"/>
    <w:rsid w:val="003957A6"/>
    <w:rsid w:val="00397713"/>
    <w:rsid w:val="003A2630"/>
    <w:rsid w:val="003A43EF"/>
    <w:rsid w:val="003B60A2"/>
    <w:rsid w:val="003C18C5"/>
    <w:rsid w:val="003C7445"/>
    <w:rsid w:val="003D4125"/>
    <w:rsid w:val="003E39A2"/>
    <w:rsid w:val="003E57AB"/>
    <w:rsid w:val="003F167F"/>
    <w:rsid w:val="003F2BED"/>
    <w:rsid w:val="003F51BE"/>
    <w:rsid w:val="00400B49"/>
    <w:rsid w:val="0040415B"/>
    <w:rsid w:val="004139E4"/>
    <w:rsid w:val="00415999"/>
    <w:rsid w:val="00443878"/>
    <w:rsid w:val="00443A00"/>
    <w:rsid w:val="004539A8"/>
    <w:rsid w:val="0046358F"/>
    <w:rsid w:val="004646F1"/>
    <w:rsid w:val="004712CA"/>
    <w:rsid w:val="0047422E"/>
    <w:rsid w:val="0049674B"/>
    <w:rsid w:val="004B490B"/>
    <w:rsid w:val="004C0673"/>
    <w:rsid w:val="004C4E4E"/>
    <w:rsid w:val="004C799E"/>
    <w:rsid w:val="004E08F2"/>
    <w:rsid w:val="004E1EF9"/>
    <w:rsid w:val="004F3816"/>
    <w:rsid w:val="004F4565"/>
    <w:rsid w:val="004F500A"/>
    <w:rsid w:val="005069CA"/>
    <w:rsid w:val="005126A0"/>
    <w:rsid w:val="00543D41"/>
    <w:rsid w:val="00545472"/>
    <w:rsid w:val="005571A4"/>
    <w:rsid w:val="005604FC"/>
    <w:rsid w:val="00563693"/>
    <w:rsid w:val="00566EDA"/>
    <w:rsid w:val="0057081A"/>
    <w:rsid w:val="00572654"/>
    <w:rsid w:val="005976A1"/>
    <w:rsid w:val="005A34E7"/>
    <w:rsid w:val="005A6616"/>
    <w:rsid w:val="005A69A3"/>
    <w:rsid w:val="005B3D27"/>
    <w:rsid w:val="005B5497"/>
    <w:rsid w:val="005B5629"/>
    <w:rsid w:val="005C0300"/>
    <w:rsid w:val="005C27A2"/>
    <w:rsid w:val="005C6851"/>
    <w:rsid w:val="005D4FEB"/>
    <w:rsid w:val="005D65E3"/>
    <w:rsid w:val="005D65ED"/>
    <w:rsid w:val="005E0E6C"/>
    <w:rsid w:val="005F4B6A"/>
    <w:rsid w:val="006010F3"/>
    <w:rsid w:val="00615A0A"/>
    <w:rsid w:val="006333D4"/>
    <w:rsid w:val="00635097"/>
    <w:rsid w:val="006369B2"/>
    <w:rsid w:val="0063718D"/>
    <w:rsid w:val="00647525"/>
    <w:rsid w:val="00647A71"/>
    <w:rsid w:val="006530A8"/>
    <w:rsid w:val="006570B0"/>
    <w:rsid w:val="0066022F"/>
    <w:rsid w:val="00661612"/>
    <w:rsid w:val="00670DE1"/>
    <w:rsid w:val="006802B7"/>
    <w:rsid w:val="00680A93"/>
    <w:rsid w:val="00680DCB"/>
    <w:rsid w:val="00681543"/>
    <w:rsid w:val="006823F3"/>
    <w:rsid w:val="0069210B"/>
    <w:rsid w:val="00693139"/>
    <w:rsid w:val="00695DD7"/>
    <w:rsid w:val="006A0F3F"/>
    <w:rsid w:val="006A2A02"/>
    <w:rsid w:val="006A4055"/>
    <w:rsid w:val="006A7C27"/>
    <w:rsid w:val="006B1171"/>
    <w:rsid w:val="006B246B"/>
    <w:rsid w:val="006B2FE4"/>
    <w:rsid w:val="006B37B0"/>
    <w:rsid w:val="006B6BA2"/>
    <w:rsid w:val="006C5641"/>
    <w:rsid w:val="006D1089"/>
    <w:rsid w:val="006D1B86"/>
    <w:rsid w:val="006D322F"/>
    <w:rsid w:val="006D47A9"/>
    <w:rsid w:val="006D7355"/>
    <w:rsid w:val="006E0E83"/>
    <w:rsid w:val="006E5E16"/>
    <w:rsid w:val="006E6C9D"/>
    <w:rsid w:val="006F0797"/>
    <w:rsid w:val="006F0E96"/>
    <w:rsid w:val="006F7518"/>
    <w:rsid w:val="006F7DEE"/>
    <w:rsid w:val="00715CA6"/>
    <w:rsid w:val="00731135"/>
    <w:rsid w:val="007324AF"/>
    <w:rsid w:val="007409B4"/>
    <w:rsid w:val="00741974"/>
    <w:rsid w:val="007454B6"/>
    <w:rsid w:val="0075356A"/>
    <w:rsid w:val="0075525E"/>
    <w:rsid w:val="00756D3D"/>
    <w:rsid w:val="007643D1"/>
    <w:rsid w:val="007802FE"/>
    <w:rsid w:val="007806C2"/>
    <w:rsid w:val="00781FEE"/>
    <w:rsid w:val="00782E7E"/>
    <w:rsid w:val="007903F8"/>
    <w:rsid w:val="00792CAC"/>
    <w:rsid w:val="00794F4F"/>
    <w:rsid w:val="007960EA"/>
    <w:rsid w:val="007974BE"/>
    <w:rsid w:val="007A0916"/>
    <w:rsid w:val="007A0DFD"/>
    <w:rsid w:val="007C28F8"/>
    <w:rsid w:val="007C5ED4"/>
    <w:rsid w:val="007C7122"/>
    <w:rsid w:val="007D3F11"/>
    <w:rsid w:val="007E2C69"/>
    <w:rsid w:val="007E53E4"/>
    <w:rsid w:val="007E656A"/>
    <w:rsid w:val="007F3CAA"/>
    <w:rsid w:val="007F664D"/>
    <w:rsid w:val="007F70F3"/>
    <w:rsid w:val="00801B42"/>
    <w:rsid w:val="00805286"/>
    <w:rsid w:val="0081402C"/>
    <w:rsid w:val="008249A7"/>
    <w:rsid w:val="00836D45"/>
    <w:rsid w:val="00837203"/>
    <w:rsid w:val="00842137"/>
    <w:rsid w:val="00851E6C"/>
    <w:rsid w:val="00853F5F"/>
    <w:rsid w:val="00856C7A"/>
    <w:rsid w:val="008623ED"/>
    <w:rsid w:val="008741D8"/>
    <w:rsid w:val="00874963"/>
    <w:rsid w:val="00875AA6"/>
    <w:rsid w:val="00875FD0"/>
    <w:rsid w:val="00880944"/>
    <w:rsid w:val="0089088E"/>
    <w:rsid w:val="00892297"/>
    <w:rsid w:val="008964D6"/>
    <w:rsid w:val="008B1E23"/>
    <w:rsid w:val="008B4038"/>
    <w:rsid w:val="008B5123"/>
    <w:rsid w:val="008C5A9A"/>
    <w:rsid w:val="008D1E1E"/>
    <w:rsid w:val="008D43DF"/>
    <w:rsid w:val="008D5047"/>
    <w:rsid w:val="008E0172"/>
    <w:rsid w:val="008F1C90"/>
    <w:rsid w:val="009040D4"/>
    <w:rsid w:val="00936852"/>
    <w:rsid w:val="0094045D"/>
    <w:rsid w:val="009406B5"/>
    <w:rsid w:val="00946166"/>
    <w:rsid w:val="00954000"/>
    <w:rsid w:val="009618B7"/>
    <w:rsid w:val="00966B5C"/>
    <w:rsid w:val="00983164"/>
    <w:rsid w:val="00984252"/>
    <w:rsid w:val="009972EF"/>
    <w:rsid w:val="009A0217"/>
    <w:rsid w:val="009B5035"/>
    <w:rsid w:val="009C3160"/>
    <w:rsid w:val="009C57AD"/>
    <w:rsid w:val="009D399E"/>
    <w:rsid w:val="009D4D78"/>
    <w:rsid w:val="009D644B"/>
    <w:rsid w:val="009E192F"/>
    <w:rsid w:val="009E4B6B"/>
    <w:rsid w:val="009E766E"/>
    <w:rsid w:val="009F1243"/>
    <w:rsid w:val="009F1960"/>
    <w:rsid w:val="009F4B1A"/>
    <w:rsid w:val="009F715E"/>
    <w:rsid w:val="009F78FE"/>
    <w:rsid w:val="00A03133"/>
    <w:rsid w:val="00A10DBB"/>
    <w:rsid w:val="00A11720"/>
    <w:rsid w:val="00A12ECC"/>
    <w:rsid w:val="00A21247"/>
    <w:rsid w:val="00A311F0"/>
    <w:rsid w:val="00A31A78"/>
    <w:rsid w:val="00A31D47"/>
    <w:rsid w:val="00A4013E"/>
    <w:rsid w:val="00A4045F"/>
    <w:rsid w:val="00A426CC"/>
    <w:rsid w:val="00A427CD"/>
    <w:rsid w:val="00A45FEE"/>
    <w:rsid w:val="00A4600B"/>
    <w:rsid w:val="00A50506"/>
    <w:rsid w:val="00A51EF0"/>
    <w:rsid w:val="00A600CD"/>
    <w:rsid w:val="00A67A81"/>
    <w:rsid w:val="00A67BB9"/>
    <w:rsid w:val="00A730A6"/>
    <w:rsid w:val="00A76917"/>
    <w:rsid w:val="00A827B0"/>
    <w:rsid w:val="00A94584"/>
    <w:rsid w:val="00A96899"/>
    <w:rsid w:val="00A971A0"/>
    <w:rsid w:val="00AA1186"/>
    <w:rsid w:val="00AA1F22"/>
    <w:rsid w:val="00AA7A15"/>
    <w:rsid w:val="00AB0817"/>
    <w:rsid w:val="00AB37FB"/>
    <w:rsid w:val="00AB4FFE"/>
    <w:rsid w:val="00AC3E73"/>
    <w:rsid w:val="00AC63B0"/>
    <w:rsid w:val="00B05821"/>
    <w:rsid w:val="00B100D6"/>
    <w:rsid w:val="00B135CB"/>
    <w:rsid w:val="00B13CB2"/>
    <w:rsid w:val="00B164C9"/>
    <w:rsid w:val="00B17985"/>
    <w:rsid w:val="00B2519B"/>
    <w:rsid w:val="00B26C28"/>
    <w:rsid w:val="00B31200"/>
    <w:rsid w:val="00B4174C"/>
    <w:rsid w:val="00B4339E"/>
    <w:rsid w:val="00B453F5"/>
    <w:rsid w:val="00B5162E"/>
    <w:rsid w:val="00B61624"/>
    <w:rsid w:val="00B6304B"/>
    <w:rsid w:val="00B66481"/>
    <w:rsid w:val="00B7189C"/>
    <w:rsid w:val="00B718A5"/>
    <w:rsid w:val="00B74C81"/>
    <w:rsid w:val="00B86602"/>
    <w:rsid w:val="00B948B0"/>
    <w:rsid w:val="00BA6652"/>
    <w:rsid w:val="00BA7411"/>
    <w:rsid w:val="00BA788A"/>
    <w:rsid w:val="00BA7B4E"/>
    <w:rsid w:val="00BB4120"/>
    <w:rsid w:val="00BB4983"/>
    <w:rsid w:val="00BB7597"/>
    <w:rsid w:val="00BC2E21"/>
    <w:rsid w:val="00BC584F"/>
    <w:rsid w:val="00BC62E2"/>
    <w:rsid w:val="00BC70FD"/>
    <w:rsid w:val="00BD3A12"/>
    <w:rsid w:val="00BD51F2"/>
    <w:rsid w:val="00BE4AC3"/>
    <w:rsid w:val="00BF7254"/>
    <w:rsid w:val="00C02A47"/>
    <w:rsid w:val="00C0616E"/>
    <w:rsid w:val="00C12E12"/>
    <w:rsid w:val="00C42125"/>
    <w:rsid w:val="00C47120"/>
    <w:rsid w:val="00C47323"/>
    <w:rsid w:val="00C54885"/>
    <w:rsid w:val="00C557CE"/>
    <w:rsid w:val="00C62814"/>
    <w:rsid w:val="00C67B25"/>
    <w:rsid w:val="00C748E0"/>
    <w:rsid w:val="00C748F7"/>
    <w:rsid w:val="00C74937"/>
    <w:rsid w:val="00C80D73"/>
    <w:rsid w:val="00C85919"/>
    <w:rsid w:val="00C875F3"/>
    <w:rsid w:val="00C87C4D"/>
    <w:rsid w:val="00CB2599"/>
    <w:rsid w:val="00CC147F"/>
    <w:rsid w:val="00CC386F"/>
    <w:rsid w:val="00CD2139"/>
    <w:rsid w:val="00CE5986"/>
    <w:rsid w:val="00CE7238"/>
    <w:rsid w:val="00D10A47"/>
    <w:rsid w:val="00D167F6"/>
    <w:rsid w:val="00D26477"/>
    <w:rsid w:val="00D27447"/>
    <w:rsid w:val="00D36470"/>
    <w:rsid w:val="00D37A14"/>
    <w:rsid w:val="00D413DE"/>
    <w:rsid w:val="00D56CC3"/>
    <w:rsid w:val="00D647EF"/>
    <w:rsid w:val="00D72BCF"/>
    <w:rsid w:val="00D73137"/>
    <w:rsid w:val="00D854C6"/>
    <w:rsid w:val="00D900AE"/>
    <w:rsid w:val="00D977A2"/>
    <w:rsid w:val="00DA1D47"/>
    <w:rsid w:val="00DA67C6"/>
    <w:rsid w:val="00DB0706"/>
    <w:rsid w:val="00DC2E2A"/>
    <w:rsid w:val="00DC4F9B"/>
    <w:rsid w:val="00DC68D0"/>
    <w:rsid w:val="00DD50DE"/>
    <w:rsid w:val="00DE1204"/>
    <w:rsid w:val="00DE3062"/>
    <w:rsid w:val="00DF76BC"/>
    <w:rsid w:val="00E0581D"/>
    <w:rsid w:val="00E1590B"/>
    <w:rsid w:val="00E204DD"/>
    <w:rsid w:val="00E228B7"/>
    <w:rsid w:val="00E353EC"/>
    <w:rsid w:val="00E4040C"/>
    <w:rsid w:val="00E51F61"/>
    <w:rsid w:val="00E53C24"/>
    <w:rsid w:val="00E56E77"/>
    <w:rsid w:val="00E910DB"/>
    <w:rsid w:val="00EA0BE7"/>
    <w:rsid w:val="00EB444D"/>
    <w:rsid w:val="00ED1B45"/>
    <w:rsid w:val="00EE1A06"/>
    <w:rsid w:val="00EE5C0D"/>
    <w:rsid w:val="00EF3F14"/>
    <w:rsid w:val="00EF4792"/>
    <w:rsid w:val="00EF76DC"/>
    <w:rsid w:val="00F02294"/>
    <w:rsid w:val="00F04F16"/>
    <w:rsid w:val="00F216B2"/>
    <w:rsid w:val="00F30DE7"/>
    <w:rsid w:val="00F35F57"/>
    <w:rsid w:val="00F50467"/>
    <w:rsid w:val="00F562A0"/>
    <w:rsid w:val="00F57FA4"/>
    <w:rsid w:val="00F618F6"/>
    <w:rsid w:val="00F9547A"/>
    <w:rsid w:val="00FA02CB"/>
    <w:rsid w:val="00FA2177"/>
    <w:rsid w:val="00FB0783"/>
    <w:rsid w:val="00FB7A8B"/>
    <w:rsid w:val="00FC2485"/>
    <w:rsid w:val="00FC5150"/>
    <w:rsid w:val="00FD2D61"/>
    <w:rsid w:val="00FD439E"/>
    <w:rsid w:val="00FD76CB"/>
    <w:rsid w:val="00FE152B"/>
    <w:rsid w:val="00FE239E"/>
    <w:rsid w:val="00FE2528"/>
    <w:rsid w:val="00FE399B"/>
    <w:rsid w:val="00FF1151"/>
    <w:rsid w:val="00FF4546"/>
    <w:rsid w:val="00FF538F"/>
    <w:rsid w:val="00FF639D"/>
    <w:rsid w:val="05F44B9B"/>
    <w:rsid w:val="2149A48D"/>
    <w:rsid w:val="3439E286"/>
    <w:rsid w:val="3900F817"/>
    <w:rsid w:val="5101C554"/>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13D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paragraph" w:customStyle="1" w:styleId="CVTitle">
    <w:name w:val="CV Title"/>
    <w:basedOn w:val="Normal"/>
    <w:rsid w:val="003D4125"/>
    <w:pPr>
      <w:suppressAutoHyphens/>
      <w:spacing w:before="0"/>
      <w:ind w:left="113" w:right="113"/>
      <w:jc w:val="right"/>
    </w:pPr>
    <w:rPr>
      <w:rFonts w:ascii="Arial Narrow" w:eastAsia="Times New Roman" w:hAnsi="Arial Narrow"/>
      <w:b/>
      <w:bCs/>
      <w:spacing w:val="10"/>
      <w:sz w:val="28"/>
      <w:szCs w:val="20"/>
      <w:lang w:val="fr-FR" w:eastAsia="ar-SA"/>
    </w:rPr>
  </w:style>
  <w:style w:type="paragraph" w:customStyle="1" w:styleId="CVHeading1">
    <w:name w:val="CV Heading 1"/>
    <w:basedOn w:val="Normal"/>
    <w:next w:val="Normal"/>
    <w:rsid w:val="003D4125"/>
    <w:pPr>
      <w:suppressAutoHyphens/>
      <w:spacing w:before="74"/>
      <w:ind w:left="113" w:right="113"/>
      <w:jc w:val="right"/>
    </w:pPr>
    <w:rPr>
      <w:rFonts w:ascii="Arial Narrow" w:eastAsia="Times New Roman" w:hAnsi="Arial Narrow"/>
      <w:b/>
      <w:szCs w:val="20"/>
      <w:lang w:val="ro-RO" w:eastAsia="ar-SA"/>
    </w:rPr>
  </w:style>
  <w:style w:type="paragraph" w:customStyle="1" w:styleId="CVHeading2">
    <w:name w:val="CV Heading 2"/>
    <w:basedOn w:val="CVHeading1"/>
    <w:next w:val="Normal"/>
    <w:rsid w:val="003D4125"/>
    <w:pPr>
      <w:spacing w:before="0"/>
    </w:pPr>
    <w:rPr>
      <w:b w:val="0"/>
      <w:sz w:val="22"/>
    </w:rPr>
  </w:style>
  <w:style w:type="paragraph" w:customStyle="1" w:styleId="CVHeading2-FirstLine">
    <w:name w:val="CV Heading 2 - First Line"/>
    <w:basedOn w:val="CVHeading2"/>
    <w:next w:val="CVHeading2"/>
    <w:rsid w:val="003D4125"/>
    <w:pPr>
      <w:spacing w:before="74"/>
    </w:pPr>
  </w:style>
  <w:style w:type="paragraph" w:customStyle="1" w:styleId="CVHeading3">
    <w:name w:val="CV Heading 3"/>
    <w:basedOn w:val="Normal"/>
    <w:next w:val="Normal"/>
    <w:rsid w:val="003D4125"/>
    <w:pPr>
      <w:suppressAutoHyphens/>
      <w:spacing w:before="0"/>
      <w:ind w:left="113" w:right="113"/>
      <w:jc w:val="right"/>
      <w:textAlignment w:val="center"/>
    </w:pPr>
    <w:rPr>
      <w:rFonts w:ascii="Arial Narrow" w:eastAsia="Times New Roman" w:hAnsi="Arial Narrow"/>
      <w:sz w:val="20"/>
      <w:szCs w:val="20"/>
      <w:lang w:val="ro-RO" w:eastAsia="ar-SA"/>
    </w:rPr>
  </w:style>
  <w:style w:type="paragraph" w:customStyle="1" w:styleId="CVHeadingLanguage">
    <w:name w:val="CV Heading Language"/>
    <w:basedOn w:val="CVHeading2"/>
    <w:next w:val="LevelAssessment-Code"/>
    <w:rsid w:val="003D4125"/>
    <w:rPr>
      <w:b/>
    </w:rPr>
  </w:style>
  <w:style w:type="paragraph" w:customStyle="1" w:styleId="LevelAssessment-Code">
    <w:name w:val="Level Assessment - Code"/>
    <w:basedOn w:val="Normal"/>
    <w:next w:val="LevelAssessment-Description"/>
    <w:rsid w:val="003D4125"/>
    <w:pPr>
      <w:suppressAutoHyphens/>
      <w:spacing w:before="0"/>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3D4125"/>
    <w:pPr>
      <w:textAlignment w:val="bottom"/>
    </w:pPr>
  </w:style>
  <w:style w:type="paragraph" w:customStyle="1" w:styleId="CVHeadingLevel">
    <w:name w:val="CV Heading Level"/>
    <w:basedOn w:val="CVHeading3"/>
    <w:next w:val="Normal"/>
    <w:rsid w:val="003D4125"/>
    <w:rPr>
      <w:i/>
    </w:rPr>
  </w:style>
  <w:style w:type="paragraph" w:customStyle="1" w:styleId="LevelAssessment-Heading1">
    <w:name w:val="Level Assessment - Heading 1"/>
    <w:basedOn w:val="LevelAssessment-Code"/>
    <w:rsid w:val="003D4125"/>
    <w:pPr>
      <w:ind w:left="57" w:right="57"/>
    </w:pPr>
    <w:rPr>
      <w:b/>
      <w:sz w:val="22"/>
    </w:rPr>
  </w:style>
  <w:style w:type="paragraph" w:customStyle="1" w:styleId="LevelAssessment-Heading2">
    <w:name w:val="Level Assessment - Heading 2"/>
    <w:basedOn w:val="Normal"/>
    <w:rsid w:val="003D4125"/>
    <w:pPr>
      <w:suppressAutoHyphens/>
      <w:spacing w:before="0"/>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3D4125"/>
    <w:pPr>
      <w:ind w:left="113"/>
      <w:jc w:val="left"/>
    </w:pPr>
    <w:rPr>
      <w:i/>
    </w:rPr>
  </w:style>
  <w:style w:type="paragraph" w:customStyle="1" w:styleId="CVMajor-FirstLine">
    <w:name w:val="CV Major - First Line"/>
    <w:basedOn w:val="Normal"/>
    <w:next w:val="Normal"/>
    <w:rsid w:val="003D4125"/>
    <w:pPr>
      <w:suppressAutoHyphens/>
      <w:spacing w:before="74"/>
      <w:ind w:left="113" w:right="113"/>
    </w:pPr>
    <w:rPr>
      <w:rFonts w:ascii="Arial Narrow" w:eastAsia="Times New Roman" w:hAnsi="Arial Narrow"/>
      <w:b/>
      <w:szCs w:val="20"/>
      <w:lang w:val="ro-RO" w:eastAsia="ar-SA"/>
    </w:rPr>
  </w:style>
  <w:style w:type="paragraph" w:customStyle="1" w:styleId="CVMedium-FirstLine">
    <w:name w:val="CV Medium - First Line"/>
    <w:basedOn w:val="Normal"/>
    <w:next w:val="Normal"/>
    <w:rsid w:val="003D4125"/>
    <w:pPr>
      <w:suppressAutoHyphens/>
      <w:spacing w:before="74"/>
      <w:ind w:left="113" w:right="113"/>
    </w:pPr>
    <w:rPr>
      <w:rFonts w:ascii="Arial Narrow" w:eastAsia="Times New Roman" w:hAnsi="Arial Narrow"/>
      <w:b/>
      <w:sz w:val="22"/>
      <w:szCs w:val="20"/>
      <w:lang w:val="ro-RO" w:eastAsia="ar-SA"/>
    </w:rPr>
  </w:style>
  <w:style w:type="paragraph" w:customStyle="1" w:styleId="CVNormal">
    <w:name w:val="CV Normal"/>
    <w:basedOn w:val="Normal"/>
    <w:rsid w:val="003D4125"/>
    <w:pPr>
      <w:suppressAutoHyphens/>
      <w:spacing w:before="0"/>
      <w:ind w:left="113" w:right="113"/>
    </w:pPr>
    <w:rPr>
      <w:rFonts w:ascii="Arial Narrow" w:eastAsia="Times New Roman" w:hAnsi="Arial Narrow"/>
      <w:sz w:val="20"/>
      <w:szCs w:val="20"/>
      <w:lang w:val="ro-RO" w:eastAsia="ar-SA"/>
    </w:rPr>
  </w:style>
  <w:style w:type="paragraph" w:customStyle="1" w:styleId="CVSpacer">
    <w:name w:val="CV Spacer"/>
    <w:basedOn w:val="CVNormal"/>
    <w:rsid w:val="003D4125"/>
    <w:rPr>
      <w:sz w:val="4"/>
    </w:rPr>
  </w:style>
  <w:style w:type="table" w:styleId="TableGrid">
    <w:name w:val="Table Grid"/>
    <w:basedOn w:val="TableNormal"/>
    <w:uiPriority w:val="39"/>
    <w:rsid w:val="00B3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color">
    <w:name w:val="has-text-color"/>
    <w:basedOn w:val="Normal"/>
    <w:rsid w:val="005C6851"/>
    <w:pPr>
      <w:spacing w:before="100" w:beforeAutospacing="1" w:after="100" w:afterAutospacing="1"/>
    </w:pPr>
    <w:rPr>
      <w:rFonts w:eastAsia="Times New Roman"/>
      <w:lang w:eastAsia="zh-CN"/>
    </w:rPr>
  </w:style>
  <w:style w:type="paragraph" w:customStyle="1" w:styleId="has-small-font-size">
    <w:name w:val="has-small-font-size"/>
    <w:basedOn w:val="Normal"/>
    <w:rsid w:val="005C6851"/>
    <w:pPr>
      <w:spacing w:before="100" w:beforeAutospacing="1" w:after="100" w:afterAutospacing="1"/>
    </w:pPr>
    <w:rPr>
      <w:rFonts w:eastAsia="Times New Roman"/>
      <w:lang w:eastAsia="zh-CN"/>
    </w:rPr>
  </w:style>
  <w:style w:type="paragraph" w:customStyle="1" w:styleId="has-vivid-cyan-blue-color">
    <w:name w:val="has-vivid-cyan-blue-color"/>
    <w:basedOn w:val="Normal"/>
    <w:rsid w:val="005C6851"/>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1058">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927541754">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71750439">
      <w:bodyDiv w:val="1"/>
      <w:marLeft w:val="0"/>
      <w:marRight w:val="0"/>
      <w:marTop w:val="0"/>
      <w:marBottom w:val="0"/>
      <w:divBdr>
        <w:top w:val="none" w:sz="0" w:space="0" w:color="auto"/>
        <w:left w:val="none" w:sz="0" w:space="0" w:color="auto"/>
        <w:bottom w:val="none" w:sz="0" w:space="0" w:color="auto"/>
        <w:right w:val="none" w:sz="0" w:space="0" w:color="auto"/>
      </w:divBdr>
    </w:div>
    <w:div w:id="1177965553">
      <w:bodyDiv w:val="1"/>
      <w:marLeft w:val="0"/>
      <w:marRight w:val="0"/>
      <w:marTop w:val="0"/>
      <w:marBottom w:val="0"/>
      <w:divBdr>
        <w:top w:val="none" w:sz="0" w:space="0" w:color="auto"/>
        <w:left w:val="none" w:sz="0" w:space="0" w:color="auto"/>
        <w:bottom w:val="none" w:sz="0" w:space="0" w:color="auto"/>
        <w:right w:val="none" w:sz="0" w:space="0" w:color="auto"/>
      </w:divBdr>
    </w:div>
    <w:div w:id="1478300621">
      <w:bodyDiv w:val="1"/>
      <w:marLeft w:val="0"/>
      <w:marRight w:val="0"/>
      <w:marTop w:val="0"/>
      <w:marBottom w:val="0"/>
      <w:divBdr>
        <w:top w:val="none" w:sz="0" w:space="0" w:color="auto"/>
        <w:left w:val="none" w:sz="0" w:space="0" w:color="auto"/>
        <w:bottom w:val="none" w:sz="0" w:space="0" w:color="auto"/>
        <w:right w:val="none" w:sz="0" w:space="0" w:color="auto"/>
      </w:divBdr>
    </w:div>
    <w:div w:id="1854034455">
      <w:bodyDiv w:val="1"/>
      <w:marLeft w:val="0"/>
      <w:marRight w:val="0"/>
      <w:marTop w:val="0"/>
      <w:marBottom w:val="0"/>
      <w:divBdr>
        <w:top w:val="none" w:sz="0" w:space="0" w:color="auto"/>
        <w:left w:val="none" w:sz="0" w:space="0" w:color="auto"/>
        <w:bottom w:val="none" w:sz="0" w:space="0" w:color="auto"/>
        <w:right w:val="none" w:sz="0" w:space="0" w:color="auto"/>
      </w:divBdr>
    </w:div>
    <w:div w:id="1916742268">
      <w:bodyDiv w:val="1"/>
      <w:marLeft w:val="0"/>
      <w:marRight w:val="0"/>
      <w:marTop w:val="0"/>
      <w:marBottom w:val="0"/>
      <w:divBdr>
        <w:top w:val="none" w:sz="0" w:space="0" w:color="auto"/>
        <w:left w:val="none" w:sz="0" w:space="0" w:color="auto"/>
        <w:bottom w:val="none" w:sz="0" w:space="0" w:color="auto"/>
        <w:right w:val="none" w:sz="0" w:space="0" w:color="auto"/>
      </w:divBdr>
    </w:div>
    <w:div w:id="1918055856">
      <w:bodyDiv w:val="1"/>
      <w:marLeft w:val="0"/>
      <w:marRight w:val="0"/>
      <w:marTop w:val="0"/>
      <w:marBottom w:val="0"/>
      <w:divBdr>
        <w:top w:val="none" w:sz="0" w:space="0" w:color="auto"/>
        <w:left w:val="none" w:sz="0" w:space="0" w:color="auto"/>
        <w:bottom w:val="none" w:sz="0" w:space="0" w:color="auto"/>
        <w:right w:val="none" w:sz="0" w:space="0" w:color="auto"/>
      </w:divBdr>
      <w:divsChild>
        <w:div w:id="1568884376">
          <w:marLeft w:val="0"/>
          <w:marRight w:val="0"/>
          <w:marTop w:val="0"/>
          <w:marBottom w:val="420"/>
          <w:divBdr>
            <w:top w:val="none" w:sz="0" w:space="0" w:color="auto"/>
            <w:left w:val="none" w:sz="0" w:space="0" w:color="auto"/>
            <w:bottom w:val="none" w:sz="0" w:space="0" w:color="auto"/>
            <w:right w:val="none" w:sz="0" w:space="0" w:color="auto"/>
          </w:divBdr>
          <w:divsChild>
            <w:div w:id="1980761923">
              <w:marLeft w:val="0"/>
              <w:marRight w:val="0"/>
              <w:marTop w:val="0"/>
              <w:marBottom w:val="0"/>
              <w:divBdr>
                <w:top w:val="none" w:sz="0" w:space="0" w:color="auto"/>
                <w:left w:val="none" w:sz="0" w:space="0" w:color="auto"/>
                <w:bottom w:val="none" w:sz="0" w:space="0" w:color="auto"/>
                <w:right w:val="none" w:sz="0" w:space="0" w:color="auto"/>
              </w:divBdr>
              <w:divsChild>
                <w:div w:id="660275537">
                  <w:marLeft w:val="0"/>
                  <w:marRight w:val="0"/>
                  <w:marTop w:val="0"/>
                  <w:marBottom w:val="0"/>
                  <w:divBdr>
                    <w:top w:val="none" w:sz="0" w:space="0" w:color="auto"/>
                    <w:left w:val="none" w:sz="0" w:space="0" w:color="auto"/>
                    <w:bottom w:val="none" w:sz="0" w:space="0" w:color="auto"/>
                    <w:right w:val="none" w:sz="0" w:space="0" w:color="auto"/>
                  </w:divBdr>
                  <w:divsChild>
                    <w:div w:id="11012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824">
              <w:marLeft w:val="0"/>
              <w:marRight w:val="0"/>
              <w:marTop w:val="0"/>
              <w:marBottom w:val="0"/>
              <w:divBdr>
                <w:top w:val="none" w:sz="0" w:space="0" w:color="auto"/>
                <w:left w:val="none" w:sz="0" w:space="0" w:color="auto"/>
                <w:bottom w:val="none" w:sz="0" w:space="0" w:color="auto"/>
                <w:right w:val="none" w:sz="0" w:space="0" w:color="auto"/>
              </w:divBdr>
              <w:divsChild>
                <w:div w:id="1988586473">
                  <w:marLeft w:val="0"/>
                  <w:marRight w:val="0"/>
                  <w:marTop w:val="0"/>
                  <w:marBottom w:val="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033">
              <w:marLeft w:val="0"/>
              <w:marRight w:val="0"/>
              <w:marTop w:val="0"/>
              <w:marBottom w:val="0"/>
              <w:divBdr>
                <w:top w:val="none" w:sz="0" w:space="0" w:color="auto"/>
                <w:left w:val="none" w:sz="0" w:space="0" w:color="auto"/>
                <w:bottom w:val="none" w:sz="0" w:space="0" w:color="auto"/>
                <w:right w:val="none" w:sz="0" w:space="0" w:color="auto"/>
              </w:divBdr>
              <w:divsChild>
                <w:div w:id="2050761660">
                  <w:marLeft w:val="0"/>
                  <w:marRight w:val="0"/>
                  <w:marTop w:val="0"/>
                  <w:marBottom w:val="0"/>
                  <w:divBdr>
                    <w:top w:val="none" w:sz="0" w:space="0" w:color="auto"/>
                    <w:left w:val="none" w:sz="0" w:space="0" w:color="auto"/>
                    <w:bottom w:val="none" w:sz="0" w:space="0" w:color="auto"/>
                    <w:right w:val="none" w:sz="0" w:space="0" w:color="auto"/>
                  </w:divBdr>
                  <w:divsChild>
                    <w:div w:id="9851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7049">
              <w:marLeft w:val="0"/>
              <w:marRight w:val="0"/>
              <w:marTop w:val="0"/>
              <w:marBottom w:val="0"/>
              <w:divBdr>
                <w:top w:val="none" w:sz="0" w:space="0" w:color="auto"/>
                <w:left w:val="none" w:sz="0" w:space="0" w:color="auto"/>
                <w:bottom w:val="none" w:sz="0" w:space="0" w:color="auto"/>
                <w:right w:val="none" w:sz="0" w:space="0" w:color="auto"/>
              </w:divBdr>
              <w:divsChild>
                <w:div w:id="1883593906">
                  <w:marLeft w:val="0"/>
                  <w:marRight w:val="0"/>
                  <w:marTop w:val="0"/>
                  <w:marBottom w:val="0"/>
                  <w:divBdr>
                    <w:top w:val="none" w:sz="0" w:space="0" w:color="auto"/>
                    <w:left w:val="none" w:sz="0" w:space="0" w:color="auto"/>
                    <w:bottom w:val="none" w:sz="0" w:space="0" w:color="auto"/>
                    <w:right w:val="none" w:sz="0" w:space="0" w:color="auto"/>
                  </w:divBdr>
                  <w:divsChild>
                    <w:div w:id="6948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758">
          <w:marLeft w:val="0"/>
          <w:marRight w:val="0"/>
          <w:marTop w:val="0"/>
          <w:marBottom w:val="420"/>
          <w:divBdr>
            <w:top w:val="none" w:sz="0" w:space="0" w:color="auto"/>
            <w:left w:val="none" w:sz="0" w:space="0" w:color="auto"/>
            <w:bottom w:val="none" w:sz="0" w:space="0" w:color="auto"/>
            <w:right w:val="none" w:sz="0" w:space="0" w:color="auto"/>
          </w:divBdr>
          <w:divsChild>
            <w:div w:id="400098028">
              <w:marLeft w:val="0"/>
              <w:marRight w:val="0"/>
              <w:marTop w:val="0"/>
              <w:marBottom w:val="0"/>
              <w:divBdr>
                <w:top w:val="none" w:sz="0" w:space="0" w:color="auto"/>
                <w:left w:val="none" w:sz="0" w:space="0" w:color="auto"/>
                <w:bottom w:val="none" w:sz="0" w:space="0" w:color="auto"/>
                <w:right w:val="none" w:sz="0" w:space="0" w:color="auto"/>
              </w:divBdr>
              <w:divsChild>
                <w:div w:id="1841383857">
                  <w:marLeft w:val="0"/>
                  <w:marRight w:val="0"/>
                  <w:marTop w:val="0"/>
                  <w:marBottom w:val="0"/>
                  <w:divBdr>
                    <w:top w:val="none" w:sz="0" w:space="0" w:color="auto"/>
                    <w:left w:val="none" w:sz="0" w:space="0" w:color="auto"/>
                    <w:bottom w:val="none" w:sz="0" w:space="0" w:color="auto"/>
                    <w:right w:val="none" w:sz="0" w:space="0" w:color="auto"/>
                  </w:divBdr>
                  <w:divsChild>
                    <w:div w:id="13236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52">
              <w:marLeft w:val="0"/>
              <w:marRight w:val="0"/>
              <w:marTop w:val="0"/>
              <w:marBottom w:val="0"/>
              <w:divBdr>
                <w:top w:val="none" w:sz="0" w:space="0" w:color="auto"/>
                <w:left w:val="none" w:sz="0" w:space="0" w:color="auto"/>
                <w:bottom w:val="none" w:sz="0" w:space="0" w:color="auto"/>
                <w:right w:val="none" w:sz="0" w:space="0" w:color="auto"/>
              </w:divBdr>
              <w:divsChild>
                <w:div w:id="757335588">
                  <w:marLeft w:val="0"/>
                  <w:marRight w:val="0"/>
                  <w:marTop w:val="0"/>
                  <w:marBottom w:val="0"/>
                  <w:divBdr>
                    <w:top w:val="none" w:sz="0" w:space="0" w:color="auto"/>
                    <w:left w:val="none" w:sz="0" w:space="0" w:color="auto"/>
                    <w:bottom w:val="none" w:sz="0" w:space="0" w:color="auto"/>
                    <w:right w:val="none" w:sz="0" w:space="0" w:color="auto"/>
                  </w:divBdr>
                  <w:divsChild>
                    <w:div w:id="4477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377">
              <w:marLeft w:val="0"/>
              <w:marRight w:val="0"/>
              <w:marTop w:val="0"/>
              <w:marBottom w:val="0"/>
              <w:divBdr>
                <w:top w:val="none" w:sz="0" w:space="0" w:color="auto"/>
                <w:left w:val="none" w:sz="0" w:space="0" w:color="auto"/>
                <w:bottom w:val="none" w:sz="0" w:space="0" w:color="auto"/>
                <w:right w:val="none" w:sz="0" w:space="0" w:color="auto"/>
              </w:divBdr>
              <w:divsChild>
                <w:div w:id="938834735">
                  <w:marLeft w:val="0"/>
                  <w:marRight w:val="0"/>
                  <w:marTop w:val="0"/>
                  <w:marBottom w:val="0"/>
                  <w:divBdr>
                    <w:top w:val="none" w:sz="0" w:space="0" w:color="auto"/>
                    <w:left w:val="none" w:sz="0" w:space="0" w:color="auto"/>
                    <w:bottom w:val="none" w:sz="0" w:space="0" w:color="auto"/>
                    <w:right w:val="none" w:sz="0" w:space="0" w:color="auto"/>
                  </w:divBdr>
                  <w:divsChild>
                    <w:div w:id="834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813">
              <w:marLeft w:val="0"/>
              <w:marRight w:val="0"/>
              <w:marTop w:val="0"/>
              <w:marBottom w:val="0"/>
              <w:divBdr>
                <w:top w:val="none" w:sz="0" w:space="0" w:color="auto"/>
                <w:left w:val="none" w:sz="0" w:space="0" w:color="auto"/>
                <w:bottom w:val="none" w:sz="0" w:space="0" w:color="auto"/>
                <w:right w:val="none" w:sz="0" w:space="0" w:color="auto"/>
              </w:divBdr>
              <w:divsChild>
                <w:div w:id="1302272151">
                  <w:marLeft w:val="0"/>
                  <w:marRight w:val="0"/>
                  <w:marTop w:val="0"/>
                  <w:marBottom w:val="0"/>
                  <w:divBdr>
                    <w:top w:val="none" w:sz="0" w:space="0" w:color="auto"/>
                    <w:left w:val="none" w:sz="0" w:space="0" w:color="auto"/>
                    <w:bottom w:val="none" w:sz="0" w:space="0" w:color="auto"/>
                    <w:right w:val="none" w:sz="0" w:space="0" w:color="auto"/>
                  </w:divBdr>
                  <w:divsChild>
                    <w:div w:id="266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ocs.org/Home/Mobile?FinalSymbol=A%2FRES%2F78%2F287&amp;Language=E&amp;DeviceType=Desktop&amp;LangRequested=Fal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llian.makamara@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ntum@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quantum2025.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antum2025.org/en/spons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2</Pages>
  <Words>626</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UNGA Resolution 78/287 “International Year of Quantum Science and Technology, 2025”</vt:lpstr>
    </vt:vector>
  </TitlesOfParts>
  <Manager>ITU-T</Manager>
  <Company>International Telecommunication Union (ITU)</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UNGA Resolution 78/287 “International Year of Quantum Science and Technology, 2025”</dc:title>
  <dc:subject/>
  <dc:creator>TSB</dc:creator>
  <cp:keywords/>
  <dc:description>TSAG-TDxxx  For: Geneva, 29 July – 2 August 2024_x000d_Document date: _x000d_Saved by ITU51017905 at 10:46:24 on 24/07/2024</dc:description>
  <cp:lastModifiedBy>Al-Mnini, Lara</cp:lastModifiedBy>
  <cp:revision>2</cp:revision>
  <cp:lastPrinted>2016-12-23T12:52:00Z</cp:lastPrinted>
  <dcterms:created xsi:type="dcterms:W3CDTF">2024-07-25T11:46:00Z</dcterms:created>
  <dcterms:modified xsi:type="dcterms:W3CDTF">2024-07-25T11:46:00Z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TSAG-TDxxx</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TSB</vt:lpwstr>
  </property>
</Properties>
</file>