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jc w:val="center"/>
        <w:tblLayout w:type="fixed"/>
        <w:tblCellMar>
          <w:left w:w="57" w:type="dxa"/>
          <w:right w:w="57" w:type="dxa"/>
        </w:tblCellMar>
        <w:tblLook w:val="04A0" w:firstRow="1" w:lastRow="0" w:firstColumn="1" w:lastColumn="0" w:noHBand="0" w:noVBand="1"/>
      </w:tblPr>
      <w:tblGrid>
        <w:gridCol w:w="1134"/>
        <w:gridCol w:w="284"/>
        <w:gridCol w:w="3685"/>
        <w:gridCol w:w="142"/>
        <w:gridCol w:w="284"/>
        <w:gridCol w:w="4111"/>
      </w:tblGrid>
      <w:tr w:rsidR="009856CA" w14:paraId="56C84E33" w14:textId="77777777">
        <w:trPr>
          <w:cantSplit/>
          <w:jc w:val="center"/>
        </w:trPr>
        <w:tc>
          <w:tcPr>
            <w:tcW w:w="1134" w:type="dxa"/>
            <w:vMerge w:val="restart"/>
            <w:vAlign w:val="center"/>
          </w:tcPr>
          <w:p w14:paraId="663A629C" w14:textId="77777777" w:rsidR="009856CA" w:rsidRDefault="007911E3">
            <w:pPr>
              <w:spacing w:before="0"/>
              <w:jc w:val="center"/>
            </w:pPr>
            <w:r>
              <w:rPr>
                <w:noProof/>
                <w:lang w:val="en-US" w:eastAsia="zh-CN"/>
              </w:rPr>
              <w:drawing>
                <wp:inline distT="0" distB="0" distL="0" distR="0" wp14:anchorId="11270206" wp14:editId="208557C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7700" cy="704850"/>
                          </a:xfrm>
                          <a:prstGeom prst="rect">
                            <a:avLst/>
                          </a:prstGeom>
                          <a:noFill/>
                          <a:ln>
                            <a:noFill/>
                          </a:ln>
                        </pic:spPr>
                      </pic:pic>
                    </a:graphicData>
                  </a:graphic>
                </wp:inline>
              </w:drawing>
            </w:r>
          </w:p>
        </w:tc>
        <w:tc>
          <w:tcPr>
            <w:tcW w:w="3969" w:type="dxa"/>
            <w:gridSpan w:val="2"/>
            <w:vMerge w:val="restart"/>
            <w:vAlign w:val="center"/>
          </w:tcPr>
          <w:p w14:paraId="68E5D8DB" w14:textId="77777777" w:rsidR="009856CA" w:rsidRDefault="007911E3">
            <w:pPr>
              <w:rPr>
                <w:sz w:val="16"/>
                <w:szCs w:val="16"/>
              </w:rPr>
            </w:pPr>
            <w:r>
              <w:rPr>
                <w:sz w:val="16"/>
                <w:szCs w:val="16"/>
              </w:rPr>
              <w:t>INTERNATIONAL TELECOMMUNICATION UNION</w:t>
            </w:r>
          </w:p>
          <w:p w14:paraId="54BD2FC3" w14:textId="77777777" w:rsidR="009856CA" w:rsidRDefault="007911E3">
            <w:pPr>
              <w:rPr>
                <w:b/>
                <w:bCs/>
                <w:sz w:val="26"/>
                <w:szCs w:val="26"/>
              </w:rPr>
            </w:pPr>
            <w:r>
              <w:rPr>
                <w:b/>
                <w:bCs/>
                <w:sz w:val="26"/>
                <w:szCs w:val="26"/>
              </w:rPr>
              <w:t>TELECOMMUNICATION</w:t>
            </w:r>
            <w:r>
              <w:rPr>
                <w:b/>
                <w:bCs/>
                <w:sz w:val="26"/>
                <w:szCs w:val="26"/>
              </w:rPr>
              <w:br/>
              <w:t>STANDARDIZATION SECTOR</w:t>
            </w:r>
          </w:p>
          <w:p w14:paraId="78DE1C62" w14:textId="77777777" w:rsidR="009856CA" w:rsidRDefault="007911E3">
            <w:pPr>
              <w:rPr>
                <w:sz w:val="20"/>
                <w:szCs w:val="20"/>
              </w:rPr>
            </w:pPr>
            <w:r>
              <w:rPr>
                <w:sz w:val="20"/>
                <w:szCs w:val="20"/>
              </w:rPr>
              <w:t>STUDY PERIOD 2022-2024</w:t>
            </w:r>
          </w:p>
        </w:tc>
        <w:tc>
          <w:tcPr>
            <w:tcW w:w="4537" w:type="dxa"/>
            <w:gridSpan w:val="3"/>
            <w:vAlign w:val="center"/>
          </w:tcPr>
          <w:p w14:paraId="7BF3E5EA" w14:textId="50621E1F" w:rsidR="009856CA" w:rsidRDefault="00097819">
            <w:pPr>
              <w:pStyle w:val="Docnumber"/>
              <w:wordWrap w:val="0"/>
              <w:rPr>
                <w:highlight w:val="yellow"/>
              </w:rPr>
            </w:pPr>
            <w:r>
              <w:t>TSAG</w:t>
            </w:r>
            <w:r w:rsidR="007911E3">
              <w:t>-TD</w:t>
            </w:r>
            <w:r w:rsidR="00FC4DE5">
              <w:t>5</w:t>
            </w:r>
            <w:r w:rsidR="00934652">
              <w:t>36</w:t>
            </w:r>
          </w:p>
        </w:tc>
      </w:tr>
      <w:tr w:rsidR="009856CA" w14:paraId="26090207" w14:textId="77777777">
        <w:trPr>
          <w:cantSplit/>
          <w:jc w:val="center"/>
        </w:trPr>
        <w:tc>
          <w:tcPr>
            <w:tcW w:w="1134" w:type="dxa"/>
            <w:vMerge/>
          </w:tcPr>
          <w:p w14:paraId="5D6CCEAC" w14:textId="77777777" w:rsidR="009856CA" w:rsidRDefault="009856CA">
            <w:pPr>
              <w:rPr>
                <w:smallCaps/>
                <w:sz w:val="20"/>
              </w:rPr>
            </w:pPr>
          </w:p>
        </w:tc>
        <w:tc>
          <w:tcPr>
            <w:tcW w:w="3969" w:type="dxa"/>
            <w:gridSpan w:val="2"/>
            <w:vMerge/>
          </w:tcPr>
          <w:p w14:paraId="324175A6" w14:textId="77777777" w:rsidR="009856CA" w:rsidRDefault="009856CA">
            <w:pPr>
              <w:rPr>
                <w:smallCaps/>
                <w:sz w:val="20"/>
              </w:rPr>
            </w:pPr>
          </w:p>
        </w:tc>
        <w:tc>
          <w:tcPr>
            <w:tcW w:w="4537" w:type="dxa"/>
            <w:gridSpan w:val="3"/>
          </w:tcPr>
          <w:p w14:paraId="144B40FE" w14:textId="4235C867" w:rsidR="009856CA" w:rsidRDefault="00097819">
            <w:pPr>
              <w:pStyle w:val="TSBHeaderRight14"/>
            </w:pPr>
            <w:r>
              <w:t>TSAG</w:t>
            </w:r>
            <w:r w:rsidR="007911E3">
              <w:t xml:space="preserve"> </w:t>
            </w:r>
          </w:p>
        </w:tc>
      </w:tr>
      <w:tr w:rsidR="009856CA" w14:paraId="0DBF450A" w14:textId="77777777">
        <w:trPr>
          <w:cantSplit/>
          <w:jc w:val="center"/>
        </w:trPr>
        <w:tc>
          <w:tcPr>
            <w:tcW w:w="1134" w:type="dxa"/>
            <w:vMerge/>
            <w:tcBorders>
              <w:bottom w:val="single" w:sz="12" w:space="0" w:color="auto"/>
            </w:tcBorders>
          </w:tcPr>
          <w:p w14:paraId="429F9166" w14:textId="77777777" w:rsidR="009856CA" w:rsidRDefault="009856CA">
            <w:pPr>
              <w:rPr>
                <w:b/>
                <w:bCs/>
                <w:sz w:val="26"/>
              </w:rPr>
            </w:pPr>
          </w:p>
        </w:tc>
        <w:tc>
          <w:tcPr>
            <w:tcW w:w="3969" w:type="dxa"/>
            <w:gridSpan w:val="2"/>
            <w:vMerge/>
            <w:tcBorders>
              <w:bottom w:val="single" w:sz="12" w:space="0" w:color="auto"/>
            </w:tcBorders>
          </w:tcPr>
          <w:p w14:paraId="7E99BB23" w14:textId="77777777" w:rsidR="009856CA" w:rsidRDefault="009856CA">
            <w:pPr>
              <w:rPr>
                <w:b/>
                <w:bCs/>
                <w:sz w:val="26"/>
              </w:rPr>
            </w:pPr>
          </w:p>
        </w:tc>
        <w:tc>
          <w:tcPr>
            <w:tcW w:w="4537" w:type="dxa"/>
            <w:gridSpan w:val="3"/>
            <w:tcBorders>
              <w:bottom w:val="single" w:sz="12" w:space="0" w:color="auto"/>
            </w:tcBorders>
            <w:vAlign w:val="center"/>
          </w:tcPr>
          <w:p w14:paraId="6AAD19AF" w14:textId="77777777" w:rsidR="009856CA" w:rsidRDefault="007911E3">
            <w:pPr>
              <w:pStyle w:val="TSBHeaderRight14"/>
            </w:pPr>
            <w:r>
              <w:t>Original: English</w:t>
            </w:r>
          </w:p>
        </w:tc>
      </w:tr>
      <w:tr w:rsidR="009856CA" w:rsidRPr="00536845" w14:paraId="58EB3210" w14:textId="77777777">
        <w:trPr>
          <w:cantSplit/>
          <w:jc w:val="center"/>
        </w:trPr>
        <w:tc>
          <w:tcPr>
            <w:tcW w:w="1418" w:type="dxa"/>
            <w:gridSpan w:val="2"/>
          </w:tcPr>
          <w:p w14:paraId="7DC84AC6" w14:textId="77777777" w:rsidR="009856CA" w:rsidRPr="00536845" w:rsidRDefault="007911E3">
            <w:pPr>
              <w:rPr>
                <w:rFonts w:asciiTheme="majorBidi" w:hAnsiTheme="majorBidi" w:cstheme="majorBidi"/>
                <w:b/>
                <w:bCs/>
              </w:rPr>
            </w:pPr>
            <w:r w:rsidRPr="00536845">
              <w:rPr>
                <w:rFonts w:asciiTheme="majorBidi" w:hAnsiTheme="majorBidi" w:cstheme="majorBidi"/>
                <w:b/>
                <w:bCs/>
              </w:rPr>
              <w:t>Question(s):</w:t>
            </w:r>
          </w:p>
        </w:tc>
        <w:tc>
          <w:tcPr>
            <w:tcW w:w="3827" w:type="dxa"/>
            <w:gridSpan w:val="2"/>
          </w:tcPr>
          <w:p w14:paraId="07E98C56" w14:textId="584DE71A" w:rsidR="009856CA" w:rsidRPr="00536845" w:rsidRDefault="00097819">
            <w:pPr>
              <w:pStyle w:val="TSBHeaderQuestion"/>
              <w:rPr>
                <w:rFonts w:asciiTheme="majorBidi" w:hAnsiTheme="majorBidi" w:cstheme="majorBidi"/>
                <w:highlight w:val="yellow"/>
              </w:rPr>
            </w:pPr>
            <w:r w:rsidRPr="00536845">
              <w:rPr>
                <w:rFonts w:asciiTheme="majorBidi" w:hAnsiTheme="majorBidi" w:cstheme="majorBidi"/>
              </w:rPr>
              <w:t>N/A</w:t>
            </w:r>
          </w:p>
        </w:tc>
        <w:tc>
          <w:tcPr>
            <w:tcW w:w="4395" w:type="dxa"/>
            <w:gridSpan w:val="2"/>
          </w:tcPr>
          <w:p w14:paraId="25B98334" w14:textId="0AC8E8F4" w:rsidR="009856CA" w:rsidRPr="00536845" w:rsidRDefault="007911E3">
            <w:pPr>
              <w:pStyle w:val="VenueDate"/>
              <w:rPr>
                <w:rFonts w:asciiTheme="majorBidi" w:hAnsiTheme="majorBidi" w:cstheme="majorBidi"/>
              </w:rPr>
            </w:pPr>
            <w:r w:rsidRPr="00536845">
              <w:rPr>
                <w:rFonts w:asciiTheme="majorBidi" w:hAnsiTheme="majorBidi" w:cstheme="majorBidi"/>
              </w:rPr>
              <w:t xml:space="preserve">Geneva, </w:t>
            </w:r>
            <w:r w:rsidR="00A974DA">
              <w:rPr>
                <w:rFonts w:asciiTheme="majorBidi" w:hAnsiTheme="majorBidi" w:cstheme="majorBidi"/>
              </w:rPr>
              <w:t>2</w:t>
            </w:r>
            <w:r w:rsidR="00CF42C5">
              <w:rPr>
                <w:rFonts w:asciiTheme="majorBidi" w:hAnsiTheme="majorBidi" w:cstheme="majorBidi"/>
              </w:rPr>
              <w:t xml:space="preserve">9 July – </w:t>
            </w:r>
            <w:r w:rsidR="00A974DA">
              <w:rPr>
                <w:rFonts w:asciiTheme="majorBidi" w:hAnsiTheme="majorBidi" w:cstheme="majorBidi"/>
              </w:rPr>
              <w:t>2</w:t>
            </w:r>
            <w:r w:rsidR="00CF42C5">
              <w:rPr>
                <w:rFonts w:asciiTheme="majorBidi" w:hAnsiTheme="majorBidi" w:cstheme="majorBidi"/>
              </w:rPr>
              <w:t xml:space="preserve"> August</w:t>
            </w:r>
            <w:r w:rsidR="00A974DA">
              <w:rPr>
                <w:rFonts w:asciiTheme="majorBidi" w:hAnsiTheme="majorBidi" w:cstheme="majorBidi"/>
              </w:rPr>
              <w:t xml:space="preserve"> </w:t>
            </w:r>
            <w:r w:rsidRPr="00536845">
              <w:rPr>
                <w:rFonts w:asciiTheme="majorBidi" w:hAnsiTheme="majorBidi" w:cstheme="majorBidi"/>
              </w:rPr>
              <w:t>202</w:t>
            </w:r>
            <w:r w:rsidR="00A974DA">
              <w:rPr>
                <w:rFonts w:asciiTheme="majorBidi" w:hAnsiTheme="majorBidi" w:cstheme="majorBidi"/>
              </w:rPr>
              <w:t>4</w:t>
            </w:r>
          </w:p>
        </w:tc>
      </w:tr>
      <w:tr w:rsidR="009856CA" w:rsidRPr="00536845" w14:paraId="77A925CD" w14:textId="77777777">
        <w:trPr>
          <w:cantSplit/>
          <w:jc w:val="center"/>
        </w:trPr>
        <w:tc>
          <w:tcPr>
            <w:tcW w:w="9640" w:type="dxa"/>
            <w:gridSpan w:val="6"/>
          </w:tcPr>
          <w:p w14:paraId="51EC774A" w14:textId="77777777" w:rsidR="009856CA" w:rsidRPr="00536845" w:rsidRDefault="007911E3">
            <w:pPr>
              <w:jc w:val="center"/>
              <w:rPr>
                <w:rFonts w:asciiTheme="majorBidi" w:hAnsiTheme="majorBidi" w:cstheme="majorBidi"/>
                <w:b/>
                <w:bCs/>
              </w:rPr>
            </w:pPr>
            <w:r w:rsidRPr="00536845">
              <w:rPr>
                <w:rFonts w:asciiTheme="majorBidi" w:hAnsiTheme="majorBidi" w:cstheme="majorBidi"/>
                <w:b/>
                <w:bCs/>
              </w:rPr>
              <w:t>TD</w:t>
            </w:r>
          </w:p>
        </w:tc>
      </w:tr>
      <w:tr w:rsidR="009856CA" w:rsidRPr="00536845" w14:paraId="0794BE12" w14:textId="77777777">
        <w:trPr>
          <w:cantSplit/>
          <w:jc w:val="center"/>
        </w:trPr>
        <w:tc>
          <w:tcPr>
            <w:tcW w:w="1418" w:type="dxa"/>
            <w:gridSpan w:val="2"/>
          </w:tcPr>
          <w:p w14:paraId="2F1C1419" w14:textId="77777777" w:rsidR="009856CA" w:rsidRPr="00536845" w:rsidRDefault="007911E3">
            <w:pPr>
              <w:rPr>
                <w:rFonts w:asciiTheme="majorBidi" w:hAnsiTheme="majorBidi" w:cstheme="majorBidi"/>
                <w:b/>
                <w:bCs/>
              </w:rPr>
            </w:pPr>
            <w:r w:rsidRPr="00536845">
              <w:rPr>
                <w:rFonts w:asciiTheme="majorBidi" w:hAnsiTheme="majorBidi" w:cstheme="majorBidi"/>
                <w:b/>
                <w:bCs/>
              </w:rPr>
              <w:t>Source:</w:t>
            </w:r>
          </w:p>
        </w:tc>
        <w:tc>
          <w:tcPr>
            <w:tcW w:w="8222" w:type="dxa"/>
            <w:gridSpan w:val="4"/>
          </w:tcPr>
          <w:p w14:paraId="633BC8D7" w14:textId="46448D74" w:rsidR="009856CA" w:rsidRPr="00536845" w:rsidRDefault="002B7403">
            <w:pPr>
              <w:rPr>
                <w:rFonts w:asciiTheme="majorBidi" w:hAnsiTheme="majorBidi" w:cstheme="majorBidi"/>
                <w:highlight w:val="yellow"/>
              </w:rPr>
            </w:pPr>
            <w:r w:rsidRPr="00536845">
              <w:rPr>
                <w:rFonts w:asciiTheme="majorBidi" w:hAnsiTheme="majorBidi" w:cstheme="majorBidi"/>
              </w:rPr>
              <w:t>Chair, ITU-T Study Group 11</w:t>
            </w:r>
          </w:p>
        </w:tc>
      </w:tr>
      <w:tr w:rsidR="009856CA" w:rsidRPr="00536845" w14:paraId="7D35287A" w14:textId="77777777" w:rsidTr="000239D4">
        <w:trPr>
          <w:cantSplit/>
          <w:trHeight w:val="531"/>
          <w:jc w:val="center"/>
        </w:trPr>
        <w:tc>
          <w:tcPr>
            <w:tcW w:w="1418" w:type="dxa"/>
            <w:gridSpan w:val="2"/>
          </w:tcPr>
          <w:p w14:paraId="704C6378" w14:textId="77777777" w:rsidR="009856CA" w:rsidRPr="00536845" w:rsidRDefault="007911E3">
            <w:pPr>
              <w:rPr>
                <w:rFonts w:asciiTheme="majorBidi" w:hAnsiTheme="majorBidi" w:cstheme="majorBidi"/>
              </w:rPr>
            </w:pPr>
            <w:r w:rsidRPr="00536845">
              <w:rPr>
                <w:rFonts w:asciiTheme="majorBidi" w:hAnsiTheme="majorBidi" w:cstheme="majorBidi"/>
                <w:b/>
                <w:bCs/>
              </w:rPr>
              <w:t>Title:</w:t>
            </w:r>
          </w:p>
        </w:tc>
        <w:tc>
          <w:tcPr>
            <w:tcW w:w="8222" w:type="dxa"/>
            <w:gridSpan w:val="4"/>
          </w:tcPr>
          <w:p w14:paraId="3D90F5DE" w14:textId="1F003F94" w:rsidR="009856CA" w:rsidRPr="00536845" w:rsidRDefault="00741BC6">
            <w:pPr>
              <w:rPr>
                <w:rFonts w:asciiTheme="majorBidi" w:hAnsiTheme="majorBidi" w:cstheme="majorBidi"/>
                <w:highlight w:val="yellow"/>
              </w:rPr>
            </w:pPr>
            <w:r w:rsidRPr="00536845">
              <w:rPr>
                <w:rFonts w:asciiTheme="majorBidi" w:hAnsiTheme="majorBidi" w:cstheme="majorBidi"/>
              </w:rPr>
              <w:t>ITU-T SG11 Lead Study Group Report</w:t>
            </w:r>
          </w:p>
        </w:tc>
      </w:tr>
      <w:tr w:rsidR="009856CA" w:rsidRPr="002404B1" w14:paraId="1672F6C2" w14:textId="77777777" w:rsidTr="00164541">
        <w:trPr>
          <w:cantSplit/>
          <w:trHeight w:val="885"/>
          <w:jc w:val="center"/>
        </w:trPr>
        <w:tc>
          <w:tcPr>
            <w:tcW w:w="1418" w:type="dxa"/>
            <w:gridSpan w:val="2"/>
            <w:tcBorders>
              <w:top w:val="single" w:sz="6" w:space="0" w:color="auto"/>
              <w:bottom w:val="single" w:sz="6" w:space="0" w:color="auto"/>
            </w:tcBorders>
          </w:tcPr>
          <w:p w14:paraId="7B5EC08F" w14:textId="77777777" w:rsidR="009856CA" w:rsidRPr="00536845" w:rsidRDefault="007911E3">
            <w:pPr>
              <w:rPr>
                <w:rFonts w:asciiTheme="majorBidi" w:hAnsiTheme="majorBidi" w:cstheme="majorBidi"/>
                <w:b/>
                <w:bCs/>
              </w:rPr>
            </w:pPr>
            <w:r w:rsidRPr="00536845">
              <w:rPr>
                <w:rFonts w:asciiTheme="majorBidi" w:hAnsiTheme="majorBidi" w:cstheme="majorBidi"/>
                <w:b/>
                <w:bCs/>
              </w:rPr>
              <w:t>Contact:</w:t>
            </w:r>
          </w:p>
        </w:tc>
        <w:tc>
          <w:tcPr>
            <w:tcW w:w="4111" w:type="dxa"/>
            <w:gridSpan w:val="3"/>
            <w:tcBorders>
              <w:top w:val="single" w:sz="6" w:space="0" w:color="auto"/>
              <w:bottom w:val="single" w:sz="6" w:space="0" w:color="auto"/>
            </w:tcBorders>
          </w:tcPr>
          <w:p w14:paraId="7D0E320B" w14:textId="745408DB" w:rsidR="009856CA" w:rsidRPr="00536845" w:rsidRDefault="00D9672D">
            <w:pPr>
              <w:rPr>
                <w:rFonts w:asciiTheme="majorBidi" w:hAnsiTheme="majorBidi" w:cstheme="majorBidi"/>
              </w:rPr>
            </w:pPr>
            <w:r w:rsidRPr="00536845">
              <w:rPr>
                <w:rFonts w:asciiTheme="majorBidi" w:hAnsiTheme="majorBidi" w:cstheme="majorBidi"/>
                <w:lang w:eastAsia="zh-CN"/>
              </w:rPr>
              <w:t>Ritu Ranjan MITTAR</w:t>
            </w:r>
            <w:r w:rsidRPr="00536845">
              <w:rPr>
                <w:rFonts w:asciiTheme="majorBidi" w:hAnsiTheme="majorBidi" w:cstheme="majorBidi"/>
                <w:lang w:eastAsia="zh-CN"/>
              </w:rPr>
              <w:br/>
              <w:t>India</w:t>
            </w:r>
          </w:p>
        </w:tc>
        <w:tc>
          <w:tcPr>
            <w:tcW w:w="4111" w:type="dxa"/>
            <w:tcBorders>
              <w:top w:val="single" w:sz="6" w:space="0" w:color="auto"/>
              <w:bottom w:val="single" w:sz="6" w:space="0" w:color="auto"/>
            </w:tcBorders>
          </w:tcPr>
          <w:p w14:paraId="24A2D931" w14:textId="79981C2E" w:rsidR="009856CA" w:rsidRPr="00536845" w:rsidRDefault="007911E3">
            <w:pPr>
              <w:rPr>
                <w:rFonts w:asciiTheme="majorBidi" w:hAnsiTheme="majorBidi" w:cstheme="majorBidi"/>
                <w:lang w:val="de-DE"/>
              </w:rPr>
            </w:pPr>
            <w:r w:rsidRPr="00536845">
              <w:rPr>
                <w:rFonts w:asciiTheme="majorBidi" w:hAnsiTheme="majorBidi" w:cstheme="majorBidi"/>
                <w:lang w:val="de-DE"/>
              </w:rPr>
              <w:t xml:space="preserve">Tel: </w:t>
            </w:r>
            <w:r w:rsidR="00164541" w:rsidRPr="00536845">
              <w:rPr>
                <w:rFonts w:asciiTheme="majorBidi" w:hAnsiTheme="majorBidi" w:cstheme="majorBidi"/>
                <w:lang w:val="de-DE" w:eastAsia="zh-CN"/>
              </w:rPr>
              <w:t>+919868137776</w:t>
            </w:r>
            <w:r w:rsidRPr="00536845">
              <w:rPr>
                <w:rFonts w:asciiTheme="majorBidi" w:hAnsiTheme="majorBidi" w:cstheme="majorBidi"/>
                <w:lang w:val="de-DE"/>
              </w:rPr>
              <w:br/>
              <w:t xml:space="preserve">E-mail: </w:t>
            </w:r>
            <w:hyperlink r:id="rId8" w:history="1">
              <w:r w:rsidR="00164541" w:rsidRPr="00536845">
                <w:rPr>
                  <w:rStyle w:val="Hyperlink"/>
                  <w:rFonts w:asciiTheme="majorBidi" w:hAnsiTheme="majorBidi" w:cstheme="majorBidi"/>
                  <w:lang w:val="de-DE"/>
                </w:rPr>
                <w:t>rr.mittar@gov.in</w:t>
              </w:r>
            </w:hyperlink>
          </w:p>
        </w:tc>
      </w:tr>
    </w:tbl>
    <w:p w14:paraId="06409DF9" w14:textId="77777777" w:rsidR="009856CA" w:rsidRPr="00536845" w:rsidRDefault="009856CA">
      <w:pPr>
        <w:rPr>
          <w:rFonts w:asciiTheme="majorBidi" w:hAnsiTheme="majorBidi" w:cstheme="majorBidi"/>
          <w:lang w:val="de-DE"/>
        </w:rPr>
      </w:pPr>
    </w:p>
    <w:tbl>
      <w:tblPr>
        <w:tblW w:w="9640" w:type="dxa"/>
        <w:jc w:val="center"/>
        <w:tblLayout w:type="fixed"/>
        <w:tblCellMar>
          <w:left w:w="57" w:type="dxa"/>
          <w:right w:w="57" w:type="dxa"/>
        </w:tblCellMar>
        <w:tblLook w:val="04A0" w:firstRow="1" w:lastRow="0" w:firstColumn="1" w:lastColumn="0" w:noHBand="0" w:noVBand="1"/>
      </w:tblPr>
      <w:tblGrid>
        <w:gridCol w:w="1418"/>
        <w:gridCol w:w="8222"/>
      </w:tblGrid>
      <w:tr w:rsidR="009856CA" w:rsidRPr="00536845" w14:paraId="79AD0DFC" w14:textId="77777777" w:rsidTr="00B75919">
        <w:trPr>
          <w:cantSplit/>
          <w:trHeight w:val="783"/>
          <w:jc w:val="center"/>
        </w:trPr>
        <w:tc>
          <w:tcPr>
            <w:tcW w:w="1418" w:type="dxa"/>
          </w:tcPr>
          <w:p w14:paraId="77F8FACC" w14:textId="77777777" w:rsidR="009856CA" w:rsidRPr="00536845" w:rsidRDefault="007911E3">
            <w:pPr>
              <w:rPr>
                <w:rFonts w:asciiTheme="majorBidi" w:hAnsiTheme="majorBidi" w:cstheme="majorBidi"/>
                <w:b/>
                <w:bCs/>
              </w:rPr>
            </w:pPr>
            <w:r w:rsidRPr="00536845">
              <w:rPr>
                <w:rFonts w:asciiTheme="majorBidi" w:hAnsiTheme="majorBidi" w:cstheme="majorBidi"/>
                <w:b/>
                <w:bCs/>
              </w:rPr>
              <w:t>Abstract:</w:t>
            </w:r>
          </w:p>
        </w:tc>
        <w:tc>
          <w:tcPr>
            <w:tcW w:w="8222" w:type="dxa"/>
          </w:tcPr>
          <w:p w14:paraId="25BA5DCB" w14:textId="21701812" w:rsidR="009856CA" w:rsidRPr="00536845" w:rsidRDefault="00AE4786">
            <w:pPr>
              <w:pStyle w:val="TSBHeaderSummary"/>
              <w:rPr>
                <w:rFonts w:asciiTheme="majorBidi" w:hAnsiTheme="majorBidi" w:cstheme="majorBidi"/>
                <w:highlight w:val="yellow"/>
              </w:rPr>
            </w:pPr>
            <w:r w:rsidRPr="00536845">
              <w:rPr>
                <w:rFonts w:asciiTheme="majorBidi" w:hAnsiTheme="majorBidi" w:cstheme="majorBidi"/>
              </w:rPr>
              <w:t>This document contains the Report of the ITU-T SG11 on lead study group activities (</w:t>
            </w:r>
            <w:r w:rsidR="000F779B">
              <w:rPr>
                <w:rFonts w:asciiTheme="majorBidi" w:hAnsiTheme="majorBidi" w:cstheme="majorBidi"/>
              </w:rPr>
              <w:t>January</w:t>
            </w:r>
            <w:r w:rsidR="00CF42C5">
              <w:rPr>
                <w:rFonts w:asciiTheme="majorBidi" w:hAnsiTheme="majorBidi" w:cstheme="majorBidi"/>
              </w:rPr>
              <w:t xml:space="preserve"> - July</w:t>
            </w:r>
            <w:r w:rsidRPr="00536845">
              <w:rPr>
                <w:rFonts w:asciiTheme="majorBidi" w:hAnsiTheme="majorBidi" w:cstheme="majorBidi"/>
              </w:rPr>
              <w:t xml:space="preserve"> </w:t>
            </w:r>
            <w:r w:rsidR="00B75919">
              <w:rPr>
                <w:rFonts w:asciiTheme="majorBidi" w:hAnsiTheme="majorBidi" w:cstheme="majorBidi"/>
              </w:rPr>
              <w:t>2024</w:t>
            </w:r>
            <w:r w:rsidRPr="00536845">
              <w:rPr>
                <w:rFonts w:asciiTheme="majorBidi" w:hAnsiTheme="majorBidi" w:cstheme="majorBidi"/>
              </w:rPr>
              <w:t>).</w:t>
            </w:r>
          </w:p>
        </w:tc>
      </w:tr>
    </w:tbl>
    <w:p w14:paraId="509F7AAC" w14:textId="77777777"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Background</w:t>
      </w:r>
    </w:p>
    <w:p w14:paraId="1131F805" w14:textId="377DEDF7" w:rsidR="00613028" w:rsidRPr="00536845" w:rsidRDefault="00613028" w:rsidP="008A6829">
      <w:pPr>
        <w:snapToGrid w:val="0"/>
        <w:spacing w:after="120"/>
        <w:rPr>
          <w:rFonts w:asciiTheme="majorBidi" w:hAnsiTheme="majorBidi" w:cstheme="majorBidi"/>
        </w:rPr>
      </w:pPr>
      <w:r w:rsidRPr="00536845">
        <w:rPr>
          <w:rFonts w:asciiTheme="majorBidi" w:hAnsiTheme="majorBidi" w:cstheme="majorBidi"/>
        </w:rPr>
        <w:t>According to Resolution 2 of WTSA-20, ITU-T Study Group 11 is the lead study group on:</w:t>
      </w:r>
    </w:p>
    <w:p w14:paraId="62CF968E" w14:textId="3D1A9FD7" w:rsidR="003F2E6C" w:rsidRPr="00536845" w:rsidRDefault="003F2E6C" w:rsidP="00EB04B0">
      <w:pPr>
        <w:numPr>
          <w:ilvl w:val="0"/>
          <w:numId w:val="27"/>
        </w:numPr>
        <w:rPr>
          <w:rFonts w:asciiTheme="majorBidi" w:hAnsiTheme="majorBidi" w:cstheme="majorBidi"/>
        </w:rPr>
      </w:pPr>
      <w:r w:rsidRPr="00536845">
        <w:rPr>
          <w:rFonts w:asciiTheme="majorBidi" w:hAnsiTheme="majorBidi" w:cstheme="majorBidi"/>
        </w:rPr>
        <w:t>signalling and protocols;</w:t>
      </w:r>
    </w:p>
    <w:p w14:paraId="50CFB7C7" w14:textId="4172C50F" w:rsidR="003F2E6C" w:rsidRPr="00536845" w:rsidRDefault="003F2E6C" w:rsidP="00EB04B0">
      <w:pPr>
        <w:numPr>
          <w:ilvl w:val="0"/>
          <w:numId w:val="27"/>
        </w:numPr>
        <w:rPr>
          <w:rFonts w:asciiTheme="majorBidi" w:hAnsiTheme="majorBidi" w:cstheme="majorBidi"/>
        </w:rPr>
      </w:pPr>
      <w:r w:rsidRPr="00536845">
        <w:rPr>
          <w:rFonts w:asciiTheme="majorBidi" w:hAnsiTheme="majorBidi" w:cstheme="majorBidi"/>
        </w:rPr>
        <w:t>establishing test specifications, conformance and interoperability testing for all types of networks, technologies and services that are the subject of study and standardization by all ITU-T study groups;</w:t>
      </w:r>
    </w:p>
    <w:p w14:paraId="4BCA203D" w14:textId="6AFEB500" w:rsidR="003F2E6C" w:rsidRPr="00536845" w:rsidRDefault="003F2E6C" w:rsidP="00EB04B0">
      <w:pPr>
        <w:numPr>
          <w:ilvl w:val="0"/>
          <w:numId w:val="27"/>
        </w:numPr>
        <w:rPr>
          <w:rFonts w:asciiTheme="majorBidi" w:hAnsiTheme="majorBidi" w:cstheme="majorBidi"/>
        </w:rPr>
      </w:pPr>
      <w:r w:rsidRPr="00536845">
        <w:rPr>
          <w:rFonts w:asciiTheme="majorBidi" w:hAnsiTheme="majorBidi" w:cstheme="majorBidi"/>
        </w:rPr>
        <w:t>combating counterfeiting of ICT devices;</w:t>
      </w:r>
    </w:p>
    <w:p w14:paraId="2443A0EC" w14:textId="0CD20BEA" w:rsidR="003F2E6C" w:rsidRPr="00536845" w:rsidRDefault="003F2E6C" w:rsidP="00EB04B0">
      <w:pPr>
        <w:numPr>
          <w:ilvl w:val="0"/>
          <w:numId w:val="27"/>
        </w:numPr>
        <w:rPr>
          <w:rFonts w:asciiTheme="majorBidi" w:hAnsiTheme="majorBidi" w:cstheme="majorBidi"/>
        </w:rPr>
      </w:pPr>
      <w:r w:rsidRPr="00536845">
        <w:rPr>
          <w:rFonts w:asciiTheme="majorBidi" w:hAnsiTheme="majorBidi" w:cstheme="majorBidi"/>
        </w:rPr>
        <w:t>combating the use of stolen ICT devices.</w:t>
      </w:r>
    </w:p>
    <w:p w14:paraId="35FC6573" w14:textId="786012BF" w:rsidR="00680522" w:rsidRPr="00536845" w:rsidRDefault="00282BC6"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General information</w:t>
      </w:r>
    </w:p>
    <w:p w14:paraId="46E9A15F" w14:textId="47628634" w:rsidR="00FD59D8" w:rsidRDefault="009253B5" w:rsidP="008A6829">
      <w:pPr>
        <w:snapToGrid w:val="0"/>
        <w:spacing w:after="120"/>
        <w:rPr>
          <w:rFonts w:asciiTheme="majorBidi" w:hAnsiTheme="majorBidi" w:cstheme="majorBidi"/>
        </w:rPr>
      </w:pPr>
      <w:r>
        <w:rPr>
          <w:rFonts w:asciiTheme="majorBidi" w:hAnsiTheme="majorBidi" w:cstheme="majorBidi"/>
        </w:rPr>
        <w:t xml:space="preserve">SG11 conducted </w:t>
      </w:r>
      <w:r w:rsidR="00067CAD">
        <w:rPr>
          <w:rFonts w:asciiTheme="majorBidi" w:hAnsiTheme="majorBidi" w:cstheme="majorBidi"/>
        </w:rPr>
        <w:t xml:space="preserve">interim WP1/11, WP2/11, WP3/11 and WP4/11 meetings </w:t>
      </w:r>
      <w:r>
        <w:rPr>
          <w:rFonts w:asciiTheme="majorBidi" w:hAnsiTheme="majorBidi" w:cstheme="majorBidi"/>
        </w:rPr>
        <w:t>(virtual, 7 February 2024)</w:t>
      </w:r>
      <w:r w:rsidR="00CB1C82">
        <w:rPr>
          <w:rFonts w:asciiTheme="majorBidi" w:hAnsiTheme="majorBidi" w:cstheme="majorBidi"/>
        </w:rPr>
        <w:t xml:space="preserve"> which was held back-to-back with RGM e-meetings (2</w:t>
      </w:r>
      <w:r w:rsidR="003F6E38">
        <w:rPr>
          <w:rFonts w:asciiTheme="majorBidi" w:hAnsiTheme="majorBidi" w:cstheme="majorBidi"/>
        </w:rPr>
        <w:t>9 January – 6 February 2024</w:t>
      </w:r>
      <w:r w:rsidR="00CB1C82">
        <w:rPr>
          <w:rFonts w:asciiTheme="majorBidi" w:hAnsiTheme="majorBidi" w:cstheme="majorBidi"/>
        </w:rPr>
        <w:t>)</w:t>
      </w:r>
      <w:r w:rsidR="00E57A29">
        <w:rPr>
          <w:rFonts w:asciiTheme="majorBidi" w:hAnsiTheme="majorBidi" w:cstheme="majorBidi"/>
        </w:rPr>
        <w:t>. During th</w:t>
      </w:r>
      <w:r w:rsidR="00BD3451">
        <w:rPr>
          <w:rFonts w:asciiTheme="majorBidi" w:hAnsiTheme="majorBidi" w:cstheme="majorBidi"/>
        </w:rPr>
        <w:t>e</w:t>
      </w:r>
      <w:r w:rsidR="00E57A29">
        <w:rPr>
          <w:rFonts w:asciiTheme="majorBidi" w:hAnsiTheme="majorBidi" w:cstheme="majorBidi"/>
        </w:rPr>
        <w:t>s</w:t>
      </w:r>
      <w:r w:rsidR="00BD3451">
        <w:rPr>
          <w:rFonts w:asciiTheme="majorBidi" w:hAnsiTheme="majorBidi" w:cstheme="majorBidi"/>
        </w:rPr>
        <w:t>e</w:t>
      </w:r>
      <w:r w:rsidR="00E57A29">
        <w:rPr>
          <w:rFonts w:asciiTheme="majorBidi" w:hAnsiTheme="majorBidi" w:cstheme="majorBidi"/>
        </w:rPr>
        <w:t xml:space="preserve"> meetings only one supplement was </w:t>
      </w:r>
      <w:r w:rsidR="001246FB">
        <w:rPr>
          <w:rFonts w:asciiTheme="majorBidi" w:hAnsiTheme="majorBidi" w:cstheme="majorBidi"/>
        </w:rPr>
        <w:t>agreed</w:t>
      </w:r>
      <w:r w:rsidR="00B150E2">
        <w:rPr>
          <w:rFonts w:asciiTheme="majorBidi" w:hAnsiTheme="majorBidi" w:cstheme="majorBidi"/>
        </w:rPr>
        <w:t xml:space="preserve">. More details are available in </w:t>
      </w:r>
      <w:hyperlink r:id="rId9" w:history="1">
        <w:r w:rsidR="00D23C44">
          <w:rPr>
            <w:rStyle w:val="Hyperlink"/>
            <w:rFonts w:asciiTheme="majorBidi" w:hAnsiTheme="majorBidi" w:cstheme="majorBidi"/>
          </w:rPr>
          <w:t>SG</w:t>
        </w:r>
        <w:r w:rsidR="009E5566" w:rsidRPr="009E5566">
          <w:rPr>
            <w:rStyle w:val="Hyperlink"/>
            <w:rFonts w:asciiTheme="majorBidi" w:hAnsiTheme="majorBidi" w:cstheme="majorBidi"/>
          </w:rPr>
          <w:t>11-R19</w:t>
        </w:r>
      </w:hyperlink>
      <w:r w:rsidR="009E5566">
        <w:rPr>
          <w:rFonts w:asciiTheme="majorBidi" w:hAnsiTheme="majorBidi" w:cstheme="majorBidi"/>
        </w:rPr>
        <w:t xml:space="preserve">, </w:t>
      </w:r>
      <w:hyperlink r:id="rId10" w:history="1">
        <w:r w:rsidR="00D23C44">
          <w:rPr>
            <w:rStyle w:val="Hyperlink"/>
            <w:rFonts w:eastAsia="Calibri"/>
          </w:rPr>
          <w:t>SG</w:t>
        </w:r>
        <w:r w:rsidR="00654A79" w:rsidRPr="00CF3272">
          <w:rPr>
            <w:rStyle w:val="Hyperlink"/>
            <w:rFonts w:eastAsia="Calibri"/>
          </w:rPr>
          <w:t>11-R2</w:t>
        </w:r>
        <w:r w:rsidR="00654A79">
          <w:rPr>
            <w:rStyle w:val="Hyperlink"/>
            <w:rFonts w:eastAsia="Calibri"/>
          </w:rPr>
          <w:t>0</w:t>
        </w:r>
      </w:hyperlink>
      <w:r w:rsidR="009E5566">
        <w:rPr>
          <w:rFonts w:asciiTheme="majorBidi" w:hAnsiTheme="majorBidi" w:cstheme="majorBidi"/>
        </w:rPr>
        <w:t xml:space="preserve">, </w:t>
      </w:r>
      <w:hyperlink r:id="rId11" w:history="1">
        <w:r w:rsidR="00D23C44">
          <w:rPr>
            <w:rStyle w:val="Hyperlink"/>
            <w:rFonts w:eastAsia="Calibri"/>
          </w:rPr>
          <w:t>SG</w:t>
        </w:r>
        <w:r w:rsidR="00BF30F1" w:rsidRPr="00CF3272">
          <w:rPr>
            <w:rStyle w:val="Hyperlink"/>
            <w:rFonts w:eastAsia="Calibri"/>
          </w:rPr>
          <w:t>11-R2</w:t>
        </w:r>
        <w:r w:rsidR="00BF30F1">
          <w:rPr>
            <w:rStyle w:val="Hyperlink"/>
            <w:rFonts w:eastAsia="Calibri"/>
          </w:rPr>
          <w:t>1</w:t>
        </w:r>
      </w:hyperlink>
      <w:r w:rsidR="009E5566">
        <w:rPr>
          <w:rFonts w:asciiTheme="majorBidi" w:hAnsiTheme="majorBidi" w:cstheme="majorBidi"/>
        </w:rPr>
        <w:t xml:space="preserve">, </w:t>
      </w:r>
      <w:hyperlink r:id="rId12" w:history="1">
        <w:r w:rsidR="00D23C44">
          <w:rPr>
            <w:rStyle w:val="Hyperlink"/>
            <w:rFonts w:eastAsia="Calibri"/>
          </w:rPr>
          <w:t>SG</w:t>
        </w:r>
        <w:r w:rsidR="00D23C44" w:rsidRPr="00CF3272">
          <w:rPr>
            <w:rStyle w:val="Hyperlink"/>
            <w:rFonts w:eastAsia="Calibri"/>
          </w:rPr>
          <w:t>11-R2</w:t>
        </w:r>
        <w:r w:rsidR="00D23C44">
          <w:rPr>
            <w:rStyle w:val="Hyperlink"/>
            <w:rFonts w:eastAsia="Calibri"/>
          </w:rPr>
          <w:t>2</w:t>
        </w:r>
      </w:hyperlink>
      <w:r w:rsidR="009E5566">
        <w:rPr>
          <w:rFonts w:asciiTheme="majorBidi" w:hAnsiTheme="majorBidi" w:cstheme="majorBidi"/>
        </w:rPr>
        <w:t>.</w:t>
      </w:r>
    </w:p>
    <w:p w14:paraId="471F68BF" w14:textId="132DAE1A" w:rsidR="00C30030" w:rsidRDefault="007E281A" w:rsidP="008A6829">
      <w:pPr>
        <w:snapToGrid w:val="0"/>
        <w:spacing w:after="120"/>
        <w:rPr>
          <w:rFonts w:asciiTheme="majorBidi" w:hAnsiTheme="majorBidi" w:cstheme="majorBidi"/>
        </w:rPr>
      </w:pPr>
      <w:r w:rsidRPr="00536845">
        <w:rPr>
          <w:rFonts w:asciiTheme="majorBidi" w:hAnsiTheme="majorBidi" w:cstheme="majorBidi"/>
        </w:rPr>
        <w:t xml:space="preserve">SG11 </w:t>
      </w:r>
      <w:r w:rsidR="009E6722" w:rsidRPr="00536845">
        <w:rPr>
          <w:rFonts w:asciiTheme="majorBidi" w:hAnsiTheme="majorBidi" w:cstheme="majorBidi"/>
        </w:rPr>
        <w:t xml:space="preserve">conducted its </w:t>
      </w:r>
      <w:r w:rsidR="00D23C44">
        <w:rPr>
          <w:rFonts w:asciiTheme="majorBidi" w:hAnsiTheme="majorBidi" w:cstheme="majorBidi"/>
        </w:rPr>
        <w:t xml:space="preserve">fourth </w:t>
      </w:r>
      <w:r w:rsidR="009E6722" w:rsidRPr="00536845">
        <w:rPr>
          <w:rFonts w:asciiTheme="majorBidi" w:hAnsiTheme="majorBidi" w:cstheme="majorBidi"/>
        </w:rPr>
        <w:t xml:space="preserve">meeting in Geneva from </w:t>
      </w:r>
      <w:r w:rsidR="009E3145">
        <w:rPr>
          <w:rFonts w:asciiTheme="majorBidi" w:hAnsiTheme="majorBidi" w:cstheme="majorBidi"/>
        </w:rPr>
        <w:t xml:space="preserve">1 </w:t>
      </w:r>
      <w:r w:rsidR="000239D4" w:rsidRPr="00536845">
        <w:rPr>
          <w:rFonts w:asciiTheme="majorBidi" w:hAnsiTheme="majorBidi" w:cstheme="majorBidi"/>
        </w:rPr>
        <w:t xml:space="preserve">to </w:t>
      </w:r>
      <w:r w:rsidR="00D23C44">
        <w:rPr>
          <w:rFonts w:asciiTheme="majorBidi" w:hAnsiTheme="majorBidi" w:cstheme="majorBidi"/>
        </w:rPr>
        <w:t>1</w:t>
      </w:r>
      <w:r w:rsidR="000610AA">
        <w:rPr>
          <w:rFonts w:asciiTheme="majorBidi" w:hAnsiTheme="majorBidi" w:cstheme="majorBidi"/>
        </w:rPr>
        <w:t>0</w:t>
      </w:r>
      <w:r w:rsidR="009E6722" w:rsidRPr="00536845">
        <w:rPr>
          <w:rFonts w:asciiTheme="majorBidi" w:hAnsiTheme="majorBidi" w:cstheme="majorBidi"/>
        </w:rPr>
        <w:t xml:space="preserve"> </w:t>
      </w:r>
      <w:r w:rsidR="00D23C44">
        <w:rPr>
          <w:rFonts w:asciiTheme="majorBidi" w:hAnsiTheme="majorBidi" w:cstheme="majorBidi"/>
        </w:rPr>
        <w:t>May</w:t>
      </w:r>
      <w:r w:rsidR="009E6722" w:rsidRPr="00EF4919">
        <w:rPr>
          <w:rFonts w:asciiTheme="majorBidi" w:hAnsiTheme="majorBidi" w:cstheme="majorBidi"/>
        </w:rPr>
        <w:t xml:space="preserve"> 202</w:t>
      </w:r>
      <w:r w:rsidR="00D23C44">
        <w:rPr>
          <w:rFonts w:asciiTheme="majorBidi" w:hAnsiTheme="majorBidi" w:cstheme="majorBidi"/>
        </w:rPr>
        <w:t>4</w:t>
      </w:r>
      <w:r w:rsidR="009E6722" w:rsidRPr="00EF4919">
        <w:rPr>
          <w:rFonts w:asciiTheme="majorBidi" w:hAnsiTheme="majorBidi" w:cstheme="majorBidi"/>
        </w:rPr>
        <w:t>.</w:t>
      </w:r>
      <w:r w:rsidR="00C30030" w:rsidRPr="00EF4919">
        <w:rPr>
          <w:rFonts w:asciiTheme="majorBidi" w:hAnsiTheme="majorBidi" w:cstheme="majorBidi"/>
        </w:rPr>
        <w:t xml:space="preserve"> During this meeting, SG11 </w:t>
      </w:r>
      <w:r w:rsidR="00533F77">
        <w:rPr>
          <w:rFonts w:asciiTheme="majorBidi" w:hAnsiTheme="majorBidi" w:cstheme="majorBidi"/>
        </w:rPr>
        <w:t>determined two</w:t>
      </w:r>
      <w:r w:rsidR="00875A67">
        <w:rPr>
          <w:rFonts w:asciiTheme="majorBidi" w:hAnsiTheme="majorBidi" w:cstheme="majorBidi"/>
        </w:rPr>
        <w:t>,</w:t>
      </w:r>
      <w:r w:rsidR="00866985">
        <w:rPr>
          <w:rFonts w:asciiTheme="majorBidi" w:hAnsiTheme="majorBidi" w:cstheme="majorBidi"/>
        </w:rPr>
        <w:t xml:space="preserve"> </w:t>
      </w:r>
      <w:r w:rsidR="00C30030" w:rsidRPr="00EF4919">
        <w:rPr>
          <w:rFonts w:asciiTheme="majorBidi" w:hAnsiTheme="majorBidi" w:cstheme="majorBidi"/>
        </w:rPr>
        <w:t>consen</w:t>
      </w:r>
      <w:r w:rsidR="00B50C1E" w:rsidRPr="00EF4919">
        <w:rPr>
          <w:rFonts w:asciiTheme="majorBidi" w:hAnsiTheme="majorBidi" w:cstheme="majorBidi"/>
        </w:rPr>
        <w:t>t</w:t>
      </w:r>
      <w:r w:rsidR="00C30030" w:rsidRPr="00EF4919">
        <w:rPr>
          <w:rFonts w:asciiTheme="majorBidi" w:hAnsiTheme="majorBidi" w:cstheme="majorBidi"/>
        </w:rPr>
        <w:t xml:space="preserve">ed </w:t>
      </w:r>
      <w:r w:rsidR="00533F77">
        <w:rPr>
          <w:rFonts w:asciiTheme="majorBidi" w:hAnsiTheme="majorBidi" w:cstheme="majorBidi"/>
        </w:rPr>
        <w:t>23</w:t>
      </w:r>
      <w:r w:rsidR="00B50C1E" w:rsidRPr="00EF4919">
        <w:rPr>
          <w:rFonts w:asciiTheme="majorBidi" w:hAnsiTheme="majorBidi" w:cstheme="majorBidi"/>
        </w:rPr>
        <w:t xml:space="preserve"> draft Recommendations</w:t>
      </w:r>
      <w:r w:rsidR="00864883">
        <w:rPr>
          <w:rFonts w:asciiTheme="majorBidi" w:hAnsiTheme="majorBidi" w:cstheme="majorBidi"/>
        </w:rPr>
        <w:t>, including Amendments to existing Recommendations</w:t>
      </w:r>
      <w:r w:rsidR="00B50C1E" w:rsidRPr="00EF4919">
        <w:rPr>
          <w:rFonts w:asciiTheme="majorBidi" w:hAnsiTheme="majorBidi" w:cstheme="majorBidi"/>
        </w:rPr>
        <w:t xml:space="preserve"> </w:t>
      </w:r>
      <w:r w:rsidR="00227E8E">
        <w:rPr>
          <w:rFonts w:asciiTheme="majorBidi" w:hAnsiTheme="majorBidi" w:cstheme="majorBidi"/>
        </w:rPr>
        <w:t>and</w:t>
      </w:r>
      <w:r w:rsidR="00864883">
        <w:rPr>
          <w:rFonts w:asciiTheme="majorBidi" w:hAnsiTheme="majorBidi" w:cstheme="majorBidi"/>
        </w:rPr>
        <w:t xml:space="preserve"> </w:t>
      </w:r>
      <w:r w:rsidR="0002578B">
        <w:rPr>
          <w:rFonts w:asciiTheme="majorBidi" w:hAnsiTheme="majorBidi" w:cstheme="majorBidi"/>
        </w:rPr>
        <w:t xml:space="preserve">initiated </w:t>
      </w:r>
      <w:r w:rsidR="00866985">
        <w:rPr>
          <w:rFonts w:asciiTheme="majorBidi" w:hAnsiTheme="majorBidi" w:cstheme="majorBidi"/>
        </w:rPr>
        <w:t>33</w:t>
      </w:r>
      <w:r w:rsidR="00EF4919">
        <w:rPr>
          <w:rFonts w:asciiTheme="majorBidi" w:hAnsiTheme="majorBidi" w:cstheme="majorBidi"/>
        </w:rPr>
        <w:t xml:space="preserve"> new work items.</w:t>
      </w:r>
      <w:r w:rsidR="006B5C85">
        <w:rPr>
          <w:rFonts w:asciiTheme="majorBidi" w:hAnsiTheme="majorBidi" w:cstheme="majorBidi"/>
        </w:rPr>
        <w:t xml:space="preserve"> More details are available in the </w:t>
      </w:r>
      <w:hyperlink r:id="rId13" w:history="1">
        <w:r w:rsidR="006B5C85" w:rsidRPr="0071662E">
          <w:rPr>
            <w:rStyle w:val="Hyperlink"/>
            <w:rFonts w:asciiTheme="majorBidi" w:hAnsiTheme="majorBidi" w:cstheme="majorBidi"/>
          </w:rPr>
          <w:t>executive summary</w:t>
        </w:r>
      </w:hyperlink>
      <w:r w:rsidR="005238DD">
        <w:rPr>
          <w:rFonts w:asciiTheme="majorBidi" w:hAnsiTheme="majorBidi" w:cstheme="majorBidi"/>
        </w:rPr>
        <w:t xml:space="preserve"> and </w:t>
      </w:r>
      <w:r w:rsidR="0002578B">
        <w:rPr>
          <w:rFonts w:asciiTheme="majorBidi" w:hAnsiTheme="majorBidi" w:cstheme="majorBidi"/>
        </w:rPr>
        <w:t xml:space="preserve">the </w:t>
      </w:r>
      <w:r w:rsidR="005238DD">
        <w:rPr>
          <w:rFonts w:asciiTheme="majorBidi" w:hAnsiTheme="majorBidi" w:cstheme="majorBidi"/>
        </w:rPr>
        <w:t>SG11 reports posted as</w:t>
      </w:r>
      <w:r w:rsidR="005144FA">
        <w:rPr>
          <w:rFonts w:asciiTheme="majorBidi" w:hAnsiTheme="majorBidi" w:cstheme="majorBidi"/>
        </w:rPr>
        <w:t xml:space="preserve"> </w:t>
      </w:r>
      <w:hyperlink r:id="rId14" w:history="1">
        <w:r w:rsidR="005144FA">
          <w:rPr>
            <w:rStyle w:val="Hyperlink"/>
            <w:rFonts w:eastAsia="Calibri"/>
          </w:rPr>
          <w:t>SG</w:t>
        </w:r>
        <w:r w:rsidR="005144FA" w:rsidRPr="00E258A4">
          <w:rPr>
            <w:rStyle w:val="Hyperlink"/>
            <w:rFonts w:eastAsia="Calibri"/>
          </w:rPr>
          <w:t>11-R</w:t>
        </w:r>
        <w:r w:rsidR="005144FA">
          <w:rPr>
            <w:rStyle w:val="Hyperlink"/>
            <w:rFonts w:eastAsia="Calibri"/>
          </w:rPr>
          <w:t>23</w:t>
        </w:r>
      </w:hyperlink>
      <w:r w:rsidR="005144FA">
        <w:rPr>
          <w:rFonts w:asciiTheme="majorBidi" w:hAnsiTheme="majorBidi" w:cstheme="majorBidi"/>
        </w:rPr>
        <w:t xml:space="preserve">, </w:t>
      </w:r>
      <w:hyperlink r:id="rId15" w:history="1">
        <w:r w:rsidR="0061066C">
          <w:rPr>
            <w:rStyle w:val="Hyperlink"/>
            <w:rFonts w:eastAsia="Calibri"/>
          </w:rPr>
          <w:t>SG</w:t>
        </w:r>
        <w:r w:rsidR="0061066C" w:rsidRPr="00E258A4">
          <w:rPr>
            <w:rStyle w:val="Hyperlink"/>
            <w:rFonts w:eastAsia="Calibri"/>
          </w:rPr>
          <w:t>11-R</w:t>
        </w:r>
        <w:r w:rsidR="0061066C">
          <w:rPr>
            <w:rStyle w:val="Hyperlink"/>
            <w:rFonts w:eastAsia="Calibri"/>
          </w:rPr>
          <w:t>24</w:t>
        </w:r>
      </w:hyperlink>
      <w:r w:rsidR="0061066C">
        <w:rPr>
          <w:rFonts w:asciiTheme="majorBidi" w:hAnsiTheme="majorBidi" w:cstheme="majorBidi"/>
        </w:rPr>
        <w:t xml:space="preserve">, </w:t>
      </w:r>
      <w:hyperlink r:id="rId16" w:history="1">
        <w:r w:rsidR="00C60A41">
          <w:rPr>
            <w:rStyle w:val="Hyperlink"/>
            <w:rFonts w:eastAsia="Calibri"/>
          </w:rPr>
          <w:t>SG</w:t>
        </w:r>
        <w:r w:rsidR="00C60A41" w:rsidRPr="00E258A4">
          <w:rPr>
            <w:rStyle w:val="Hyperlink"/>
            <w:rFonts w:eastAsia="Calibri"/>
          </w:rPr>
          <w:t>11-R</w:t>
        </w:r>
        <w:r w:rsidR="00C60A41">
          <w:rPr>
            <w:rStyle w:val="Hyperlink"/>
            <w:rFonts w:eastAsia="Calibri"/>
          </w:rPr>
          <w:t>25</w:t>
        </w:r>
      </w:hyperlink>
      <w:r w:rsidR="0061066C">
        <w:rPr>
          <w:rFonts w:asciiTheme="majorBidi" w:hAnsiTheme="majorBidi" w:cstheme="majorBidi"/>
        </w:rPr>
        <w:t xml:space="preserve">, </w:t>
      </w:r>
      <w:hyperlink r:id="rId17" w:history="1">
        <w:r w:rsidR="003E04C6">
          <w:rPr>
            <w:rStyle w:val="Hyperlink"/>
            <w:rFonts w:eastAsia="Calibri"/>
          </w:rPr>
          <w:t>SG</w:t>
        </w:r>
        <w:r w:rsidR="003E04C6" w:rsidRPr="00E258A4">
          <w:rPr>
            <w:rStyle w:val="Hyperlink"/>
            <w:rFonts w:eastAsia="Calibri"/>
          </w:rPr>
          <w:t>11-R</w:t>
        </w:r>
        <w:r w:rsidR="003E04C6">
          <w:rPr>
            <w:rStyle w:val="Hyperlink"/>
            <w:rFonts w:eastAsia="Calibri"/>
          </w:rPr>
          <w:t>26</w:t>
        </w:r>
      </w:hyperlink>
      <w:r w:rsidR="003E04C6">
        <w:rPr>
          <w:rFonts w:asciiTheme="majorBidi" w:hAnsiTheme="majorBidi" w:cstheme="majorBidi"/>
        </w:rPr>
        <w:t xml:space="preserve"> </w:t>
      </w:r>
      <w:r w:rsidR="0061066C">
        <w:rPr>
          <w:rFonts w:asciiTheme="majorBidi" w:hAnsiTheme="majorBidi" w:cstheme="majorBidi"/>
        </w:rPr>
        <w:t xml:space="preserve">and </w:t>
      </w:r>
      <w:hyperlink r:id="rId18" w:history="1">
        <w:r w:rsidR="000C4FC6">
          <w:rPr>
            <w:rStyle w:val="Hyperlink"/>
            <w:rFonts w:eastAsia="Calibri"/>
          </w:rPr>
          <w:t>SG</w:t>
        </w:r>
        <w:r w:rsidR="000C4FC6" w:rsidRPr="00E258A4">
          <w:rPr>
            <w:rStyle w:val="Hyperlink"/>
            <w:rFonts w:eastAsia="Calibri"/>
          </w:rPr>
          <w:t>11-R</w:t>
        </w:r>
        <w:r w:rsidR="000C4FC6">
          <w:rPr>
            <w:rStyle w:val="Hyperlink"/>
            <w:rFonts w:eastAsia="Calibri"/>
          </w:rPr>
          <w:t>27</w:t>
        </w:r>
      </w:hyperlink>
      <w:r w:rsidR="00EA5EDE">
        <w:rPr>
          <w:rFonts w:asciiTheme="majorBidi" w:hAnsiTheme="majorBidi" w:cstheme="majorBidi"/>
        </w:rPr>
        <w:t>.</w:t>
      </w:r>
    </w:p>
    <w:p w14:paraId="4AB2778A" w14:textId="74076E4C" w:rsidR="00C72275" w:rsidRDefault="00C72275" w:rsidP="008A6829">
      <w:pPr>
        <w:snapToGrid w:val="0"/>
        <w:spacing w:after="120"/>
        <w:rPr>
          <w:rFonts w:asciiTheme="majorBidi" w:hAnsiTheme="majorBidi" w:cstheme="majorBidi"/>
        </w:rPr>
      </w:pPr>
      <w:r>
        <w:rPr>
          <w:rFonts w:asciiTheme="majorBidi" w:hAnsiTheme="majorBidi" w:cstheme="majorBidi"/>
        </w:rPr>
        <w:t>SG11</w:t>
      </w:r>
      <w:r w:rsidR="0002578B">
        <w:rPr>
          <w:rFonts w:asciiTheme="majorBidi" w:hAnsiTheme="majorBidi" w:cstheme="majorBidi"/>
        </w:rPr>
        <w:t xml:space="preserve"> also</w:t>
      </w:r>
      <w:r>
        <w:rPr>
          <w:rFonts w:asciiTheme="majorBidi" w:hAnsiTheme="majorBidi" w:cstheme="majorBidi"/>
        </w:rPr>
        <w:t xml:space="preserve"> </w:t>
      </w:r>
      <w:r w:rsidR="007B7703">
        <w:rPr>
          <w:rFonts w:asciiTheme="majorBidi" w:hAnsiTheme="majorBidi" w:cstheme="majorBidi"/>
        </w:rPr>
        <w:t xml:space="preserve">agreed to organize three RGM e-meetings </w:t>
      </w:r>
      <w:r w:rsidR="0079722F">
        <w:rPr>
          <w:rFonts w:asciiTheme="majorBidi" w:hAnsiTheme="majorBidi" w:cstheme="majorBidi"/>
        </w:rPr>
        <w:t xml:space="preserve">for Q4/11, Q8/11 and Q13/11 </w:t>
      </w:r>
      <w:r w:rsidR="007B7703">
        <w:rPr>
          <w:rFonts w:asciiTheme="majorBidi" w:hAnsiTheme="majorBidi" w:cstheme="majorBidi"/>
        </w:rPr>
        <w:t>by end of July 2024.</w:t>
      </w:r>
    </w:p>
    <w:p w14:paraId="25C3EE58" w14:textId="7FA79450" w:rsidR="00B434DA" w:rsidRPr="00536845" w:rsidRDefault="00E1224A" w:rsidP="008A6829">
      <w:pPr>
        <w:snapToGrid w:val="0"/>
        <w:spacing w:after="120"/>
        <w:rPr>
          <w:rFonts w:asciiTheme="majorBidi" w:hAnsiTheme="majorBidi" w:cstheme="majorBidi"/>
        </w:rPr>
      </w:pPr>
      <w:r w:rsidRPr="00536845">
        <w:rPr>
          <w:rFonts w:asciiTheme="majorBidi" w:hAnsiTheme="majorBidi" w:cstheme="majorBidi"/>
        </w:rPr>
        <w:t xml:space="preserve">The next SG11 meeting is planned </w:t>
      </w:r>
      <w:r w:rsidR="00B434DA" w:rsidRPr="00536845">
        <w:rPr>
          <w:rFonts w:asciiTheme="majorBidi" w:hAnsiTheme="majorBidi" w:cstheme="majorBidi"/>
        </w:rPr>
        <w:t xml:space="preserve">to be held </w:t>
      </w:r>
      <w:r w:rsidR="009E3145">
        <w:rPr>
          <w:rFonts w:asciiTheme="majorBidi" w:hAnsiTheme="majorBidi" w:cstheme="majorBidi"/>
        </w:rPr>
        <w:t xml:space="preserve">in Geneva from </w:t>
      </w:r>
      <w:r w:rsidR="00A032A3">
        <w:rPr>
          <w:rFonts w:asciiTheme="majorBidi" w:hAnsiTheme="majorBidi" w:cstheme="majorBidi"/>
        </w:rPr>
        <w:t xml:space="preserve">19 </w:t>
      </w:r>
      <w:r w:rsidR="009E3145">
        <w:rPr>
          <w:rFonts w:asciiTheme="majorBidi" w:hAnsiTheme="majorBidi" w:cstheme="majorBidi"/>
        </w:rPr>
        <w:t xml:space="preserve">to </w:t>
      </w:r>
      <w:r w:rsidR="00A032A3">
        <w:rPr>
          <w:rFonts w:asciiTheme="majorBidi" w:hAnsiTheme="majorBidi" w:cstheme="majorBidi"/>
        </w:rPr>
        <w:t>28 February</w:t>
      </w:r>
      <w:r w:rsidR="00B434DA" w:rsidRPr="00536845">
        <w:rPr>
          <w:rFonts w:asciiTheme="majorBidi" w:hAnsiTheme="majorBidi" w:cstheme="majorBidi"/>
        </w:rPr>
        <w:t xml:space="preserve"> 202</w:t>
      </w:r>
      <w:r w:rsidR="00A032A3">
        <w:rPr>
          <w:rFonts w:asciiTheme="majorBidi" w:hAnsiTheme="majorBidi" w:cstheme="majorBidi"/>
        </w:rPr>
        <w:t>5</w:t>
      </w:r>
      <w:r w:rsidR="001A0306" w:rsidRPr="00536845">
        <w:rPr>
          <w:rFonts w:asciiTheme="majorBidi" w:hAnsiTheme="majorBidi" w:cstheme="majorBidi"/>
        </w:rPr>
        <w:t xml:space="preserve"> (</w:t>
      </w:r>
      <w:r w:rsidR="009E3145">
        <w:rPr>
          <w:rFonts w:asciiTheme="majorBidi" w:hAnsiTheme="majorBidi" w:cstheme="majorBidi"/>
        </w:rPr>
        <w:t>TB</w:t>
      </w:r>
      <w:r w:rsidR="00A032A3">
        <w:rPr>
          <w:rFonts w:asciiTheme="majorBidi" w:hAnsiTheme="majorBidi" w:cstheme="majorBidi"/>
        </w:rPr>
        <w:t>C</w:t>
      </w:r>
      <w:r w:rsidR="001A0306" w:rsidRPr="00536845">
        <w:rPr>
          <w:rFonts w:asciiTheme="majorBidi" w:hAnsiTheme="majorBidi" w:cstheme="majorBidi"/>
        </w:rPr>
        <w:t>)</w:t>
      </w:r>
      <w:r w:rsidRPr="00536845">
        <w:rPr>
          <w:rFonts w:asciiTheme="majorBidi" w:hAnsiTheme="majorBidi" w:cstheme="majorBidi"/>
        </w:rPr>
        <w:t>.</w:t>
      </w:r>
    </w:p>
    <w:p w14:paraId="3C541CBC" w14:textId="66E014E3"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Report of ITU-T SG11 on lead study group activities (</w:t>
      </w:r>
      <w:r w:rsidR="000F779B">
        <w:rPr>
          <w:rFonts w:asciiTheme="majorBidi" w:hAnsiTheme="majorBidi" w:cstheme="majorBidi"/>
          <w:b/>
          <w:bCs/>
        </w:rPr>
        <w:t>January</w:t>
      </w:r>
      <w:r w:rsidR="00CE1F42" w:rsidRPr="00CE1F42">
        <w:rPr>
          <w:rFonts w:asciiTheme="majorBidi" w:hAnsiTheme="majorBidi" w:cstheme="majorBidi"/>
          <w:b/>
          <w:bCs/>
        </w:rPr>
        <w:t xml:space="preserve"> </w:t>
      </w:r>
      <w:r w:rsidR="009C1F26">
        <w:rPr>
          <w:rFonts w:asciiTheme="majorBidi" w:hAnsiTheme="majorBidi" w:cstheme="majorBidi"/>
          <w:b/>
          <w:bCs/>
        </w:rPr>
        <w:t xml:space="preserve">– July </w:t>
      </w:r>
      <w:r w:rsidR="00CE1F42" w:rsidRPr="00CE1F42">
        <w:rPr>
          <w:rFonts w:asciiTheme="majorBidi" w:hAnsiTheme="majorBidi" w:cstheme="majorBidi"/>
          <w:b/>
          <w:bCs/>
        </w:rPr>
        <w:t>2024</w:t>
      </w:r>
      <w:r w:rsidRPr="00536845">
        <w:rPr>
          <w:rFonts w:asciiTheme="majorBidi" w:hAnsiTheme="majorBidi" w:cstheme="majorBidi"/>
          <w:b/>
          <w:bCs/>
        </w:rPr>
        <w:t>)</w:t>
      </w:r>
    </w:p>
    <w:p w14:paraId="01DF2E3E" w14:textId="241C774F" w:rsidR="00613028" w:rsidRPr="00536845" w:rsidRDefault="009C1F26"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9C1F26">
        <w:rPr>
          <w:rFonts w:asciiTheme="majorBidi" w:hAnsiTheme="majorBidi" w:cstheme="majorBidi"/>
          <w:b/>
          <w:bCs/>
        </w:rPr>
        <w:t>Signalling and protocols, including IMT-2020, CPN and P2P communications related issues</w:t>
      </w:r>
    </w:p>
    <w:p w14:paraId="4F1FB0AD" w14:textId="4B2F1C84" w:rsidR="00CB4B4B" w:rsidRPr="00E95CA3" w:rsidRDefault="001246FB" w:rsidP="000B1106">
      <w:pPr>
        <w:rPr>
          <w:rFonts w:eastAsia="Batang"/>
          <w:szCs w:val="22"/>
        </w:rPr>
      </w:pPr>
      <w:r>
        <w:rPr>
          <w:rFonts w:eastAsia="Batang"/>
          <w:szCs w:val="22"/>
        </w:rPr>
        <w:lastRenderedPageBreak/>
        <w:t xml:space="preserve">In February 2024, </w:t>
      </w:r>
      <w:r w:rsidR="00CB4B4B" w:rsidRPr="00E95CA3">
        <w:rPr>
          <w:rFonts w:eastAsia="Batang"/>
          <w:szCs w:val="22"/>
        </w:rPr>
        <w:t>WP</w:t>
      </w:r>
      <w:r w:rsidR="00E95CA3" w:rsidRPr="00E95CA3">
        <w:rPr>
          <w:rFonts w:eastAsia="Batang"/>
          <w:szCs w:val="22"/>
        </w:rPr>
        <w:t xml:space="preserve">1/11 </w:t>
      </w:r>
      <w:r>
        <w:rPr>
          <w:rFonts w:eastAsia="Batang"/>
          <w:szCs w:val="22"/>
        </w:rPr>
        <w:t>agreed</w:t>
      </w:r>
      <w:r w:rsidR="00E95CA3">
        <w:rPr>
          <w:rFonts w:eastAsia="Batang"/>
          <w:szCs w:val="22"/>
        </w:rPr>
        <w:t xml:space="preserve"> </w:t>
      </w:r>
      <w:r w:rsidR="00BC5B00" w:rsidRPr="00BC5B00">
        <w:rPr>
          <w:rFonts w:eastAsia="Batang"/>
          <w:szCs w:val="22"/>
        </w:rPr>
        <w:t>Q.Suppl.77 (ex.Q.Suppl.pSFC) “Signalling requirements for parallel SFC packet processing”</w:t>
      </w:r>
      <w:r w:rsidR="00BC5B00">
        <w:rPr>
          <w:rFonts w:eastAsia="Batang"/>
          <w:szCs w:val="22"/>
        </w:rPr>
        <w:t>.</w:t>
      </w:r>
    </w:p>
    <w:p w14:paraId="1576D46F" w14:textId="706C2DA4" w:rsidR="00E611FA" w:rsidRDefault="00BC5B00" w:rsidP="000B1106">
      <w:pPr>
        <w:rPr>
          <w:rFonts w:eastAsia="Batang" w:cs="Arial"/>
        </w:rPr>
      </w:pPr>
      <w:r w:rsidRPr="00BC5B00">
        <w:rPr>
          <w:rFonts w:eastAsia="Batang"/>
          <w:szCs w:val="22"/>
        </w:rPr>
        <w:t xml:space="preserve">In May </w:t>
      </w:r>
      <w:r>
        <w:rPr>
          <w:rFonts w:eastAsia="Batang"/>
          <w:szCs w:val="22"/>
        </w:rPr>
        <w:t xml:space="preserve">2024, </w:t>
      </w:r>
      <w:r w:rsidR="00072C95" w:rsidRPr="00BC5B00">
        <w:rPr>
          <w:rFonts w:eastAsia="Batang"/>
          <w:szCs w:val="22"/>
        </w:rPr>
        <w:t xml:space="preserve">ITU-T SG11 determined new Recommendation </w:t>
      </w:r>
      <w:r w:rsidR="00072C95" w:rsidRPr="00BC5B00">
        <w:rPr>
          <w:rFonts w:eastAsia="Malgun Gothic" w:cs="Arial"/>
          <w:lang w:eastAsia="ko-KR"/>
        </w:rPr>
        <w:t xml:space="preserve">ITU-T Q.5010 (ex. </w:t>
      </w:r>
      <w:r w:rsidR="00072C95" w:rsidRPr="00D82479">
        <w:rPr>
          <w:rFonts w:eastAsia="Malgun Gothic" w:cs="Arial"/>
          <w:lang w:eastAsia="ko-KR"/>
        </w:rPr>
        <w:t xml:space="preserve">Q.UAMS-SRA) </w:t>
      </w:r>
      <w:r>
        <w:rPr>
          <w:rFonts w:eastAsia="Malgun Gothic" w:cs="Arial"/>
          <w:lang w:eastAsia="ko-KR"/>
        </w:rPr>
        <w:t>“</w:t>
      </w:r>
      <w:r w:rsidR="00072C95" w:rsidRPr="00D82479">
        <w:rPr>
          <w:rFonts w:eastAsia="Batang" w:cs="Arial"/>
        </w:rPr>
        <w:t>Signalling requirements and architecture for urban air mobility service environment</w:t>
      </w:r>
      <w:r>
        <w:rPr>
          <w:rFonts w:eastAsia="Batang" w:cs="Arial"/>
        </w:rPr>
        <w:t>”</w:t>
      </w:r>
      <w:r w:rsidR="00072C95" w:rsidRPr="00D82479">
        <w:rPr>
          <w:rFonts w:eastAsia="Batang" w:cs="Arial"/>
        </w:rPr>
        <w:t>. This Recommendation provides the signalling requirements and architecture for urban air mobility (UAM) services. These requirements include signalling information over each reference points and service procedures for communication between the user equipment (UE), access layer, core layer and service layer for UAM services.</w:t>
      </w:r>
    </w:p>
    <w:p w14:paraId="115D82F1" w14:textId="3E135D3F" w:rsidR="002D25E7" w:rsidRDefault="002D25E7" w:rsidP="000B1106">
      <w:pPr>
        <w:rPr>
          <w:rFonts w:asciiTheme="majorBidi" w:hAnsiTheme="majorBidi" w:cstheme="majorBidi"/>
        </w:rPr>
      </w:pPr>
      <w:r>
        <w:rPr>
          <w:rFonts w:eastAsia="Batang" w:cs="Arial"/>
        </w:rPr>
        <w:t xml:space="preserve">Moreover, </w:t>
      </w:r>
      <w:r w:rsidR="00E1213D">
        <w:rPr>
          <w:rFonts w:eastAsia="Batang" w:cs="Arial"/>
        </w:rPr>
        <w:t>in May 2024</w:t>
      </w:r>
      <w:r w:rsidR="0002578B">
        <w:rPr>
          <w:rFonts w:eastAsia="Batang" w:cs="Arial"/>
        </w:rPr>
        <w:t xml:space="preserve">, </w:t>
      </w:r>
      <w:r w:rsidR="009549C5">
        <w:rPr>
          <w:rFonts w:eastAsia="Batang" w:cs="Arial"/>
        </w:rPr>
        <w:t xml:space="preserve">SG11 started </w:t>
      </w:r>
      <w:r w:rsidR="0002578B">
        <w:rPr>
          <w:rFonts w:eastAsia="Batang" w:cs="Arial"/>
        </w:rPr>
        <w:t>the</w:t>
      </w:r>
      <w:r w:rsidR="009549C5">
        <w:rPr>
          <w:rFonts w:eastAsia="Batang" w:cs="Arial"/>
        </w:rPr>
        <w:t xml:space="preserve"> new</w:t>
      </w:r>
      <w:r w:rsidR="00D10E0A" w:rsidRPr="00D10E0A">
        <w:rPr>
          <w:rFonts w:eastAsia="Batang" w:cs="Arial"/>
        </w:rPr>
        <w:t xml:space="preserve"> Technical Report TR.SP-UAV </w:t>
      </w:r>
      <w:r w:rsidR="009549C5">
        <w:rPr>
          <w:rFonts w:eastAsia="Batang" w:cs="Arial"/>
        </w:rPr>
        <w:t>“</w:t>
      </w:r>
      <w:r w:rsidR="00D10E0A" w:rsidRPr="00D10E0A">
        <w:rPr>
          <w:rFonts w:eastAsia="Batang" w:cs="Arial"/>
        </w:rPr>
        <w:t>Signalling requirements and protocols between unmanned aerial vehicles and unmanned aerial vehicle controllers using IMT-2020 networks and beyond</w:t>
      </w:r>
      <w:r w:rsidR="009549C5">
        <w:rPr>
          <w:rFonts w:eastAsia="Batang" w:cs="Arial"/>
        </w:rPr>
        <w:t>”. The ITU-R WPs</w:t>
      </w:r>
      <w:r w:rsidR="00B64A68">
        <w:rPr>
          <w:rFonts w:eastAsia="Batang" w:cs="Arial"/>
        </w:rPr>
        <w:t xml:space="preserve">, ICAO, </w:t>
      </w:r>
      <w:r w:rsidR="0020497C">
        <w:rPr>
          <w:rFonts w:eastAsia="Batang" w:cs="Arial"/>
        </w:rPr>
        <w:t>several</w:t>
      </w:r>
      <w:r w:rsidR="00B64A68">
        <w:rPr>
          <w:rFonts w:eastAsia="Batang" w:cs="Arial"/>
        </w:rPr>
        <w:t xml:space="preserve"> ITU-T SGs, ISO/IEC and TSAG were informed</w:t>
      </w:r>
      <w:r w:rsidR="0077347B">
        <w:rPr>
          <w:rFonts w:eastAsia="Batang" w:cs="Arial"/>
        </w:rPr>
        <w:t xml:space="preserve"> (</w:t>
      </w:r>
      <w:hyperlink r:id="rId19" w:history="1">
        <w:r w:rsidR="0077347B" w:rsidRPr="0077347B">
          <w:rPr>
            <w:rStyle w:val="Hyperlink"/>
            <w:rFonts w:eastAsia="Batang" w:cs="Arial"/>
          </w:rPr>
          <w:t>SG11-LS157</w:t>
        </w:r>
      </w:hyperlink>
      <w:r w:rsidR="0077347B">
        <w:rPr>
          <w:rFonts w:eastAsia="Batang" w:cs="Arial"/>
        </w:rPr>
        <w:t>)</w:t>
      </w:r>
      <w:r w:rsidR="00B64A68">
        <w:rPr>
          <w:rFonts w:eastAsia="Batang" w:cs="Arial"/>
        </w:rPr>
        <w:t>.</w:t>
      </w:r>
    </w:p>
    <w:p w14:paraId="558DEA2D" w14:textId="77777777" w:rsidR="00CB4B4B" w:rsidRPr="00D82479" w:rsidRDefault="00CB4B4B" w:rsidP="00CB4B4B">
      <w:pPr>
        <w:rPr>
          <w:rFonts w:eastAsia="Batang"/>
          <w:szCs w:val="22"/>
        </w:rPr>
      </w:pPr>
      <w:r w:rsidRPr="00D82479">
        <w:rPr>
          <w:rFonts w:eastAsia="Batang"/>
          <w:szCs w:val="22"/>
        </w:rPr>
        <w:t>Also, ITU-T SG11 finalized and consented the following draft Recommendations on signalling aspects, including IMT-2020:</w:t>
      </w:r>
    </w:p>
    <w:p w14:paraId="405D93E5" w14:textId="324414EA" w:rsidR="00CB4B4B" w:rsidRPr="00162F63" w:rsidRDefault="00CB4B4B" w:rsidP="00CB4B4B">
      <w:pPr>
        <w:pStyle w:val="ListParagraph"/>
        <w:numPr>
          <w:ilvl w:val="0"/>
          <w:numId w:val="32"/>
        </w:numPr>
        <w:contextualSpacing w:val="0"/>
        <w:rPr>
          <w:rFonts w:eastAsia="Batang"/>
          <w:szCs w:val="22"/>
          <w:lang w:val="en-US"/>
        </w:rPr>
      </w:pPr>
      <w:r w:rsidRPr="00162F63">
        <w:rPr>
          <w:rFonts w:eastAsia="Batang"/>
          <w:szCs w:val="22"/>
          <w:lang w:val="en-US"/>
        </w:rPr>
        <w:t>ITU-T Q.3064 (ex. Q.</w:t>
      </w:r>
      <w:r w:rsidR="0093792E">
        <w:rPr>
          <w:rFonts w:eastAsia="Batang"/>
          <w:szCs w:val="22"/>
          <w:lang w:val="en-US"/>
        </w:rPr>
        <w:t>NI</w:t>
      </w:r>
      <w:r w:rsidRPr="00162F63">
        <w:rPr>
          <w:rFonts w:eastAsia="Batang"/>
          <w:szCs w:val="22"/>
          <w:lang w:val="en-US"/>
        </w:rPr>
        <w:t>CE-SA): Signalling architecture of NICE (Network intelligence capability enhancement) in support of awareness capabilities;</w:t>
      </w:r>
    </w:p>
    <w:p w14:paraId="60FF7FF9" w14:textId="77777777" w:rsidR="00CB4B4B" w:rsidRPr="00162F63" w:rsidRDefault="00CB4B4B" w:rsidP="00CB4B4B">
      <w:pPr>
        <w:pStyle w:val="ListParagraph"/>
        <w:numPr>
          <w:ilvl w:val="0"/>
          <w:numId w:val="32"/>
        </w:numPr>
        <w:contextualSpacing w:val="0"/>
        <w:rPr>
          <w:rFonts w:eastAsia="Batang"/>
          <w:szCs w:val="22"/>
          <w:lang w:val="en-US"/>
        </w:rPr>
      </w:pPr>
      <w:r w:rsidRPr="00162F63">
        <w:rPr>
          <w:rFonts w:eastAsia="Batang"/>
          <w:szCs w:val="22"/>
          <w:lang w:val="en-US"/>
        </w:rPr>
        <w:t>ITU-T Q.3648 (ex. Q.DC-SA): Signalling architecture of data channel enhanced IMS network;</w:t>
      </w:r>
    </w:p>
    <w:p w14:paraId="44DD4DBF" w14:textId="77777777" w:rsidR="00CB4B4B" w:rsidRPr="00162F63" w:rsidRDefault="00CB4B4B" w:rsidP="00CB4B4B">
      <w:pPr>
        <w:pStyle w:val="ListParagraph"/>
        <w:numPr>
          <w:ilvl w:val="0"/>
          <w:numId w:val="32"/>
        </w:numPr>
        <w:contextualSpacing w:val="0"/>
        <w:rPr>
          <w:rFonts w:eastAsia="Batang"/>
          <w:szCs w:val="22"/>
          <w:lang w:val="en-US"/>
        </w:rPr>
      </w:pPr>
      <w:r w:rsidRPr="00162F63">
        <w:rPr>
          <w:rFonts w:eastAsia="Batang"/>
          <w:szCs w:val="22"/>
          <w:lang w:val="en-US"/>
        </w:rPr>
        <w:t>ITU-T Q.3742 (ex. Q.SD-DCI): Signalling requirements and data models for SD-DCI service;</w:t>
      </w:r>
    </w:p>
    <w:p w14:paraId="78FC6D81" w14:textId="77777777" w:rsidR="00CB4B4B" w:rsidRPr="00162F63" w:rsidRDefault="00CB4B4B" w:rsidP="00CB4B4B">
      <w:pPr>
        <w:pStyle w:val="ListParagraph"/>
        <w:numPr>
          <w:ilvl w:val="0"/>
          <w:numId w:val="32"/>
        </w:numPr>
        <w:contextualSpacing w:val="0"/>
        <w:rPr>
          <w:rFonts w:eastAsia="Batang"/>
          <w:szCs w:val="22"/>
          <w:lang w:val="en-US"/>
        </w:rPr>
      </w:pPr>
      <w:r w:rsidRPr="00162F63">
        <w:rPr>
          <w:rFonts w:eastAsia="Batang"/>
          <w:szCs w:val="22"/>
          <w:lang w:val="en-US"/>
        </w:rPr>
        <w:t>ITU-T Q.4143 (ex. Q.BNG-PUP): Signalling requirements for cloud-based control plane and pooled user plane of vBNG (virtualized Broadband Network Gateway);</w:t>
      </w:r>
    </w:p>
    <w:p w14:paraId="0701D4E5" w14:textId="77777777" w:rsidR="00CB4B4B" w:rsidRPr="00162F63" w:rsidRDefault="00CB4B4B" w:rsidP="00CB4B4B">
      <w:pPr>
        <w:pStyle w:val="ListParagraph"/>
        <w:numPr>
          <w:ilvl w:val="0"/>
          <w:numId w:val="32"/>
        </w:numPr>
        <w:contextualSpacing w:val="0"/>
        <w:rPr>
          <w:rFonts w:eastAsia="Batang"/>
          <w:szCs w:val="22"/>
          <w:lang w:val="en-US"/>
        </w:rPr>
      </w:pPr>
      <w:r w:rsidRPr="00162F63">
        <w:rPr>
          <w:rFonts w:eastAsia="Batang"/>
          <w:szCs w:val="22"/>
          <w:lang w:val="en-US"/>
        </w:rPr>
        <w:t>ITU-T Q.5009 (ex. Q.PEC): Signalling Requirements and Protocols for enhanced quality assured connections in IMT-2020 network and beyond;</w:t>
      </w:r>
    </w:p>
    <w:p w14:paraId="6C50FF60" w14:textId="77777777" w:rsidR="00CB4B4B" w:rsidRPr="00162F63" w:rsidRDefault="00CB4B4B" w:rsidP="00CB4B4B">
      <w:pPr>
        <w:pStyle w:val="ListParagraph"/>
        <w:numPr>
          <w:ilvl w:val="0"/>
          <w:numId w:val="32"/>
        </w:numPr>
        <w:contextualSpacing w:val="0"/>
        <w:rPr>
          <w:rFonts w:eastAsia="Batang"/>
          <w:szCs w:val="22"/>
          <w:lang w:val="en-US"/>
        </w:rPr>
      </w:pPr>
      <w:r w:rsidRPr="00162F63">
        <w:rPr>
          <w:rFonts w:eastAsia="Batang"/>
          <w:szCs w:val="22"/>
          <w:lang w:val="en-US"/>
        </w:rPr>
        <w:t>ITU-T Q.5011 (ex. Q.IEC-EEMA): Signalling requirements and interfaces of edge-aided energy management agent at intelligent edge computing;</w:t>
      </w:r>
    </w:p>
    <w:p w14:paraId="7A61E9D3" w14:textId="77777777" w:rsidR="00CB4B4B" w:rsidRPr="00162F63" w:rsidRDefault="00CB4B4B" w:rsidP="00CB4B4B">
      <w:pPr>
        <w:pStyle w:val="ListParagraph"/>
        <w:numPr>
          <w:ilvl w:val="0"/>
          <w:numId w:val="32"/>
        </w:numPr>
        <w:contextualSpacing w:val="0"/>
        <w:rPr>
          <w:rFonts w:eastAsia="Batang"/>
          <w:szCs w:val="22"/>
          <w:lang w:val="en-US"/>
        </w:rPr>
      </w:pPr>
      <w:r w:rsidRPr="00162F63">
        <w:rPr>
          <w:rFonts w:eastAsia="Batang"/>
          <w:szCs w:val="22"/>
          <w:lang w:val="en-US"/>
        </w:rPr>
        <w:t>ITU-T Q.5012 (ex. Q.WLAN5G-REQ): Signalling architecture of WLAN access network for interworking with 5G network;</w:t>
      </w:r>
    </w:p>
    <w:p w14:paraId="19544FD9" w14:textId="77777777" w:rsidR="00CB4B4B" w:rsidRPr="00162F63" w:rsidRDefault="00CB4B4B" w:rsidP="00CB4B4B">
      <w:pPr>
        <w:pStyle w:val="ListParagraph"/>
        <w:numPr>
          <w:ilvl w:val="0"/>
          <w:numId w:val="32"/>
        </w:numPr>
        <w:contextualSpacing w:val="0"/>
        <w:rPr>
          <w:rFonts w:eastAsia="Batang"/>
          <w:szCs w:val="22"/>
          <w:lang w:val="en-US"/>
        </w:rPr>
      </w:pPr>
      <w:r w:rsidRPr="00162F63">
        <w:rPr>
          <w:rFonts w:eastAsia="Batang"/>
          <w:szCs w:val="22"/>
          <w:lang w:val="en-US"/>
        </w:rPr>
        <w:t>ITU-T Q.5013 (ex. Q.SP-twqos): Signalling requirements and protocol procedures for two-way QoS mechanism between access networks and core networks in IMT-2020 network and beyond;</w:t>
      </w:r>
    </w:p>
    <w:p w14:paraId="5287E59D" w14:textId="77777777" w:rsidR="00CB4B4B" w:rsidRPr="00162F63" w:rsidRDefault="00CB4B4B" w:rsidP="00CB4B4B">
      <w:pPr>
        <w:pStyle w:val="ListParagraph"/>
        <w:numPr>
          <w:ilvl w:val="0"/>
          <w:numId w:val="32"/>
        </w:numPr>
        <w:contextualSpacing w:val="0"/>
        <w:rPr>
          <w:rFonts w:eastAsia="Batang"/>
          <w:szCs w:val="22"/>
          <w:lang w:val="en-US"/>
        </w:rPr>
      </w:pPr>
      <w:r w:rsidRPr="00162F63">
        <w:rPr>
          <w:rFonts w:eastAsia="Batang"/>
          <w:szCs w:val="22"/>
          <w:lang w:val="en-US"/>
        </w:rPr>
        <w:t>ITU-T Q.5029 (ex. Q.IEC-DTINF): Data management interfaces in digital twin smart aquaculture system with intelligent edge computing;</w:t>
      </w:r>
    </w:p>
    <w:p w14:paraId="42809133" w14:textId="77777777" w:rsidR="00CB4B4B" w:rsidRPr="00162F63" w:rsidRDefault="00CB4B4B" w:rsidP="00CB4B4B">
      <w:pPr>
        <w:pStyle w:val="ListParagraph"/>
        <w:numPr>
          <w:ilvl w:val="0"/>
          <w:numId w:val="32"/>
        </w:numPr>
        <w:contextualSpacing w:val="0"/>
        <w:rPr>
          <w:rFonts w:eastAsia="Batang"/>
          <w:szCs w:val="22"/>
          <w:lang w:val="en-US"/>
        </w:rPr>
      </w:pPr>
      <w:r w:rsidRPr="00162F63">
        <w:rPr>
          <w:rFonts w:eastAsia="Batang"/>
          <w:szCs w:val="22"/>
          <w:lang w:val="en-US"/>
        </w:rPr>
        <w:t>ITU-T Q.5030 (ex. Q.IEC-FWINF): Data management interfaces for intelligent edge computing-based flowing-water smart aquaculture system;</w:t>
      </w:r>
    </w:p>
    <w:p w14:paraId="594F3136" w14:textId="77777777" w:rsidR="00CB4B4B" w:rsidRPr="00162F63" w:rsidRDefault="00CB4B4B" w:rsidP="00CB4B4B">
      <w:pPr>
        <w:pStyle w:val="ListParagraph"/>
        <w:numPr>
          <w:ilvl w:val="0"/>
          <w:numId w:val="32"/>
        </w:numPr>
        <w:contextualSpacing w:val="0"/>
        <w:rPr>
          <w:rFonts w:eastAsia="Batang"/>
          <w:szCs w:val="22"/>
          <w:lang w:val="en-US"/>
        </w:rPr>
      </w:pPr>
      <w:r w:rsidRPr="00162F63">
        <w:rPr>
          <w:rFonts w:eastAsia="Batang"/>
          <w:szCs w:val="22"/>
          <w:lang w:val="en-US"/>
        </w:rPr>
        <w:t>ITU-T Q.5031 (ex. Q.PMMC): Protocol for traffic flow coordination of multi-modality communication;</w:t>
      </w:r>
    </w:p>
    <w:p w14:paraId="4E1FBCBB" w14:textId="77777777" w:rsidR="00CB4B4B" w:rsidRPr="00162F63" w:rsidRDefault="00CB4B4B" w:rsidP="00CB4B4B">
      <w:pPr>
        <w:pStyle w:val="ListParagraph"/>
        <w:numPr>
          <w:ilvl w:val="0"/>
          <w:numId w:val="32"/>
        </w:numPr>
        <w:contextualSpacing w:val="0"/>
        <w:rPr>
          <w:rFonts w:eastAsia="Batang"/>
          <w:szCs w:val="22"/>
          <w:lang w:val="en-US"/>
        </w:rPr>
      </w:pPr>
      <w:r w:rsidRPr="00162F63">
        <w:rPr>
          <w:rFonts w:eastAsia="Batang"/>
          <w:szCs w:val="22"/>
          <w:lang w:val="en-US"/>
        </w:rPr>
        <w:t>ITU-T Q.5032 (ex. Q.NCRP): Network coding protocol for network repeaters.</w:t>
      </w:r>
    </w:p>
    <w:p w14:paraId="32984327" w14:textId="5DC99B5A" w:rsidR="00CB4B4B" w:rsidRPr="00D82479" w:rsidRDefault="00CB4B4B" w:rsidP="00CB4B4B">
      <w:pPr>
        <w:rPr>
          <w:rFonts w:eastAsia="Batang"/>
          <w:szCs w:val="22"/>
        </w:rPr>
      </w:pPr>
      <w:r w:rsidRPr="00D82479">
        <w:rPr>
          <w:rFonts w:eastAsia="Batang"/>
          <w:szCs w:val="22"/>
        </w:rPr>
        <w:t xml:space="preserve">With regard to Computing Power Network (CPN), SG11 consented the draft Recommendation </w:t>
      </w:r>
      <w:r w:rsidRPr="00D82479">
        <w:rPr>
          <w:rFonts w:eastAsia="Batang" w:cs="Arial"/>
          <w:szCs w:val="22"/>
        </w:rPr>
        <w:t xml:space="preserve">ITU-T Q.4142 (ex. Q.SASO) </w:t>
      </w:r>
      <w:r w:rsidR="00887810">
        <w:rPr>
          <w:rFonts w:eastAsia="Batang" w:cs="Arial"/>
          <w:szCs w:val="22"/>
        </w:rPr>
        <w:t>“</w:t>
      </w:r>
      <w:r w:rsidRPr="00D82479">
        <w:rPr>
          <w:rFonts w:eastAsia="Times New Roman" w:cs="Arial"/>
          <w:color w:val="000000"/>
          <w:szCs w:val="22"/>
        </w:rPr>
        <w:t>Signalling architecture for service orchestration in computing power network</w:t>
      </w:r>
      <w:r w:rsidR="00887810">
        <w:rPr>
          <w:rFonts w:eastAsia="Times New Roman" w:cs="Arial"/>
          <w:color w:val="000000"/>
          <w:szCs w:val="22"/>
        </w:rPr>
        <w:t>”</w:t>
      </w:r>
      <w:r w:rsidRPr="00D82479">
        <w:rPr>
          <w:rFonts w:eastAsia="Times New Roman" w:cs="Arial"/>
          <w:color w:val="000000"/>
          <w:szCs w:val="22"/>
        </w:rPr>
        <w:t>.</w:t>
      </w:r>
    </w:p>
    <w:p w14:paraId="1654F441" w14:textId="12D1C46A" w:rsidR="00CB4B4B" w:rsidRPr="00D82479" w:rsidRDefault="00CB4B4B" w:rsidP="00CB4B4B">
      <w:pPr>
        <w:rPr>
          <w:rFonts w:eastAsia="Batang"/>
          <w:szCs w:val="22"/>
        </w:rPr>
      </w:pPr>
      <w:r w:rsidRPr="00D82479">
        <w:rPr>
          <w:rFonts w:eastAsia="Batang"/>
          <w:szCs w:val="22"/>
        </w:rPr>
        <w:t xml:space="preserve">Also, two new Recommendations and two amendments on Hybrid P2P communications were consented during </w:t>
      </w:r>
      <w:r w:rsidR="0002578B">
        <w:rPr>
          <w:rFonts w:eastAsia="Batang"/>
          <w:szCs w:val="22"/>
        </w:rPr>
        <w:t xml:space="preserve">this </w:t>
      </w:r>
      <w:r w:rsidRPr="00D82479">
        <w:rPr>
          <w:rFonts w:eastAsia="Batang"/>
          <w:szCs w:val="22"/>
        </w:rPr>
        <w:t>SG11 meeting, as follows:</w:t>
      </w:r>
    </w:p>
    <w:p w14:paraId="542B2739" w14:textId="77777777" w:rsidR="00CB4B4B" w:rsidRPr="00CC655D" w:rsidRDefault="00CB4B4B" w:rsidP="00CB4B4B">
      <w:pPr>
        <w:pStyle w:val="ListParagraph"/>
        <w:numPr>
          <w:ilvl w:val="0"/>
          <w:numId w:val="32"/>
        </w:numPr>
        <w:contextualSpacing w:val="0"/>
        <w:rPr>
          <w:rFonts w:eastAsia="Batang"/>
          <w:szCs w:val="22"/>
          <w:lang w:val="en-US"/>
        </w:rPr>
      </w:pPr>
      <w:r w:rsidRPr="00CC655D">
        <w:rPr>
          <w:rFonts w:eastAsia="Batang"/>
          <w:szCs w:val="22"/>
          <w:lang w:val="en-US"/>
        </w:rPr>
        <w:t>ITU-T Amd.1 to Q.4102: Hybrid peer-to-peer (P2P) communications: Peer protocol;</w:t>
      </w:r>
    </w:p>
    <w:p w14:paraId="168C85BC" w14:textId="77777777" w:rsidR="00CB4B4B" w:rsidRPr="00CC655D" w:rsidRDefault="00CB4B4B" w:rsidP="00CB4B4B">
      <w:pPr>
        <w:pStyle w:val="ListParagraph"/>
        <w:numPr>
          <w:ilvl w:val="0"/>
          <w:numId w:val="32"/>
        </w:numPr>
        <w:contextualSpacing w:val="0"/>
        <w:rPr>
          <w:rFonts w:eastAsia="Batang"/>
          <w:szCs w:val="22"/>
          <w:lang w:val="en-US"/>
        </w:rPr>
      </w:pPr>
      <w:r w:rsidRPr="00CC655D">
        <w:rPr>
          <w:rFonts w:eastAsia="Batang"/>
          <w:szCs w:val="22"/>
          <w:lang w:val="en-US"/>
        </w:rPr>
        <w:lastRenderedPageBreak/>
        <w:t>ITU-T Amd.1 to Q.4103: Hybrid peer-to-peer communications: Overlay management protocol;</w:t>
      </w:r>
    </w:p>
    <w:p w14:paraId="27F3307A" w14:textId="77777777" w:rsidR="00CB4B4B" w:rsidRPr="00CC655D" w:rsidRDefault="00CB4B4B" w:rsidP="00CB4B4B">
      <w:pPr>
        <w:pStyle w:val="ListParagraph"/>
        <w:numPr>
          <w:ilvl w:val="0"/>
          <w:numId w:val="32"/>
        </w:numPr>
        <w:contextualSpacing w:val="0"/>
        <w:rPr>
          <w:rFonts w:eastAsia="Batang"/>
          <w:szCs w:val="22"/>
          <w:lang w:val="en-US"/>
        </w:rPr>
      </w:pPr>
      <w:r w:rsidRPr="00CC655D">
        <w:rPr>
          <w:rFonts w:eastAsia="Batang"/>
          <w:szCs w:val="22"/>
          <w:lang w:val="en-US"/>
        </w:rPr>
        <w:t>ITU-T Q.4104 (ex. Q.HP2P-dss): Hybrid peer-to-peer (P2P) communications: Signalling requirements for data streaming service;</w:t>
      </w:r>
    </w:p>
    <w:p w14:paraId="37976E1F" w14:textId="77777777" w:rsidR="00CB4B4B" w:rsidRPr="00CC655D" w:rsidRDefault="00CB4B4B" w:rsidP="00CB4B4B">
      <w:pPr>
        <w:pStyle w:val="ListParagraph"/>
        <w:numPr>
          <w:ilvl w:val="0"/>
          <w:numId w:val="32"/>
        </w:numPr>
        <w:contextualSpacing w:val="0"/>
        <w:rPr>
          <w:rFonts w:eastAsia="Batang"/>
          <w:szCs w:val="22"/>
          <w:lang w:val="en-US"/>
        </w:rPr>
      </w:pPr>
      <w:r w:rsidRPr="00CC655D">
        <w:rPr>
          <w:rFonts w:eastAsia="Batang"/>
          <w:szCs w:val="22"/>
          <w:lang w:val="en-US"/>
        </w:rPr>
        <w:t>ITU-T Q.4105 (ex. Q.HP2P-fvsigreq): Hybrid P2P communications: signalling requirements for feature-based video services.</w:t>
      </w:r>
    </w:p>
    <w:p w14:paraId="47685EC6" w14:textId="4821D683" w:rsidR="00CB4B4B" w:rsidRDefault="00CB4B4B" w:rsidP="00CB4B4B">
      <w:pPr>
        <w:rPr>
          <w:rFonts w:eastAsia="Batang"/>
          <w:szCs w:val="22"/>
        </w:rPr>
      </w:pPr>
      <w:r w:rsidRPr="00D82479">
        <w:rPr>
          <w:rFonts w:eastAsia="Batang"/>
          <w:szCs w:val="22"/>
        </w:rPr>
        <w:t>ITU-T SG11 advanced 49 ongoing work items and agreed to initiate 16 new work items on signalling and protocols-related aspects.</w:t>
      </w:r>
      <w:r w:rsidR="001D2C78">
        <w:rPr>
          <w:rFonts w:eastAsia="Batang"/>
          <w:szCs w:val="22"/>
        </w:rPr>
        <w:t xml:space="preserve"> All new work items started by SG11 are listed in </w:t>
      </w:r>
      <w:hyperlink r:id="rId20" w:history="1">
        <w:r w:rsidR="0051684D" w:rsidRPr="0051684D">
          <w:rPr>
            <w:rStyle w:val="Hyperlink"/>
            <w:rFonts w:eastAsia="Batang"/>
            <w:szCs w:val="22"/>
          </w:rPr>
          <w:t>SG11-TD816-R1/GEN</w:t>
        </w:r>
      </w:hyperlink>
      <w:r w:rsidR="0051684D" w:rsidRPr="0051684D">
        <w:rPr>
          <w:rFonts w:eastAsia="Batang"/>
          <w:szCs w:val="22"/>
        </w:rPr>
        <w:t>.</w:t>
      </w:r>
    </w:p>
    <w:p w14:paraId="496542F2" w14:textId="27372D07" w:rsidR="004A6CEF" w:rsidRDefault="004A6CEF" w:rsidP="00CB4B4B">
      <w:pPr>
        <w:rPr>
          <w:rFonts w:eastAsia="Batang"/>
          <w:szCs w:val="22"/>
        </w:rPr>
      </w:pPr>
      <w:r>
        <w:rPr>
          <w:rFonts w:eastAsia="Batang"/>
          <w:szCs w:val="22"/>
        </w:rPr>
        <w:t>More details are available in WP1/11</w:t>
      </w:r>
      <w:r w:rsidR="008D6C0C">
        <w:rPr>
          <w:rFonts w:eastAsia="Batang"/>
          <w:szCs w:val="22"/>
        </w:rPr>
        <w:t xml:space="preserve"> and WP2/11 reports (</w:t>
      </w:r>
      <w:hyperlink r:id="rId21" w:history="1">
        <w:r w:rsidR="008D6C0C">
          <w:rPr>
            <w:rStyle w:val="Hyperlink"/>
            <w:rFonts w:eastAsia="Calibri"/>
          </w:rPr>
          <w:t>SG</w:t>
        </w:r>
        <w:r w:rsidR="008D6C0C" w:rsidRPr="00E258A4">
          <w:rPr>
            <w:rStyle w:val="Hyperlink"/>
            <w:rFonts w:eastAsia="Calibri"/>
          </w:rPr>
          <w:t>11-R</w:t>
        </w:r>
        <w:r w:rsidR="008D6C0C">
          <w:rPr>
            <w:rStyle w:val="Hyperlink"/>
            <w:rFonts w:eastAsia="Calibri"/>
          </w:rPr>
          <w:t>24</w:t>
        </w:r>
      </w:hyperlink>
      <w:r w:rsidR="008D6C0C">
        <w:rPr>
          <w:rFonts w:asciiTheme="majorBidi" w:hAnsiTheme="majorBidi" w:cstheme="majorBidi"/>
        </w:rPr>
        <w:t xml:space="preserve"> and </w:t>
      </w:r>
      <w:hyperlink r:id="rId22" w:history="1">
        <w:r w:rsidR="008D6C0C">
          <w:rPr>
            <w:rStyle w:val="Hyperlink"/>
            <w:rFonts w:eastAsia="Calibri"/>
          </w:rPr>
          <w:t>SG</w:t>
        </w:r>
        <w:r w:rsidR="008D6C0C" w:rsidRPr="00E258A4">
          <w:rPr>
            <w:rStyle w:val="Hyperlink"/>
            <w:rFonts w:eastAsia="Calibri"/>
          </w:rPr>
          <w:t>11-R</w:t>
        </w:r>
        <w:r w:rsidR="008D6C0C">
          <w:rPr>
            <w:rStyle w:val="Hyperlink"/>
            <w:rFonts w:eastAsia="Calibri"/>
          </w:rPr>
          <w:t>25</w:t>
        </w:r>
      </w:hyperlink>
      <w:r w:rsidR="008D6C0C">
        <w:rPr>
          <w:rFonts w:eastAsia="Batang"/>
          <w:szCs w:val="22"/>
        </w:rPr>
        <w:t>).</w:t>
      </w:r>
    </w:p>
    <w:p w14:paraId="27719E2D" w14:textId="77777777" w:rsidR="00E268EE" w:rsidRPr="00536845" w:rsidRDefault="00E268EE" w:rsidP="00A633E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t>QKDN protocols</w:t>
      </w:r>
    </w:p>
    <w:p w14:paraId="1A8E6F53" w14:textId="77777777" w:rsidR="00A633E6" w:rsidRPr="00D82479" w:rsidRDefault="00A633E6" w:rsidP="00A633E6">
      <w:pPr>
        <w:rPr>
          <w:rFonts w:eastAsia="Batang"/>
          <w:szCs w:val="22"/>
        </w:rPr>
      </w:pPr>
      <w:r w:rsidRPr="00D82479">
        <w:rPr>
          <w:rFonts w:eastAsia="Batang"/>
          <w:szCs w:val="22"/>
        </w:rPr>
        <w:t>As a continuation of studies related to signalling protocols for QKDN, ITU-T SG11 started two new work items and the revision of ITU-T Q.4164:</w:t>
      </w:r>
    </w:p>
    <w:p w14:paraId="655177FA" w14:textId="77777777" w:rsidR="00A633E6" w:rsidRPr="00CC655D" w:rsidRDefault="00A633E6" w:rsidP="00A633E6">
      <w:pPr>
        <w:pStyle w:val="ListParagraph"/>
        <w:numPr>
          <w:ilvl w:val="0"/>
          <w:numId w:val="32"/>
        </w:numPr>
        <w:contextualSpacing w:val="0"/>
        <w:rPr>
          <w:rFonts w:asciiTheme="majorBidi" w:hAnsiTheme="majorBidi" w:cstheme="majorBidi"/>
        </w:rPr>
      </w:pPr>
      <w:r w:rsidRPr="00CC655D">
        <w:rPr>
          <w:rFonts w:asciiTheme="majorBidi" w:hAnsiTheme="majorBidi" w:cstheme="majorBidi"/>
        </w:rPr>
        <w:t>Q.QKDN_GC: General control protocols for interfaces on quantum key distribution network controller for quantum key distribution networks;</w:t>
      </w:r>
    </w:p>
    <w:p w14:paraId="01748DD6" w14:textId="77777777" w:rsidR="00A633E6" w:rsidRPr="00CC655D" w:rsidRDefault="00A633E6" w:rsidP="00A633E6">
      <w:pPr>
        <w:pStyle w:val="ListParagraph"/>
        <w:numPr>
          <w:ilvl w:val="0"/>
          <w:numId w:val="32"/>
        </w:numPr>
        <w:contextualSpacing w:val="0"/>
        <w:rPr>
          <w:rFonts w:asciiTheme="majorBidi" w:hAnsiTheme="majorBidi" w:cstheme="majorBidi"/>
        </w:rPr>
      </w:pPr>
      <w:r w:rsidRPr="00CC655D">
        <w:rPr>
          <w:rFonts w:asciiTheme="majorBidi" w:hAnsiTheme="majorBidi" w:cstheme="majorBidi"/>
        </w:rPr>
        <w:t>Q.QKDN_Cq: Protocols for Cq interfaces for quantum key distribution networks;</w:t>
      </w:r>
    </w:p>
    <w:p w14:paraId="6F720050" w14:textId="77777777" w:rsidR="00A633E6" w:rsidRPr="00CC655D" w:rsidRDefault="00A633E6" w:rsidP="00A633E6">
      <w:pPr>
        <w:pStyle w:val="ListParagraph"/>
        <w:numPr>
          <w:ilvl w:val="0"/>
          <w:numId w:val="32"/>
        </w:numPr>
        <w:contextualSpacing w:val="0"/>
        <w:rPr>
          <w:rFonts w:asciiTheme="majorBidi" w:hAnsiTheme="majorBidi" w:cstheme="majorBidi"/>
        </w:rPr>
      </w:pPr>
      <w:r w:rsidRPr="00CC655D">
        <w:rPr>
          <w:rFonts w:asciiTheme="majorBidi" w:hAnsiTheme="majorBidi" w:cstheme="majorBidi"/>
        </w:rPr>
        <w:t>Q.4164_rev: Revision of ITU-T Q.4164 “Protocols for Ck interfaces for quantum key distribution networks”.</w:t>
      </w:r>
    </w:p>
    <w:p w14:paraId="0382F866" w14:textId="77777777" w:rsidR="00A633E6" w:rsidRPr="00D82479" w:rsidRDefault="00A633E6" w:rsidP="00A633E6">
      <w:pPr>
        <w:rPr>
          <w:rFonts w:eastAsia="Batang"/>
          <w:szCs w:val="22"/>
        </w:rPr>
      </w:pPr>
      <w:r w:rsidRPr="00D82479">
        <w:rPr>
          <w:rFonts w:eastAsia="Batang"/>
          <w:szCs w:val="22"/>
        </w:rPr>
        <w:t xml:space="preserve">The complete list of new work items agreed at this particular meeting is available in </w:t>
      </w:r>
      <w:hyperlink r:id="rId23" w:history="1">
        <w:r w:rsidRPr="00D82479">
          <w:rPr>
            <w:rFonts w:eastAsia="Batang"/>
            <w:color w:val="0000FF"/>
            <w:szCs w:val="22"/>
            <w:u w:val="single"/>
          </w:rPr>
          <w:t>SG11-TD816-R1/GEN</w:t>
        </w:r>
      </w:hyperlink>
      <w:r w:rsidRPr="00D82479">
        <w:rPr>
          <w:rFonts w:eastAsia="Batang"/>
          <w:szCs w:val="22"/>
        </w:rPr>
        <w:t>.</w:t>
      </w:r>
    </w:p>
    <w:p w14:paraId="52801F52" w14:textId="68BFABC0" w:rsidR="00A633E6" w:rsidRPr="00D82479" w:rsidRDefault="00A633E6" w:rsidP="00A633E6">
      <w:pPr>
        <w:rPr>
          <w:rFonts w:eastAsia="Batang"/>
          <w:szCs w:val="22"/>
        </w:rPr>
      </w:pPr>
      <w:r w:rsidRPr="00D82479">
        <w:rPr>
          <w:rFonts w:eastAsia="Batang"/>
          <w:szCs w:val="22"/>
        </w:rPr>
        <w:t>More details are available in WP1/11 report (</w:t>
      </w:r>
      <w:hyperlink r:id="rId24" w:history="1">
        <w:r w:rsidR="009F3C76">
          <w:rPr>
            <w:rStyle w:val="Hyperlink"/>
            <w:rFonts w:eastAsia="Calibri"/>
          </w:rPr>
          <w:t>SG</w:t>
        </w:r>
        <w:r w:rsidR="009F3C76" w:rsidRPr="00E258A4">
          <w:rPr>
            <w:rStyle w:val="Hyperlink"/>
            <w:rFonts w:eastAsia="Calibri"/>
          </w:rPr>
          <w:t>11-R</w:t>
        </w:r>
        <w:r w:rsidR="009F3C76">
          <w:rPr>
            <w:rStyle w:val="Hyperlink"/>
            <w:rFonts w:eastAsia="Calibri"/>
          </w:rPr>
          <w:t>24</w:t>
        </w:r>
      </w:hyperlink>
      <w:r w:rsidRPr="00D82479">
        <w:rPr>
          <w:rFonts w:eastAsia="Batang"/>
          <w:szCs w:val="22"/>
        </w:rPr>
        <w:t>).</w:t>
      </w:r>
    </w:p>
    <w:p w14:paraId="5CCB8FB6" w14:textId="026B70D0" w:rsidR="00613028" w:rsidRPr="00536845" w:rsidRDefault="00613028" w:rsidP="00CF242F">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t>Security issues of SS7</w:t>
      </w:r>
    </w:p>
    <w:p w14:paraId="44111147" w14:textId="77777777" w:rsidR="00E268EE" w:rsidRPr="00D82479" w:rsidRDefault="00E268EE" w:rsidP="00E268EE">
      <w:pPr>
        <w:spacing w:after="120"/>
        <w:rPr>
          <w:rFonts w:eastAsia="Batang" w:cs="Arial"/>
          <w:szCs w:val="22"/>
          <w:lang w:eastAsia="zh-CN"/>
        </w:rPr>
      </w:pPr>
      <w:r w:rsidRPr="00D82479">
        <w:rPr>
          <w:rFonts w:eastAsia="Batang" w:cs="Arial"/>
          <w:szCs w:val="22"/>
          <w:lang w:eastAsia="zh-CN"/>
        </w:rPr>
        <w:t>Since 2016, ITU-T SG11 continues its studies on implementation of security measures on signalling level in order to cope with different types of attacks on existing ICT infrastructure and services (e.g. OTP intercept, calls intercept, spoofing numbers, robocalls, etc.).</w:t>
      </w:r>
    </w:p>
    <w:p w14:paraId="5DD09F8B" w14:textId="77777777" w:rsidR="00E268EE" w:rsidRPr="00D82479" w:rsidRDefault="00E268EE" w:rsidP="00E268EE">
      <w:pPr>
        <w:rPr>
          <w:rFonts w:eastAsia="Batang" w:cs="Arial"/>
          <w:szCs w:val="22"/>
          <w:lang w:eastAsia="zh-CN"/>
        </w:rPr>
      </w:pPr>
      <w:r w:rsidRPr="00D82479">
        <w:rPr>
          <w:rFonts w:eastAsia="Batang" w:cs="Arial"/>
          <w:szCs w:val="22"/>
          <w:lang w:eastAsia="zh-CN"/>
        </w:rPr>
        <w:t xml:space="preserve">All ITU-T SG11 results and related events (workshops, webinars) on signalling security are available on dedicated web page at: </w:t>
      </w:r>
      <w:hyperlink r:id="rId25" w:history="1">
        <w:r w:rsidRPr="00D82479">
          <w:rPr>
            <w:rFonts w:eastAsia="Batang" w:cs="Arial"/>
            <w:color w:val="0000FF"/>
            <w:szCs w:val="22"/>
            <w:u w:val="single"/>
            <w:lang w:eastAsia="zh-CN"/>
          </w:rPr>
          <w:t>https://itu.int/go/SIG-SECURITY</w:t>
        </w:r>
      </w:hyperlink>
      <w:r w:rsidRPr="00D82479">
        <w:rPr>
          <w:rFonts w:eastAsia="Batang" w:cs="Arial"/>
          <w:szCs w:val="22"/>
          <w:lang w:eastAsia="zh-CN"/>
        </w:rPr>
        <w:t>.</w:t>
      </w:r>
    </w:p>
    <w:p w14:paraId="27856DAA" w14:textId="3DB56B50" w:rsidR="00E268EE" w:rsidRPr="00D82479" w:rsidRDefault="00E268EE" w:rsidP="00E268EE">
      <w:pPr>
        <w:rPr>
          <w:rFonts w:eastAsia="Batang" w:cs="Arial"/>
          <w:szCs w:val="22"/>
          <w:lang w:eastAsia="zh-CN"/>
        </w:rPr>
      </w:pPr>
      <w:r w:rsidRPr="00D82479">
        <w:rPr>
          <w:rFonts w:eastAsia="Batang" w:cs="Arial"/>
          <w:szCs w:val="22"/>
          <w:lang w:eastAsia="zh-CN"/>
        </w:rPr>
        <w:t xml:space="preserve">The meeting discussed the draft Recommendation ITU-T Q.TSCA based on the contributions received. The meeting did not reach consensus on the content of this document for starting </w:t>
      </w:r>
      <w:r w:rsidR="0002578B">
        <w:rPr>
          <w:rFonts w:eastAsia="Batang" w:cs="Arial"/>
          <w:szCs w:val="22"/>
          <w:lang w:eastAsia="zh-CN"/>
        </w:rPr>
        <w:t xml:space="preserve">the </w:t>
      </w:r>
      <w:r w:rsidRPr="00D82479">
        <w:rPr>
          <w:rFonts w:eastAsia="Batang" w:cs="Arial"/>
          <w:szCs w:val="22"/>
          <w:lang w:eastAsia="zh-CN"/>
        </w:rPr>
        <w:t xml:space="preserve">approval process via determination. </w:t>
      </w:r>
      <w:r w:rsidR="0002578B">
        <w:rPr>
          <w:rFonts w:eastAsia="Batang" w:cs="Arial"/>
          <w:szCs w:val="22"/>
          <w:lang w:eastAsia="zh-CN"/>
        </w:rPr>
        <w:t>Several</w:t>
      </w:r>
      <w:r w:rsidRPr="00D82479">
        <w:rPr>
          <w:rFonts w:eastAsia="Batang" w:cs="Arial"/>
          <w:szCs w:val="22"/>
          <w:lang w:eastAsia="zh-CN"/>
        </w:rPr>
        <w:t xml:space="preserve"> issues need to be clarified and confirmed in the future meeting. The latest version of the baseline text is available in </w:t>
      </w:r>
      <w:hyperlink r:id="rId26" w:history="1">
        <w:r w:rsidRPr="00D82479">
          <w:rPr>
            <w:rFonts w:eastAsia="Batang" w:cs="Arial"/>
            <w:color w:val="0000FF"/>
            <w:szCs w:val="22"/>
            <w:u w:val="single"/>
            <w:lang w:eastAsia="zh-CN"/>
          </w:rPr>
          <w:t>SG11-TD1006/GEN</w:t>
        </w:r>
      </w:hyperlink>
      <w:r w:rsidRPr="00D82479">
        <w:rPr>
          <w:rFonts w:eastAsia="Batang" w:cs="Arial"/>
          <w:szCs w:val="22"/>
          <w:lang w:eastAsia="zh-CN"/>
        </w:rPr>
        <w:t>.</w:t>
      </w:r>
    </w:p>
    <w:p w14:paraId="44CCE840" w14:textId="3F22D1E9" w:rsidR="00E268EE" w:rsidRDefault="00E268EE" w:rsidP="00E268EE">
      <w:pPr>
        <w:spacing w:after="120"/>
        <w:rPr>
          <w:rFonts w:eastAsia="Batang" w:cs="Arial"/>
          <w:szCs w:val="22"/>
          <w:lang w:eastAsia="zh-CN"/>
        </w:rPr>
      </w:pPr>
      <w:r w:rsidRPr="00D82479">
        <w:rPr>
          <w:rFonts w:eastAsia="Batang" w:cs="Arial"/>
          <w:szCs w:val="22"/>
          <w:lang w:eastAsia="zh-CN"/>
        </w:rPr>
        <w:t xml:space="preserve">ITU-T SG11 continues close collaboration with ITU-T SG17 and ITU-T SG2 on this subject matter and </w:t>
      </w:r>
      <w:r w:rsidR="0002578B">
        <w:rPr>
          <w:rFonts w:eastAsia="Batang" w:cs="Arial"/>
          <w:szCs w:val="22"/>
          <w:lang w:eastAsia="zh-CN"/>
        </w:rPr>
        <w:t xml:space="preserve">keep them </w:t>
      </w:r>
      <w:r w:rsidRPr="00D82479">
        <w:rPr>
          <w:rFonts w:eastAsia="Batang" w:cs="Arial"/>
          <w:szCs w:val="22"/>
          <w:lang w:eastAsia="zh-CN"/>
        </w:rPr>
        <w:t>informed via LS (</w:t>
      </w:r>
      <w:hyperlink r:id="rId27" w:history="1">
        <w:r w:rsidRPr="00D82479">
          <w:rPr>
            <w:rFonts w:eastAsia="Batang" w:cs="Arial"/>
            <w:color w:val="0000FF"/>
            <w:szCs w:val="22"/>
            <w:u w:val="single"/>
            <w:lang w:eastAsia="zh-CN"/>
          </w:rPr>
          <w:t>SG11-LS156</w:t>
        </w:r>
      </w:hyperlink>
      <w:r w:rsidRPr="00D82479">
        <w:rPr>
          <w:rFonts w:eastAsia="Batang" w:cs="Arial"/>
          <w:szCs w:val="22"/>
          <w:lang w:eastAsia="zh-CN"/>
        </w:rPr>
        <w:t>).</w:t>
      </w:r>
    </w:p>
    <w:p w14:paraId="08BEC067" w14:textId="4AC1A035" w:rsidR="00F96A72" w:rsidRPr="00D82479" w:rsidRDefault="00F96A72" w:rsidP="00E268EE">
      <w:pPr>
        <w:spacing w:after="120"/>
        <w:rPr>
          <w:rFonts w:eastAsia="Batang" w:cs="Arial"/>
          <w:szCs w:val="22"/>
          <w:lang w:eastAsia="zh-CN"/>
        </w:rPr>
      </w:pPr>
      <w:r>
        <w:rPr>
          <w:rFonts w:eastAsia="Batang" w:cs="Arial"/>
          <w:szCs w:val="22"/>
          <w:lang w:eastAsia="zh-CN"/>
        </w:rPr>
        <w:t xml:space="preserve">Following </w:t>
      </w:r>
      <w:r w:rsidR="00902F0D">
        <w:rPr>
          <w:rFonts w:eastAsia="Batang" w:cs="Arial"/>
          <w:szCs w:val="22"/>
          <w:lang w:eastAsia="zh-CN"/>
        </w:rPr>
        <w:t xml:space="preserve">discussion at the SGs Chairs meeting, </w:t>
      </w:r>
      <w:r>
        <w:rPr>
          <w:rFonts w:eastAsia="Batang" w:cs="Arial"/>
          <w:szCs w:val="22"/>
          <w:lang w:eastAsia="zh-CN"/>
        </w:rPr>
        <w:t>SG11 management</w:t>
      </w:r>
      <w:r w:rsidR="0002578B">
        <w:rPr>
          <w:rFonts w:eastAsia="Batang" w:cs="Arial"/>
          <w:szCs w:val="22"/>
          <w:lang w:eastAsia="zh-CN"/>
        </w:rPr>
        <w:t xml:space="preserve"> team</w:t>
      </w:r>
      <w:r>
        <w:rPr>
          <w:rFonts w:eastAsia="Batang" w:cs="Arial"/>
          <w:szCs w:val="22"/>
          <w:lang w:eastAsia="zh-CN"/>
        </w:rPr>
        <w:t xml:space="preserve"> </w:t>
      </w:r>
      <w:r w:rsidR="00F72CC9">
        <w:rPr>
          <w:rFonts w:eastAsia="Batang" w:cs="Arial"/>
          <w:szCs w:val="22"/>
          <w:lang w:eastAsia="zh-CN"/>
        </w:rPr>
        <w:t>provided</w:t>
      </w:r>
      <w:r w:rsidR="00902F0D">
        <w:rPr>
          <w:rFonts w:eastAsia="Batang" w:cs="Arial"/>
          <w:szCs w:val="22"/>
          <w:lang w:eastAsia="zh-CN"/>
        </w:rPr>
        <w:t xml:space="preserve"> TSAG</w:t>
      </w:r>
      <w:r w:rsidR="00F72CC9">
        <w:rPr>
          <w:rFonts w:eastAsia="Batang" w:cs="Arial"/>
          <w:szCs w:val="22"/>
          <w:lang w:eastAsia="zh-CN"/>
        </w:rPr>
        <w:t xml:space="preserve"> with an update</w:t>
      </w:r>
      <w:r w:rsidR="00902F0D">
        <w:rPr>
          <w:rFonts w:eastAsia="Batang" w:cs="Arial"/>
          <w:szCs w:val="22"/>
          <w:lang w:eastAsia="zh-CN"/>
        </w:rPr>
        <w:t xml:space="preserve"> </w:t>
      </w:r>
      <w:r w:rsidR="00FA0768">
        <w:rPr>
          <w:rFonts w:eastAsia="Batang" w:cs="Arial"/>
          <w:szCs w:val="22"/>
          <w:lang w:eastAsia="zh-CN"/>
        </w:rPr>
        <w:t xml:space="preserve">on </w:t>
      </w:r>
      <w:r w:rsidR="0002578B">
        <w:rPr>
          <w:rFonts w:eastAsia="Batang" w:cs="Arial"/>
          <w:szCs w:val="22"/>
          <w:lang w:eastAsia="zh-CN"/>
        </w:rPr>
        <w:t xml:space="preserve">the </w:t>
      </w:r>
      <w:r w:rsidR="00FA0768" w:rsidRPr="00FA0768">
        <w:rPr>
          <w:rFonts w:eastAsia="Batang" w:cs="Arial"/>
          <w:szCs w:val="22"/>
          <w:lang w:eastAsia="zh-CN"/>
        </w:rPr>
        <w:t xml:space="preserve">progress of SG11 work item </w:t>
      </w:r>
      <w:r w:rsidR="004C6B4D">
        <w:rPr>
          <w:rFonts w:eastAsia="Batang" w:cs="Arial"/>
          <w:szCs w:val="22"/>
          <w:lang w:eastAsia="zh-CN"/>
        </w:rPr>
        <w:t xml:space="preserve">ITU-T </w:t>
      </w:r>
      <w:r w:rsidR="00FA0768" w:rsidRPr="00FA0768">
        <w:rPr>
          <w:rFonts w:eastAsia="Batang" w:cs="Arial"/>
          <w:szCs w:val="22"/>
          <w:lang w:eastAsia="zh-CN"/>
        </w:rPr>
        <w:t>Q.TSCA</w:t>
      </w:r>
      <w:r w:rsidR="00FA0768">
        <w:rPr>
          <w:rFonts w:eastAsia="Batang" w:cs="Arial"/>
          <w:szCs w:val="22"/>
          <w:lang w:eastAsia="zh-CN"/>
        </w:rPr>
        <w:t xml:space="preserve"> (</w:t>
      </w:r>
      <w:hyperlink r:id="rId28" w:history="1">
        <w:r w:rsidR="00FA0768" w:rsidRPr="00FA0768">
          <w:rPr>
            <w:rStyle w:val="Hyperlink"/>
            <w:rFonts w:eastAsia="Batang" w:cs="Arial"/>
            <w:szCs w:val="22"/>
            <w:lang w:eastAsia="zh-CN"/>
          </w:rPr>
          <w:t>SG11-LS210</w:t>
        </w:r>
      </w:hyperlink>
      <w:r w:rsidR="00FA0768">
        <w:rPr>
          <w:rFonts w:eastAsia="Batang" w:cs="Arial"/>
          <w:szCs w:val="22"/>
          <w:lang w:eastAsia="zh-CN"/>
        </w:rPr>
        <w:t>).</w:t>
      </w:r>
    </w:p>
    <w:p w14:paraId="03F6C2C2" w14:textId="7F60844D" w:rsidR="00E268EE" w:rsidRDefault="00E268EE" w:rsidP="00E268EE">
      <w:pPr>
        <w:rPr>
          <w:rFonts w:asciiTheme="majorBidi" w:hAnsiTheme="majorBidi" w:cstheme="majorBidi"/>
        </w:rPr>
      </w:pPr>
      <w:r w:rsidRPr="00D82479">
        <w:rPr>
          <w:rFonts w:eastAsia="Batang"/>
          <w:szCs w:val="22"/>
        </w:rPr>
        <w:t>More details are available in WP1/11 report (</w:t>
      </w:r>
      <w:hyperlink r:id="rId29" w:history="1">
        <w:r w:rsidR="009F3C76">
          <w:rPr>
            <w:rStyle w:val="Hyperlink"/>
            <w:rFonts w:eastAsia="Calibri"/>
          </w:rPr>
          <w:t>SG</w:t>
        </w:r>
        <w:r w:rsidR="009F3C76" w:rsidRPr="00E258A4">
          <w:rPr>
            <w:rStyle w:val="Hyperlink"/>
            <w:rFonts w:eastAsia="Calibri"/>
          </w:rPr>
          <w:t>11-R</w:t>
        </w:r>
        <w:r w:rsidR="009F3C76">
          <w:rPr>
            <w:rStyle w:val="Hyperlink"/>
            <w:rFonts w:eastAsia="Calibri"/>
          </w:rPr>
          <w:t>24</w:t>
        </w:r>
      </w:hyperlink>
      <w:r w:rsidRPr="00D82479">
        <w:rPr>
          <w:rFonts w:eastAsia="Batang"/>
          <w:szCs w:val="22"/>
        </w:rPr>
        <w:t>)</w:t>
      </w:r>
      <w:r>
        <w:rPr>
          <w:rFonts w:eastAsia="Batang"/>
          <w:szCs w:val="22"/>
        </w:rPr>
        <w:t>.</w:t>
      </w:r>
    </w:p>
    <w:p w14:paraId="725E15CD" w14:textId="77777777" w:rsidR="00613028" w:rsidRPr="00536845" w:rsidRDefault="00613028"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t>Establishing test specifications, conformance and interoperability testing for all types of networks, technologies and services that are the subject of study and standardization by all ITU</w:t>
      </w:r>
      <w:r w:rsidRPr="00536845">
        <w:rPr>
          <w:rFonts w:asciiTheme="majorBidi" w:hAnsiTheme="majorBidi" w:cstheme="majorBidi"/>
          <w:b/>
          <w:bCs/>
        </w:rPr>
        <w:noBreakHyphen/>
        <w:t>T study groups</w:t>
      </w:r>
    </w:p>
    <w:p w14:paraId="30374A42" w14:textId="39E56890" w:rsidR="00426A2E" w:rsidRPr="00BA0C77" w:rsidRDefault="00BA0C77" w:rsidP="00A910A9">
      <w:pPr>
        <w:pStyle w:val="ListParagraph"/>
        <w:numPr>
          <w:ilvl w:val="2"/>
          <w:numId w:val="33"/>
        </w:numPr>
        <w:snapToGrid w:val="0"/>
        <w:spacing w:before="240" w:after="120"/>
        <w:ind w:left="720"/>
        <w:contextualSpacing w:val="0"/>
        <w:rPr>
          <w:rFonts w:asciiTheme="majorBidi" w:hAnsiTheme="majorBidi" w:cstheme="majorBidi"/>
          <w:b/>
        </w:rPr>
      </w:pPr>
      <w:bookmarkStart w:id="0" w:name="_Toc168994050"/>
      <w:r w:rsidRPr="00BA0C77">
        <w:rPr>
          <w:rFonts w:asciiTheme="majorBidi" w:hAnsiTheme="majorBidi" w:cstheme="majorBidi"/>
          <w:b/>
          <w:bCs/>
        </w:rPr>
        <w:t>Testing and monitoring specifications, including federated testbeds</w:t>
      </w:r>
      <w:bookmarkEnd w:id="0"/>
    </w:p>
    <w:p w14:paraId="31559529" w14:textId="77777777" w:rsidR="00D10AA3" w:rsidRDefault="00D10AA3" w:rsidP="00D10AA3">
      <w:pPr>
        <w:rPr>
          <w:rFonts w:asciiTheme="majorBidi" w:hAnsiTheme="majorBidi" w:cstheme="majorBidi"/>
        </w:rPr>
      </w:pPr>
      <w:r>
        <w:rPr>
          <w:rFonts w:asciiTheme="majorBidi" w:hAnsiTheme="majorBidi" w:cstheme="majorBidi"/>
        </w:rPr>
        <w:t>ITU-T SG11 consented two new Recommendations which deal with IoT testing, as follows:</w:t>
      </w:r>
    </w:p>
    <w:p w14:paraId="3B480822" w14:textId="77777777" w:rsidR="00D10AA3" w:rsidRDefault="00D10AA3" w:rsidP="00D10AA3">
      <w:pPr>
        <w:pStyle w:val="ListParagraph"/>
        <w:numPr>
          <w:ilvl w:val="0"/>
          <w:numId w:val="32"/>
        </w:numPr>
        <w:contextualSpacing w:val="0"/>
        <w:rPr>
          <w:rFonts w:asciiTheme="majorBidi" w:hAnsiTheme="majorBidi" w:cstheme="majorBidi"/>
        </w:rPr>
      </w:pPr>
      <w:r>
        <w:rPr>
          <w:rFonts w:asciiTheme="majorBidi" w:hAnsiTheme="majorBidi" w:cstheme="majorBidi"/>
        </w:rPr>
        <w:lastRenderedPageBreak/>
        <w:t>ITU-T Q.4074 (ex. Q.TSN): Testing of robotics based on a model network;</w:t>
      </w:r>
    </w:p>
    <w:p w14:paraId="556CC9B5" w14:textId="77777777" w:rsidR="00D10AA3" w:rsidRDefault="00D10AA3" w:rsidP="00D10AA3">
      <w:pPr>
        <w:pStyle w:val="ListParagraph"/>
        <w:numPr>
          <w:ilvl w:val="0"/>
          <w:numId w:val="32"/>
        </w:numPr>
        <w:contextualSpacing w:val="0"/>
        <w:rPr>
          <w:rFonts w:asciiTheme="majorBidi" w:hAnsiTheme="majorBidi" w:cstheme="majorBidi"/>
        </w:rPr>
      </w:pPr>
      <w:r>
        <w:rPr>
          <w:rFonts w:asciiTheme="majorBidi" w:hAnsiTheme="majorBidi" w:cstheme="majorBidi"/>
        </w:rPr>
        <w:t>ITU-T Q.4075 (ex. Q.TSRT_IoT): Test specifications for remote testing of Internet of Things using the probes.</w:t>
      </w:r>
    </w:p>
    <w:p w14:paraId="4982F7ED" w14:textId="022B9C92" w:rsidR="00D10AA3" w:rsidRDefault="00D10AA3" w:rsidP="00D10AA3">
      <w:pPr>
        <w:rPr>
          <w:rFonts w:asciiTheme="majorBidi" w:hAnsiTheme="majorBidi" w:cstheme="majorBidi"/>
        </w:rPr>
      </w:pPr>
      <w:r>
        <w:rPr>
          <w:rFonts w:asciiTheme="majorBidi" w:hAnsiTheme="majorBidi" w:cstheme="majorBidi"/>
        </w:rPr>
        <w:t xml:space="preserve">Also, SG11 started </w:t>
      </w:r>
      <w:r w:rsidR="00F72CC9">
        <w:rPr>
          <w:rFonts w:asciiTheme="majorBidi" w:hAnsiTheme="majorBidi" w:cstheme="majorBidi"/>
        </w:rPr>
        <w:t xml:space="preserve">the </w:t>
      </w:r>
      <w:r>
        <w:rPr>
          <w:rFonts w:asciiTheme="majorBidi" w:hAnsiTheme="majorBidi" w:cstheme="majorBidi"/>
        </w:rPr>
        <w:t xml:space="preserve">new work item </w:t>
      </w:r>
      <w:r>
        <w:t>Q.MUD_IOT: Framework for testing and monitoring IoT devices &amp; networks using technical Requirements from Manufacturer Usage Description (MUD).</w:t>
      </w:r>
    </w:p>
    <w:p w14:paraId="40792A72" w14:textId="77777777" w:rsidR="00BA0C77" w:rsidRDefault="00BA0C77" w:rsidP="00BA0C77">
      <w:pPr>
        <w:rPr>
          <w:rFonts w:asciiTheme="majorBidi" w:hAnsiTheme="majorBidi" w:cstheme="majorBidi"/>
        </w:rPr>
      </w:pPr>
      <w:r>
        <w:rPr>
          <w:rFonts w:asciiTheme="majorBidi" w:hAnsiTheme="majorBidi" w:cstheme="majorBidi"/>
        </w:rPr>
        <w:t>ITU-T SG11 consented three new Recommendations related to testing and monitoring specifications, including:</w:t>
      </w:r>
    </w:p>
    <w:p w14:paraId="035E3CA5" w14:textId="77777777" w:rsidR="00BA0C77" w:rsidRDefault="00BA0C77" w:rsidP="00BA0C77">
      <w:pPr>
        <w:pStyle w:val="ListParagraph"/>
        <w:numPr>
          <w:ilvl w:val="0"/>
          <w:numId w:val="32"/>
        </w:numPr>
        <w:contextualSpacing w:val="0"/>
        <w:rPr>
          <w:rFonts w:asciiTheme="majorBidi" w:hAnsiTheme="majorBidi" w:cstheme="majorBidi"/>
        </w:rPr>
      </w:pPr>
      <w:r>
        <w:rPr>
          <w:rFonts w:asciiTheme="majorBidi" w:hAnsiTheme="majorBidi" w:cstheme="majorBidi"/>
        </w:rPr>
        <w:t>ITU-T Q.4072 (ex.Q.PIS): Monitoring Parameters for Intelligent Speech in Future Networks;</w:t>
      </w:r>
    </w:p>
    <w:p w14:paraId="514948A0" w14:textId="77777777" w:rsidR="00BA0C77" w:rsidRDefault="00BA0C77" w:rsidP="00BA0C77">
      <w:pPr>
        <w:pStyle w:val="ListParagraph"/>
        <w:numPr>
          <w:ilvl w:val="0"/>
          <w:numId w:val="32"/>
        </w:numPr>
        <w:contextualSpacing w:val="0"/>
        <w:rPr>
          <w:rFonts w:asciiTheme="majorBidi" w:hAnsiTheme="majorBidi" w:cstheme="majorBidi"/>
        </w:rPr>
      </w:pPr>
      <w:r>
        <w:rPr>
          <w:rFonts w:asciiTheme="majorBidi" w:hAnsiTheme="majorBidi" w:cstheme="majorBidi"/>
        </w:rPr>
        <w:t>ITU-T Q.4047 (ex. Q.Scvh-iopt): Interoperability testing between software-defined networking (SDN) and hypervisor based computing virtualization;</w:t>
      </w:r>
    </w:p>
    <w:p w14:paraId="0374154B" w14:textId="77777777" w:rsidR="00BA0C77" w:rsidRDefault="00BA0C77" w:rsidP="00BA0C77">
      <w:pPr>
        <w:pStyle w:val="ListParagraph"/>
        <w:numPr>
          <w:ilvl w:val="0"/>
          <w:numId w:val="32"/>
        </w:numPr>
        <w:contextualSpacing w:val="0"/>
        <w:rPr>
          <w:rFonts w:asciiTheme="majorBidi" w:hAnsiTheme="majorBidi" w:cstheme="majorBidi"/>
        </w:rPr>
      </w:pPr>
      <w:r>
        <w:rPr>
          <w:rFonts w:asciiTheme="majorBidi" w:hAnsiTheme="majorBidi" w:cstheme="majorBidi"/>
        </w:rPr>
        <w:t>ITU-T Q.4073 (Q.FW-IVV5G): Framework for interconnection testing of Voice, Video over 5G.</w:t>
      </w:r>
    </w:p>
    <w:p w14:paraId="5D83E56A" w14:textId="3AB54778" w:rsidR="00697E08" w:rsidRPr="00697E08" w:rsidRDefault="00697E08" w:rsidP="00697E08">
      <w:pPr>
        <w:rPr>
          <w:rFonts w:asciiTheme="majorBidi" w:hAnsiTheme="majorBidi" w:cstheme="majorBidi"/>
        </w:rPr>
      </w:pPr>
      <w:r w:rsidRPr="00697E08">
        <w:rPr>
          <w:rFonts w:eastAsia="Batang" w:cs="Arial"/>
        </w:rPr>
        <w:t xml:space="preserve">Moreover, SG11 started a new </w:t>
      </w:r>
      <w:r w:rsidR="00FC0AF7">
        <w:rPr>
          <w:rFonts w:eastAsia="Batang" w:cs="Arial"/>
        </w:rPr>
        <w:t xml:space="preserve">work item which </w:t>
      </w:r>
      <w:r w:rsidR="00E0539B">
        <w:rPr>
          <w:rFonts w:eastAsia="Batang" w:cs="Arial"/>
        </w:rPr>
        <w:t xml:space="preserve">considers </w:t>
      </w:r>
      <w:r w:rsidR="00F72CC9">
        <w:rPr>
          <w:rFonts w:eastAsia="Batang" w:cs="Arial"/>
        </w:rPr>
        <w:t xml:space="preserve">the </w:t>
      </w:r>
      <w:r w:rsidR="00E0539B">
        <w:rPr>
          <w:rFonts w:eastAsia="Batang" w:cs="Arial"/>
        </w:rPr>
        <w:t xml:space="preserve">aspects related to </w:t>
      </w:r>
      <w:r w:rsidR="00B75E67" w:rsidRPr="00B75E67">
        <w:rPr>
          <w:rFonts w:eastAsia="Batang" w:cs="Arial"/>
        </w:rPr>
        <w:t>Unmanned Aerial Vehicle</w:t>
      </w:r>
      <w:r w:rsidR="00B75E67">
        <w:rPr>
          <w:rFonts w:eastAsia="Batang" w:cs="Arial"/>
        </w:rPr>
        <w:t xml:space="preserve"> (</w:t>
      </w:r>
      <w:r w:rsidR="00E0539B">
        <w:rPr>
          <w:rFonts w:eastAsia="Batang" w:cs="Arial"/>
        </w:rPr>
        <w:t>UAV</w:t>
      </w:r>
      <w:r w:rsidR="00B75E67">
        <w:rPr>
          <w:rFonts w:eastAsia="Batang" w:cs="Arial"/>
        </w:rPr>
        <w:t>)</w:t>
      </w:r>
      <w:r w:rsidR="00E0539B">
        <w:rPr>
          <w:rFonts w:eastAsia="Batang" w:cs="Arial"/>
        </w:rPr>
        <w:t xml:space="preserve">-based Power-Grid inspection </w:t>
      </w:r>
      <w:r w:rsidR="00EE5F33">
        <w:rPr>
          <w:rFonts w:eastAsia="Batang" w:cs="Arial"/>
        </w:rPr>
        <w:t xml:space="preserve">— </w:t>
      </w:r>
      <w:r w:rsidRPr="00697E08">
        <w:rPr>
          <w:rFonts w:eastAsia="Batang" w:cs="Arial"/>
        </w:rPr>
        <w:t>ITU-T Q.MPSG “Monitoring parameters for IMT-2020 networks and beyond supporting smart grid”. The ICAO,</w:t>
      </w:r>
      <w:r>
        <w:rPr>
          <w:rFonts w:eastAsia="Batang" w:cs="Arial"/>
        </w:rPr>
        <w:t xml:space="preserve"> SG13 and SG20 </w:t>
      </w:r>
      <w:r w:rsidRPr="00697E08">
        <w:rPr>
          <w:rFonts w:eastAsia="Batang" w:cs="Arial"/>
        </w:rPr>
        <w:t>were kept informed (</w:t>
      </w:r>
      <w:hyperlink r:id="rId30" w:history="1">
        <w:r w:rsidRPr="00697E08">
          <w:rPr>
            <w:rStyle w:val="Hyperlink"/>
            <w:rFonts w:eastAsia="Batang" w:cs="Arial"/>
          </w:rPr>
          <w:t>SG11-LS1</w:t>
        </w:r>
        <w:r>
          <w:rPr>
            <w:rStyle w:val="Hyperlink"/>
            <w:rFonts w:eastAsia="Batang" w:cs="Arial"/>
          </w:rPr>
          <w:t>99</w:t>
        </w:r>
      </w:hyperlink>
      <w:r w:rsidRPr="00697E08">
        <w:rPr>
          <w:rFonts w:eastAsia="Batang" w:cs="Arial"/>
        </w:rPr>
        <w:t>).</w:t>
      </w:r>
    </w:p>
    <w:p w14:paraId="34A8EE51" w14:textId="4459E972" w:rsidR="00D10AA3" w:rsidRDefault="00BA0C77" w:rsidP="002F4E21">
      <w:pPr>
        <w:snapToGrid w:val="0"/>
        <w:spacing w:after="120"/>
        <w:rPr>
          <w:rFonts w:asciiTheme="majorBidi" w:hAnsiTheme="majorBidi" w:cstheme="majorBidi"/>
        </w:rPr>
      </w:pPr>
      <w:r>
        <w:rPr>
          <w:rFonts w:asciiTheme="majorBidi" w:hAnsiTheme="majorBidi" w:cstheme="majorBidi"/>
        </w:rPr>
        <w:t xml:space="preserve">ITU-T SG11 advanced 18 ongoing work items and started 12 new work items including </w:t>
      </w:r>
      <w:r w:rsidR="00F72CC9">
        <w:rPr>
          <w:rFonts w:asciiTheme="majorBidi" w:hAnsiTheme="majorBidi" w:cstheme="majorBidi"/>
        </w:rPr>
        <w:t xml:space="preserve">a </w:t>
      </w:r>
      <w:r>
        <w:rPr>
          <w:rFonts w:asciiTheme="majorBidi" w:hAnsiTheme="majorBidi" w:cstheme="majorBidi"/>
        </w:rPr>
        <w:t xml:space="preserve">series of new work items on federated testbeds based on </w:t>
      </w:r>
      <w:r w:rsidR="00F72CC9">
        <w:rPr>
          <w:rFonts w:asciiTheme="majorBidi" w:hAnsiTheme="majorBidi" w:cstheme="majorBidi"/>
        </w:rPr>
        <w:t xml:space="preserve">the </w:t>
      </w:r>
      <w:r>
        <w:rPr>
          <w:rFonts w:asciiTheme="majorBidi" w:hAnsiTheme="majorBidi" w:cstheme="majorBidi"/>
        </w:rPr>
        <w:t xml:space="preserve">outcomes of </w:t>
      </w:r>
      <w:r w:rsidR="00F72CC9">
        <w:rPr>
          <w:rFonts w:asciiTheme="majorBidi" w:hAnsiTheme="majorBidi" w:cstheme="majorBidi"/>
        </w:rPr>
        <w:t xml:space="preserve">the </w:t>
      </w:r>
      <w:hyperlink r:id="rId31" w:history="1">
        <w:r>
          <w:rPr>
            <w:rStyle w:val="Hyperlink"/>
            <w:rFonts w:asciiTheme="majorBidi" w:hAnsiTheme="majorBidi" w:cstheme="majorBidi"/>
          </w:rPr>
          <w:t>FG-TBFxG</w:t>
        </w:r>
      </w:hyperlink>
      <w:r w:rsidR="00E11C6C">
        <w:rPr>
          <w:rFonts w:asciiTheme="majorBidi" w:hAnsiTheme="majorBidi" w:cstheme="majorBidi"/>
        </w:rPr>
        <w:t>, which complete</w:t>
      </w:r>
      <w:r w:rsidR="00F72CC9">
        <w:rPr>
          <w:rFonts w:asciiTheme="majorBidi" w:hAnsiTheme="majorBidi" w:cstheme="majorBidi"/>
        </w:rPr>
        <w:t>d</w:t>
      </w:r>
      <w:r w:rsidR="00E11C6C">
        <w:rPr>
          <w:rFonts w:asciiTheme="majorBidi" w:hAnsiTheme="majorBidi" w:cstheme="majorBidi"/>
        </w:rPr>
        <w:t xml:space="preserve"> its lifecycle.</w:t>
      </w:r>
    </w:p>
    <w:p w14:paraId="5E2B90F0" w14:textId="6276059A" w:rsidR="00BA0C77" w:rsidRDefault="00BA0C77" w:rsidP="002F4E21">
      <w:pPr>
        <w:snapToGrid w:val="0"/>
        <w:spacing w:after="120"/>
        <w:rPr>
          <w:rFonts w:asciiTheme="majorBidi" w:hAnsiTheme="majorBidi" w:cstheme="majorBidi"/>
        </w:rPr>
      </w:pPr>
      <w:r>
        <w:rPr>
          <w:rFonts w:asciiTheme="majorBidi" w:hAnsiTheme="majorBidi" w:cstheme="majorBidi"/>
        </w:rPr>
        <w:t>More details are available in WP3/11 report (</w:t>
      </w:r>
      <w:hyperlink r:id="rId32" w:history="1">
        <w:r w:rsidR="006E447B">
          <w:rPr>
            <w:rStyle w:val="Hyperlink"/>
            <w:rFonts w:eastAsia="Calibri"/>
          </w:rPr>
          <w:t>SG</w:t>
        </w:r>
        <w:r w:rsidR="006E447B" w:rsidRPr="00E258A4">
          <w:rPr>
            <w:rStyle w:val="Hyperlink"/>
            <w:rFonts w:eastAsia="Calibri"/>
          </w:rPr>
          <w:t>11-R</w:t>
        </w:r>
        <w:r w:rsidR="006E447B">
          <w:rPr>
            <w:rStyle w:val="Hyperlink"/>
            <w:rFonts w:eastAsia="Calibri"/>
          </w:rPr>
          <w:t>26</w:t>
        </w:r>
      </w:hyperlink>
      <w:r>
        <w:rPr>
          <w:rFonts w:asciiTheme="majorBidi" w:hAnsiTheme="majorBidi" w:cstheme="majorBidi"/>
        </w:rPr>
        <w:t>).</w:t>
      </w:r>
    </w:p>
    <w:p w14:paraId="369D6BC0" w14:textId="77777777" w:rsidR="00613028" w:rsidRPr="00536845" w:rsidRDefault="00613028" w:rsidP="008E018C">
      <w:pPr>
        <w:pStyle w:val="ListParagraph"/>
        <w:numPr>
          <w:ilvl w:val="2"/>
          <w:numId w:val="33"/>
        </w:numPr>
        <w:snapToGrid w:val="0"/>
        <w:spacing w:before="240" w:after="120"/>
        <w:ind w:left="720"/>
        <w:contextualSpacing w:val="0"/>
        <w:rPr>
          <w:rFonts w:asciiTheme="majorBidi" w:hAnsiTheme="majorBidi" w:cstheme="majorBidi"/>
          <w:b/>
          <w:bCs/>
        </w:rPr>
      </w:pPr>
      <w:r w:rsidRPr="00536845">
        <w:rPr>
          <w:rFonts w:asciiTheme="majorBidi" w:hAnsiTheme="majorBidi" w:cstheme="majorBidi"/>
          <w:b/>
          <w:bCs/>
        </w:rPr>
        <w:t>Conformity Assessment Steering Committee (CASC)</w:t>
      </w:r>
    </w:p>
    <w:p w14:paraId="7734FF67" w14:textId="51AFD26A" w:rsidR="00007E5F" w:rsidRDefault="00D35368" w:rsidP="00C04CE4">
      <w:pPr>
        <w:rPr>
          <w:rFonts w:asciiTheme="majorBidi" w:hAnsiTheme="majorBidi" w:cstheme="majorBidi"/>
          <w:lang w:val="en-US"/>
        </w:rPr>
      </w:pPr>
      <w:r>
        <w:rPr>
          <w:rFonts w:asciiTheme="majorBidi" w:hAnsiTheme="majorBidi" w:cstheme="majorBidi"/>
        </w:rPr>
        <w:t xml:space="preserve">The </w:t>
      </w:r>
      <w:r>
        <w:rPr>
          <w:lang w:val="en-US"/>
        </w:rPr>
        <w:t xml:space="preserve">seventeenth </w:t>
      </w:r>
      <w:r>
        <w:rPr>
          <w:rFonts w:asciiTheme="majorBidi" w:hAnsiTheme="majorBidi" w:cstheme="majorBidi"/>
        </w:rPr>
        <w:t>meeting of the ITU-T Conformity Assessment Steering Committee (CASC) was held in Geneva on 3 May 2024</w:t>
      </w:r>
      <w:r w:rsidR="00F72CC9">
        <w:rPr>
          <w:rFonts w:asciiTheme="majorBidi" w:hAnsiTheme="majorBidi" w:cstheme="majorBidi"/>
        </w:rPr>
        <w:t>,</w:t>
      </w:r>
      <w:r>
        <w:rPr>
          <w:rFonts w:asciiTheme="majorBidi" w:hAnsiTheme="majorBidi" w:cstheme="majorBidi"/>
        </w:rPr>
        <w:t xml:space="preserve"> during the ITU-T SG11 meeting.</w:t>
      </w:r>
      <w:r w:rsidR="00C04CE4">
        <w:rPr>
          <w:rFonts w:asciiTheme="majorBidi" w:hAnsiTheme="majorBidi" w:cstheme="majorBidi"/>
        </w:rPr>
        <w:t xml:space="preserve"> The detailed presentation about </w:t>
      </w:r>
      <w:r>
        <w:rPr>
          <w:rFonts w:asciiTheme="majorBidi" w:hAnsiTheme="majorBidi" w:cstheme="majorBidi"/>
        </w:rPr>
        <w:t xml:space="preserve">the current status of the ITU Testing Laboratories database </w:t>
      </w:r>
      <w:r w:rsidR="00C04CE4">
        <w:rPr>
          <w:rFonts w:asciiTheme="majorBidi" w:hAnsiTheme="majorBidi" w:cstheme="majorBidi"/>
        </w:rPr>
        <w:t xml:space="preserve">is available in </w:t>
      </w:r>
      <w:hyperlink r:id="rId33" w:history="1">
        <w:hyperlink r:id="rId34" w:history="1">
          <w:r>
            <w:rPr>
              <w:rStyle w:val="Hyperlink"/>
              <w:rFonts w:asciiTheme="majorBidi" w:hAnsiTheme="majorBidi" w:cstheme="majorBidi"/>
              <w:lang w:val="en-US"/>
            </w:rPr>
            <w:t>SG11-TD818/GEN</w:t>
          </w:r>
        </w:hyperlink>
      </w:hyperlink>
      <w:r>
        <w:rPr>
          <w:rFonts w:asciiTheme="majorBidi" w:hAnsiTheme="majorBidi" w:cstheme="majorBidi"/>
          <w:lang w:val="en-US"/>
        </w:rPr>
        <w:t>.</w:t>
      </w:r>
    </w:p>
    <w:p w14:paraId="6BB0E41C" w14:textId="7CDCBDF4" w:rsidR="0021770C" w:rsidRDefault="0021770C" w:rsidP="00C04CE4">
      <w:pPr>
        <w:rPr>
          <w:rFonts w:asciiTheme="majorBidi" w:hAnsiTheme="majorBidi" w:cstheme="majorBidi"/>
          <w:lang w:val="en-US"/>
        </w:rPr>
      </w:pPr>
      <w:r>
        <w:rPr>
          <w:rFonts w:asciiTheme="majorBidi" w:hAnsiTheme="majorBidi" w:cstheme="majorBidi"/>
          <w:lang w:val="en-US"/>
        </w:rPr>
        <w:t>As of June 2024, there are 14 testing laboratories registered in ITU database</w:t>
      </w:r>
      <w:r w:rsidR="00A92B04">
        <w:rPr>
          <w:rFonts w:asciiTheme="majorBidi" w:hAnsiTheme="majorBidi" w:cstheme="majorBidi"/>
          <w:lang w:val="en-US"/>
        </w:rPr>
        <w:t xml:space="preserve"> (</w:t>
      </w:r>
      <w:hyperlink r:id="rId35" w:history="1">
        <w:r w:rsidR="00A92B04" w:rsidRPr="00061011">
          <w:rPr>
            <w:rStyle w:val="Hyperlink"/>
            <w:rFonts w:asciiTheme="majorBidi" w:hAnsiTheme="majorBidi" w:cstheme="majorBidi"/>
            <w:lang w:val="en-US"/>
          </w:rPr>
          <w:t>https://itu.int/go/tldb</w:t>
        </w:r>
      </w:hyperlink>
      <w:r w:rsidR="00A92B04">
        <w:rPr>
          <w:rFonts w:asciiTheme="majorBidi" w:hAnsiTheme="majorBidi" w:cstheme="majorBidi"/>
          <w:lang w:val="en-US"/>
        </w:rPr>
        <w:t>)</w:t>
      </w:r>
      <w:r>
        <w:rPr>
          <w:rFonts w:asciiTheme="majorBidi" w:hAnsiTheme="majorBidi" w:cstheme="majorBidi"/>
          <w:lang w:val="en-US"/>
        </w:rPr>
        <w:t>.</w:t>
      </w:r>
    </w:p>
    <w:p w14:paraId="3AC44F49" w14:textId="5FB447A4" w:rsidR="00D35368" w:rsidRDefault="00D35368" w:rsidP="00D35368">
      <w:pPr>
        <w:rPr>
          <w:rFonts w:asciiTheme="majorBidi" w:hAnsiTheme="majorBidi" w:cstheme="majorBidi"/>
          <w:lang w:val="en-US"/>
        </w:rPr>
      </w:pPr>
      <w:r>
        <w:rPr>
          <w:rFonts w:asciiTheme="majorBidi" w:hAnsiTheme="majorBidi" w:cstheme="majorBidi"/>
          <w:lang w:val="en-US"/>
        </w:rPr>
        <w:t>Among recent updates</w:t>
      </w:r>
      <w:r w:rsidR="00F72CC9">
        <w:rPr>
          <w:rFonts w:asciiTheme="majorBidi" w:hAnsiTheme="majorBidi" w:cstheme="majorBidi"/>
          <w:lang w:val="en-US"/>
        </w:rPr>
        <w:t>, there</w:t>
      </w:r>
      <w:r>
        <w:rPr>
          <w:rFonts w:asciiTheme="majorBidi" w:hAnsiTheme="majorBidi" w:cstheme="majorBidi"/>
          <w:lang w:val="en-US"/>
        </w:rPr>
        <w:t xml:space="preserve"> are </w:t>
      </w:r>
      <w:r w:rsidR="00757D2A">
        <w:rPr>
          <w:rFonts w:asciiTheme="majorBidi" w:hAnsiTheme="majorBidi" w:cstheme="majorBidi"/>
          <w:lang w:val="en-US"/>
        </w:rPr>
        <w:t>three</w:t>
      </w:r>
      <w:r>
        <w:rPr>
          <w:rFonts w:asciiTheme="majorBidi" w:hAnsiTheme="majorBidi" w:cstheme="majorBidi"/>
          <w:lang w:val="en-US"/>
        </w:rPr>
        <w:t xml:space="preserve"> new Testing Laboratories registered in the ITU TL Database, as well as updates for existing entries.</w:t>
      </w:r>
      <w:r w:rsidR="00007E5F">
        <w:rPr>
          <w:rFonts w:asciiTheme="majorBidi" w:hAnsiTheme="majorBidi" w:cstheme="majorBidi"/>
          <w:lang w:val="en-US"/>
        </w:rPr>
        <w:t xml:space="preserve"> </w:t>
      </w:r>
      <w:r>
        <w:rPr>
          <w:rFonts w:asciiTheme="majorBidi" w:hAnsiTheme="majorBidi" w:cstheme="majorBidi"/>
          <w:lang w:val="en-US"/>
        </w:rPr>
        <w:t xml:space="preserve">Also, it was noted that validity of accreditation of </w:t>
      </w:r>
      <w:r>
        <w:rPr>
          <w:lang w:val="en-US"/>
        </w:rPr>
        <w:t xml:space="preserve">Bharat Test House Pvt. Ltd. is expired. CASC encourages TSB to communicate with </w:t>
      </w:r>
      <w:r w:rsidR="00F72CC9">
        <w:rPr>
          <w:lang w:val="en-US"/>
        </w:rPr>
        <w:t xml:space="preserve">the </w:t>
      </w:r>
      <w:r>
        <w:rPr>
          <w:lang w:val="en-US"/>
        </w:rPr>
        <w:t>testing laboratory and provide updates for</w:t>
      </w:r>
      <w:r w:rsidR="00F72CC9">
        <w:rPr>
          <w:lang w:val="en-US"/>
        </w:rPr>
        <w:t xml:space="preserve"> the</w:t>
      </w:r>
      <w:r>
        <w:rPr>
          <w:lang w:val="en-US"/>
        </w:rPr>
        <w:t xml:space="preserve"> next CASC meeting.</w:t>
      </w:r>
    </w:p>
    <w:p w14:paraId="1822653C" w14:textId="778EDD63" w:rsidR="00D35368" w:rsidRDefault="00D35368" w:rsidP="00D35368">
      <w:pPr>
        <w:rPr>
          <w:rFonts w:asciiTheme="majorBidi" w:hAnsiTheme="majorBidi" w:cstheme="majorBidi"/>
        </w:rPr>
      </w:pPr>
      <w:r>
        <w:rPr>
          <w:rFonts w:asciiTheme="majorBidi" w:hAnsiTheme="majorBidi" w:cstheme="majorBidi"/>
        </w:rPr>
        <w:t xml:space="preserve">It was noted that </w:t>
      </w:r>
      <w:r>
        <w:rPr>
          <w:lang w:val="en-IN"/>
        </w:rPr>
        <w:t xml:space="preserve">according to </w:t>
      </w:r>
      <w:hyperlink r:id="rId36" w:history="1">
        <w:r>
          <w:rPr>
            <w:rStyle w:val="Hyperlink"/>
            <w:lang w:val="en-IN"/>
          </w:rPr>
          <w:t>TSB Circular 368</w:t>
        </w:r>
      </w:hyperlink>
      <w:r>
        <w:rPr>
          <w:lang w:val="en-IN"/>
        </w:rPr>
        <w:t xml:space="preserve"> (31 January 2022), all testing laboratories registered in </w:t>
      </w:r>
      <w:r w:rsidR="00F72CC9">
        <w:rPr>
          <w:lang w:val="en-IN"/>
        </w:rPr>
        <w:t xml:space="preserve">the </w:t>
      </w:r>
      <w:r>
        <w:rPr>
          <w:lang w:val="en-IN"/>
        </w:rPr>
        <w:t>ITU TL database, are invited to register ICT products, which are tested in this TL against ITU-T Recommendations, in the ITU Product Conformity Database (</w:t>
      </w:r>
      <w:hyperlink r:id="rId37" w:history="1">
        <w:r>
          <w:rPr>
            <w:rStyle w:val="Hyperlink"/>
          </w:rPr>
          <w:t>https://itu.int/go/tcdb</w:t>
        </w:r>
      </w:hyperlink>
      <w:r>
        <w:rPr>
          <w:lang w:val="en-IN"/>
        </w:rPr>
        <w:t>).</w:t>
      </w:r>
    </w:p>
    <w:p w14:paraId="7A926DBC" w14:textId="167B4205" w:rsidR="00D35368" w:rsidRDefault="00D35368" w:rsidP="00D35368">
      <w:pPr>
        <w:rPr>
          <w:rFonts w:asciiTheme="majorBidi" w:hAnsiTheme="majorBidi" w:cstheme="majorBidi"/>
          <w:lang w:val="en-US"/>
        </w:rPr>
      </w:pPr>
      <w:r>
        <w:t xml:space="preserve">TSB also showed a </w:t>
      </w:r>
      <w:hyperlink r:id="rId38" w:history="1">
        <w:r>
          <w:rPr>
            <w:rStyle w:val="Hyperlink"/>
          </w:rPr>
          <w:t>video guideline</w:t>
        </w:r>
      </w:hyperlink>
      <w:r>
        <w:t xml:space="preserve"> about ITU Testing Laboratories and the ITU Product Conformity Databases and gave a presentation on the </w:t>
      </w:r>
      <w:hyperlink r:id="rId39" w:history="1">
        <w:r>
          <w:rPr>
            <w:rStyle w:val="Hyperlink"/>
          </w:rPr>
          <w:t>ITU Tutorial on Testing Laboratories recognition procedure</w:t>
        </w:r>
      </w:hyperlink>
      <w:r>
        <w:t xml:space="preserve"> which</w:t>
      </w:r>
      <w:r w:rsidR="005304C4">
        <w:t xml:space="preserve"> was</w:t>
      </w:r>
      <w:r>
        <w:t xml:space="preserve"> held in Geneva on 12 October 2023. It was noted that t</w:t>
      </w:r>
      <w:r>
        <w:rPr>
          <w:rFonts w:asciiTheme="majorBidi" w:hAnsiTheme="majorBidi" w:cstheme="majorBidi"/>
          <w:lang w:val="en-US"/>
        </w:rPr>
        <w:t>he tutorial was aimed at guiding all stakeholders on Testing Laboratories recognition procedure established by ITU, its benefits and all logistical details needed for submitting applications.</w:t>
      </w:r>
    </w:p>
    <w:p w14:paraId="47A50B7A" w14:textId="48C12A81" w:rsidR="003F6D59" w:rsidRDefault="00D35368" w:rsidP="00D35368">
      <w:pPr>
        <w:rPr>
          <w:rFonts w:asciiTheme="majorBidi" w:hAnsiTheme="majorBidi" w:cstheme="majorBidi"/>
        </w:rPr>
      </w:pPr>
      <w:r>
        <w:rPr>
          <w:rFonts w:asciiTheme="majorBidi" w:hAnsiTheme="majorBidi" w:cstheme="majorBidi"/>
        </w:rPr>
        <w:t xml:space="preserve">All details are available in the CASC </w:t>
      </w:r>
      <w:r w:rsidRPr="00E11C98">
        <w:rPr>
          <w:rFonts w:asciiTheme="majorBidi" w:hAnsiTheme="majorBidi" w:cstheme="majorBidi"/>
        </w:rPr>
        <w:t>report (</w:t>
      </w:r>
      <w:hyperlink w:anchor="_Annex_6" w:history="1">
        <w:r w:rsidR="00E11C98" w:rsidRPr="00E11C98">
          <w:rPr>
            <w:rStyle w:val="Hyperlink"/>
            <w:rFonts w:asciiTheme="majorBidi" w:hAnsiTheme="majorBidi" w:cstheme="majorBidi"/>
          </w:rPr>
          <w:t>Annex 6</w:t>
        </w:r>
      </w:hyperlink>
      <w:r w:rsidR="00E11C98">
        <w:rPr>
          <w:rFonts w:asciiTheme="majorBidi" w:hAnsiTheme="majorBidi" w:cstheme="majorBidi"/>
        </w:rPr>
        <w:t xml:space="preserve"> to </w:t>
      </w:r>
      <w:hyperlink r:id="rId40" w:history="1">
        <w:r w:rsidR="00E11C98" w:rsidRPr="00E11C98">
          <w:rPr>
            <w:rStyle w:val="Hyperlink"/>
          </w:rPr>
          <w:t>SG11-R23</w:t>
        </w:r>
      </w:hyperlink>
      <w:r w:rsidRPr="00E11C98">
        <w:rPr>
          <w:rFonts w:asciiTheme="majorBidi" w:hAnsiTheme="majorBidi" w:cstheme="majorBidi"/>
        </w:rPr>
        <w:t>).</w:t>
      </w:r>
    </w:p>
    <w:p w14:paraId="521C1313" w14:textId="77777777" w:rsidR="008E018C" w:rsidRPr="00536845" w:rsidRDefault="008E018C" w:rsidP="008E018C">
      <w:pPr>
        <w:pStyle w:val="ListParagraph"/>
        <w:numPr>
          <w:ilvl w:val="2"/>
          <w:numId w:val="33"/>
        </w:numPr>
        <w:snapToGrid w:val="0"/>
        <w:spacing w:before="240" w:after="120"/>
        <w:ind w:left="720"/>
        <w:contextualSpacing w:val="0"/>
        <w:rPr>
          <w:rFonts w:asciiTheme="majorBidi" w:hAnsiTheme="majorBidi" w:cstheme="majorBidi"/>
          <w:b/>
          <w:lang w:val="en-US"/>
        </w:rPr>
      </w:pPr>
      <w:r>
        <w:rPr>
          <w:rFonts w:asciiTheme="majorBidi" w:hAnsiTheme="majorBidi" w:cstheme="majorBidi"/>
          <w:b/>
          <w:bCs/>
        </w:rPr>
        <w:t>C</w:t>
      </w:r>
      <w:r w:rsidRPr="00536845">
        <w:rPr>
          <w:rFonts w:asciiTheme="majorBidi" w:hAnsiTheme="majorBidi" w:cstheme="majorBidi"/>
          <w:b/>
          <w:bCs/>
        </w:rPr>
        <w:t xml:space="preserve">onformance and interoperability </w:t>
      </w:r>
      <w:r>
        <w:rPr>
          <w:rFonts w:asciiTheme="majorBidi" w:hAnsiTheme="majorBidi" w:cstheme="majorBidi"/>
          <w:b/>
          <w:bCs/>
        </w:rPr>
        <w:t>programme</w:t>
      </w:r>
    </w:p>
    <w:p w14:paraId="1A149D57" w14:textId="205C9018" w:rsidR="008E018C" w:rsidRDefault="003E0FF3" w:rsidP="008E018C">
      <w:pPr>
        <w:rPr>
          <w:rFonts w:asciiTheme="majorBidi" w:hAnsiTheme="majorBidi" w:cstheme="majorBidi"/>
        </w:rPr>
      </w:pPr>
      <w:r>
        <w:rPr>
          <w:rFonts w:asciiTheme="majorBidi" w:hAnsiTheme="majorBidi" w:cstheme="majorBidi"/>
        </w:rPr>
        <w:t xml:space="preserve">SG11 noted the updated reference table </w:t>
      </w:r>
      <w:r w:rsidR="008E07DB">
        <w:t>of ITU-T Recommendations to be used for conformance and interoperability testing (</w:t>
      </w:r>
      <w:hyperlink r:id="rId41" w:history="1">
        <w:r w:rsidR="00445ACE" w:rsidRPr="00445ACE">
          <w:rPr>
            <w:rStyle w:val="Hyperlink"/>
          </w:rPr>
          <w:t>https://itu.int/go/reference-table</w:t>
        </w:r>
      </w:hyperlink>
      <w:r w:rsidR="008E07DB">
        <w:t>).</w:t>
      </w:r>
    </w:p>
    <w:p w14:paraId="0751BCC8" w14:textId="77777777" w:rsidR="00613028" w:rsidRPr="00536845" w:rsidRDefault="00613028"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t>Combating counterfeiting and the use of stolen ICT devices</w:t>
      </w:r>
    </w:p>
    <w:p w14:paraId="7CE0A932" w14:textId="56709C55" w:rsidR="00F57691" w:rsidRDefault="00753680" w:rsidP="00F57691">
      <w:pPr>
        <w:rPr>
          <w:rFonts w:asciiTheme="majorBidi" w:eastAsia="Times New Roman" w:hAnsiTheme="majorBidi" w:cstheme="majorBidi"/>
          <w:lang w:eastAsia="en-GB"/>
        </w:rPr>
      </w:pPr>
      <w:r>
        <w:rPr>
          <w:rFonts w:asciiTheme="majorBidi" w:eastAsia="Times New Roman" w:hAnsiTheme="majorBidi" w:cstheme="majorBidi"/>
          <w:lang w:eastAsia="en-GB"/>
        </w:rPr>
        <w:lastRenderedPageBreak/>
        <w:t>In May 2024</w:t>
      </w:r>
      <w:r w:rsidR="00F57691">
        <w:rPr>
          <w:rFonts w:asciiTheme="majorBidi" w:eastAsia="Times New Roman" w:hAnsiTheme="majorBidi" w:cstheme="majorBidi"/>
          <w:lang w:eastAsia="en-GB"/>
        </w:rPr>
        <w:t>, SG11 determined Recommendation ITU-T Q.5054 “Consumer centric framework for combating counterfeit and stolen ICT mobile devices”. This Recommendation provides a framework to enable consumers to verify the regularity of mobile telecommunications/ICT devices ubiquitously and provide a comprehensive overview to law enforcement agencies and regulators while enabling other stakeholders.</w:t>
      </w:r>
    </w:p>
    <w:p w14:paraId="51C7E5C3" w14:textId="77777777" w:rsidR="00F57691" w:rsidRDefault="00F57691" w:rsidP="00F57691">
      <w:pPr>
        <w:rPr>
          <w:rFonts w:asciiTheme="majorBidi" w:eastAsia="Times New Roman" w:hAnsiTheme="majorBidi" w:cstheme="majorBidi"/>
          <w:lang w:eastAsia="en-GB"/>
        </w:rPr>
      </w:pPr>
      <w:r>
        <w:rPr>
          <w:rFonts w:asciiTheme="majorBidi" w:eastAsia="Times New Roman" w:hAnsiTheme="majorBidi" w:cstheme="majorBidi"/>
          <w:lang w:eastAsia="en-GB"/>
        </w:rPr>
        <w:t>Also, SG11 completed and consented draft Recommendation ITU-T Q.5055 “Technical requirement, interfaces and generic functions of CEIR” which defines requirements for Central Equipment Identity Register (CEIR).</w:t>
      </w:r>
    </w:p>
    <w:p w14:paraId="7CC65AC1" w14:textId="25E07C65" w:rsidR="00F57691" w:rsidRDefault="00F57691" w:rsidP="00F57691">
      <w:pPr>
        <w:rPr>
          <w:rFonts w:asciiTheme="majorBidi" w:eastAsia="Batang" w:hAnsiTheme="majorBidi" w:cstheme="majorBidi"/>
        </w:rPr>
      </w:pPr>
      <w:r>
        <w:rPr>
          <w:rFonts w:asciiTheme="majorBidi" w:hAnsiTheme="majorBidi" w:cstheme="majorBidi"/>
        </w:rPr>
        <w:t xml:space="preserve">SG11 updated the </w:t>
      </w:r>
      <w:r>
        <w:rPr>
          <w:rFonts w:asciiTheme="majorBidi" w:hAnsiTheme="majorBidi" w:cstheme="majorBidi"/>
          <w:iCs/>
        </w:rPr>
        <w:t>draft Supplement</w:t>
      </w:r>
      <w:r>
        <w:rPr>
          <w:rFonts w:asciiTheme="majorBidi" w:hAnsiTheme="majorBidi" w:cstheme="majorBidi"/>
        </w:rPr>
        <w:t xml:space="preserve"> ITU-T Q.Supplement.75-Rev: Use cases on the combat of counterfeit ICT stolen mobile devices, based on </w:t>
      </w:r>
      <w:r w:rsidR="00E51C5F">
        <w:rPr>
          <w:rFonts w:asciiTheme="majorBidi" w:hAnsiTheme="majorBidi" w:cstheme="majorBidi"/>
        </w:rPr>
        <w:t xml:space="preserve">the </w:t>
      </w:r>
      <w:r>
        <w:rPr>
          <w:rFonts w:asciiTheme="majorBidi" w:hAnsiTheme="majorBidi" w:cstheme="majorBidi"/>
        </w:rPr>
        <w:t>received contributions</w:t>
      </w:r>
      <w:r w:rsidR="00E51C5F">
        <w:rPr>
          <w:rFonts w:asciiTheme="majorBidi" w:hAnsiTheme="majorBidi" w:cstheme="majorBidi"/>
        </w:rPr>
        <w:t xml:space="preserve">, </w:t>
      </w:r>
      <w:r>
        <w:rPr>
          <w:rFonts w:asciiTheme="majorBidi" w:hAnsiTheme="majorBidi" w:cstheme="majorBidi"/>
        </w:rPr>
        <w:t xml:space="preserve">including multi-country contributions </w:t>
      </w:r>
      <w:r w:rsidR="001B1457">
        <w:rPr>
          <w:rFonts w:asciiTheme="majorBidi" w:hAnsiTheme="majorBidi" w:cstheme="majorBidi"/>
        </w:rPr>
        <w:t xml:space="preserve">which </w:t>
      </w:r>
      <w:r w:rsidR="00E51C5F">
        <w:rPr>
          <w:rFonts w:asciiTheme="majorBidi" w:hAnsiTheme="majorBidi" w:cstheme="majorBidi"/>
        </w:rPr>
        <w:t xml:space="preserve">were received </w:t>
      </w:r>
      <w:r>
        <w:rPr>
          <w:rFonts w:asciiTheme="majorBidi" w:hAnsiTheme="majorBidi" w:cstheme="majorBidi"/>
        </w:rPr>
        <w:t>following discussion at the SG11 Regional Group for Africa (</w:t>
      </w:r>
      <w:hyperlink r:id="rId42" w:history="1">
        <w:r>
          <w:rPr>
            <w:rStyle w:val="Hyperlink"/>
            <w:rFonts w:asciiTheme="majorBidi" w:hAnsiTheme="majorBidi" w:cstheme="majorBidi"/>
          </w:rPr>
          <w:t>SG11RG-AFR</w:t>
        </w:r>
      </w:hyperlink>
      <w:r>
        <w:rPr>
          <w:rFonts w:asciiTheme="majorBidi" w:hAnsiTheme="majorBidi" w:cstheme="majorBidi"/>
        </w:rPr>
        <w:t>).</w:t>
      </w:r>
    </w:p>
    <w:p w14:paraId="6094940C" w14:textId="7EF86A50" w:rsidR="00F57691" w:rsidRDefault="00F57691" w:rsidP="00F57691">
      <w:pPr>
        <w:rPr>
          <w:rFonts w:asciiTheme="majorBidi" w:hAnsiTheme="majorBidi" w:cstheme="majorBidi"/>
        </w:rPr>
      </w:pPr>
      <w:r>
        <w:rPr>
          <w:rFonts w:asciiTheme="majorBidi" w:hAnsiTheme="majorBidi" w:cstheme="majorBidi"/>
        </w:rPr>
        <w:t xml:space="preserve">ITU-T SG11 advanced six ongoing work items and started </w:t>
      </w:r>
      <w:r w:rsidR="005A09E7">
        <w:rPr>
          <w:rFonts w:asciiTheme="majorBidi" w:hAnsiTheme="majorBidi" w:cstheme="majorBidi"/>
        </w:rPr>
        <w:t>the</w:t>
      </w:r>
      <w:r>
        <w:rPr>
          <w:rFonts w:asciiTheme="majorBidi" w:hAnsiTheme="majorBidi" w:cstheme="majorBidi"/>
        </w:rPr>
        <w:t xml:space="preserve"> new work item Q.F-MSCF which will define framework on the use of market surveillance for combat counterfeit Telecommunications/ICT equipment.</w:t>
      </w:r>
    </w:p>
    <w:p w14:paraId="3F008CF7" w14:textId="77777777" w:rsidR="00F57691" w:rsidRPr="00937C01" w:rsidRDefault="00F57691" w:rsidP="00F57691">
      <w:pPr>
        <w:rPr>
          <w:rFonts w:asciiTheme="majorBidi" w:hAnsiTheme="majorBidi" w:cstheme="majorBidi"/>
        </w:rPr>
      </w:pPr>
      <w:r>
        <w:rPr>
          <w:rFonts w:asciiTheme="majorBidi" w:hAnsiTheme="majorBidi" w:cstheme="majorBidi"/>
        </w:rPr>
        <w:t>More details are available in WP4/11 report (</w:t>
      </w:r>
      <w:hyperlink r:id="rId43" w:history="1">
        <w:r>
          <w:rPr>
            <w:rStyle w:val="Hyperlink"/>
            <w:bCs/>
            <w:lang w:val="en-US" w:eastAsia="zh-CN"/>
          </w:rPr>
          <w:t>SG11-TD860-R1/GEN</w:t>
        </w:r>
      </w:hyperlink>
      <w:r>
        <w:rPr>
          <w:rFonts w:asciiTheme="majorBidi" w:hAnsiTheme="majorBidi" w:cstheme="majorBidi"/>
        </w:rPr>
        <w:t>).</w:t>
      </w:r>
    </w:p>
    <w:p w14:paraId="1A6B86D5" w14:textId="04B5AE4E" w:rsidR="00D62E26" w:rsidRPr="00D62E26" w:rsidRDefault="00D62E26" w:rsidP="00D75BF1">
      <w:pPr>
        <w:pStyle w:val="ListParagraph"/>
        <w:numPr>
          <w:ilvl w:val="0"/>
          <w:numId w:val="13"/>
        </w:numPr>
        <w:snapToGrid w:val="0"/>
        <w:spacing w:before="240" w:after="120"/>
        <w:ind w:left="706" w:hanging="706"/>
        <w:contextualSpacing w:val="0"/>
        <w:rPr>
          <w:rFonts w:asciiTheme="majorBidi" w:hAnsiTheme="majorBidi" w:cstheme="majorBidi"/>
          <w:b/>
          <w:bCs/>
        </w:rPr>
      </w:pPr>
      <w:r>
        <w:rPr>
          <w:rFonts w:asciiTheme="majorBidi" w:hAnsiTheme="majorBidi" w:cstheme="majorBidi"/>
          <w:b/>
        </w:rPr>
        <w:t>Preparation for WTSA-24</w:t>
      </w:r>
    </w:p>
    <w:p w14:paraId="6E3FF5B3" w14:textId="1228B0A0" w:rsidR="00D75BF1" w:rsidRDefault="00D75BF1" w:rsidP="00D75BF1">
      <w:r>
        <w:t xml:space="preserve">During its meeting held in Geneva in May 2024, SG11 finalized </w:t>
      </w:r>
      <w:r w:rsidR="00A36B4D">
        <w:t xml:space="preserve">the </w:t>
      </w:r>
      <w:r>
        <w:t>preparation</w:t>
      </w:r>
      <w:r w:rsidR="00A36B4D">
        <w:t>s</w:t>
      </w:r>
      <w:r>
        <w:t xml:space="preserve"> for WTSA and agreed on </w:t>
      </w:r>
      <w:r w:rsidR="00A36B4D">
        <w:t xml:space="preserve">the </w:t>
      </w:r>
      <w:r>
        <w:t xml:space="preserve">revised Questions ToR as well </w:t>
      </w:r>
      <w:r w:rsidR="00A36B4D">
        <w:t xml:space="preserve">as the </w:t>
      </w:r>
      <w:r>
        <w:t>SG11 title, mandate, points of guidance and lead SG roles (updates to Resolution 2 of WTSA-20) for next study period.</w:t>
      </w:r>
    </w:p>
    <w:p w14:paraId="73A75C62" w14:textId="6743E0A2" w:rsidR="00D75BF1" w:rsidRDefault="00D75BF1" w:rsidP="00D75BF1">
      <w:r>
        <w:t>Based on the discussion it was decided to merge Q15/11 and Q17/11. With such change the number of questions of SG11 is reduced to 13 Questions in total.</w:t>
      </w:r>
    </w:p>
    <w:p w14:paraId="769018BB" w14:textId="77777777" w:rsidR="00D75BF1" w:rsidRDefault="00D75BF1" w:rsidP="00D75BF1">
      <w:r>
        <w:t>The outcomes of the SG11 NSP-WTSA discussion are available in:</w:t>
      </w:r>
    </w:p>
    <w:p w14:paraId="1111A4F7" w14:textId="77777777" w:rsidR="00D75BF1" w:rsidRDefault="002404B1" w:rsidP="00D75BF1">
      <w:pPr>
        <w:pStyle w:val="ListParagraph"/>
        <w:numPr>
          <w:ilvl w:val="0"/>
          <w:numId w:val="32"/>
        </w:numPr>
        <w:contextualSpacing w:val="0"/>
      </w:pPr>
      <w:hyperlink r:id="rId44" w:history="1">
        <w:r w:rsidR="00D75BF1">
          <w:rPr>
            <w:rStyle w:val="Hyperlink"/>
          </w:rPr>
          <w:t>SG11-TD821-R1/GEN</w:t>
        </w:r>
      </w:hyperlink>
      <w:r w:rsidR="00D75BF1">
        <w:t xml:space="preserve">: </w:t>
      </w:r>
      <w:r w:rsidR="00D75BF1" w:rsidRPr="00EB4AE1">
        <w:rPr>
          <w:rFonts w:asciiTheme="majorBidi" w:hAnsiTheme="majorBidi" w:cstheme="majorBidi"/>
        </w:rPr>
        <w:t>Consolidated</w:t>
      </w:r>
      <w:r w:rsidR="00D75BF1">
        <w:t xml:space="preserve"> text of ToR of SG11 Questions for next Study Period (2025-2028) (Geneva, 1-10 May 2024)</w:t>
      </w:r>
    </w:p>
    <w:p w14:paraId="6CF241EA" w14:textId="77777777" w:rsidR="00D75BF1" w:rsidRDefault="002404B1" w:rsidP="00D75BF1">
      <w:pPr>
        <w:pStyle w:val="ListParagraph"/>
        <w:numPr>
          <w:ilvl w:val="0"/>
          <w:numId w:val="32"/>
        </w:numPr>
        <w:contextualSpacing w:val="0"/>
      </w:pPr>
      <w:hyperlink r:id="rId45" w:history="1">
        <w:r w:rsidR="00D75BF1">
          <w:rPr>
            <w:rStyle w:val="Hyperlink"/>
          </w:rPr>
          <w:t>SG11-TD822/GEN</w:t>
        </w:r>
      </w:hyperlink>
      <w:r w:rsidR="00D75BF1">
        <w:t xml:space="preserve">: </w:t>
      </w:r>
      <w:r w:rsidR="00D75BF1" w:rsidRPr="00EB4AE1">
        <w:rPr>
          <w:rFonts w:asciiTheme="majorBidi" w:hAnsiTheme="majorBidi" w:cstheme="majorBidi"/>
        </w:rPr>
        <w:t>Consolidated</w:t>
      </w:r>
      <w:r w:rsidR="00D75BF1">
        <w:t xml:space="preserve"> text of SG11 Mandate for next Study Period (2025-2028) (Geneva, 1-10 May 2024)</w:t>
      </w:r>
    </w:p>
    <w:p w14:paraId="7D077031" w14:textId="531795AB" w:rsidR="00D75BF1" w:rsidRDefault="00D75BF1" w:rsidP="00D75BF1">
      <w:r>
        <w:t xml:space="preserve">Also, SG11 </w:t>
      </w:r>
      <w:r w:rsidR="008D59C8">
        <w:t xml:space="preserve">agreed </w:t>
      </w:r>
      <w:r>
        <w:t>the observations concerning future work of ITU-T SG11 for the upcoming study period 2025-2028 (</w:t>
      </w:r>
      <w:hyperlink r:id="rId46" w:history="1">
        <w:r>
          <w:rPr>
            <w:rStyle w:val="Hyperlink"/>
          </w:rPr>
          <w:t>SG11-TD931</w:t>
        </w:r>
        <w:r w:rsidR="008D59C8">
          <w:rPr>
            <w:rStyle w:val="Hyperlink"/>
          </w:rPr>
          <w:t>-R3</w:t>
        </w:r>
        <w:r>
          <w:rPr>
            <w:rStyle w:val="Hyperlink"/>
          </w:rPr>
          <w:t>/GEN</w:t>
        </w:r>
      </w:hyperlink>
      <w:r>
        <w:t>). These observations will be included in the SG11 Chair report to WTSA (Part I). SG11 informed TSAG RG-IEM about these observations (</w:t>
      </w:r>
      <w:hyperlink r:id="rId47" w:tgtFrame="_blank" w:tooltip="Click here to see more details" w:history="1">
        <w:r>
          <w:rPr>
            <w:rStyle w:val="Hyperlink"/>
          </w:rPr>
          <w:t>SG11-LS207</w:t>
        </w:r>
      </w:hyperlink>
      <w:r>
        <w:t>) and TSAG and all SGs on its progress on preparation for WTSA-24 (</w:t>
      </w:r>
      <w:hyperlink r:id="rId48" w:tgtFrame="_blank" w:tooltip="Click here to see more details" w:history="1">
        <w:r>
          <w:rPr>
            <w:rStyle w:val="Hyperlink"/>
          </w:rPr>
          <w:t>SG11-LS163</w:t>
        </w:r>
      </w:hyperlink>
      <w:r>
        <w:t>).</w:t>
      </w:r>
    </w:p>
    <w:p w14:paraId="310278D2" w14:textId="3AC3C80D" w:rsidR="00D75BF1" w:rsidRDefault="00D75BF1" w:rsidP="00D75BF1">
      <w:r>
        <w:t xml:space="preserve">SG11 discussed LS from TSAG </w:t>
      </w:r>
      <w:r w:rsidRPr="00AF2811">
        <w:t xml:space="preserve">on latest WTSA Action Plan and draft </w:t>
      </w:r>
      <w:r>
        <w:t>“</w:t>
      </w:r>
      <w:r w:rsidRPr="00AF2811">
        <w:t>WTSA preparation guideline on Resolutions</w:t>
      </w:r>
      <w:r>
        <w:t>” (</w:t>
      </w:r>
      <w:hyperlink r:id="rId49" w:history="1">
        <w:r w:rsidRPr="00AF2811">
          <w:rPr>
            <w:rStyle w:val="Hyperlink"/>
          </w:rPr>
          <w:t>SG11-TD878/GEN</w:t>
        </w:r>
      </w:hyperlink>
      <w:r>
        <w:t xml:space="preserve">). SG11 provides </w:t>
      </w:r>
      <w:r>
        <w:rPr>
          <w:lang w:eastAsia="ko-KR"/>
        </w:rPr>
        <w:t xml:space="preserve">updates for its latest activities with respect to </w:t>
      </w:r>
      <w:r>
        <w:t xml:space="preserve">the Resolution 96 and Resolution 97 of WTSA. The response is to be </w:t>
      </w:r>
      <w:r w:rsidRPr="00E24A20">
        <w:t xml:space="preserve">found in </w:t>
      </w:r>
      <w:hyperlink r:id="rId50" w:history="1">
        <w:r w:rsidR="00E24A20" w:rsidRPr="00E24A20">
          <w:rPr>
            <w:rStyle w:val="Hyperlink"/>
          </w:rPr>
          <w:t>SG11-LS206</w:t>
        </w:r>
      </w:hyperlink>
      <w:r w:rsidRPr="00E24A20">
        <w:t>.</w:t>
      </w:r>
    </w:p>
    <w:p w14:paraId="46E1DFCA" w14:textId="0FC4AC9A" w:rsidR="00D75BF1" w:rsidRPr="00937C01" w:rsidRDefault="00D75BF1" w:rsidP="00D75BF1">
      <w:r>
        <w:t xml:space="preserve">Also, SG11 considered iLS from TSAG on </w:t>
      </w:r>
      <w:r w:rsidRPr="001D1854">
        <w:t>draft analysis of operational parts (resolves, instructs etc) of WTSA/PP/WTDC/Council/ITU-R Resolutions</w:t>
      </w:r>
      <w:r>
        <w:t xml:space="preserve"> (</w:t>
      </w:r>
      <w:hyperlink r:id="rId51" w:history="1">
        <w:r w:rsidRPr="001D1854">
          <w:rPr>
            <w:rStyle w:val="Hyperlink"/>
          </w:rPr>
          <w:t>SG11-TD968/GEN</w:t>
        </w:r>
      </w:hyperlink>
      <w:r>
        <w:t xml:space="preserve">). </w:t>
      </w:r>
      <w:r w:rsidRPr="001D1854">
        <w:t xml:space="preserve">Since the </w:t>
      </w:r>
      <w:r>
        <w:t xml:space="preserve">SGs </w:t>
      </w:r>
      <w:r w:rsidRPr="001D1854">
        <w:t xml:space="preserve">mandate should be general and could not cover many details in each study area, SG11 </w:t>
      </w:r>
      <w:r>
        <w:t xml:space="preserve">indicated that </w:t>
      </w:r>
      <w:r w:rsidRPr="001D1854">
        <w:t xml:space="preserve">the resolves and instructs </w:t>
      </w:r>
      <w:r>
        <w:t>highlighted</w:t>
      </w:r>
      <w:r w:rsidRPr="001D1854">
        <w:t xml:space="preserve"> in the WTSA/PP/WTDC/Council/ITU-R Resolutions </w:t>
      </w:r>
      <w:r>
        <w:t xml:space="preserve">can help to </w:t>
      </w:r>
      <w:r w:rsidRPr="001D1854">
        <w:t xml:space="preserve">identify Study Groups </w:t>
      </w:r>
      <w:r>
        <w:t>working on</w:t>
      </w:r>
      <w:r w:rsidRPr="001D1854">
        <w:t xml:space="preserve"> relevant study areas.</w:t>
      </w:r>
      <w:r>
        <w:t xml:space="preserve"> The response is available in </w:t>
      </w:r>
      <w:hyperlink r:id="rId52" w:history="1">
        <w:r w:rsidR="00821C47" w:rsidRPr="00821C47">
          <w:rPr>
            <w:rStyle w:val="Hyperlink"/>
          </w:rPr>
          <w:t>SG11-LS209</w:t>
        </w:r>
      </w:hyperlink>
      <w:r>
        <w:t>.</w:t>
      </w:r>
    </w:p>
    <w:p w14:paraId="02DC7E34" w14:textId="2371B103" w:rsidR="00613028" w:rsidRPr="00536845" w:rsidRDefault="00613028" w:rsidP="007E2706">
      <w:pPr>
        <w:pStyle w:val="ListParagraph"/>
        <w:numPr>
          <w:ilvl w:val="0"/>
          <w:numId w:val="13"/>
        </w:numPr>
        <w:snapToGrid w:val="0"/>
        <w:spacing w:before="240" w:after="120"/>
        <w:ind w:left="706" w:hanging="706"/>
        <w:contextualSpacing w:val="0"/>
        <w:rPr>
          <w:rFonts w:asciiTheme="majorBidi" w:hAnsiTheme="majorBidi" w:cstheme="majorBidi"/>
          <w:b/>
          <w:bCs/>
        </w:rPr>
      </w:pPr>
      <w:r w:rsidRPr="00536845">
        <w:rPr>
          <w:rFonts w:asciiTheme="majorBidi" w:hAnsiTheme="majorBidi" w:cstheme="majorBidi"/>
          <w:b/>
          <w:bCs/>
        </w:rPr>
        <w:t>ITU-T SG11 Workshops</w:t>
      </w:r>
      <w:r w:rsidR="0069781D">
        <w:rPr>
          <w:rFonts w:asciiTheme="majorBidi" w:hAnsiTheme="majorBidi" w:cstheme="majorBidi"/>
          <w:b/>
          <w:bCs/>
        </w:rPr>
        <w:t>,</w:t>
      </w:r>
      <w:r w:rsidR="00680522" w:rsidRPr="00536845">
        <w:rPr>
          <w:rFonts w:asciiTheme="majorBidi" w:hAnsiTheme="majorBidi" w:cstheme="majorBidi"/>
          <w:b/>
          <w:bCs/>
        </w:rPr>
        <w:t xml:space="preserve"> Webinars</w:t>
      </w:r>
      <w:r w:rsidR="0069781D">
        <w:rPr>
          <w:rFonts w:asciiTheme="majorBidi" w:hAnsiTheme="majorBidi" w:cstheme="majorBidi"/>
          <w:b/>
          <w:bCs/>
        </w:rPr>
        <w:t xml:space="preserve"> and ad-hoc</w:t>
      </w:r>
      <w:r w:rsidR="00546F1A">
        <w:rPr>
          <w:rFonts w:asciiTheme="majorBidi" w:hAnsiTheme="majorBidi" w:cstheme="majorBidi"/>
          <w:b/>
          <w:bCs/>
        </w:rPr>
        <w:t xml:space="preserve"> sessions</w:t>
      </w:r>
    </w:p>
    <w:p w14:paraId="44138DE4" w14:textId="6AC79571" w:rsidR="00C259BC" w:rsidRDefault="00C151E1" w:rsidP="00613028">
      <w:pPr>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ITU </w:t>
      </w:r>
      <w:r w:rsidR="00BE6654" w:rsidRPr="00536845">
        <w:rPr>
          <w:rFonts w:asciiTheme="majorBidi" w:eastAsia="Times New Roman" w:hAnsiTheme="majorBidi" w:cstheme="majorBidi"/>
          <w:shd w:val="clear" w:color="auto" w:fill="FFFFFF"/>
          <w:lang w:eastAsia="en-GB"/>
        </w:rPr>
        <w:t xml:space="preserve">continues organizing </w:t>
      </w:r>
      <w:r w:rsidR="00DE18A2">
        <w:rPr>
          <w:rFonts w:asciiTheme="majorBidi" w:eastAsia="Times New Roman" w:hAnsiTheme="majorBidi" w:cstheme="majorBidi"/>
          <w:shd w:val="clear" w:color="auto" w:fill="FFFFFF"/>
          <w:lang w:eastAsia="en-GB"/>
        </w:rPr>
        <w:t xml:space="preserve">a </w:t>
      </w:r>
      <w:r w:rsidR="00BE6654" w:rsidRPr="00536845">
        <w:rPr>
          <w:rFonts w:asciiTheme="majorBidi" w:eastAsia="Times New Roman" w:hAnsiTheme="majorBidi" w:cstheme="majorBidi"/>
          <w:shd w:val="clear" w:color="auto" w:fill="FFFFFF"/>
          <w:lang w:eastAsia="en-GB"/>
        </w:rPr>
        <w:t>series of events related to SG11 activities.</w:t>
      </w:r>
    </w:p>
    <w:p w14:paraId="29013B5D" w14:textId="2FC03753" w:rsidR="00924158" w:rsidRDefault="00BE6654" w:rsidP="00924158">
      <w:pPr>
        <w:rPr>
          <w:rFonts w:eastAsia="Times New Roman"/>
          <w:szCs w:val="22"/>
          <w:shd w:val="clear" w:color="auto" w:fill="FFFFFF"/>
          <w:lang w:eastAsia="en-GB"/>
        </w:rPr>
      </w:pPr>
      <w:r w:rsidRPr="00536845">
        <w:rPr>
          <w:rFonts w:asciiTheme="majorBidi" w:eastAsia="Times New Roman" w:hAnsiTheme="majorBidi" w:cstheme="majorBidi"/>
          <w:shd w:val="clear" w:color="auto" w:fill="FFFFFF"/>
          <w:lang w:eastAsia="en-GB"/>
        </w:rPr>
        <w:t xml:space="preserve">Since </w:t>
      </w:r>
      <w:r w:rsidR="00C259BC">
        <w:rPr>
          <w:rFonts w:asciiTheme="majorBidi" w:eastAsia="Times New Roman" w:hAnsiTheme="majorBidi" w:cstheme="majorBidi"/>
          <w:shd w:val="clear" w:color="auto" w:fill="FFFFFF"/>
          <w:lang w:eastAsia="en-GB"/>
        </w:rPr>
        <w:t xml:space="preserve">October </w:t>
      </w:r>
      <w:r w:rsidRPr="00536845">
        <w:rPr>
          <w:rFonts w:asciiTheme="majorBidi" w:eastAsia="Times New Roman" w:hAnsiTheme="majorBidi" w:cstheme="majorBidi"/>
          <w:shd w:val="clear" w:color="auto" w:fill="FFFFFF"/>
          <w:lang w:eastAsia="en-GB"/>
        </w:rPr>
        <w:t>202</w:t>
      </w:r>
      <w:r w:rsidR="00F77784">
        <w:rPr>
          <w:rFonts w:asciiTheme="majorBidi" w:eastAsia="Times New Roman" w:hAnsiTheme="majorBidi" w:cstheme="majorBidi"/>
          <w:shd w:val="clear" w:color="auto" w:fill="FFFFFF"/>
          <w:lang w:eastAsia="en-GB"/>
        </w:rPr>
        <w:t>3</w:t>
      </w:r>
      <w:r w:rsidRPr="00536845">
        <w:rPr>
          <w:rFonts w:asciiTheme="majorBidi" w:eastAsia="Times New Roman" w:hAnsiTheme="majorBidi" w:cstheme="majorBidi"/>
          <w:shd w:val="clear" w:color="auto" w:fill="FFFFFF"/>
          <w:lang w:eastAsia="en-GB"/>
        </w:rPr>
        <w:t xml:space="preserve">, </w:t>
      </w:r>
      <w:r w:rsidR="00924158" w:rsidRPr="004B367A">
        <w:rPr>
          <w:rFonts w:eastAsia="Times New Roman"/>
          <w:szCs w:val="22"/>
          <w:shd w:val="clear" w:color="auto" w:fill="FFFFFF"/>
          <w:lang w:eastAsia="en-GB"/>
        </w:rPr>
        <w:t xml:space="preserve">SG11 along with SG2 organized informal ad-hoc meeting dedicated to discussion on work item Q.TSCA (virtual, 9 January 2024). More details are available in the LS </w:t>
      </w:r>
      <w:r w:rsidR="00924158" w:rsidRPr="004B367A">
        <w:rPr>
          <w:rFonts w:eastAsia="Times New Roman"/>
          <w:szCs w:val="22"/>
          <w:shd w:val="clear" w:color="auto" w:fill="FFFFFF"/>
          <w:lang w:eastAsia="en-GB"/>
        </w:rPr>
        <w:lastRenderedPageBreak/>
        <w:t xml:space="preserve">addressed </w:t>
      </w:r>
      <w:r w:rsidR="00924158">
        <w:rPr>
          <w:rFonts w:eastAsia="Times New Roman"/>
          <w:szCs w:val="22"/>
          <w:shd w:val="clear" w:color="auto" w:fill="FFFFFF"/>
          <w:lang w:eastAsia="en-GB"/>
        </w:rPr>
        <w:t>to</w:t>
      </w:r>
      <w:r w:rsidR="00924158" w:rsidRPr="004B367A">
        <w:rPr>
          <w:rFonts w:eastAsia="Times New Roman"/>
          <w:szCs w:val="22"/>
          <w:shd w:val="clear" w:color="auto" w:fill="FFFFFF"/>
          <w:lang w:eastAsia="en-GB"/>
        </w:rPr>
        <w:t xml:space="preserve"> WP1/11 in February 2024 (</w:t>
      </w:r>
      <w:hyperlink r:id="rId53" w:history="1">
        <w:r w:rsidR="00924158" w:rsidRPr="004B367A">
          <w:rPr>
            <w:rFonts w:eastAsia="Batang" w:cs="Arial"/>
            <w:color w:val="0000FF"/>
            <w:szCs w:val="22"/>
            <w:u w:val="single"/>
          </w:rPr>
          <w:t>SG11-TD132/WP1</w:t>
        </w:r>
      </w:hyperlink>
      <w:r w:rsidR="00924158" w:rsidRPr="004B367A">
        <w:rPr>
          <w:rFonts w:eastAsia="Times New Roman"/>
          <w:szCs w:val="22"/>
          <w:shd w:val="clear" w:color="auto" w:fill="FFFFFF"/>
          <w:lang w:eastAsia="en-GB"/>
        </w:rPr>
        <w:t>) and report submitted to TSAG (</w:t>
      </w:r>
      <w:hyperlink r:id="rId54" w:history="1">
        <w:r w:rsidR="00924158" w:rsidRPr="004B367A">
          <w:rPr>
            <w:rFonts w:eastAsia="Batang" w:cs="Arial"/>
            <w:color w:val="0000FF"/>
            <w:szCs w:val="22"/>
            <w:u w:val="single"/>
          </w:rPr>
          <w:t>TSAG-TD461</w:t>
        </w:r>
      </w:hyperlink>
      <w:r w:rsidR="00924158" w:rsidRPr="004B367A">
        <w:rPr>
          <w:rFonts w:eastAsia="Times New Roman"/>
          <w:szCs w:val="22"/>
          <w:shd w:val="clear" w:color="auto" w:fill="FFFFFF"/>
          <w:lang w:eastAsia="en-GB"/>
        </w:rPr>
        <w:t>).</w:t>
      </w:r>
    </w:p>
    <w:p w14:paraId="6FFE2968" w14:textId="4BBAE96B" w:rsidR="00586353" w:rsidRPr="004B367A" w:rsidRDefault="008F3150" w:rsidP="00924158">
      <w:pPr>
        <w:rPr>
          <w:rFonts w:eastAsia="Times New Roman"/>
          <w:szCs w:val="22"/>
          <w:shd w:val="clear" w:color="auto" w:fill="FFFFFF"/>
          <w:lang w:eastAsia="en-GB"/>
        </w:rPr>
      </w:pPr>
      <w:r>
        <w:rPr>
          <w:lang w:eastAsia="zh-CN"/>
        </w:rPr>
        <w:t>Additional informal ad-hoc session among SG2, SG11 and SG17 was organized on 23 May 2024 where SG11 experts introduced achieved progress.</w:t>
      </w:r>
    </w:p>
    <w:p w14:paraId="2F4F2CDD" w14:textId="3CA27370" w:rsidR="00924158" w:rsidRPr="00D82479" w:rsidRDefault="00924158" w:rsidP="00924158">
      <w:pPr>
        <w:rPr>
          <w:rFonts w:asciiTheme="majorBidi" w:eastAsia="Times New Roman" w:hAnsiTheme="majorBidi" w:cstheme="majorBidi"/>
          <w:shd w:val="clear" w:color="auto" w:fill="FFFFFF"/>
          <w:lang w:eastAsia="en-GB"/>
        </w:rPr>
      </w:pPr>
      <w:r w:rsidRPr="004B367A">
        <w:rPr>
          <w:rFonts w:eastAsia="Times New Roman"/>
          <w:szCs w:val="22"/>
          <w:shd w:val="clear" w:color="auto" w:fill="FFFFFF"/>
          <w:lang w:eastAsia="en-GB"/>
        </w:rPr>
        <w:t xml:space="preserve">Also, ITU organized a special session </w:t>
      </w:r>
      <w:r w:rsidRPr="004B367A">
        <w:rPr>
          <w:rFonts w:eastAsia="Times New Roman" w:cs="Arial"/>
          <w:szCs w:val="22"/>
          <w:lang w:eastAsia="zh-CN"/>
        </w:rPr>
        <w:t>ITU “Ask the Expert” dedicated to “</w:t>
      </w:r>
      <w:hyperlink r:id="rId55" w:history="1">
        <w:r w:rsidRPr="004B367A">
          <w:rPr>
            <w:rFonts w:eastAsia="Times New Roman" w:cs="Arial"/>
            <w:color w:val="0000FF"/>
            <w:szCs w:val="22"/>
            <w:u w:val="single"/>
            <w:lang w:eastAsia="zh-CN"/>
          </w:rPr>
          <w:t>Guardians of Authenticity: Battling Counterfeiting</w:t>
        </w:r>
      </w:hyperlink>
      <w:r w:rsidRPr="004B367A">
        <w:rPr>
          <w:rFonts w:eastAsia="Times New Roman" w:cs="Arial"/>
          <w:szCs w:val="22"/>
          <w:lang w:eastAsia="zh-CN"/>
        </w:rPr>
        <w:t xml:space="preserve">” </w:t>
      </w:r>
      <w:r w:rsidRPr="004B367A">
        <w:rPr>
          <w:rFonts w:eastAsia="Times New Roman"/>
          <w:szCs w:val="22"/>
          <w:shd w:val="clear" w:color="auto" w:fill="FFFFFF"/>
          <w:lang w:eastAsia="en-GB"/>
        </w:rPr>
        <w:t>on 28 March 2024</w:t>
      </w:r>
      <w:r w:rsidR="00B114DF">
        <w:rPr>
          <w:rFonts w:eastAsia="Times New Roman"/>
          <w:szCs w:val="22"/>
          <w:shd w:val="clear" w:color="auto" w:fill="FFFFFF"/>
          <w:lang w:eastAsia="en-GB"/>
        </w:rPr>
        <w:t>.</w:t>
      </w:r>
    </w:p>
    <w:p w14:paraId="3FA8004F" w14:textId="77777777" w:rsidR="00613028" w:rsidRPr="00536845" w:rsidRDefault="00613028" w:rsidP="007E2706">
      <w:pPr>
        <w:pStyle w:val="ListParagraph"/>
        <w:numPr>
          <w:ilvl w:val="0"/>
          <w:numId w:val="13"/>
        </w:numPr>
        <w:snapToGrid w:val="0"/>
        <w:spacing w:before="240" w:after="120"/>
        <w:ind w:left="706" w:hanging="706"/>
        <w:contextualSpacing w:val="0"/>
        <w:rPr>
          <w:rFonts w:asciiTheme="majorBidi" w:hAnsiTheme="majorBidi" w:cstheme="majorBidi"/>
          <w:b/>
        </w:rPr>
      </w:pPr>
      <w:r w:rsidRPr="00536845">
        <w:rPr>
          <w:rFonts w:asciiTheme="majorBidi" w:hAnsiTheme="majorBidi" w:cstheme="majorBidi"/>
          <w:b/>
        </w:rPr>
        <w:t>ITU-T Focus Group on Testbeds Federations for IMT-2020 and beyond (FG-TBFxG)</w:t>
      </w:r>
    </w:p>
    <w:p w14:paraId="59488F56" w14:textId="77777777" w:rsidR="00BA0310" w:rsidRDefault="00BA0310" w:rsidP="00BA0310">
      <w:pPr>
        <w:rPr>
          <w:rFonts w:eastAsia="Times New Roman"/>
          <w:color w:val="000000"/>
          <w:lang w:val="en-US" w:eastAsia="zh-CN"/>
        </w:rPr>
      </w:pPr>
      <w:r>
        <w:rPr>
          <w:rFonts w:asciiTheme="majorBidi" w:hAnsiTheme="majorBidi" w:cstheme="majorBidi"/>
        </w:rPr>
        <w:t xml:space="preserve">ITU-T SG11 was informed </w:t>
      </w:r>
      <w:r>
        <w:rPr>
          <w:rFonts w:eastAsia="Times New Roman"/>
          <w:color w:val="000000"/>
          <w:lang w:val="en-US" w:eastAsia="zh-CN"/>
        </w:rPr>
        <w:t>that during its last meeting held in Sophia Antipolis (France) on 10-12 April 2024, ITU-T FG-TBFxG completed and approved all its deliverables.</w:t>
      </w:r>
    </w:p>
    <w:p w14:paraId="24C8E75C" w14:textId="531A5D78" w:rsidR="00BA0310" w:rsidRDefault="00BA0310" w:rsidP="00BA0310">
      <w:pPr>
        <w:rPr>
          <w:rFonts w:eastAsia="Batang"/>
          <w:lang w:val="en-US"/>
        </w:rPr>
      </w:pPr>
      <w:r>
        <w:rPr>
          <w:lang w:val="en-US"/>
        </w:rPr>
        <w:t xml:space="preserve">FG-TBFxG was established by ITU-T SG11 in 2021 in order to harmonize testbeds specifications across SDOs and Fora, develop the required </w:t>
      </w:r>
      <w:r>
        <w:t>application program interfaces (APIs) aligned with the testbeds federations reference model defined in Recommendation ITU-T Q.4068</w:t>
      </w:r>
      <w:r w:rsidR="00663FD5">
        <w:t>,</w:t>
      </w:r>
      <w:r>
        <w:t xml:space="preserve"> as well as define a set of use cases for federated testbeds and associated APIs, such as “Testbed-as-a Service” (TaaS). </w:t>
      </w:r>
      <w:r w:rsidR="009165F1">
        <w:t>T</w:t>
      </w:r>
      <w:r>
        <w:t xml:space="preserve">he Focus Group was established following the results of </w:t>
      </w:r>
      <w:r w:rsidR="00663FD5">
        <w:t xml:space="preserve">the </w:t>
      </w:r>
      <w:r>
        <w:rPr>
          <w:lang w:val="en-US"/>
        </w:rPr>
        <w:t xml:space="preserve">joint </w:t>
      </w:r>
      <w:hyperlink r:id="rId56" w:history="1">
        <w:r>
          <w:rPr>
            <w:rStyle w:val="Hyperlink"/>
            <w:lang w:val="en-US"/>
          </w:rPr>
          <w:t>ITU/IEEE/ETSI Workshop</w:t>
        </w:r>
      </w:hyperlink>
      <w:r>
        <w:rPr>
          <w:lang w:val="en-US"/>
        </w:rPr>
        <w:t>, which was organized in 2021.</w:t>
      </w:r>
    </w:p>
    <w:p w14:paraId="4A60795B" w14:textId="6A02B2BA" w:rsidR="00BA0310" w:rsidRDefault="00663FD5" w:rsidP="00BA0310">
      <w:r>
        <w:rPr>
          <w:lang w:val="en-US"/>
        </w:rPr>
        <w:t>S</w:t>
      </w:r>
      <w:r w:rsidR="00BA0310">
        <w:rPr>
          <w:lang w:val="en-US"/>
        </w:rPr>
        <w:t>ince its first meeting in April 2022</w:t>
      </w:r>
      <w:r>
        <w:rPr>
          <w:lang w:val="en-US"/>
        </w:rPr>
        <w:t>, FG-TBFxG conducted eight meetings</w:t>
      </w:r>
      <w:r w:rsidR="00BA0310">
        <w:rPr>
          <w:lang w:val="en-US"/>
        </w:rPr>
        <w:t>. It organized several introduct</w:t>
      </w:r>
      <w:r>
        <w:rPr>
          <w:lang w:val="en-US"/>
        </w:rPr>
        <w:t>ory</w:t>
      </w:r>
      <w:r w:rsidR="00BA0310">
        <w:rPr>
          <w:lang w:val="en-US"/>
        </w:rPr>
        <w:t xml:space="preserve"> sessions</w:t>
      </w:r>
      <w:r>
        <w:rPr>
          <w:lang w:val="en-US"/>
        </w:rPr>
        <w:t>,</w:t>
      </w:r>
      <w:r w:rsidR="00BA0310">
        <w:rPr>
          <w:lang w:val="en-US"/>
        </w:rPr>
        <w:t xml:space="preserve"> </w:t>
      </w:r>
      <w:r>
        <w:rPr>
          <w:lang w:val="en-US"/>
        </w:rPr>
        <w:t>in form of</w:t>
      </w:r>
      <w:r w:rsidR="00BA0310">
        <w:rPr>
          <w:lang w:val="en-US"/>
        </w:rPr>
        <w:t xml:space="preserve"> webinars during </w:t>
      </w:r>
      <w:r>
        <w:rPr>
          <w:lang w:val="en-US"/>
        </w:rPr>
        <w:t xml:space="preserve">the </w:t>
      </w:r>
      <w:r w:rsidR="00BA0310">
        <w:rPr>
          <w:lang w:val="en-US"/>
        </w:rPr>
        <w:t>FG’s meetings</w:t>
      </w:r>
      <w:r>
        <w:rPr>
          <w:lang w:val="en-US"/>
        </w:rPr>
        <w:t>,</w:t>
      </w:r>
      <w:r w:rsidR="00BA0310">
        <w:rPr>
          <w:lang w:val="en-US"/>
        </w:rPr>
        <w:t xml:space="preserve"> where different stakeholders shared their insights. </w:t>
      </w:r>
      <w:r>
        <w:rPr>
          <w:lang w:val="en-US"/>
        </w:rPr>
        <w:t>In addition</w:t>
      </w:r>
      <w:r w:rsidR="00BA0310">
        <w:rPr>
          <w:lang w:val="en-US"/>
        </w:rPr>
        <w:t xml:space="preserve">, </w:t>
      </w:r>
      <w:r w:rsidR="00476E8D">
        <w:rPr>
          <w:lang w:val="en-US"/>
        </w:rPr>
        <w:t>t</w:t>
      </w:r>
      <w:r>
        <w:rPr>
          <w:lang w:val="en-US"/>
        </w:rPr>
        <w:t xml:space="preserve">he </w:t>
      </w:r>
      <w:r w:rsidR="00BA0310">
        <w:rPr>
          <w:lang w:val="en-US"/>
        </w:rPr>
        <w:t xml:space="preserve">Focus Group leadership organized </w:t>
      </w:r>
      <w:r>
        <w:rPr>
          <w:lang w:val="en-US"/>
        </w:rPr>
        <w:t>the</w:t>
      </w:r>
      <w:r w:rsidR="00BA0310">
        <w:rPr>
          <w:lang w:val="en-US"/>
        </w:rPr>
        <w:t xml:space="preserve"> webinar </w:t>
      </w:r>
      <w:hyperlink r:id="rId57" w:history="1">
        <w:r w:rsidR="00BA0310">
          <w:rPr>
            <w:rStyle w:val="Hyperlink"/>
          </w:rPr>
          <w:t>Episode #27</w:t>
        </w:r>
      </w:hyperlink>
      <w:r w:rsidR="00BA0310">
        <w:t xml:space="preserve">: </w:t>
      </w:r>
      <w:r w:rsidR="00BA0310">
        <w:rPr>
          <w:u w:val="single"/>
        </w:rPr>
        <w:t>Digital transformation of testing: federated testbeds as a service</w:t>
      </w:r>
      <w:r w:rsidR="00BA0310">
        <w:t xml:space="preserve"> (virtual, 21 June 2023) which provide</w:t>
      </w:r>
      <w:r>
        <w:t>d a</w:t>
      </w:r>
      <w:r w:rsidR="00BA0310">
        <w:t xml:space="preserve"> general overview of the FG activities and the issue of distributed remote testing (federated testbeds).</w:t>
      </w:r>
    </w:p>
    <w:p w14:paraId="721C7617" w14:textId="5F5CE4E0" w:rsidR="00BA0310" w:rsidRDefault="00BA0310" w:rsidP="00BA0310">
      <w:r>
        <w:t>Within two years term, the FG-TBFxG developed eight deliverables, which include</w:t>
      </w:r>
      <w:r w:rsidR="00663FD5">
        <w:t>s</w:t>
      </w:r>
      <w:r>
        <w:t xml:space="preserve"> </w:t>
      </w:r>
      <w:r w:rsidR="00663FD5">
        <w:t xml:space="preserve">a </w:t>
      </w:r>
      <w:r>
        <w:t xml:space="preserve">set of </w:t>
      </w:r>
      <w:r>
        <w:rPr>
          <w:lang w:val="en-US"/>
        </w:rPr>
        <w:t>18 use cases for testbeds federations and associated requirements for different APIs. During its lifetime the FG-TBFxG actively collaborated with several SDOs/Fora and other stakeholders</w:t>
      </w:r>
      <w:r>
        <w:t>.</w:t>
      </w:r>
      <w:r w:rsidR="000A310B">
        <w:t xml:space="preserve"> The detailed </w:t>
      </w:r>
      <w:r w:rsidR="00627304">
        <w:t xml:space="preserve">presentation is available in </w:t>
      </w:r>
      <w:hyperlink r:id="rId58" w:history="1">
        <w:r w:rsidR="00627304">
          <w:rPr>
            <w:rStyle w:val="Hyperlink"/>
            <w:rFonts w:eastAsia="Times New Roman"/>
            <w:lang w:val="en-US" w:eastAsia="zh-CN"/>
          </w:rPr>
          <w:t>SG11-TD977/GEN</w:t>
        </w:r>
      </w:hyperlink>
      <w:r w:rsidR="00627304">
        <w:t>.</w:t>
      </w:r>
    </w:p>
    <w:p w14:paraId="48EB4EFC" w14:textId="0A084030" w:rsidR="00BA0310" w:rsidRDefault="00BA0310" w:rsidP="00BA0310">
      <w:r>
        <w:t xml:space="preserve">The progress report as well as all deliverables agreed by </w:t>
      </w:r>
      <w:r w:rsidR="00663FD5">
        <w:t xml:space="preserve">the </w:t>
      </w:r>
      <w:r>
        <w:t xml:space="preserve">FG-TBFxG are contained in </w:t>
      </w:r>
      <w:hyperlink r:id="rId59" w:history="1">
        <w:r>
          <w:rPr>
            <w:rStyle w:val="Hyperlink"/>
            <w:rFonts w:eastAsia="Times New Roman"/>
            <w:lang w:val="en-US" w:eastAsia="zh-CN"/>
          </w:rPr>
          <w:t>SG11-TD954/GEN</w:t>
        </w:r>
      </w:hyperlink>
      <w:r>
        <w:rPr>
          <w:rFonts w:eastAsia="Times New Roman"/>
          <w:color w:val="000000"/>
          <w:lang w:val="en-US" w:eastAsia="zh-CN"/>
        </w:rPr>
        <w:t xml:space="preserve"> and </w:t>
      </w:r>
      <w:r>
        <w:rPr>
          <w:rFonts w:asciiTheme="majorBidi" w:hAnsiTheme="majorBidi" w:cstheme="majorBidi"/>
          <w:bCs/>
        </w:rPr>
        <w:t xml:space="preserve">available on the Focus Group webpage at: </w:t>
      </w:r>
      <w:hyperlink r:id="rId60" w:history="1">
        <w:r>
          <w:rPr>
            <w:rStyle w:val="Hyperlink"/>
            <w:rFonts w:asciiTheme="majorBidi" w:hAnsiTheme="majorBidi" w:cstheme="majorBidi"/>
            <w:bCs/>
          </w:rPr>
          <w:t>https://itu.int/go/fgtbf</w:t>
        </w:r>
      </w:hyperlink>
      <w:r>
        <w:rPr>
          <w:rFonts w:asciiTheme="majorBidi" w:hAnsiTheme="majorBidi" w:cstheme="majorBidi"/>
          <w:bCs/>
        </w:rPr>
        <w:t>.</w:t>
      </w:r>
    </w:p>
    <w:p w14:paraId="0641F27E" w14:textId="541025FA" w:rsidR="00BA0310" w:rsidRDefault="00BA0310" w:rsidP="00BA0310">
      <w:r>
        <w:t xml:space="preserve">Based on </w:t>
      </w:r>
      <w:r w:rsidR="00663FD5">
        <w:t xml:space="preserve">the </w:t>
      </w:r>
      <w:r>
        <w:t>received contributions, SG11 started eight new work items based on all FG-TBFxG deliverables. More details are available in WP3/11 report (</w:t>
      </w:r>
      <w:hyperlink r:id="rId61" w:history="1">
        <w:r w:rsidR="00565032">
          <w:rPr>
            <w:rStyle w:val="Hyperlink"/>
            <w:rFonts w:eastAsia="Calibri"/>
          </w:rPr>
          <w:t>SG</w:t>
        </w:r>
        <w:r w:rsidR="00565032" w:rsidRPr="00E258A4">
          <w:rPr>
            <w:rStyle w:val="Hyperlink"/>
            <w:rFonts w:eastAsia="Calibri"/>
          </w:rPr>
          <w:t>11-R</w:t>
        </w:r>
        <w:r w:rsidR="00565032">
          <w:rPr>
            <w:rStyle w:val="Hyperlink"/>
            <w:rFonts w:eastAsia="Calibri"/>
          </w:rPr>
          <w:t>26</w:t>
        </w:r>
      </w:hyperlink>
      <w:r>
        <w:t>).</w:t>
      </w:r>
    </w:p>
    <w:p w14:paraId="6920CB77" w14:textId="291BDD42" w:rsidR="00613028" w:rsidRPr="00536845" w:rsidRDefault="00613028" w:rsidP="007E2706">
      <w:pPr>
        <w:pStyle w:val="ListParagraph"/>
        <w:numPr>
          <w:ilvl w:val="0"/>
          <w:numId w:val="13"/>
        </w:numPr>
        <w:snapToGrid w:val="0"/>
        <w:spacing w:before="240" w:after="120"/>
        <w:ind w:left="706" w:hanging="706"/>
        <w:contextualSpacing w:val="0"/>
        <w:rPr>
          <w:rFonts w:asciiTheme="majorBidi" w:hAnsiTheme="majorBidi" w:cstheme="majorBidi"/>
          <w:b/>
        </w:rPr>
      </w:pPr>
      <w:r w:rsidRPr="00536845">
        <w:rPr>
          <w:rFonts w:asciiTheme="majorBidi" w:hAnsiTheme="majorBidi" w:cstheme="majorBidi"/>
          <w:b/>
        </w:rPr>
        <w:t>SG11 Regional Groups</w:t>
      </w:r>
    </w:p>
    <w:p w14:paraId="796AD63F" w14:textId="77777777" w:rsidR="00B23B1D" w:rsidRPr="00536845" w:rsidRDefault="00B23B1D" w:rsidP="00B23B1D">
      <w:pPr>
        <w:rPr>
          <w:rFonts w:asciiTheme="majorBidi" w:hAnsiTheme="majorBidi" w:cstheme="majorBidi"/>
        </w:rPr>
      </w:pPr>
      <w:r>
        <w:rPr>
          <w:rFonts w:asciiTheme="majorBidi" w:hAnsiTheme="majorBidi" w:cstheme="majorBidi"/>
        </w:rPr>
        <w:t xml:space="preserve">There are </w:t>
      </w:r>
      <w:r w:rsidRPr="00536845">
        <w:rPr>
          <w:rFonts w:asciiTheme="majorBidi" w:hAnsiTheme="majorBidi" w:cstheme="majorBidi"/>
        </w:rPr>
        <w:t>two Regional Groups</w:t>
      </w:r>
      <w:r>
        <w:rPr>
          <w:rFonts w:asciiTheme="majorBidi" w:hAnsiTheme="majorBidi" w:cstheme="majorBidi"/>
        </w:rPr>
        <w:t xml:space="preserve"> of SG11</w:t>
      </w:r>
      <w:r w:rsidRPr="00536845">
        <w:rPr>
          <w:rFonts w:asciiTheme="majorBidi" w:hAnsiTheme="majorBidi" w:cstheme="majorBidi"/>
        </w:rPr>
        <w:t>:</w:t>
      </w:r>
    </w:p>
    <w:p w14:paraId="12AA360F" w14:textId="2418E807" w:rsidR="00B23B1D" w:rsidRDefault="00B23B1D" w:rsidP="00B23B1D">
      <w:pPr>
        <w:pStyle w:val="ListParagraph"/>
        <w:numPr>
          <w:ilvl w:val="0"/>
          <w:numId w:val="32"/>
        </w:numPr>
        <w:contextualSpacing w:val="0"/>
        <w:rPr>
          <w:rFonts w:asciiTheme="majorBidi" w:hAnsiTheme="majorBidi" w:cstheme="majorBidi"/>
        </w:rPr>
      </w:pPr>
      <w:r w:rsidRPr="00536845">
        <w:rPr>
          <w:rFonts w:asciiTheme="majorBidi" w:hAnsiTheme="majorBidi" w:cstheme="majorBidi"/>
        </w:rPr>
        <w:t>SG11RG-EECAT: Study Group 11 Regional Group for Eastern Europe, Central Asia and Transcaucasia</w:t>
      </w:r>
      <w:r>
        <w:rPr>
          <w:rFonts w:asciiTheme="majorBidi" w:hAnsiTheme="majorBidi" w:cstheme="majorBidi"/>
        </w:rPr>
        <w:t>;</w:t>
      </w:r>
    </w:p>
    <w:p w14:paraId="26E8AB00" w14:textId="2427447F" w:rsidR="00B23B1D" w:rsidRPr="00536845" w:rsidRDefault="00B23B1D" w:rsidP="00B23B1D">
      <w:pPr>
        <w:pStyle w:val="ListParagraph"/>
        <w:numPr>
          <w:ilvl w:val="0"/>
          <w:numId w:val="32"/>
        </w:numPr>
        <w:contextualSpacing w:val="0"/>
        <w:rPr>
          <w:rFonts w:asciiTheme="majorBidi" w:hAnsiTheme="majorBidi" w:cstheme="majorBidi"/>
        </w:rPr>
      </w:pPr>
      <w:r w:rsidRPr="00586519">
        <w:rPr>
          <w:rFonts w:asciiTheme="majorBidi" w:hAnsiTheme="majorBidi" w:cstheme="majorBidi"/>
        </w:rPr>
        <w:t>SG11RG-AFR: Study Group 11 Regional Group for Africa</w:t>
      </w:r>
      <w:r>
        <w:rPr>
          <w:rFonts w:asciiTheme="majorBidi" w:hAnsiTheme="majorBidi" w:cstheme="majorBidi"/>
        </w:rPr>
        <w:t>.</w:t>
      </w:r>
    </w:p>
    <w:p w14:paraId="46F4F8C4" w14:textId="77777777" w:rsidR="00B23B1D" w:rsidRDefault="00B23B1D" w:rsidP="00B23B1D">
      <w:pPr>
        <w:rPr>
          <w:rFonts w:asciiTheme="majorBidi" w:hAnsiTheme="majorBidi" w:cstheme="majorBidi"/>
        </w:rPr>
      </w:pPr>
      <w:r>
        <w:rPr>
          <w:rFonts w:asciiTheme="majorBidi" w:hAnsiTheme="majorBidi" w:cstheme="majorBidi"/>
        </w:rPr>
        <w:t>SG11RG-AFR conducted its virtual meeting on 25-27 March 2024. As a result, two multi-country contributions were submitted and discussed at this particular SG11 meeting.</w:t>
      </w:r>
      <w:r w:rsidRPr="00AA09AC">
        <w:t xml:space="preserve"> </w:t>
      </w:r>
      <w:r>
        <w:t>The report was presented and noted during SG11 opening plenary (</w:t>
      </w:r>
      <w:hyperlink r:id="rId62" w:history="1">
        <w:r w:rsidRPr="00796D6E">
          <w:rPr>
            <w:rStyle w:val="Hyperlink"/>
          </w:rPr>
          <w:t>AFR-R2</w:t>
        </w:r>
      </w:hyperlink>
      <w:r>
        <w:t>).</w:t>
      </w:r>
    </w:p>
    <w:p w14:paraId="3EF841E8" w14:textId="77777777" w:rsidR="00B23B1D" w:rsidRPr="0098602E" w:rsidRDefault="00B23B1D" w:rsidP="00B23B1D">
      <w:pPr>
        <w:rPr>
          <w:rFonts w:asciiTheme="majorBidi" w:hAnsiTheme="majorBidi" w:cstheme="majorBidi"/>
        </w:rPr>
      </w:pPr>
      <w:r>
        <w:rPr>
          <w:rFonts w:asciiTheme="majorBidi" w:hAnsiTheme="majorBidi" w:cstheme="majorBidi"/>
        </w:rPr>
        <w:t>There were no meetings of SG11RG-EECAT since last SG11 meeting.</w:t>
      </w:r>
    </w:p>
    <w:p w14:paraId="55053ECA" w14:textId="77777777" w:rsidR="00B23B1D" w:rsidRPr="00C51C9F" w:rsidRDefault="00B23B1D" w:rsidP="00B23B1D">
      <w:r>
        <w:t>All details are available in the regional groups’ webpages (</w:t>
      </w:r>
      <w:hyperlink r:id="rId63" w:history="1">
        <w:r w:rsidRPr="007538F7">
          <w:rPr>
            <w:rStyle w:val="Hyperlink"/>
          </w:rPr>
          <w:t>SG11RG-</w:t>
        </w:r>
        <w:r>
          <w:rPr>
            <w:rStyle w:val="Hyperlink"/>
          </w:rPr>
          <w:t>AFR</w:t>
        </w:r>
      </w:hyperlink>
      <w:r>
        <w:t xml:space="preserve"> and </w:t>
      </w:r>
      <w:hyperlink r:id="rId64" w:anchor="gsc.tab=0" w:history="1">
        <w:r w:rsidRPr="00796D6E">
          <w:rPr>
            <w:rStyle w:val="Hyperlink"/>
          </w:rPr>
          <w:t>SG11RG-EECAT</w:t>
        </w:r>
      </w:hyperlink>
      <w:r>
        <w:t>)</w:t>
      </w:r>
      <w:r w:rsidRPr="00C51C9F">
        <w:t>.</w:t>
      </w:r>
    </w:p>
    <w:p w14:paraId="77959032" w14:textId="53B4B1F0" w:rsidR="00E5249E" w:rsidRPr="00536845" w:rsidRDefault="00613028" w:rsidP="00613028">
      <w:pPr>
        <w:spacing w:after="120"/>
        <w:jc w:val="center"/>
        <w:rPr>
          <w:rFonts w:asciiTheme="majorBidi" w:eastAsia="DengXian" w:hAnsiTheme="majorBidi" w:cstheme="majorBidi"/>
          <w:b/>
          <w:bCs/>
          <w:lang w:val="en-US" w:eastAsia="zh-CN"/>
        </w:rPr>
      </w:pPr>
      <w:r w:rsidRPr="00536845">
        <w:rPr>
          <w:rFonts w:asciiTheme="majorBidi" w:hAnsiTheme="majorBidi" w:cstheme="majorBidi"/>
        </w:rPr>
        <w:t>__________________</w:t>
      </w:r>
    </w:p>
    <w:sectPr w:rsidR="00E5249E" w:rsidRPr="00536845">
      <w:headerReference w:type="default" r:id="rId65"/>
      <w:pgSz w:w="11907" w:h="16840"/>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95392" w14:textId="77777777" w:rsidR="000A06A5" w:rsidRDefault="000A06A5">
      <w:pPr>
        <w:spacing w:before="0"/>
      </w:pPr>
      <w:r>
        <w:separator/>
      </w:r>
    </w:p>
  </w:endnote>
  <w:endnote w:type="continuationSeparator" w:id="0">
    <w:p w14:paraId="23EA8DEA" w14:textId="77777777" w:rsidR="000A06A5" w:rsidRDefault="000A06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MS Mincho"/>
    <w:charset w:val="80"/>
    <w:family w:val="auto"/>
    <w:pitch w:val="default"/>
    <w:sig w:usb0="00000000" w:usb1="0000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ﾚﾗ??ﾊ">
    <w:altName w:val="Yu Gothic UI"/>
    <w:charset w:val="80"/>
    <w:family w:val="auto"/>
    <w:pitch w:val="default"/>
    <w:sig w:usb0="00000000" w:usb1="0000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6B567" w14:textId="77777777" w:rsidR="000A06A5" w:rsidRDefault="000A06A5">
      <w:pPr>
        <w:spacing w:before="0"/>
      </w:pPr>
      <w:r>
        <w:separator/>
      </w:r>
    </w:p>
  </w:footnote>
  <w:footnote w:type="continuationSeparator" w:id="0">
    <w:p w14:paraId="0E7A9BF0" w14:textId="77777777" w:rsidR="000A06A5" w:rsidRDefault="000A06A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74E7F" w14:textId="77777777" w:rsidR="009856CA" w:rsidRDefault="007911E3">
    <w:pPr>
      <w:pStyle w:val="Header"/>
    </w:pPr>
    <w:r>
      <w:t xml:space="preserve">- </w:t>
    </w:r>
    <w:r>
      <w:fldChar w:fldCharType="begin"/>
    </w:r>
    <w:r>
      <w:instrText xml:space="preserve"> PAGE  \* MERGEFORMAT </w:instrText>
    </w:r>
    <w:r>
      <w:fldChar w:fldCharType="separate"/>
    </w:r>
    <w:r>
      <w:t>12</w:t>
    </w:r>
    <w:r>
      <w:fldChar w:fldCharType="end"/>
    </w:r>
    <w:r>
      <w:t xml:space="preserve"> -</w:t>
    </w:r>
  </w:p>
  <w:p w14:paraId="108B19EF" w14:textId="2B7D3340" w:rsidR="009856CA" w:rsidRDefault="009D2E0B">
    <w:pPr>
      <w:pStyle w:val="Header"/>
    </w:pPr>
    <w:r>
      <w:fldChar w:fldCharType="begin"/>
    </w:r>
    <w:r>
      <w:instrText xml:space="preserve"> STYLEREF  Docnumber  </w:instrText>
    </w:r>
    <w:r>
      <w:fldChar w:fldCharType="separate"/>
    </w:r>
    <w:r w:rsidR="002404B1">
      <w:rPr>
        <w:noProof/>
      </w:rPr>
      <w:t>TSAG-TD536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F23D07"/>
    <w:multiLevelType w:val="singleLevel"/>
    <w:tmpl w:val="BDF23D07"/>
    <w:lvl w:ilvl="0">
      <w:start w:val="1"/>
      <w:numFmt w:val="decimal"/>
      <w:suff w:val="space"/>
      <w:lvlText w:val="(%1)"/>
      <w:lvlJc w:val="left"/>
    </w:lvl>
  </w:abstractNum>
  <w:abstractNum w:abstractNumId="1" w15:restartNumberingAfterBreak="0">
    <w:nsid w:val="07DD5AFA"/>
    <w:multiLevelType w:val="hybridMultilevel"/>
    <w:tmpl w:val="796CC526"/>
    <w:lvl w:ilvl="0" w:tplc="D4BA870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E4F5D"/>
    <w:multiLevelType w:val="multilevel"/>
    <w:tmpl w:val="1E4E4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20485"/>
    <w:multiLevelType w:val="multilevel"/>
    <w:tmpl w:val="3E3C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C0E21"/>
    <w:multiLevelType w:val="hybridMultilevel"/>
    <w:tmpl w:val="26EEDD76"/>
    <w:lvl w:ilvl="0" w:tplc="116A6C10">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A23E1"/>
    <w:multiLevelType w:val="multilevel"/>
    <w:tmpl w:val="70E2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8153B"/>
    <w:multiLevelType w:val="multilevel"/>
    <w:tmpl w:val="60A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D47E46"/>
    <w:multiLevelType w:val="multilevel"/>
    <w:tmpl w:val="491069A4"/>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E3386E"/>
    <w:multiLevelType w:val="hybridMultilevel"/>
    <w:tmpl w:val="56B619A8"/>
    <w:lvl w:ilvl="0" w:tplc="E08037CE">
      <w:start w:val="5"/>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8285D"/>
    <w:multiLevelType w:val="multilevel"/>
    <w:tmpl w:val="351828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FB7F05"/>
    <w:multiLevelType w:val="multilevel"/>
    <w:tmpl w:val="54BC0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4552F4F"/>
    <w:multiLevelType w:val="multilevel"/>
    <w:tmpl w:val="44552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7CE5DE3"/>
    <w:multiLevelType w:val="multilevel"/>
    <w:tmpl w:val="47CE5DE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4F3145"/>
    <w:multiLevelType w:val="multilevel"/>
    <w:tmpl w:val="4C4F31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C7D1F05"/>
    <w:multiLevelType w:val="multilevel"/>
    <w:tmpl w:val="6FB4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645C4"/>
    <w:multiLevelType w:val="multilevel"/>
    <w:tmpl w:val="588645C4"/>
    <w:lvl w:ilvl="0">
      <w:start w:val="1"/>
      <w:numFmt w:val="decimal"/>
      <w:lvlText w:val="(%1)"/>
      <w:lvlJc w:val="left"/>
      <w:pPr>
        <w:ind w:left="360" w:hanging="360"/>
      </w:pPr>
      <w:rPr>
        <w:rFonts w:ascii="Times New Roman" w:hAnsi="Times New Roman" w:cs="Times New Roman" w:hint="default"/>
        <w:b w:val="0"/>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343E3"/>
    <w:multiLevelType w:val="multilevel"/>
    <w:tmpl w:val="6238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92AD2"/>
    <w:multiLevelType w:val="multilevel"/>
    <w:tmpl w:val="5D292AD2"/>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D8C1E7E"/>
    <w:multiLevelType w:val="multilevel"/>
    <w:tmpl w:val="5D8C1E7E"/>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871C44"/>
    <w:multiLevelType w:val="multilevel"/>
    <w:tmpl w:val="359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251DE7"/>
    <w:multiLevelType w:val="multilevel"/>
    <w:tmpl w:val="64251DE7"/>
    <w:lvl w:ilvl="0">
      <w:start w:val="1"/>
      <w:numFmt w:val="decimal"/>
      <w:pStyle w:val="32numbers"/>
      <w:lvlText w:val="3.1.%1"/>
      <w:lvlJc w:val="left"/>
      <w:pPr>
        <w:tabs>
          <w:tab w:val="left" w:pos="720"/>
        </w:tabs>
        <w:ind w:left="720" w:hanging="720"/>
      </w:pPr>
      <w:rPr>
        <w:rFonts w:hint="default"/>
        <w:b/>
        <w:i w:val="0"/>
      </w:rPr>
    </w:lvl>
    <w:lvl w:ilvl="1">
      <w:start w:val="1"/>
      <w:numFmt w:val="upp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66FC2AE7"/>
    <w:multiLevelType w:val="multilevel"/>
    <w:tmpl w:val="3D9E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4F755D"/>
    <w:multiLevelType w:val="multilevel"/>
    <w:tmpl w:val="65D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F253F9"/>
    <w:multiLevelType w:val="multilevel"/>
    <w:tmpl w:val="B55890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1B0D8A"/>
    <w:multiLevelType w:val="hybridMultilevel"/>
    <w:tmpl w:val="2AB0259A"/>
    <w:lvl w:ilvl="0" w:tplc="97949A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2A5D71"/>
    <w:multiLevelType w:val="multilevel"/>
    <w:tmpl w:val="E9B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B517E"/>
    <w:multiLevelType w:val="multilevel"/>
    <w:tmpl w:val="1EFE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7D1299"/>
    <w:multiLevelType w:val="multilevel"/>
    <w:tmpl w:val="5B9A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636AF2"/>
    <w:multiLevelType w:val="multilevel"/>
    <w:tmpl w:val="FF1A56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FE7A57"/>
    <w:multiLevelType w:val="multilevel"/>
    <w:tmpl w:val="7FFE7A57"/>
    <w:lvl w:ilvl="0">
      <w:start w:val="1"/>
      <w:numFmt w:val="decimal"/>
      <w:lvlText w:val="%1."/>
      <w:lvlJc w:val="left"/>
      <w:pPr>
        <w:ind w:left="420" w:hanging="420"/>
      </w:pPr>
      <w:rPr>
        <w:rFonts w:cs="Times New Roman"/>
      </w:rPr>
    </w:lvl>
    <w:lvl w:ilvl="1">
      <w:start w:val="1"/>
      <w:numFmt w:val="decimal"/>
      <w:isLgl/>
      <w:lvlText w:val="%1.%2"/>
      <w:lvlJc w:val="left"/>
      <w:pPr>
        <w:ind w:left="360" w:hanging="360"/>
      </w:pPr>
      <w:rPr>
        <w:rFonts w:cs="Times New Roman" w:hint="eastAsia"/>
      </w:rPr>
    </w:lvl>
    <w:lvl w:ilvl="2">
      <w:start w:val="1"/>
      <w:numFmt w:val="decimal"/>
      <w:isLgl/>
      <w:lvlText w:val="%1.%2.%3"/>
      <w:lvlJc w:val="left"/>
      <w:pPr>
        <w:ind w:left="720" w:hanging="720"/>
      </w:pPr>
      <w:rPr>
        <w:rFonts w:cs="Times New Roman" w:hint="eastAsia"/>
      </w:rPr>
    </w:lvl>
    <w:lvl w:ilvl="3">
      <w:start w:val="1"/>
      <w:numFmt w:val="decimal"/>
      <w:isLgl/>
      <w:lvlText w:val="%1.%2.%3.%4"/>
      <w:lvlJc w:val="left"/>
      <w:pPr>
        <w:ind w:left="720" w:hanging="72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080" w:hanging="1080"/>
      </w:pPr>
      <w:rPr>
        <w:rFonts w:cs="Times New Roman" w:hint="eastAsia"/>
      </w:rPr>
    </w:lvl>
    <w:lvl w:ilvl="6">
      <w:start w:val="1"/>
      <w:numFmt w:val="decimal"/>
      <w:isLgl/>
      <w:lvlText w:val="%1.%2.%3.%4.%5.%6.%7"/>
      <w:lvlJc w:val="left"/>
      <w:pPr>
        <w:ind w:left="1440" w:hanging="1440"/>
      </w:pPr>
      <w:rPr>
        <w:rFonts w:cs="Times New Roman" w:hint="eastAsia"/>
      </w:rPr>
    </w:lvl>
    <w:lvl w:ilvl="7">
      <w:start w:val="1"/>
      <w:numFmt w:val="decimal"/>
      <w:isLgl/>
      <w:lvlText w:val="%1.%2.%3.%4.%5.%6.%7.%8"/>
      <w:lvlJc w:val="left"/>
      <w:pPr>
        <w:ind w:left="1440" w:hanging="1440"/>
      </w:pPr>
      <w:rPr>
        <w:rFonts w:cs="Times New Roman" w:hint="eastAsia"/>
      </w:rPr>
    </w:lvl>
    <w:lvl w:ilvl="8">
      <w:start w:val="1"/>
      <w:numFmt w:val="decimal"/>
      <w:isLgl/>
      <w:lvlText w:val="%1.%2.%3.%4.%5.%6.%7.%8.%9"/>
      <w:lvlJc w:val="left"/>
      <w:pPr>
        <w:ind w:left="1800" w:hanging="1800"/>
      </w:pPr>
      <w:rPr>
        <w:rFonts w:cs="Times New Roman" w:hint="eastAsia"/>
      </w:rPr>
    </w:lvl>
  </w:abstractNum>
  <w:num w:numId="1" w16cid:durableId="901526233">
    <w:abstractNumId w:val="22"/>
  </w:num>
  <w:num w:numId="2" w16cid:durableId="1409766355">
    <w:abstractNumId w:val="19"/>
  </w:num>
  <w:num w:numId="3" w16cid:durableId="994724546">
    <w:abstractNumId w:val="0"/>
  </w:num>
  <w:num w:numId="4" w16cid:durableId="559747730">
    <w:abstractNumId w:val="16"/>
  </w:num>
  <w:num w:numId="5" w16cid:durableId="1173377374">
    <w:abstractNumId w:val="32"/>
  </w:num>
  <w:num w:numId="6" w16cid:durableId="1297297746">
    <w:abstractNumId w:val="13"/>
  </w:num>
  <w:num w:numId="7" w16cid:durableId="61098080">
    <w:abstractNumId w:val="2"/>
  </w:num>
  <w:num w:numId="8" w16cid:durableId="591205205">
    <w:abstractNumId w:val="20"/>
  </w:num>
  <w:num w:numId="9" w16cid:durableId="80101825">
    <w:abstractNumId w:val="14"/>
  </w:num>
  <w:num w:numId="10" w16cid:durableId="1020203944">
    <w:abstractNumId w:val="10"/>
  </w:num>
  <w:num w:numId="11" w16cid:durableId="985626252">
    <w:abstractNumId w:val="12"/>
  </w:num>
  <w:num w:numId="12" w16cid:durableId="2074817376">
    <w:abstractNumId w:val="17"/>
  </w:num>
  <w:num w:numId="13" w16cid:durableId="356003313">
    <w:abstractNumId w:val="25"/>
  </w:num>
  <w:num w:numId="14" w16cid:durableId="537855840">
    <w:abstractNumId w:val="3"/>
  </w:num>
  <w:num w:numId="15" w16cid:durableId="604776446">
    <w:abstractNumId w:val="27"/>
  </w:num>
  <w:num w:numId="16" w16cid:durableId="427432916">
    <w:abstractNumId w:val="26"/>
  </w:num>
  <w:num w:numId="17" w16cid:durableId="1345395539">
    <w:abstractNumId w:val="4"/>
  </w:num>
  <w:num w:numId="18" w16cid:durableId="108597719">
    <w:abstractNumId w:val="18"/>
  </w:num>
  <w:num w:numId="19" w16cid:durableId="668413053">
    <w:abstractNumId w:val="21"/>
  </w:num>
  <w:num w:numId="20" w16cid:durableId="728462695">
    <w:abstractNumId w:val="30"/>
  </w:num>
  <w:num w:numId="21" w16cid:durableId="1012494147">
    <w:abstractNumId w:val="29"/>
  </w:num>
  <w:num w:numId="22" w16cid:durableId="10643512">
    <w:abstractNumId w:val="24"/>
  </w:num>
  <w:num w:numId="23" w16cid:durableId="1764181155">
    <w:abstractNumId w:val="7"/>
  </w:num>
  <w:num w:numId="24" w16cid:durableId="1512142764">
    <w:abstractNumId w:val="28"/>
  </w:num>
  <w:num w:numId="25" w16cid:durableId="1464155851">
    <w:abstractNumId w:val="15"/>
  </w:num>
  <w:num w:numId="26" w16cid:durableId="948776392">
    <w:abstractNumId w:val="6"/>
  </w:num>
  <w:num w:numId="27" w16cid:durableId="462969310">
    <w:abstractNumId w:val="31"/>
  </w:num>
  <w:num w:numId="28" w16cid:durableId="1355686452">
    <w:abstractNumId w:val="1"/>
  </w:num>
  <w:num w:numId="29" w16cid:durableId="1074426680">
    <w:abstractNumId w:val="11"/>
  </w:num>
  <w:num w:numId="30" w16cid:durableId="2131244043">
    <w:abstractNumId w:val="23"/>
  </w:num>
  <w:num w:numId="31" w16cid:durableId="572162026">
    <w:abstractNumId w:val="5"/>
  </w:num>
  <w:num w:numId="32" w16cid:durableId="1539901299">
    <w:abstractNumId w:val="9"/>
  </w:num>
  <w:num w:numId="33" w16cid:durableId="146289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wNmQwOWI0ZDUyNDgyNmExMzE1MmJjMzhiNWY2NGMifQ=="/>
  </w:docVars>
  <w:rsids>
    <w:rsidRoot w:val="00733E06"/>
    <w:rsid w:val="000003CD"/>
    <w:rsid w:val="000039F1"/>
    <w:rsid w:val="00007A53"/>
    <w:rsid w:val="00007AF8"/>
    <w:rsid w:val="00007B53"/>
    <w:rsid w:val="00007E5F"/>
    <w:rsid w:val="000103BE"/>
    <w:rsid w:val="0001092E"/>
    <w:rsid w:val="00010B6E"/>
    <w:rsid w:val="0001515E"/>
    <w:rsid w:val="0001517C"/>
    <w:rsid w:val="00015A32"/>
    <w:rsid w:val="00015FD2"/>
    <w:rsid w:val="00020415"/>
    <w:rsid w:val="00020845"/>
    <w:rsid w:val="0002179F"/>
    <w:rsid w:val="00021B15"/>
    <w:rsid w:val="00022690"/>
    <w:rsid w:val="000239D4"/>
    <w:rsid w:val="00023E46"/>
    <w:rsid w:val="00024ADA"/>
    <w:rsid w:val="000254CF"/>
    <w:rsid w:val="0002578B"/>
    <w:rsid w:val="00025BE6"/>
    <w:rsid w:val="000268DB"/>
    <w:rsid w:val="00027187"/>
    <w:rsid w:val="00030625"/>
    <w:rsid w:val="00031502"/>
    <w:rsid w:val="00034132"/>
    <w:rsid w:val="000356DE"/>
    <w:rsid w:val="00035883"/>
    <w:rsid w:val="00040243"/>
    <w:rsid w:val="000415E2"/>
    <w:rsid w:val="000433E6"/>
    <w:rsid w:val="0004361E"/>
    <w:rsid w:val="0004574F"/>
    <w:rsid w:val="00045F55"/>
    <w:rsid w:val="00047CA8"/>
    <w:rsid w:val="0005043D"/>
    <w:rsid w:val="0005496C"/>
    <w:rsid w:val="00054B09"/>
    <w:rsid w:val="00055225"/>
    <w:rsid w:val="00055456"/>
    <w:rsid w:val="00055B20"/>
    <w:rsid w:val="0005731D"/>
    <w:rsid w:val="0005772D"/>
    <w:rsid w:val="00060CC9"/>
    <w:rsid w:val="000610AA"/>
    <w:rsid w:val="0006146E"/>
    <w:rsid w:val="00062564"/>
    <w:rsid w:val="00062A7D"/>
    <w:rsid w:val="00062B92"/>
    <w:rsid w:val="00064541"/>
    <w:rsid w:val="00064C9A"/>
    <w:rsid w:val="000657BF"/>
    <w:rsid w:val="00067297"/>
    <w:rsid w:val="00067CAD"/>
    <w:rsid w:val="000718F3"/>
    <w:rsid w:val="00071EB9"/>
    <w:rsid w:val="000729AB"/>
    <w:rsid w:val="00072C95"/>
    <w:rsid w:val="00073BC6"/>
    <w:rsid w:val="00074F49"/>
    <w:rsid w:val="00076266"/>
    <w:rsid w:val="00077A41"/>
    <w:rsid w:val="00077E60"/>
    <w:rsid w:val="00083290"/>
    <w:rsid w:val="000840B4"/>
    <w:rsid w:val="00084548"/>
    <w:rsid w:val="000859B9"/>
    <w:rsid w:val="00086ADE"/>
    <w:rsid w:val="0009008A"/>
    <w:rsid w:val="00090651"/>
    <w:rsid w:val="0009076F"/>
    <w:rsid w:val="000915DC"/>
    <w:rsid w:val="00093437"/>
    <w:rsid w:val="00094A74"/>
    <w:rsid w:val="000950EE"/>
    <w:rsid w:val="000963B7"/>
    <w:rsid w:val="0009665D"/>
    <w:rsid w:val="00096951"/>
    <w:rsid w:val="00096AD3"/>
    <w:rsid w:val="00097819"/>
    <w:rsid w:val="00097A26"/>
    <w:rsid w:val="000A04AC"/>
    <w:rsid w:val="000A06A5"/>
    <w:rsid w:val="000A2FDF"/>
    <w:rsid w:val="000A310B"/>
    <w:rsid w:val="000A56E1"/>
    <w:rsid w:val="000A5A09"/>
    <w:rsid w:val="000A6DA5"/>
    <w:rsid w:val="000A750E"/>
    <w:rsid w:val="000B1106"/>
    <w:rsid w:val="000B2542"/>
    <w:rsid w:val="000B324C"/>
    <w:rsid w:val="000B3B2F"/>
    <w:rsid w:val="000B6121"/>
    <w:rsid w:val="000B7E5A"/>
    <w:rsid w:val="000C0150"/>
    <w:rsid w:val="000C01C4"/>
    <w:rsid w:val="000C06CE"/>
    <w:rsid w:val="000C175C"/>
    <w:rsid w:val="000C1BD3"/>
    <w:rsid w:val="000C1D1A"/>
    <w:rsid w:val="000C3713"/>
    <w:rsid w:val="000C43EF"/>
    <w:rsid w:val="000C49B7"/>
    <w:rsid w:val="000C4FC6"/>
    <w:rsid w:val="000C51E6"/>
    <w:rsid w:val="000C6420"/>
    <w:rsid w:val="000D1D7A"/>
    <w:rsid w:val="000D304E"/>
    <w:rsid w:val="000D3C3E"/>
    <w:rsid w:val="000D4329"/>
    <w:rsid w:val="000D43EC"/>
    <w:rsid w:val="000D4BB3"/>
    <w:rsid w:val="000D5325"/>
    <w:rsid w:val="000D540F"/>
    <w:rsid w:val="000D6672"/>
    <w:rsid w:val="000D7486"/>
    <w:rsid w:val="000D767C"/>
    <w:rsid w:val="000D7991"/>
    <w:rsid w:val="000E1542"/>
    <w:rsid w:val="000E653C"/>
    <w:rsid w:val="000E740E"/>
    <w:rsid w:val="000F1395"/>
    <w:rsid w:val="000F1C00"/>
    <w:rsid w:val="000F1D75"/>
    <w:rsid w:val="000F225F"/>
    <w:rsid w:val="000F2FDE"/>
    <w:rsid w:val="000F3D8C"/>
    <w:rsid w:val="000F5118"/>
    <w:rsid w:val="000F5544"/>
    <w:rsid w:val="000F598F"/>
    <w:rsid w:val="000F5BC2"/>
    <w:rsid w:val="000F5BC7"/>
    <w:rsid w:val="000F5D3D"/>
    <w:rsid w:val="000F61F2"/>
    <w:rsid w:val="000F668A"/>
    <w:rsid w:val="000F70FB"/>
    <w:rsid w:val="000F7718"/>
    <w:rsid w:val="000F779B"/>
    <w:rsid w:val="000F7C8C"/>
    <w:rsid w:val="00101FA0"/>
    <w:rsid w:val="00103900"/>
    <w:rsid w:val="0010461F"/>
    <w:rsid w:val="0010617E"/>
    <w:rsid w:val="00107024"/>
    <w:rsid w:val="00110913"/>
    <w:rsid w:val="00110F58"/>
    <w:rsid w:val="001115A3"/>
    <w:rsid w:val="00111B67"/>
    <w:rsid w:val="001133E3"/>
    <w:rsid w:val="0011473C"/>
    <w:rsid w:val="001158B4"/>
    <w:rsid w:val="0011608A"/>
    <w:rsid w:val="001161B7"/>
    <w:rsid w:val="00116ACD"/>
    <w:rsid w:val="00117E81"/>
    <w:rsid w:val="0012076B"/>
    <w:rsid w:val="00121568"/>
    <w:rsid w:val="00122DBE"/>
    <w:rsid w:val="001246FB"/>
    <w:rsid w:val="0012475D"/>
    <w:rsid w:val="001251EB"/>
    <w:rsid w:val="00126C0A"/>
    <w:rsid w:val="00127CB4"/>
    <w:rsid w:val="00127EC1"/>
    <w:rsid w:val="00130CCF"/>
    <w:rsid w:val="00130E0E"/>
    <w:rsid w:val="00132AC9"/>
    <w:rsid w:val="001339C0"/>
    <w:rsid w:val="0013444B"/>
    <w:rsid w:val="001345F8"/>
    <w:rsid w:val="00137658"/>
    <w:rsid w:val="0014051B"/>
    <w:rsid w:val="0014151F"/>
    <w:rsid w:val="00143BA8"/>
    <w:rsid w:val="00145995"/>
    <w:rsid w:val="00146FD7"/>
    <w:rsid w:val="00147A6C"/>
    <w:rsid w:val="00153506"/>
    <w:rsid w:val="00153940"/>
    <w:rsid w:val="0015396F"/>
    <w:rsid w:val="00153A07"/>
    <w:rsid w:val="00153C91"/>
    <w:rsid w:val="00153DE6"/>
    <w:rsid w:val="00154149"/>
    <w:rsid w:val="001544AB"/>
    <w:rsid w:val="001547A0"/>
    <w:rsid w:val="001548FA"/>
    <w:rsid w:val="00155B56"/>
    <w:rsid w:val="0015723A"/>
    <w:rsid w:val="00160898"/>
    <w:rsid w:val="001615C5"/>
    <w:rsid w:val="00161ACB"/>
    <w:rsid w:val="0016222C"/>
    <w:rsid w:val="00163B75"/>
    <w:rsid w:val="00164541"/>
    <w:rsid w:val="0016476A"/>
    <w:rsid w:val="00165572"/>
    <w:rsid w:val="001707CF"/>
    <w:rsid w:val="00171A2B"/>
    <w:rsid w:val="00173B85"/>
    <w:rsid w:val="00174487"/>
    <w:rsid w:val="00174626"/>
    <w:rsid w:val="00174D83"/>
    <w:rsid w:val="00180AB2"/>
    <w:rsid w:val="0018367E"/>
    <w:rsid w:val="001861FD"/>
    <w:rsid w:val="001872CD"/>
    <w:rsid w:val="00187ED9"/>
    <w:rsid w:val="00190311"/>
    <w:rsid w:val="00192552"/>
    <w:rsid w:val="001929B4"/>
    <w:rsid w:val="00192B4F"/>
    <w:rsid w:val="00192B82"/>
    <w:rsid w:val="00192ECE"/>
    <w:rsid w:val="0019334C"/>
    <w:rsid w:val="00193BD3"/>
    <w:rsid w:val="00197121"/>
    <w:rsid w:val="001A0306"/>
    <w:rsid w:val="001A1D8B"/>
    <w:rsid w:val="001A1FA4"/>
    <w:rsid w:val="001A3E31"/>
    <w:rsid w:val="001A740B"/>
    <w:rsid w:val="001B06A2"/>
    <w:rsid w:val="001B1457"/>
    <w:rsid w:val="001B1C47"/>
    <w:rsid w:val="001B23C0"/>
    <w:rsid w:val="001B3471"/>
    <w:rsid w:val="001B4B83"/>
    <w:rsid w:val="001B6C41"/>
    <w:rsid w:val="001B7500"/>
    <w:rsid w:val="001C02B0"/>
    <w:rsid w:val="001C2FB9"/>
    <w:rsid w:val="001C3EEF"/>
    <w:rsid w:val="001C61A9"/>
    <w:rsid w:val="001C64EE"/>
    <w:rsid w:val="001C70BB"/>
    <w:rsid w:val="001C79C7"/>
    <w:rsid w:val="001D15D7"/>
    <w:rsid w:val="001D16C9"/>
    <w:rsid w:val="001D2C78"/>
    <w:rsid w:val="001D36B1"/>
    <w:rsid w:val="001D36DC"/>
    <w:rsid w:val="001D3B17"/>
    <w:rsid w:val="001D52FB"/>
    <w:rsid w:val="001D6DA5"/>
    <w:rsid w:val="001D713F"/>
    <w:rsid w:val="001D7F07"/>
    <w:rsid w:val="001E028A"/>
    <w:rsid w:val="001E1EE8"/>
    <w:rsid w:val="001E35F1"/>
    <w:rsid w:val="001E7727"/>
    <w:rsid w:val="001F15E0"/>
    <w:rsid w:val="001F5482"/>
    <w:rsid w:val="001F6EF2"/>
    <w:rsid w:val="001F7945"/>
    <w:rsid w:val="001F7ABF"/>
    <w:rsid w:val="0020023D"/>
    <w:rsid w:val="00203237"/>
    <w:rsid w:val="00203A9E"/>
    <w:rsid w:val="0020497C"/>
    <w:rsid w:val="00210DCF"/>
    <w:rsid w:val="00215646"/>
    <w:rsid w:val="00215AEB"/>
    <w:rsid w:val="00216E94"/>
    <w:rsid w:val="00217031"/>
    <w:rsid w:val="0021770C"/>
    <w:rsid w:val="00217A68"/>
    <w:rsid w:val="00220B63"/>
    <w:rsid w:val="00220C5D"/>
    <w:rsid w:val="00221AAC"/>
    <w:rsid w:val="00222FBF"/>
    <w:rsid w:val="00226A25"/>
    <w:rsid w:val="00227E8E"/>
    <w:rsid w:val="00230E78"/>
    <w:rsid w:val="002314DD"/>
    <w:rsid w:val="00233328"/>
    <w:rsid w:val="00233F0B"/>
    <w:rsid w:val="00236C88"/>
    <w:rsid w:val="00237B4C"/>
    <w:rsid w:val="0024002C"/>
    <w:rsid w:val="002404B1"/>
    <w:rsid w:val="0024221F"/>
    <w:rsid w:val="002423A8"/>
    <w:rsid w:val="00243A77"/>
    <w:rsid w:val="0024429E"/>
    <w:rsid w:val="002451DB"/>
    <w:rsid w:val="002472F4"/>
    <w:rsid w:val="002479A7"/>
    <w:rsid w:val="00253C4D"/>
    <w:rsid w:val="0025481D"/>
    <w:rsid w:val="0025504A"/>
    <w:rsid w:val="002563B4"/>
    <w:rsid w:val="00256F78"/>
    <w:rsid w:val="00260D5F"/>
    <w:rsid w:val="00260DAB"/>
    <w:rsid w:val="00260EC4"/>
    <w:rsid w:val="0026203C"/>
    <w:rsid w:val="00262CF6"/>
    <w:rsid w:val="0026392D"/>
    <w:rsid w:val="0026398F"/>
    <w:rsid w:val="002641E7"/>
    <w:rsid w:val="00264E4A"/>
    <w:rsid w:val="00265F96"/>
    <w:rsid w:val="00266720"/>
    <w:rsid w:val="0026784D"/>
    <w:rsid w:val="00276519"/>
    <w:rsid w:val="0027700B"/>
    <w:rsid w:val="002816F3"/>
    <w:rsid w:val="00282BC6"/>
    <w:rsid w:val="0028376F"/>
    <w:rsid w:val="00284356"/>
    <w:rsid w:val="00285E59"/>
    <w:rsid w:val="00286AFE"/>
    <w:rsid w:val="00290331"/>
    <w:rsid w:val="002914C3"/>
    <w:rsid w:val="002915DE"/>
    <w:rsid w:val="00292E01"/>
    <w:rsid w:val="00293277"/>
    <w:rsid w:val="0029438D"/>
    <w:rsid w:val="00294D19"/>
    <w:rsid w:val="0029695D"/>
    <w:rsid w:val="00296A17"/>
    <w:rsid w:val="002A0307"/>
    <w:rsid w:val="002A0389"/>
    <w:rsid w:val="002A0817"/>
    <w:rsid w:val="002A16C1"/>
    <w:rsid w:val="002A2328"/>
    <w:rsid w:val="002A29AF"/>
    <w:rsid w:val="002A2DB0"/>
    <w:rsid w:val="002A3573"/>
    <w:rsid w:val="002A3733"/>
    <w:rsid w:val="002A3FEF"/>
    <w:rsid w:val="002A41C2"/>
    <w:rsid w:val="002A53CA"/>
    <w:rsid w:val="002A545D"/>
    <w:rsid w:val="002A7095"/>
    <w:rsid w:val="002B2974"/>
    <w:rsid w:val="002B2B81"/>
    <w:rsid w:val="002B32D4"/>
    <w:rsid w:val="002B63F0"/>
    <w:rsid w:val="002B6DF6"/>
    <w:rsid w:val="002B7403"/>
    <w:rsid w:val="002C15B6"/>
    <w:rsid w:val="002C390C"/>
    <w:rsid w:val="002C663F"/>
    <w:rsid w:val="002C7954"/>
    <w:rsid w:val="002C7AAC"/>
    <w:rsid w:val="002D0EA7"/>
    <w:rsid w:val="002D0F6E"/>
    <w:rsid w:val="002D1053"/>
    <w:rsid w:val="002D25E7"/>
    <w:rsid w:val="002D42BF"/>
    <w:rsid w:val="002D5B64"/>
    <w:rsid w:val="002D6213"/>
    <w:rsid w:val="002E292C"/>
    <w:rsid w:val="002E4138"/>
    <w:rsid w:val="002E55A4"/>
    <w:rsid w:val="002E5BCA"/>
    <w:rsid w:val="002E6317"/>
    <w:rsid w:val="002E7047"/>
    <w:rsid w:val="002F1330"/>
    <w:rsid w:val="002F362E"/>
    <w:rsid w:val="002F3FA0"/>
    <w:rsid w:val="002F4E21"/>
    <w:rsid w:val="002F74BB"/>
    <w:rsid w:val="00300B77"/>
    <w:rsid w:val="00300C2E"/>
    <w:rsid w:val="003019DA"/>
    <w:rsid w:val="003037E2"/>
    <w:rsid w:val="00304BF9"/>
    <w:rsid w:val="003058E4"/>
    <w:rsid w:val="00305D7D"/>
    <w:rsid w:val="003075E4"/>
    <w:rsid w:val="00307788"/>
    <w:rsid w:val="003101E4"/>
    <w:rsid w:val="003102B5"/>
    <w:rsid w:val="0031385B"/>
    <w:rsid w:val="00313B73"/>
    <w:rsid w:val="00314A75"/>
    <w:rsid w:val="00316E1C"/>
    <w:rsid w:val="0032334C"/>
    <w:rsid w:val="00323A63"/>
    <w:rsid w:val="003241A4"/>
    <w:rsid w:val="00324473"/>
    <w:rsid w:val="003247BA"/>
    <w:rsid w:val="00324827"/>
    <w:rsid w:val="0032554D"/>
    <w:rsid w:val="00327736"/>
    <w:rsid w:val="00327D62"/>
    <w:rsid w:val="003306C7"/>
    <w:rsid w:val="00330FAC"/>
    <w:rsid w:val="00332427"/>
    <w:rsid w:val="00333478"/>
    <w:rsid w:val="0033498A"/>
    <w:rsid w:val="00334C62"/>
    <w:rsid w:val="00336A12"/>
    <w:rsid w:val="00341628"/>
    <w:rsid w:val="00342896"/>
    <w:rsid w:val="00343BB0"/>
    <w:rsid w:val="00343E25"/>
    <w:rsid w:val="00345533"/>
    <w:rsid w:val="00345991"/>
    <w:rsid w:val="00345B9F"/>
    <w:rsid w:val="0034671A"/>
    <w:rsid w:val="003471AF"/>
    <w:rsid w:val="00352D84"/>
    <w:rsid w:val="00354691"/>
    <w:rsid w:val="0035615F"/>
    <w:rsid w:val="0035651C"/>
    <w:rsid w:val="00360D0C"/>
    <w:rsid w:val="003628E6"/>
    <w:rsid w:val="00362B04"/>
    <w:rsid w:val="00363BF6"/>
    <w:rsid w:val="00364AD9"/>
    <w:rsid w:val="00365B2A"/>
    <w:rsid w:val="00370A07"/>
    <w:rsid w:val="00371A3A"/>
    <w:rsid w:val="003736A9"/>
    <w:rsid w:val="003739D9"/>
    <w:rsid w:val="00375484"/>
    <w:rsid w:val="0037553D"/>
    <w:rsid w:val="00375FA7"/>
    <w:rsid w:val="003769F7"/>
    <w:rsid w:val="00377845"/>
    <w:rsid w:val="00380D39"/>
    <w:rsid w:val="00382BE7"/>
    <w:rsid w:val="00386071"/>
    <w:rsid w:val="00392235"/>
    <w:rsid w:val="0039359D"/>
    <w:rsid w:val="00394A96"/>
    <w:rsid w:val="00397301"/>
    <w:rsid w:val="003A1420"/>
    <w:rsid w:val="003A1556"/>
    <w:rsid w:val="003A289B"/>
    <w:rsid w:val="003A46E7"/>
    <w:rsid w:val="003A610C"/>
    <w:rsid w:val="003A69AF"/>
    <w:rsid w:val="003A6E12"/>
    <w:rsid w:val="003B20D6"/>
    <w:rsid w:val="003B2CB9"/>
    <w:rsid w:val="003B6804"/>
    <w:rsid w:val="003B6988"/>
    <w:rsid w:val="003B741A"/>
    <w:rsid w:val="003C06DF"/>
    <w:rsid w:val="003C0ED4"/>
    <w:rsid w:val="003C172D"/>
    <w:rsid w:val="003C178E"/>
    <w:rsid w:val="003C46E4"/>
    <w:rsid w:val="003C5CE3"/>
    <w:rsid w:val="003C61B7"/>
    <w:rsid w:val="003C6BCD"/>
    <w:rsid w:val="003D10B4"/>
    <w:rsid w:val="003D296C"/>
    <w:rsid w:val="003D3158"/>
    <w:rsid w:val="003D7CEF"/>
    <w:rsid w:val="003E04C6"/>
    <w:rsid w:val="003E0FF3"/>
    <w:rsid w:val="003E1608"/>
    <w:rsid w:val="003E2476"/>
    <w:rsid w:val="003E2F9B"/>
    <w:rsid w:val="003E3DC4"/>
    <w:rsid w:val="003E4BDA"/>
    <w:rsid w:val="003E4D93"/>
    <w:rsid w:val="003E56B0"/>
    <w:rsid w:val="003E5812"/>
    <w:rsid w:val="003E5FB8"/>
    <w:rsid w:val="003E6FBE"/>
    <w:rsid w:val="003F10AF"/>
    <w:rsid w:val="003F2E00"/>
    <w:rsid w:val="003F2E6C"/>
    <w:rsid w:val="003F4C0A"/>
    <w:rsid w:val="003F5772"/>
    <w:rsid w:val="003F6260"/>
    <w:rsid w:val="003F6D59"/>
    <w:rsid w:val="003F6E38"/>
    <w:rsid w:val="003F797B"/>
    <w:rsid w:val="003F7E99"/>
    <w:rsid w:val="00400610"/>
    <w:rsid w:val="004013FC"/>
    <w:rsid w:val="00401918"/>
    <w:rsid w:val="004019F1"/>
    <w:rsid w:val="0040394D"/>
    <w:rsid w:val="00404248"/>
    <w:rsid w:val="00404790"/>
    <w:rsid w:val="004054AD"/>
    <w:rsid w:val="0040660B"/>
    <w:rsid w:val="004072AA"/>
    <w:rsid w:val="00407FB8"/>
    <w:rsid w:val="00411A48"/>
    <w:rsid w:val="0041522C"/>
    <w:rsid w:val="0041544F"/>
    <w:rsid w:val="00416440"/>
    <w:rsid w:val="00416A3C"/>
    <w:rsid w:val="00421939"/>
    <w:rsid w:val="00421994"/>
    <w:rsid w:val="004247F1"/>
    <w:rsid w:val="0042650E"/>
    <w:rsid w:val="00426A2E"/>
    <w:rsid w:val="0042705C"/>
    <w:rsid w:val="00430BDA"/>
    <w:rsid w:val="00433A32"/>
    <w:rsid w:val="004340E2"/>
    <w:rsid w:val="0043627E"/>
    <w:rsid w:val="004366EF"/>
    <w:rsid w:val="00437486"/>
    <w:rsid w:val="004413E5"/>
    <w:rsid w:val="0044391D"/>
    <w:rsid w:val="00445AA9"/>
    <w:rsid w:val="00445ACE"/>
    <w:rsid w:val="00446275"/>
    <w:rsid w:val="00450D86"/>
    <w:rsid w:val="00451552"/>
    <w:rsid w:val="00454CF0"/>
    <w:rsid w:val="00455A1D"/>
    <w:rsid w:val="004564AC"/>
    <w:rsid w:val="00456ECC"/>
    <w:rsid w:val="00457301"/>
    <w:rsid w:val="00457D8A"/>
    <w:rsid w:val="00461022"/>
    <w:rsid w:val="0046170B"/>
    <w:rsid w:val="004619F2"/>
    <w:rsid w:val="00462545"/>
    <w:rsid w:val="00462BB2"/>
    <w:rsid w:val="004656A5"/>
    <w:rsid w:val="004657EB"/>
    <w:rsid w:val="00466632"/>
    <w:rsid w:val="00466718"/>
    <w:rsid w:val="00466AD2"/>
    <w:rsid w:val="00467A66"/>
    <w:rsid w:val="0047165D"/>
    <w:rsid w:val="004719E6"/>
    <w:rsid w:val="00471D9A"/>
    <w:rsid w:val="00472400"/>
    <w:rsid w:val="00473D7E"/>
    <w:rsid w:val="0047511C"/>
    <w:rsid w:val="004755B8"/>
    <w:rsid w:val="00476E8D"/>
    <w:rsid w:val="00476F01"/>
    <w:rsid w:val="004774BD"/>
    <w:rsid w:val="00477B4A"/>
    <w:rsid w:val="00482B52"/>
    <w:rsid w:val="00484D1F"/>
    <w:rsid w:val="004852FE"/>
    <w:rsid w:val="00485416"/>
    <w:rsid w:val="0048585E"/>
    <w:rsid w:val="0048608C"/>
    <w:rsid w:val="004903B8"/>
    <w:rsid w:val="0049160B"/>
    <w:rsid w:val="004917CA"/>
    <w:rsid w:val="00492DFB"/>
    <w:rsid w:val="004933C9"/>
    <w:rsid w:val="004937DB"/>
    <w:rsid w:val="00493DBE"/>
    <w:rsid w:val="00494AB7"/>
    <w:rsid w:val="00495D15"/>
    <w:rsid w:val="00496011"/>
    <w:rsid w:val="00497167"/>
    <w:rsid w:val="0049758C"/>
    <w:rsid w:val="00497AAD"/>
    <w:rsid w:val="004A04BB"/>
    <w:rsid w:val="004A0B21"/>
    <w:rsid w:val="004A21CE"/>
    <w:rsid w:val="004A275A"/>
    <w:rsid w:val="004A3613"/>
    <w:rsid w:val="004A3AC1"/>
    <w:rsid w:val="004A4014"/>
    <w:rsid w:val="004A6CEF"/>
    <w:rsid w:val="004B1954"/>
    <w:rsid w:val="004B3013"/>
    <w:rsid w:val="004B5527"/>
    <w:rsid w:val="004B7A62"/>
    <w:rsid w:val="004C0E39"/>
    <w:rsid w:val="004C128B"/>
    <w:rsid w:val="004C12AA"/>
    <w:rsid w:val="004C2B0F"/>
    <w:rsid w:val="004C2FF6"/>
    <w:rsid w:val="004C621C"/>
    <w:rsid w:val="004C6B4D"/>
    <w:rsid w:val="004C77F5"/>
    <w:rsid w:val="004C7E6E"/>
    <w:rsid w:val="004D064F"/>
    <w:rsid w:val="004D1D20"/>
    <w:rsid w:val="004D30BB"/>
    <w:rsid w:val="004D3589"/>
    <w:rsid w:val="004D4D8D"/>
    <w:rsid w:val="004D530B"/>
    <w:rsid w:val="004D6A5F"/>
    <w:rsid w:val="004D6C6D"/>
    <w:rsid w:val="004D7E38"/>
    <w:rsid w:val="004E142B"/>
    <w:rsid w:val="004E2A3D"/>
    <w:rsid w:val="004E679F"/>
    <w:rsid w:val="004E6D92"/>
    <w:rsid w:val="004E7303"/>
    <w:rsid w:val="004F002B"/>
    <w:rsid w:val="004F2547"/>
    <w:rsid w:val="004F4002"/>
    <w:rsid w:val="004F4289"/>
    <w:rsid w:val="004F711D"/>
    <w:rsid w:val="004F7FF0"/>
    <w:rsid w:val="00500BA8"/>
    <w:rsid w:val="005015C4"/>
    <w:rsid w:val="00501FD9"/>
    <w:rsid w:val="00503155"/>
    <w:rsid w:val="00504223"/>
    <w:rsid w:val="005053B0"/>
    <w:rsid w:val="00505C36"/>
    <w:rsid w:val="00510612"/>
    <w:rsid w:val="00510F6A"/>
    <w:rsid w:val="00511474"/>
    <w:rsid w:val="005116F4"/>
    <w:rsid w:val="00511FCD"/>
    <w:rsid w:val="005125EA"/>
    <w:rsid w:val="00512699"/>
    <w:rsid w:val="0051283A"/>
    <w:rsid w:val="005133C6"/>
    <w:rsid w:val="005144FA"/>
    <w:rsid w:val="00514666"/>
    <w:rsid w:val="005146BF"/>
    <w:rsid w:val="00514F5E"/>
    <w:rsid w:val="005160BD"/>
    <w:rsid w:val="0051684D"/>
    <w:rsid w:val="00517273"/>
    <w:rsid w:val="00517714"/>
    <w:rsid w:val="005221F7"/>
    <w:rsid w:val="00522B3D"/>
    <w:rsid w:val="005238D0"/>
    <w:rsid w:val="005238DD"/>
    <w:rsid w:val="00524758"/>
    <w:rsid w:val="00524C8F"/>
    <w:rsid w:val="0052543B"/>
    <w:rsid w:val="005304C4"/>
    <w:rsid w:val="005318E7"/>
    <w:rsid w:val="00532C64"/>
    <w:rsid w:val="005334B3"/>
    <w:rsid w:val="00533F77"/>
    <w:rsid w:val="005344F0"/>
    <w:rsid w:val="00534F1C"/>
    <w:rsid w:val="00535761"/>
    <w:rsid w:val="005358A2"/>
    <w:rsid w:val="00536845"/>
    <w:rsid w:val="00540148"/>
    <w:rsid w:val="00540921"/>
    <w:rsid w:val="00540E48"/>
    <w:rsid w:val="00541619"/>
    <w:rsid w:val="00542B8A"/>
    <w:rsid w:val="00543152"/>
    <w:rsid w:val="005437A2"/>
    <w:rsid w:val="00543C5E"/>
    <w:rsid w:val="00543D50"/>
    <w:rsid w:val="00544686"/>
    <w:rsid w:val="00545CAE"/>
    <w:rsid w:val="005469D2"/>
    <w:rsid w:val="00546F1A"/>
    <w:rsid w:val="00551100"/>
    <w:rsid w:val="0055247E"/>
    <w:rsid w:val="005557D7"/>
    <w:rsid w:val="00556EE7"/>
    <w:rsid w:val="0056015C"/>
    <w:rsid w:val="005604F3"/>
    <w:rsid w:val="0056267D"/>
    <w:rsid w:val="00565032"/>
    <w:rsid w:val="005657A4"/>
    <w:rsid w:val="00565EB9"/>
    <w:rsid w:val="0056713F"/>
    <w:rsid w:val="00567C54"/>
    <w:rsid w:val="005727C8"/>
    <w:rsid w:val="00574C48"/>
    <w:rsid w:val="00581EFA"/>
    <w:rsid w:val="00583102"/>
    <w:rsid w:val="00583EB1"/>
    <w:rsid w:val="00583ECD"/>
    <w:rsid w:val="00586353"/>
    <w:rsid w:val="00586743"/>
    <w:rsid w:val="005869A8"/>
    <w:rsid w:val="005900AA"/>
    <w:rsid w:val="00591625"/>
    <w:rsid w:val="0059310E"/>
    <w:rsid w:val="005944EA"/>
    <w:rsid w:val="005945B2"/>
    <w:rsid w:val="00596EC1"/>
    <w:rsid w:val="00597049"/>
    <w:rsid w:val="00597398"/>
    <w:rsid w:val="005A09E7"/>
    <w:rsid w:val="005A1B06"/>
    <w:rsid w:val="005A2853"/>
    <w:rsid w:val="005A3438"/>
    <w:rsid w:val="005A59CB"/>
    <w:rsid w:val="005A609E"/>
    <w:rsid w:val="005B0816"/>
    <w:rsid w:val="005B11D3"/>
    <w:rsid w:val="005B16BE"/>
    <w:rsid w:val="005B2099"/>
    <w:rsid w:val="005B5CB1"/>
    <w:rsid w:val="005B6437"/>
    <w:rsid w:val="005B7D42"/>
    <w:rsid w:val="005C05F4"/>
    <w:rsid w:val="005C0A89"/>
    <w:rsid w:val="005C2573"/>
    <w:rsid w:val="005C36CE"/>
    <w:rsid w:val="005C481A"/>
    <w:rsid w:val="005C4848"/>
    <w:rsid w:val="005C48F2"/>
    <w:rsid w:val="005C4FCD"/>
    <w:rsid w:val="005C72D0"/>
    <w:rsid w:val="005D3CE5"/>
    <w:rsid w:val="005D3E6D"/>
    <w:rsid w:val="005D3F3D"/>
    <w:rsid w:val="005D45BE"/>
    <w:rsid w:val="005D62AC"/>
    <w:rsid w:val="005E00AE"/>
    <w:rsid w:val="005E06E1"/>
    <w:rsid w:val="005E25FF"/>
    <w:rsid w:val="005E424C"/>
    <w:rsid w:val="005E4AD2"/>
    <w:rsid w:val="005F0CE5"/>
    <w:rsid w:val="005F28BE"/>
    <w:rsid w:val="005F51E6"/>
    <w:rsid w:val="005F727D"/>
    <w:rsid w:val="006004BC"/>
    <w:rsid w:val="00600BC5"/>
    <w:rsid w:val="00601173"/>
    <w:rsid w:val="00602F07"/>
    <w:rsid w:val="00603EF7"/>
    <w:rsid w:val="00604298"/>
    <w:rsid w:val="00604991"/>
    <w:rsid w:val="00607481"/>
    <w:rsid w:val="0060752B"/>
    <w:rsid w:val="00607DAA"/>
    <w:rsid w:val="0061066C"/>
    <w:rsid w:val="00611198"/>
    <w:rsid w:val="00611A86"/>
    <w:rsid w:val="00613028"/>
    <w:rsid w:val="0061371A"/>
    <w:rsid w:val="006176A5"/>
    <w:rsid w:val="00617763"/>
    <w:rsid w:val="00620AB5"/>
    <w:rsid w:val="00620AC8"/>
    <w:rsid w:val="00624512"/>
    <w:rsid w:val="00625BF6"/>
    <w:rsid w:val="00626D29"/>
    <w:rsid w:val="00627304"/>
    <w:rsid w:val="0063347B"/>
    <w:rsid w:val="00633567"/>
    <w:rsid w:val="006335E6"/>
    <w:rsid w:val="00633820"/>
    <w:rsid w:val="00633FA7"/>
    <w:rsid w:val="00634ABD"/>
    <w:rsid w:val="00634F9A"/>
    <w:rsid w:val="00635CC8"/>
    <w:rsid w:val="00635F15"/>
    <w:rsid w:val="006360E8"/>
    <w:rsid w:val="00640572"/>
    <w:rsid w:val="00640B41"/>
    <w:rsid w:val="00641705"/>
    <w:rsid w:val="00641C20"/>
    <w:rsid w:val="0064385E"/>
    <w:rsid w:val="006442C8"/>
    <w:rsid w:val="006450CE"/>
    <w:rsid w:val="006458A5"/>
    <w:rsid w:val="00646656"/>
    <w:rsid w:val="00650872"/>
    <w:rsid w:val="00651344"/>
    <w:rsid w:val="00651913"/>
    <w:rsid w:val="00652CD3"/>
    <w:rsid w:val="00654A79"/>
    <w:rsid w:val="00655473"/>
    <w:rsid w:val="00655CE0"/>
    <w:rsid w:val="006566B0"/>
    <w:rsid w:val="00656B48"/>
    <w:rsid w:val="00662095"/>
    <w:rsid w:val="00662DAB"/>
    <w:rsid w:val="006639BA"/>
    <w:rsid w:val="00663FD5"/>
    <w:rsid w:val="00665851"/>
    <w:rsid w:val="006663AA"/>
    <w:rsid w:val="00667B3B"/>
    <w:rsid w:val="0067216E"/>
    <w:rsid w:val="006739A7"/>
    <w:rsid w:val="00674970"/>
    <w:rsid w:val="006767F1"/>
    <w:rsid w:val="006772A5"/>
    <w:rsid w:val="00677710"/>
    <w:rsid w:val="00680522"/>
    <w:rsid w:val="006807A7"/>
    <w:rsid w:val="00680DD0"/>
    <w:rsid w:val="006834A1"/>
    <w:rsid w:val="006845A3"/>
    <w:rsid w:val="006854A8"/>
    <w:rsid w:val="00687141"/>
    <w:rsid w:val="00690DF8"/>
    <w:rsid w:val="00692438"/>
    <w:rsid w:val="00692A7D"/>
    <w:rsid w:val="0069444E"/>
    <w:rsid w:val="0069781D"/>
    <w:rsid w:val="00697E08"/>
    <w:rsid w:val="006A1650"/>
    <w:rsid w:val="006A17CE"/>
    <w:rsid w:val="006A227A"/>
    <w:rsid w:val="006A23EE"/>
    <w:rsid w:val="006A4027"/>
    <w:rsid w:val="006A47B4"/>
    <w:rsid w:val="006A5B89"/>
    <w:rsid w:val="006A784C"/>
    <w:rsid w:val="006A7ADA"/>
    <w:rsid w:val="006A7F47"/>
    <w:rsid w:val="006B034A"/>
    <w:rsid w:val="006B0451"/>
    <w:rsid w:val="006B23E0"/>
    <w:rsid w:val="006B2884"/>
    <w:rsid w:val="006B353D"/>
    <w:rsid w:val="006B507C"/>
    <w:rsid w:val="006B5C85"/>
    <w:rsid w:val="006B673D"/>
    <w:rsid w:val="006B6E79"/>
    <w:rsid w:val="006B7A81"/>
    <w:rsid w:val="006C4AB5"/>
    <w:rsid w:val="006C6C90"/>
    <w:rsid w:val="006C7E1C"/>
    <w:rsid w:val="006D1525"/>
    <w:rsid w:val="006D1669"/>
    <w:rsid w:val="006D3132"/>
    <w:rsid w:val="006E0301"/>
    <w:rsid w:val="006E0BED"/>
    <w:rsid w:val="006E1EB1"/>
    <w:rsid w:val="006E2178"/>
    <w:rsid w:val="006E3B1D"/>
    <w:rsid w:val="006E446B"/>
    <w:rsid w:val="006E447B"/>
    <w:rsid w:val="006E6669"/>
    <w:rsid w:val="006F0218"/>
    <w:rsid w:val="006F0B67"/>
    <w:rsid w:val="006F15DD"/>
    <w:rsid w:val="006F20BE"/>
    <w:rsid w:val="006F24BC"/>
    <w:rsid w:val="006F3255"/>
    <w:rsid w:val="006F3645"/>
    <w:rsid w:val="006F426D"/>
    <w:rsid w:val="006F45DE"/>
    <w:rsid w:val="006F5973"/>
    <w:rsid w:val="00704FE9"/>
    <w:rsid w:val="00710B60"/>
    <w:rsid w:val="007150C7"/>
    <w:rsid w:val="00715100"/>
    <w:rsid w:val="00715264"/>
    <w:rsid w:val="00715657"/>
    <w:rsid w:val="00716072"/>
    <w:rsid w:val="0071662E"/>
    <w:rsid w:val="0072048D"/>
    <w:rsid w:val="00720B9A"/>
    <w:rsid w:val="00721747"/>
    <w:rsid w:val="00722882"/>
    <w:rsid w:val="00723E2C"/>
    <w:rsid w:val="0072443E"/>
    <w:rsid w:val="00724C32"/>
    <w:rsid w:val="00727650"/>
    <w:rsid w:val="00732460"/>
    <w:rsid w:val="00733008"/>
    <w:rsid w:val="00733E06"/>
    <w:rsid w:val="00735F36"/>
    <w:rsid w:val="0073647E"/>
    <w:rsid w:val="007379C6"/>
    <w:rsid w:val="00737A43"/>
    <w:rsid w:val="00741BC6"/>
    <w:rsid w:val="00742359"/>
    <w:rsid w:val="00742CC0"/>
    <w:rsid w:val="00742F77"/>
    <w:rsid w:val="0074335B"/>
    <w:rsid w:val="00745635"/>
    <w:rsid w:val="007469C5"/>
    <w:rsid w:val="00750F55"/>
    <w:rsid w:val="00753680"/>
    <w:rsid w:val="00753D4B"/>
    <w:rsid w:val="00753E43"/>
    <w:rsid w:val="00753EE1"/>
    <w:rsid w:val="00755AC6"/>
    <w:rsid w:val="00755D78"/>
    <w:rsid w:val="00757611"/>
    <w:rsid w:val="007579A2"/>
    <w:rsid w:val="00757D2A"/>
    <w:rsid w:val="0076229F"/>
    <w:rsid w:val="0076422D"/>
    <w:rsid w:val="0076789B"/>
    <w:rsid w:val="00767BF1"/>
    <w:rsid w:val="00770A80"/>
    <w:rsid w:val="00770FBF"/>
    <w:rsid w:val="00772506"/>
    <w:rsid w:val="00772FD6"/>
    <w:rsid w:val="0077347B"/>
    <w:rsid w:val="007735B6"/>
    <w:rsid w:val="00775D7D"/>
    <w:rsid w:val="00776AD0"/>
    <w:rsid w:val="00777012"/>
    <w:rsid w:val="0077720E"/>
    <w:rsid w:val="007774AF"/>
    <w:rsid w:val="00777C4C"/>
    <w:rsid w:val="0078018B"/>
    <w:rsid w:val="00781161"/>
    <w:rsid w:val="007822DC"/>
    <w:rsid w:val="0078470A"/>
    <w:rsid w:val="00785639"/>
    <w:rsid w:val="007911E3"/>
    <w:rsid w:val="00794106"/>
    <w:rsid w:val="007949F0"/>
    <w:rsid w:val="0079722F"/>
    <w:rsid w:val="007A2C27"/>
    <w:rsid w:val="007A3E50"/>
    <w:rsid w:val="007A4989"/>
    <w:rsid w:val="007A5920"/>
    <w:rsid w:val="007A631F"/>
    <w:rsid w:val="007A69AF"/>
    <w:rsid w:val="007A7813"/>
    <w:rsid w:val="007A7E26"/>
    <w:rsid w:val="007A7F20"/>
    <w:rsid w:val="007B0D92"/>
    <w:rsid w:val="007B4CE2"/>
    <w:rsid w:val="007B5020"/>
    <w:rsid w:val="007B5615"/>
    <w:rsid w:val="007B7703"/>
    <w:rsid w:val="007C2007"/>
    <w:rsid w:val="007C357A"/>
    <w:rsid w:val="007C40AC"/>
    <w:rsid w:val="007C7045"/>
    <w:rsid w:val="007D1F8C"/>
    <w:rsid w:val="007D4134"/>
    <w:rsid w:val="007D7383"/>
    <w:rsid w:val="007E1230"/>
    <w:rsid w:val="007E1DAF"/>
    <w:rsid w:val="007E2706"/>
    <w:rsid w:val="007E281A"/>
    <w:rsid w:val="007E28F5"/>
    <w:rsid w:val="007E3840"/>
    <w:rsid w:val="007E4272"/>
    <w:rsid w:val="007E70DD"/>
    <w:rsid w:val="007F18BE"/>
    <w:rsid w:val="007F343A"/>
    <w:rsid w:val="007F75AA"/>
    <w:rsid w:val="007F7831"/>
    <w:rsid w:val="00800373"/>
    <w:rsid w:val="0080205D"/>
    <w:rsid w:val="00802344"/>
    <w:rsid w:val="008023BC"/>
    <w:rsid w:val="00802438"/>
    <w:rsid w:val="00803C52"/>
    <w:rsid w:val="0080613B"/>
    <w:rsid w:val="00807803"/>
    <w:rsid w:val="00807F71"/>
    <w:rsid w:val="008103F0"/>
    <w:rsid w:val="008149E1"/>
    <w:rsid w:val="00814DA4"/>
    <w:rsid w:val="00814E1A"/>
    <w:rsid w:val="00814FD8"/>
    <w:rsid w:val="008164C9"/>
    <w:rsid w:val="00816F17"/>
    <w:rsid w:val="00816FB6"/>
    <w:rsid w:val="00817C97"/>
    <w:rsid w:val="008209DD"/>
    <w:rsid w:val="00820A38"/>
    <w:rsid w:val="00820A4C"/>
    <w:rsid w:val="00820D0F"/>
    <w:rsid w:val="00821010"/>
    <w:rsid w:val="008217DF"/>
    <w:rsid w:val="00821C47"/>
    <w:rsid w:val="0082216F"/>
    <w:rsid w:val="00823217"/>
    <w:rsid w:val="0082351E"/>
    <w:rsid w:val="00826EAD"/>
    <w:rsid w:val="00826FB2"/>
    <w:rsid w:val="008301F9"/>
    <w:rsid w:val="008303B8"/>
    <w:rsid w:val="008317B5"/>
    <w:rsid w:val="00832751"/>
    <w:rsid w:val="008335FF"/>
    <w:rsid w:val="00837587"/>
    <w:rsid w:val="00842D6E"/>
    <w:rsid w:val="008432FE"/>
    <w:rsid w:val="0084380C"/>
    <w:rsid w:val="0084385D"/>
    <w:rsid w:val="00843D1B"/>
    <w:rsid w:val="00843EDD"/>
    <w:rsid w:val="00843FEC"/>
    <w:rsid w:val="00844352"/>
    <w:rsid w:val="0084566A"/>
    <w:rsid w:val="008518CE"/>
    <w:rsid w:val="008519B8"/>
    <w:rsid w:val="0085533B"/>
    <w:rsid w:val="00855914"/>
    <w:rsid w:val="008559DF"/>
    <w:rsid w:val="0085774E"/>
    <w:rsid w:val="0086143F"/>
    <w:rsid w:val="00861646"/>
    <w:rsid w:val="00861BFE"/>
    <w:rsid w:val="00861E8D"/>
    <w:rsid w:val="0086403D"/>
    <w:rsid w:val="00864883"/>
    <w:rsid w:val="00865302"/>
    <w:rsid w:val="00866165"/>
    <w:rsid w:val="00866985"/>
    <w:rsid w:val="0086721F"/>
    <w:rsid w:val="008706D6"/>
    <w:rsid w:val="00871657"/>
    <w:rsid w:val="00872F9C"/>
    <w:rsid w:val="00873217"/>
    <w:rsid w:val="008737C6"/>
    <w:rsid w:val="0087493C"/>
    <w:rsid w:val="00875A67"/>
    <w:rsid w:val="00877A27"/>
    <w:rsid w:val="00881392"/>
    <w:rsid w:val="00882680"/>
    <w:rsid w:val="00883D9B"/>
    <w:rsid w:val="008840A1"/>
    <w:rsid w:val="008857DD"/>
    <w:rsid w:val="00886B4C"/>
    <w:rsid w:val="008877B6"/>
    <w:rsid w:val="00887810"/>
    <w:rsid w:val="00891BCE"/>
    <w:rsid w:val="00892CF7"/>
    <w:rsid w:val="008950BF"/>
    <w:rsid w:val="008954F5"/>
    <w:rsid w:val="00896D57"/>
    <w:rsid w:val="008A095E"/>
    <w:rsid w:val="008A5422"/>
    <w:rsid w:val="008A604C"/>
    <w:rsid w:val="008A60F1"/>
    <w:rsid w:val="008A612A"/>
    <w:rsid w:val="008A6829"/>
    <w:rsid w:val="008B0608"/>
    <w:rsid w:val="008B176F"/>
    <w:rsid w:val="008B7298"/>
    <w:rsid w:val="008B7DC2"/>
    <w:rsid w:val="008C0752"/>
    <w:rsid w:val="008C2821"/>
    <w:rsid w:val="008C306C"/>
    <w:rsid w:val="008C3EC2"/>
    <w:rsid w:val="008C47F1"/>
    <w:rsid w:val="008C4AAA"/>
    <w:rsid w:val="008C5481"/>
    <w:rsid w:val="008C57A3"/>
    <w:rsid w:val="008C6769"/>
    <w:rsid w:val="008C73A1"/>
    <w:rsid w:val="008D00AF"/>
    <w:rsid w:val="008D33F0"/>
    <w:rsid w:val="008D3CC6"/>
    <w:rsid w:val="008D3D0C"/>
    <w:rsid w:val="008D59C8"/>
    <w:rsid w:val="008D68A3"/>
    <w:rsid w:val="008D6C0C"/>
    <w:rsid w:val="008D725A"/>
    <w:rsid w:val="008D7444"/>
    <w:rsid w:val="008D75FD"/>
    <w:rsid w:val="008D7C45"/>
    <w:rsid w:val="008E018C"/>
    <w:rsid w:val="008E07DB"/>
    <w:rsid w:val="008E1224"/>
    <w:rsid w:val="008E2ECD"/>
    <w:rsid w:val="008E327E"/>
    <w:rsid w:val="008E3FC5"/>
    <w:rsid w:val="008E6DDF"/>
    <w:rsid w:val="008E7AFE"/>
    <w:rsid w:val="008E7DCA"/>
    <w:rsid w:val="008F0177"/>
    <w:rsid w:val="008F0522"/>
    <w:rsid w:val="008F2727"/>
    <w:rsid w:val="008F3150"/>
    <w:rsid w:val="008F42B7"/>
    <w:rsid w:val="008F589C"/>
    <w:rsid w:val="008F73B7"/>
    <w:rsid w:val="00901BEA"/>
    <w:rsid w:val="009020EE"/>
    <w:rsid w:val="00902F0D"/>
    <w:rsid w:val="0090312C"/>
    <w:rsid w:val="0090553B"/>
    <w:rsid w:val="00906131"/>
    <w:rsid w:val="00907AAA"/>
    <w:rsid w:val="00910EC9"/>
    <w:rsid w:val="00913678"/>
    <w:rsid w:val="00915552"/>
    <w:rsid w:val="009159E3"/>
    <w:rsid w:val="009165F1"/>
    <w:rsid w:val="009169C4"/>
    <w:rsid w:val="00920B8E"/>
    <w:rsid w:val="0092329A"/>
    <w:rsid w:val="00924158"/>
    <w:rsid w:val="0092442C"/>
    <w:rsid w:val="009253B5"/>
    <w:rsid w:val="00925752"/>
    <w:rsid w:val="00927BED"/>
    <w:rsid w:val="00930BB1"/>
    <w:rsid w:val="00930BD3"/>
    <w:rsid w:val="00931831"/>
    <w:rsid w:val="0093377D"/>
    <w:rsid w:val="00934652"/>
    <w:rsid w:val="00935702"/>
    <w:rsid w:val="0093792E"/>
    <w:rsid w:val="009400B0"/>
    <w:rsid w:val="00940F22"/>
    <w:rsid w:val="00942621"/>
    <w:rsid w:val="00944560"/>
    <w:rsid w:val="00944B83"/>
    <w:rsid w:val="009459BB"/>
    <w:rsid w:val="009465E2"/>
    <w:rsid w:val="00947BB9"/>
    <w:rsid w:val="00952D7C"/>
    <w:rsid w:val="009539EB"/>
    <w:rsid w:val="009549C5"/>
    <w:rsid w:val="00954E8D"/>
    <w:rsid w:val="0095678A"/>
    <w:rsid w:val="00956CE3"/>
    <w:rsid w:val="009622F5"/>
    <w:rsid w:val="00962673"/>
    <w:rsid w:val="00962C23"/>
    <w:rsid w:val="00965A34"/>
    <w:rsid w:val="009660A0"/>
    <w:rsid w:val="0096626F"/>
    <w:rsid w:val="009674B0"/>
    <w:rsid w:val="0097062B"/>
    <w:rsid w:val="00970BC7"/>
    <w:rsid w:val="00972867"/>
    <w:rsid w:val="009765EA"/>
    <w:rsid w:val="00976688"/>
    <w:rsid w:val="0098131D"/>
    <w:rsid w:val="00982500"/>
    <w:rsid w:val="00982694"/>
    <w:rsid w:val="00982FE5"/>
    <w:rsid w:val="009842BE"/>
    <w:rsid w:val="00984764"/>
    <w:rsid w:val="009856CA"/>
    <w:rsid w:val="0098601E"/>
    <w:rsid w:val="00990A98"/>
    <w:rsid w:val="00991B23"/>
    <w:rsid w:val="009923C6"/>
    <w:rsid w:val="00993F13"/>
    <w:rsid w:val="00994C95"/>
    <w:rsid w:val="00995462"/>
    <w:rsid w:val="00995712"/>
    <w:rsid w:val="00996C20"/>
    <w:rsid w:val="009A10C0"/>
    <w:rsid w:val="009A165A"/>
    <w:rsid w:val="009A2120"/>
    <w:rsid w:val="009A2BE3"/>
    <w:rsid w:val="009A3419"/>
    <w:rsid w:val="009A3B3F"/>
    <w:rsid w:val="009A5D12"/>
    <w:rsid w:val="009A6655"/>
    <w:rsid w:val="009A68A9"/>
    <w:rsid w:val="009A6FD0"/>
    <w:rsid w:val="009B14F1"/>
    <w:rsid w:val="009B215C"/>
    <w:rsid w:val="009B24CD"/>
    <w:rsid w:val="009B27E5"/>
    <w:rsid w:val="009B4B86"/>
    <w:rsid w:val="009B4C16"/>
    <w:rsid w:val="009B60FA"/>
    <w:rsid w:val="009B7440"/>
    <w:rsid w:val="009C0160"/>
    <w:rsid w:val="009C1F26"/>
    <w:rsid w:val="009C408A"/>
    <w:rsid w:val="009C61B3"/>
    <w:rsid w:val="009C64F3"/>
    <w:rsid w:val="009D0540"/>
    <w:rsid w:val="009D2AD8"/>
    <w:rsid w:val="009D2E0B"/>
    <w:rsid w:val="009D44D4"/>
    <w:rsid w:val="009D4D48"/>
    <w:rsid w:val="009D7BA8"/>
    <w:rsid w:val="009E2D6A"/>
    <w:rsid w:val="009E3145"/>
    <w:rsid w:val="009E38E7"/>
    <w:rsid w:val="009E3D1C"/>
    <w:rsid w:val="009E53B3"/>
    <w:rsid w:val="009E5566"/>
    <w:rsid w:val="009E5E88"/>
    <w:rsid w:val="009E62E3"/>
    <w:rsid w:val="009E6722"/>
    <w:rsid w:val="009E6EA7"/>
    <w:rsid w:val="009E7D05"/>
    <w:rsid w:val="009F00DE"/>
    <w:rsid w:val="009F0AC0"/>
    <w:rsid w:val="009F0EEE"/>
    <w:rsid w:val="009F301C"/>
    <w:rsid w:val="009F3C76"/>
    <w:rsid w:val="009F4C73"/>
    <w:rsid w:val="009F4D88"/>
    <w:rsid w:val="009F5247"/>
    <w:rsid w:val="009F5668"/>
    <w:rsid w:val="009F5887"/>
    <w:rsid w:val="009F6522"/>
    <w:rsid w:val="009F757D"/>
    <w:rsid w:val="00A018E3"/>
    <w:rsid w:val="00A019F5"/>
    <w:rsid w:val="00A02053"/>
    <w:rsid w:val="00A032A3"/>
    <w:rsid w:val="00A04621"/>
    <w:rsid w:val="00A10053"/>
    <w:rsid w:val="00A109E4"/>
    <w:rsid w:val="00A11036"/>
    <w:rsid w:val="00A11360"/>
    <w:rsid w:val="00A11ADF"/>
    <w:rsid w:val="00A1255C"/>
    <w:rsid w:val="00A12594"/>
    <w:rsid w:val="00A12D34"/>
    <w:rsid w:val="00A13C9A"/>
    <w:rsid w:val="00A14476"/>
    <w:rsid w:val="00A179D0"/>
    <w:rsid w:val="00A210AA"/>
    <w:rsid w:val="00A21167"/>
    <w:rsid w:val="00A21873"/>
    <w:rsid w:val="00A231C1"/>
    <w:rsid w:val="00A24B01"/>
    <w:rsid w:val="00A2563B"/>
    <w:rsid w:val="00A26103"/>
    <w:rsid w:val="00A27A0C"/>
    <w:rsid w:val="00A300B3"/>
    <w:rsid w:val="00A3296F"/>
    <w:rsid w:val="00A33463"/>
    <w:rsid w:val="00A33D65"/>
    <w:rsid w:val="00A36B4D"/>
    <w:rsid w:val="00A36C9D"/>
    <w:rsid w:val="00A41AB1"/>
    <w:rsid w:val="00A4413D"/>
    <w:rsid w:val="00A44606"/>
    <w:rsid w:val="00A45B58"/>
    <w:rsid w:val="00A469AF"/>
    <w:rsid w:val="00A469F7"/>
    <w:rsid w:val="00A474A9"/>
    <w:rsid w:val="00A5168B"/>
    <w:rsid w:val="00A5177E"/>
    <w:rsid w:val="00A5192F"/>
    <w:rsid w:val="00A533A3"/>
    <w:rsid w:val="00A533C9"/>
    <w:rsid w:val="00A543D7"/>
    <w:rsid w:val="00A566C3"/>
    <w:rsid w:val="00A57A74"/>
    <w:rsid w:val="00A60745"/>
    <w:rsid w:val="00A60AFE"/>
    <w:rsid w:val="00A62D1E"/>
    <w:rsid w:val="00A633E6"/>
    <w:rsid w:val="00A6615C"/>
    <w:rsid w:val="00A7050F"/>
    <w:rsid w:val="00A723D2"/>
    <w:rsid w:val="00A72D3F"/>
    <w:rsid w:val="00A72EA2"/>
    <w:rsid w:val="00A74EF8"/>
    <w:rsid w:val="00A75C0D"/>
    <w:rsid w:val="00A7641E"/>
    <w:rsid w:val="00A76B52"/>
    <w:rsid w:val="00A7745D"/>
    <w:rsid w:val="00A77E99"/>
    <w:rsid w:val="00A80147"/>
    <w:rsid w:val="00A814D0"/>
    <w:rsid w:val="00A81FB2"/>
    <w:rsid w:val="00A8252D"/>
    <w:rsid w:val="00A82852"/>
    <w:rsid w:val="00A834C6"/>
    <w:rsid w:val="00A849D4"/>
    <w:rsid w:val="00A860C8"/>
    <w:rsid w:val="00A86FD4"/>
    <w:rsid w:val="00A87222"/>
    <w:rsid w:val="00A8792C"/>
    <w:rsid w:val="00A87EE1"/>
    <w:rsid w:val="00A910A9"/>
    <w:rsid w:val="00A91796"/>
    <w:rsid w:val="00A9225A"/>
    <w:rsid w:val="00A923D1"/>
    <w:rsid w:val="00A92B04"/>
    <w:rsid w:val="00A92D18"/>
    <w:rsid w:val="00A94063"/>
    <w:rsid w:val="00A95C1A"/>
    <w:rsid w:val="00A96F52"/>
    <w:rsid w:val="00A974DA"/>
    <w:rsid w:val="00A97851"/>
    <w:rsid w:val="00A97B13"/>
    <w:rsid w:val="00AA2E3F"/>
    <w:rsid w:val="00AA3293"/>
    <w:rsid w:val="00AA41E7"/>
    <w:rsid w:val="00AA427D"/>
    <w:rsid w:val="00AA700C"/>
    <w:rsid w:val="00AA7C46"/>
    <w:rsid w:val="00AA7F14"/>
    <w:rsid w:val="00AB05B1"/>
    <w:rsid w:val="00AB1F9C"/>
    <w:rsid w:val="00AB46A9"/>
    <w:rsid w:val="00AB6B4A"/>
    <w:rsid w:val="00AC0E28"/>
    <w:rsid w:val="00AC1495"/>
    <w:rsid w:val="00AC192A"/>
    <w:rsid w:val="00AC4008"/>
    <w:rsid w:val="00AC6E1B"/>
    <w:rsid w:val="00AC70C3"/>
    <w:rsid w:val="00AC7180"/>
    <w:rsid w:val="00AC7F87"/>
    <w:rsid w:val="00AD264A"/>
    <w:rsid w:val="00AD3FA5"/>
    <w:rsid w:val="00AD4353"/>
    <w:rsid w:val="00AD58CC"/>
    <w:rsid w:val="00AD69A5"/>
    <w:rsid w:val="00AD7426"/>
    <w:rsid w:val="00AE4140"/>
    <w:rsid w:val="00AE4786"/>
    <w:rsid w:val="00AE5DE6"/>
    <w:rsid w:val="00AE5E58"/>
    <w:rsid w:val="00AE65FD"/>
    <w:rsid w:val="00AE6D90"/>
    <w:rsid w:val="00AF0DFA"/>
    <w:rsid w:val="00AF26C2"/>
    <w:rsid w:val="00AF2E29"/>
    <w:rsid w:val="00AF514A"/>
    <w:rsid w:val="00AF52E5"/>
    <w:rsid w:val="00AF6846"/>
    <w:rsid w:val="00AF72A3"/>
    <w:rsid w:val="00B00170"/>
    <w:rsid w:val="00B002C9"/>
    <w:rsid w:val="00B023BA"/>
    <w:rsid w:val="00B05227"/>
    <w:rsid w:val="00B07807"/>
    <w:rsid w:val="00B07EF0"/>
    <w:rsid w:val="00B104A5"/>
    <w:rsid w:val="00B114DF"/>
    <w:rsid w:val="00B128DB"/>
    <w:rsid w:val="00B13737"/>
    <w:rsid w:val="00B150E2"/>
    <w:rsid w:val="00B16A6E"/>
    <w:rsid w:val="00B20237"/>
    <w:rsid w:val="00B2144C"/>
    <w:rsid w:val="00B238DA"/>
    <w:rsid w:val="00B23A8F"/>
    <w:rsid w:val="00B23B1D"/>
    <w:rsid w:val="00B243D4"/>
    <w:rsid w:val="00B26062"/>
    <w:rsid w:val="00B26823"/>
    <w:rsid w:val="00B26EBB"/>
    <w:rsid w:val="00B27201"/>
    <w:rsid w:val="00B272E1"/>
    <w:rsid w:val="00B277A8"/>
    <w:rsid w:val="00B31E9B"/>
    <w:rsid w:val="00B32C5D"/>
    <w:rsid w:val="00B337BC"/>
    <w:rsid w:val="00B339C5"/>
    <w:rsid w:val="00B33AB4"/>
    <w:rsid w:val="00B3452D"/>
    <w:rsid w:val="00B349C1"/>
    <w:rsid w:val="00B3507D"/>
    <w:rsid w:val="00B3525B"/>
    <w:rsid w:val="00B359C1"/>
    <w:rsid w:val="00B36B31"/>
    <w:rsid w:val="00B377E7"/>
    <w:rsid w:val="00B41233"/>
    <w:rsid w:val="00B417E7"/>
    <w:rsid w:val="00B4229D"/>
    <w:rsid w:val="00B434DA"/>
    <w:rsid w:val="00B469C8"/>
    <w:rsid w:val="00B50C1E"/>
    <w:rsid w:val="00B52715"/>
    <w:rsid w:val="00B52D6B"/>
    <w:rsid w:val="00B5334F"/>
    <w:rsid w:val="00B555C0"/>
    <w:rsid w:val="00B5792A"/>
    <w:rsid w:val="00B57E8A"/>
    <w:rsid w:val="00B60674"/>
    <w:rsid w:val="00B61339"/>
    <w:rsid w:val="00B6141A"/>
    <w:rsid w:val="00B628C3"/>
    <w:rsid w:val="00B62EC1"/>
    <w:rsid w:val="00B63EC7"/>
    <w:rsid w:val="00B64A68"/>
    <w:rsid w:val="00B64CAE"/>
    <w:rsid w:val="00B651F2"/>
    <w:rsid w:val="00B70A91"/>
    <w:rsid w:val="00B71237"/>
    <w:rsid w:val="00B718FB"/>
    <w:rsid w:val="00B731B8"/>
    <w:rsid w:val="00B75919"/>
    <w:rsid w:val="00B75E67"/>
    <w:rsid w:val="00B76F8C"/>
    <w:rsid w:val="00B777CB"/>
    <w:rsid w:val="00B77FF1"/>
    <w:rsid w:val="00B8012F"/>
    <w:rsid w:val="00B80940"/>
    <w:rsid w:val="00B81550"/>
    <w:rsid w:val="00B81A33"/>
    <w:rsid w:val="00B81F46"/>
    <w:rsid w:val="00B8278E"/>
    <w:rsid w:val="00B843C9"/>
    <w:rsid w:val="00B852C8"/>
    <w:rsid w:val="00B85D46"/>
    <w:rsid w:val="00B86EFA"/>
    <w:rsid w:val="00B91302"/>
    <w:rsid w:val="00B91A3F"/>
    <w:rsid w:val="00B91ED2"/>
    <w:rsid w:val="00B935BB"/>
    <w:rsid w:val="00B9511F"/>
    <w:rsid w:val="00B96521"/>
    <w:rsid w:val="00B96F84"/>
    <w:rsid w:val="00B9724A"/>
    <w:rsid w:val="00B97CE7"/>
    <w:rsid w:val="00B97FD3"/>
    <w:rsid w:val="00BA0310"/>
    <w:rsid w:val="00BA0C77"/>
    <w:rsid w:val="00BA1009"/>
    <w:rsid w:val="00BA2490"/>
    <w:rsid w:val="00BA5702"/>
    <w:rsid w:val="00BA6BFF"/>
    <w:rsid w:val="00BA72C9"/>
    <w:rsid w:val="00BB1BF9"/>
    <w:rsid w:val="00BB21C4"/>
    <w:rsid w:val="00BB2EB3"/>
    <w:rsid w:val="00BB2FE6"/>
    <w:rsid w:val="00BB3C5E"/>
    <w:rsid w:val="00BB47BC"/>
    <w:rsid w:val="00BB54B6"/>
    <w:rsid w:val="00BB5871"/>
    <w:rsid w:val="00BB6C33"/>
    <w:rsid w:val="00BB750D"/>
    <w:rsid w:val="00BC1B14"/>
    <w:rsid w:val="00BC2546"/>
    <w:rsid w:val="00BC4896"/>
    <w:rsid w:val="00BC5046"/>
    <w:rsid w:val="00BC5B00"/>
    <w:rsid w:val="00BC62E8"/>
    <w:rsid w:val="00BC76D5"/>
    <w:rsid w:val="00BD3451"/>
    <w:rsid w:val="00BD48EB"/>
    <w:rsid w:val="00BD4E1B"/>
    <w:rsid w:val="00BD53F7"/>
    <w:rsid w:val="00BD6291"/>
    <w:rsid w:val="00BD77C2"/>
    <w:rsid w:val="00BD783E"/>
    <w:rsid w:val="00BE000F"/>
    <w:rsid w:val="00BE127D"/>
    <w:rsid w:val="00BE330F"/>
    <w:rsid w:val="00BE3510"/>
    <w:rsid w:val="00BE3692"/>
    <w:rsid w:val="00BE3D91"/>
    <w:rsid w:val="00BE540C"/>
    <w:rsid w:val="00BE6654"/>
    <w:rsid w:val="00BE6964"/>
    <w:rsid w:val="00BE7E66"/>
    <w:rsid w:val="00BF0DC7"/>
    <w:rsid w:val="00BF30F1"/>
    <w:rsid w:val="00BF4281"/>
    <w:rsid w:val="00BF4410"/>
    <w:rsid w:val="00C000EF"/>
    <w:rsid w:val="00C00CB0"/>
    <w:rsid w:val="00C01BA6"/>
    <w:rsid w:val="00C043FF"/>
    <w:rsid w:val="00C04CE4"/>
    <w:rsid w:val="00C05192"/>
    <w:rsid w:val="00C06EC2"/>
    <w:rsid w:val="00C10270"/>
    <w:rsid w:val="00C10F37"/>
    <w:rsid w:val="00C12C75"/>
    <w:rsid w:val="00C13F5A"/>
    <w:rsid w:val="00C14CA2"/>
    <w:rsid w:val="00C151E1"/>
    <w:rsid w:val="00C1765C"/>
    <w:rsid w:val="00C200D1"/>
    <w:rsid w:val="00C21C15"/>
    <w:rsid w:val="00C22AF3"/>
    <w:rsid w:val="00C24CE0"/>
    <w:rsid w:val="00C25020"/>
    <w:rsid w:val="00C259BC"/>
    <w:rsid w:val="00C30030"/>
    <w:rsid w:val="00C327E5"/>
    <w:rsid w:val="00C32F2F"/>
    <w:rsid w:val="00C343F4"/>
    <w:rsid w:val="00C3460B"/>
    <w:rsid w:val="00C353E4"/>
    <w:rsid w:val="00C365C3"/>
    <w:rsid w:val="00C40160"/>
    <w:rsid w:val="00C402DC"/>
    <w:rsid w:val="00C42CE8"/>
    <w:rsid w:val="00C455E6"/>
    <w:rsid w:val="00C46A6F"/>
    <w:rsid w:val="00C5022C"/>
    <w:rsid w:val="00C50FC1"/>
    <w:rsid w:val="00C51C21"/>
    <w:rsid w:val="00C526A3"/>
    <w:rsid w:val="00C53649"/>
    <w:rsid w:val="00C5482B"/>
    <w:rsid w:val="00C566B7"/>
    <w:rsid w:val="00C568FF"/>
    <w:rsid w:val="00C600B8"/>
    <w:rsid w:val="00C60A41"/>
    <w:rsid w:val="00C6189F"/>
    <w:rsid w:val="00C63994"/>
    <w:rsid w:val="00C64529"/>
    <w:rsid w:val="00C65322"/>
    <w:rsid w:val="00C67EDF"/>
    <w:rsid w:val="00C710A1"/>
    <w:rsid w:val="00C714B1"/>
    <w:rsid w:val="00C72275"/>
    <w:rsid w:val="00C73CAA"/>
    <w:rsid w:val="00C73E5D"/>
    <w:rsid w:val="00C74C4A"/>
    <w:rsid w:val="00C75AB8"/>
    <w:rsid w:val="00C77AB9"/>
    <w:rsid w:val="00C81494"/>
    <w:rsid w:val="00C839CA"/>
    <w:rsid w:val="00C83CF7"/>
    <w:rsid w:val="00C85866"/>
    <w:rsid w:val="00C85BA7"/>
    <w:rsid w:val="00C86D44"/>
    <w:rsid w:val="00C931FE"/>
    <w:rsid w:val="00C93642"/>
    <w:rsid w:val="00C94C0C"/>
    <w:rsid w:val="00C97714"/>
    <w:rsid w:val="00CA0362"/>
    <w:rsid w:val="00CA17C6"/>
    <w:rsid w:val="00CA3180"/>
    <w:rsid w:val="00CA4003"/>
    <w:rsid w:val="00CA48B4"/>
    <w:rsid w:val="00CA51C4"/>
    <w:rsid w:val="00CA5282"/>
    <w:rsid w:val="00CB0481"/>
    <w:rsid w:val="00CB11C6"/>
    <w:rsid w:val="00CB1352"/>
    <w:rsid w:val="00CB173C"/>
    <w:rsid w:val="00CB18A4"/>
    <w:rsid w:val="00CB1C82"/>
    <w:rsid w:val="00CB2EC1"/>
    <w:rsid w:val="00CB3CD6"/>
    <w:rsid w:val="00CB4B4B"/>
    <w:rsid w:val="00CB5292"/>
    <w:rsid w:val="00CB58D2"/>
    <w:rsid w:val="00CB6491"/>
    <w:rsid w:val="00CB671F"/>
    <w:rsid w:val="00CB70D1"/>
    <w:rsid w:val="00CC05D9"/>
    <w:rsid w:val="00CC2097"/>
    <w:rsid w:val="00CC2B29"/>
    <w:rsid w:val="00CC3A33"/>
    <w:rsid w:val="00CC71E3"/>
    <w:rsid w:val="00CC7A84"/>
    <w:rsid w:val="00CD1504"/>
    <w:rsid w:val="00CD2625"/>
    <w:rsid w:val="00CD2F3F"/>
    <w:rsid w:val="00CD373A"/>
    <w:rsid w:val="00CD69C9"/>
    <w:rsid w:val="00CD6CAA"/>
    <w:rsid w:val="00CE0170"/>
    <w:rsid w:val="00CE02DB"/>
    <w:rsid w:val="00CE06C1"/>
    <w:rsid w:val="00CE071F"/>
    <w:rsid w:val="00CE1F42"/>
    <w:rsid w:val="00CE3273"/>
    <w:rsid w:val="00CE3E38"/>
    <w:rsid w:val="00CE4A1F"/>
    <w:rsid w:val="00CE4B5B"/>
    <w:rsid w:val="00CE7EF1"/>
    <w:rsid w:val="00CF054A"/>
    <w:rsid w:val="00CF0CBC"/>
    <w:rsid w:val="00CF0FFC"/>
    <w:rsid w:val="00CF2090"/>
    <w:rsid w:val="00CF242F"/>
    <w:rsid w:val="00CF2DFA"/>
    <w:rsid w:val="00CF3AE7"/>
    <w:rsid w:val="00CF42C5"/>
    <w:rsid w:val="00CF4731"/>
    <w:rsid w:val="00CF63AF"/>
    <w:rsid w:val="00D04A61"/>
    <w:rsid w:val="00D06919"/>
    <w:rsid w:val="00D06FA9"/>
    <w:rsid w:val="00D1071A"/>
    <w:rsid w:val="00D10AA3"/>
    <w:rsid w:val="00D10B0A"/>
    <w:rsid w:val="00D10E0A"/>
    <w:rsid w:val="00D1102C"/>
    <w:rsid w:val="00D13959"/>
    <w:rsid w:val="00D153A6"/>
    <w:rsid w:val="00D153E9"/>
    <w:rsid w:val="00D15FCD"/>
    <w:rsid w:val="00D161CD"/>
    <w:rsid w:val="00D16B98"/>
    <w:rsid w:val="00D16E7E"/>
    <w:rsid w:val="00D206C2"/>
    <w:rsid w:val="00D21594"/>
    <w:rsid w:val="00D224B5"/>
    <w:rsid w:val="00D22520"/>
    <w:rsid w:val="00D2308F"/>
    <w:rsid w:val="00D23C44"/>
    <w:rsid w:val="00D23E24"/>
    <w:rsid w:val="00D23FA0"/>
    <w:rsid w:val="00D2421F"/>
    <w:rsid w:val="00D2457C"/>
    <w:rsid w:val="00D245E2"/>
    <w:rsid w:val="00D24C74"/>
    <w:rsid w:val="00D250A9"/>
    <w:rsid w:val="00D25CAA"/>
    <w:rsid w:val="00D269CF"/>
    <w:rsid w:val="00D26B51"/>
    <w:rsid w:val="00D2704A"/>
    <w:rsid w:val="00D31A81"/>
    <w:rsid w:val="00D342DF"/>
    <w:rsid w:val="00D34E32"/>
    <w:rsid w:val="00D35368"/>
    <w:rsid w:val="00D3781A"/>
    <w:rsid w:val="00D37F41"/>
    <w:rsid w:val="00D40482"/>
    <w:rsid w:val="00D41A9F"/>
    <w:rsid w:val="00D439C2"/>
    <w:rsid w:val="00D45828"/>
    <w:rsid w:val="00D458F6"/>
    <w:rsid w:val="00D46521"/>
    <w:rsid w:val="00D50B2B"/>
    <w:rsid w:val="00D51C0A"/>
    <w:rsid w:val="00D5262D"/>
    <w:rsid w:val="00D53357"/>
    <w:rsid w:val="00D53C27"/>
    <w:rsid w:val="00D54406"/>
    <w:rsid w:val="00D54BC3"/>
    <w:rsid w:val="00D565E9"/>
    <w:rsid w:val="00D56A17"/>
    <w:rsid w:val="00D56B7D"/>
    <w:rsid w:val="00D56B9A"/>
    <w:rsid w:val="00D56E37"/>
    <w:rsid w:val="00D5779B"/>
    <w:rsid w:val="00D578BE"/>
    <w:rsid w:val="00D60B90"/>
    <w:rsid w:val="00D60C7C"/>
    <w:rsid w:val="00D62E26"/>
    <w:rsid w:val="00D65272"/>
    <w:rsid w:val="00D654BD"/>
    <w:rsid w:val="00D65F66"/>
    <w:rsid w:val="00D65FE7"/>
    <w:rsid w:val="00D74395"/>
    <w:rsid w:val="00D744F5"/>
    <w:rsid w:val="00D75BF1"/>
    <w:rsid w:val="00D7619E"/>
    <w:rsid w:val="00D7796B"/>
    <w:rsid w:val="00D80A46"/>
    <w:rsid w:val="00D80D72"/>
    <w:rsid w:val="00D8146A"/>
    <w:rsid w:val="00D8273F"/>
    <w:rsid w:val="00D8438A"/>
    <w:rsid w:val="00D854D5"/>
    <w:rsid w:val="00D872B7"/>
    <w:rsid w:val="00D9157E"/>
    <w:rsid w:val="00D937EB"/>
    <w:rsid w:val="00D94F9C"/>
    <w:rsid w:val="00D9590C"/>
    <w:rsid w:val="00D9672D"/>
    <w:rsid w:val="00D97181"/>
    <w:rsid w:val="00D977E5"/>
    <w:rsid w:val="00DA6241"/>
    <w:rsid w:val="00DA6DED"/>
    <w:rsid w:val="00DA715A"/>
    <w:rsid w:val="00DB0631"/>
    <w:rsid w:val="00DB1C9F"/>
    <w:rsid w:val="00DB2799"/>
    <w:rsid w:val="00DB335D"/>
    <w:rsid w:val="00DB3621"/>
    <w:rsid w:val="00DB48E1"/>
    <w:rsid w:val="00DB4F86"/>
    <w:rsid w:val="00DB5DB7"/>
    <w:rsid w:val="00DB65F1"/>
    <w:rsid w:val="00DB701B"/>
    <w:rsid w:val="00DC0AF2"/>
    <w:rsid w:val="00DC20A9"/>
    <w:rsid w:val="00DC4FAC"/>
    <w:rsid w:val="00DC5E8C"/>
    <w:rsid w:val="00DC6475"/>
    <w:rsid w:val="00DC7E30"/>
    <w:rsid w:val="00DC7F9F"/>
    <w:rsid w:val="00DD02BB"/>
    <w:rsid w:val="00DD0EDE"/>
    <w:rsid w:val="00DD105D"/>
    <w:rsid w:val="00DD1088"/>
    <w:rsid w:val="00DD1CD6"/>
    <w:rsid w:val="00DD2568"/>
    <w:rsid w:val="00DD43A2"/>
    <w:rsid w:val="00DD4819"/>
    <w:rsid w:val="00DD6A87"/>
    <w:rsid w:val="00DD7296"/>
    <w:rsid w:val="00DE01DA"/>
    <w:rsid w:val="00DE17B3"/>
    <w:rsid w:val="00DE18A2"/>
    <w:rsid w:val="00DE2171"/>
    <w:rsid w:val="00DE2A42"/>
    <w:rsid w:val="00DE2C77"/>
    <w:rsid w:val="00DE4592"/>
    <w:rsid w:val="00DE5513"/>
    <w:rsid w:val="00DE752F"/>
    <w:rsid w:val="00DE7BF7"/>
    <w:rsid w:val="00DF074D"/>
    <w:rsid w:val="00DF16EA"/>
    <w:rsid w:val="00DF17AE"/>
    <w:rsid w:val="00DF244F"/>
    <w:rsid w:val="00DF2C24"/>
    <w:rsid w:val="00E00784"/>
    <w:rsid w:val="00E02EAD"/>
    <w:rsid w:val="00E039AA"/>
    <w:rsid w:val="00E03A08"/>
    <w:rsid w:val="00E040DF"/>
    <w:rsid w:val="00E050AE"/>
    <w:rsid w:val="00E0539B"/>
    <w:rsid w:val="00E059DA"/>
    <w:rsid w:val="00E1021F"/>
    <w:rsid w:val="00E10527"/>
    <w:rsid w:val="00E10685"/>
    <w:rsid w:val="00E11C6C"/>
    <w:rsid w:val="00E11C98"/>
    <w:rsid w:val="00E11DAA"/>
    <w:rsid w:val="00E1213D"/>
    <w:rsid w:val="00E1224A"/>
    <w:rsid w:val="00E13EF7"/>
    <w:rsid w:val="00E145D4"/>
    <w:rsid w:val="00E16E75"/>
    <w:rsid w:val="00E23471"/>
    <w:rsid w:val="00E23DBC"/>
    <w:rsid w:val="00E249FD"/>
    <w:rsid w:val="00E24A20"/>
    <w:rsid w:val="00E268EE"/>
    <w:rsid w:val="00E27D67"/>
    <w:rsid w:val="00E27F32"/>
    <w:rsid w:val="00E27FC3"/>
    <w:rsid w:val="00E317A9"/>
    <w:rsid w:val="00E31EBC"/>
    <w:rsid w:val="00E326D8"/>
    <w:rsid w:val="00E32962"/>
    <w:rsid w:val="00E33A04"/>
    <w:rsid w:val="00E34185"/>
    <w:rsid w:val="00E3472B"/>
    <w:rsid w:val="00E36F4C"/>
    <w:rsid w:val="00E37970"/>
    <w:rsid w:val="00E37FB9"/>
    <w:rsid w:val="00E41D47"/>
    <w:rsid w:val="00E429D8"/>
    <w:rsid w:val="00E45753"/>
    <w:rsid w:val="00E45E6C"/>
    <w:rsid w:val="00E46718"/>
    <w:rsid w:val="00E472B2"/>
    <w:rsid w:val="00E474E3"/>
    <w:rsid w:val="00E508F5"/>
    <w:rsid w:val="00E51C5F"/>
    <w:rsid w:val="00E5249E"/>
    <w:rsid w:val="00E5264C"/>
    <w:rsid w:val="00E54043"/>
    <w:rsid w:val="00E5731D"/>
    <w:rsid w:val="00E57815"/>
    <w:rsid w:val="00E57A29"/>
    <w:rsid w:val="00E611FA"/>
    <w:rsid w:val="00E61FB1"/>
    <w:rsid w:val="00E63247"/>
    <w:rsid w:val="00E67276"/>
    <w:rsid w:val="00E7000F"/>
    <w:rsid w:val="00E71218"/>
    <w:rsid w:val="00E71E55"/>
    <w:rsid w:val="00E723D1"/>
    <w:rsid w:val="00E73D61"/>
    <w:rsid w:val="00E74127"/>
    <w:rsid w:val="00E76050"/>
    <w:rsid w:val="00E82BA2"/>
    <w:rsid w:val="00E84935"/>
    <w:rsid w:val="00E85C45"/>
    <w:rsid w:val="00E85F26"/>
    <w:rsid w:val="00E902E1"/>
    <w:rsid w:val="00E95CA3"/>
    <w:rsid w:val="00E9732F"/>
    <w:rsid w:val="00EA13A8"/>
    <w:rsid w:val="00EA2B49"/>
    <w:rsid w:val="00EA3082"/>
    <w:rsid w:val="00EA3126"/>
    <w:rsid w:val="00EA39B5"/>
    <w:rsid w:val="00EA3A88"/>
    <w:rsid w:val="00EA47E0"/>
    <w:rsid w:val="00EA5469"/>
    <w:rsid w:val="00EA5D96"/>
    <w:rsid w:val="00EA5E62"/>
    <w:rsid w:val="00EA5EDE"/>
    <w:rsid w:val="00EA6312"/>
    <w:rsid w:val="00EA631D"/>
    <w:rsid w:val="00EA6C6D"/>
    <w:rsid w:val="00EB03BF"/>
    <w:rsid w:val="00EB04B0"/>
    <w:rsid w:val="00EB0E1F"/>
    <w:rsid w:val="00EB2EA9"/>
    <w:rsid w:val="00EB3A4B"/>
    <w:rsid w:val="00EB4CEA"/>
    <w:rsid w:val="00EB4DC5"/>
    <w:rsid w:val="00EB530C"/>
    <w:rsid w:val="00EB73B1"/>
    <w:rsid w:val="00EB7E57"/>
    <w:rsid w:val="00EC0AE1"/>
    <w:rsid w:val="00EC1F6C"/>
    <w:rsid w:val="00EC26E7"/>
    <w:rsid w:val="00EC33AD"/>
    <w:rsid w:val="00EC42EF"/>
    <w:rsid w:val="00EC53B3"/>
    <w:rsid w:val="00EC60BB"/>
    <w:rsid w:val="00EC6DF6"/>
    <w:rsid w:val="00EC6E8E"/>
    <w:rsid w:val="00EC7606"/>
    <w:rsid w:val="00ED3470"/>
    <w:rsid w:val="00ED3C69"/>
    <w:rsid w:val="00ED48DD"/>
    <w:rsid w:val="00ED67AB"/>
    <w:rsid w:val="00ED7647"/>
    <w:rsid w:val="00EE0D55"/>
    <w:rsid w:val="00EE0F2E"/>
    <w:rsid w:val="00EE115A"/>
    <w:rsid w:val="00EE2503"/>
    <w:rsid w:val="00EE305C"/>
    <w:rsid w:val="00EE471A"/>
    <w:rsid w:val="00EE5823"/>
    <w:rsid w:val="00EE5D53"/>
    <w:rsid w:val="00EE5F33"/>
    <w:rsid w:val="00EF0187"/>
    <w:rsid w:val="00EF1F63"/>
    <w:rsid w:val="00EF282D"/>
    <w:rsid w:val="00EF3815"/>
    <w:rsid w:val="00EF3B18"/>
    <w:rsid w:val="00EF3FC3"/>
    <w:rsid w:val="00EF4390"/>
    <w:rsid w:val="00EF4919"/>
    <w:rsid w:val="00EF569C"/>
    <w:rsid w:val="00EF5D82"/>
    <w:rsid w:val="00EF7150"/>
    <w:rsid w:val="00EF7876"/>
    <w:rsid w:val="00F003E2"/>
    <w:rsid w:val="00F00799"/>
    <w:rsid w:val="00F01AA2"/>
    <w:rsid w:val="00F02EA4"/>
    <w:rsid w:val="00F030A5"/>
    <w:rsid w:val="00F03477"/>
    <w:rsid w:val="00F053D7"/>
    <w:rsid w:val="00F054CD"/>
    <w:rsid w:val="00F06457"/>
    <w:rsid w:val="00F0679B"/>
    <w:rsid w:val="00F07580"/>
    <w:rsid w:val="00F112C6"/>
    <w:rsid w:val="00F12AB7"/>
    <w:rsid w:val="00F131CD"/>
    <w:rsid w:val="00F1375D"/>
    <w:rsid w:val="00F13AB0"/>
    <w:rsid w:val="00F14C87"/>
    <w:rsid w:val="00F150BD"/>
    <w:rsid w:val="00F16AB7"/>
    <w:rsid w:val="00F171A9"/>
    <w:rsid w:val="00F178EE"/>
    <w:rsid w:val="00F20183"/>
    <w:rsid w:val="00F227F3"/>
    <w:rsid w:val="00F2621E"/>
    <w:rsid w:val="00F26432"/>
    <w:rsid w:val="00F27EE0"/>
    <w:rsid w:val="00F30942"/>
    <w:rsid w:val="00F317E2"/>
    <w:rsid w:val="00F32231"/>
    <w:rsid w:val="00F32B04"/>
    <w:rsid w:val="00F339F2"/>
    <w:rsid w:val="00F4009C"/>
    <w:rsid w:val="00F429F2"/>
    <w:rsid w:val="00F42BBF"/>
    <w:rsid w:val="00F42D6A"/>
    <w:rsid w:val="00F439FF"/>
    <w:rsid w:val="00F465EC"/>
    <w:rsid w:val="00F47E59"/>
    <w:rsid w:val="00F51536"/>
    <w:rsid w:val="00F5209C"/>
    <w:rsid w:val="00F5378F"/>
    <w:rsid w:val="00F53B1E"/>
    <w:rsid w:val="00F55292"/>
    <w:rsid w:val="00F56290"/>
    <w:rsid w:val="00F57691"/>
    <w:rsid w:val="00F57FC8"/>
    <w:rsid w:val="00F60988"/>
    <w:rsid w:val="00F63D9B"/>
    <w:rsid w:val="00F64CDA"/>
    <w:rsid w:val="00F652BC"/>
    <w:rsid w:val="00F660CF"/>
    <w:rsid w:val="00F66BE1"/>
    <w:rsid w:val="00F72ACB"/>
    <w:rsid w:val="00F72CC9"/>
    <w:rsid w:val="00F72DCB"/>
    <w:rsid w:val="00F753B3"/>
    <w:rsid w:val="00F774A7"/>
    <w:rsid w:val="00F77784"/>
    <w:rsid w:val="00F80D89"/>
    <w:rsid w:val="00F81218"/>
    <w:rsid w:val="00F81224"/>
    <w:rsid w:val="00F81756"/>
    <w:rsid w:val="00F822BF"/>
    <w:rsid w:val="00F8272C"/>
    <w:rsid w:val="00F82AA3"/>
    <w:rsid w:val="00F82ED3"/>
    <w:rsid w:val="00F83578"/>
    <w:rsid w:val="00F84B7F"/>
    <w:rsid w:val="00F85BF0"/>
    <w:rsid w:val="00F87A3F"/>
    <w:rsid w:val="00F87D71"/>
    <w:rsid w:val="00F90F1C"/>
    <w:rsid w:val="00F919FC"/>
    <w:rsid w:val="00F91DAF"/>
    <w:rsid w:val="00F92200"/>
    <w:rsid w:val="00F93ACF"/>
    <w:rsid w:val="00F94568"/>
    <w:rsid w:val="00F94F4C"/>
    <w:rsid w:val="00F95E29"/>
    <w:rsid w:val="00F96A72"/>
    <w:rsid w:val="00F96B8F"/>
    <w:rsid w:val="00F96F1B"/>
    <w:rsid w:val="00FA0768"/>
    <w:rsid w:val="00FA17C9"/>
    <w:rsid w:val="00FA2913"/>
    <w:rsid w:val="00FA5F74"/>
    <w:rsid w:val="00FA6BBB"/>
    <w:rsid w:val="00FA7C14"/>
    <w:rsid w:val="00FA7E6A"/>
    <w:rsid w:val="00FB0BB6"/>
    <w:rsid w:val="00FB1CCC"/>
    <w:rsid w:val="00FB2825"/>
    <w:rsid w:val="00FB4795"/>
    <w:rsid w:val="00FB56C5"/>
    <w:rsid w:val="00FB79A9"/>
    <w:rsid w:val="00FC0AF7"/>
    <w:rsid w:val="00FC32ED"/>
    <w:rsid w:val="00FC4DE5"/>
    <w:rsid w:val="00FC51DC"/>
    <w:rsid w:val="00FC728F"/>
    <w:rsid w:val="00FC72AC"/>
    <w:rsid w:val="00FD044E"/>
    <w:rsid w:val="00FD2135"/>
    <w:rsid w:val="00FD31AC"/>
    <w:rsid w:val="00FD58D4"/>
    <w:rsid w:val="00FD59D8"/>
    <w:rsid w:val="00FD7EC8"/>
    <w:rsid w:val="00FE01FE"/>
    <w:rsid w:val="00FE03F2"/>
    <w:rsid w:val="00FE1B73"/>
    <w:rsid w:val="00FE2AFF"/>
    <w:rsid w:val="00FE3A23"/>
    <w:rsid w:val="00FE45E6"/>
    <w:rsid w:val="00FE4A60"/>
    <w:rsid w:val="00FE4CC5"/>
    <w:rsid w:val="00FE63CD"/>
    <w:rsid w:val="00FE76FA"/>
    <w:rsid w:val="00FF0F08"/>
    <w:rsid w:val="00FF323D"/>
    <w:rsid w:val="00FF32EA"/>
    <w:rsid w:val="00FF34C8"/>
    <w:rsid w:val="00FF637C"/>
    <w:rsid w:val="00FF6CC7"/>
    <w:rsid w:val="00FF7F84"/>
    <w:rsid w:val="01DD1184"/>
    <w:rsid w:val="02406E65"/>
    <w:rsid w:val="08CA6EB5"/>
    <w:rsid w:val="0B312BDD"/>
    <w:rsid w:val="0F9B0CCC"/>
    <w:rsid w:val="15B211E0"/>
    <w:rsid w:val="167D61C6"/>
    <w:rsid w:val="18A408E4"/>
    <w:rsid w:val="23016E3B"/>
    <w:rsid w:val="255A31DA"/>
    <w:rsid w:val="25862518"/>
    <w:rsid w:val="258D50C5"/>
    <w:rsid w:val="282226FC"/>
    <w:rsid w:val="2F601896"/>
    <w:rsid w:val="3636238C"/>
    <w:rsid w:val="375561C8"/>
    <w:rsid w:val="3B091EFF"/>
    <w:rsid w:val="40E37C31"/>
    <w:rsid w:val="42733236"/>
    <w:rsid w:val="42C43E09"/>
    <w:rsid w:val="4B3146BC"/>
    <w:rsid w:val="509710DA"/>
    <w:rsid w:val="5B0833E3"/>
    <w:rsid w:val="6FC679EA"/>
    <w:rsid w:val="708276CC"/>
    <w:rsid w:val="750875B4"/>
    <w:rsid w:val="75275EA8"/>
    <w:rsid w:val="75D22831"/>
    <w:rsid w:val="7B672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3CD5"/>
  <w15:docId w15:val="{579499CB-1FD7-4CBB-B5A5-A0F9C9FB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0" w:qFormat="1"/>
    <w:lsdException w:name="Normal Indent" w:uiPriority="0" w:qFormat="1"/>
    <w:lsdException w:name="footnote text" w:semiHidden="1" w:uiPriority="0" w:qFormat="1"/>
    <w:lsdException w:name="annotation text" w:uiPriority="0" w:unhideWhenUsed="1" w:qFormat="1"/>
    <w:lsdException w:name="header"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tabs>
        <w:tab w:val="left" w:pos="1021"/>
        <w:tab w:val="left" w:pos="1191"/>
        <w:tab w:val="left" w:pos="1588"/>
        <w:tab w:val="left" w:pos="1985"/>
      </w:tabs>
      <w:overflowPunct w:val="0"/>
      <w:autoSpaceDE w:val="0"/>
      <w:autoSpaceDN w:val="0"/>
      <w:adjustRightInd w:val="0"/>
      <w:spacing w:before="160" w:after="0" w:line="240" w:lineRule="auto"/>
      <w:ind w:left="1021" w:hanging="1021"/>
      <w:textAlignment w:val="baseline"/>
      <w:outlineLvl w:val="4"/>
    </w:pPr>
    <w:rPr>
      <w:rFonts w:ascii="Times New Roman" w:eastAsiaTheme="minorEastAsia" w:hAnsi="Times New Roman" w:cs="Times New Roman"/>
      <w:bCs w:val="0"/>
      <w:sz w:val="24"/>
      <w:szCs w:val="20"/>
      <w:lang w:eastAsia="en-US"/>
    </w:rPr>
  </w:style>
  <w:style w:type="paragraph" w:styleId="Heading6">
    <w:name w:val="heading 6"/>
    <w:basedOn w:val="Heading4"/>
    <w:next w:val="Normal"/>
    <w:link w:val="Heading6Char"/>
    <w:qFormat/>
    <w:pPr>
      <w:tabs>
        <w:tab w:val="left" w:pos="1588"/>
        <w:tab w:val="left" w:pos="1985"/>
      </w:tabs>
      <w:overflowPunct w:val="0"/>
      <w:autoSpaceDE w:val="0"/>
      <w:autoSpaceDN w:val="0"/>
      <w:adjustRightInd w:val="0"/>
      <w:spacing w:before="160" w:after="0" w:line="240" w:lineRule="auto"/>
      <w:ind w:left="1588" w:hanging="1588"/>
      <w:textAlignment w:val="baseline"/>
      <w:outlineLvl w:val="5"/>
    </w:pPr>
    <w:rPr>
      <w:rFonts w:ascii="Times New Roman" w:eastAsiaTheme="minorEastAsia" w:hAnsi="Times New Roman" w:cs="Times New Roman"/>
      <w:bCs w:val="0"/>
      <w:sz w:val="24"/>
      <w:szCs w:val="20"/>
      <w:lang w:eastAsia="en-US"/>
    </w:rPr>
  </w:style>
  <w:style w:type="paragraph" w:styleId="Heading7">
    <w:name w:val="heading 7"/>
    <w:basedOn w:val="Heading6"/>
    <w:next w:val="Normal"/>
    <w:link w:val="Heading7Char"/>
    <w:qFormat/>
    <w:pPr>
      <w:outlineLvl w:val="6"/>
    </w:pPr>
    <w:rPr>
      <w:rFonts w:eastAsia="Times New Roman"/>
    </w:rPr>
  </w:style>
  <w:style w:type="paragraph" w:styleId="Heading8">
    <w:name w:val="heading 8"/>
    <w:basedOn w:val="Heading6"/>
    <w:next w:val="Normal"/>
    <w:link w:val="Heading8Char"/>
    <w:qFormat/>
    <w:pPr>
      <w:outlineLvl w:val="7"/>
    </w:pPr>
    <w:rPr>
      <w:rFonts w:eastAsia="Times New Roman"/>
    </w:rPr>
  </w:style>
  <w:style w:type="paragraph" w:styleId="Heading9">
    <w:name w:val="heading 9"/>
    <w:basedOn w:val="Heading6"/>
    <w:next w:val="Normal"/>
    <w:link w:val="Heading9Char"/>
    <w:qFormat/>
    <w:pPr>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tabs>
        <w:tab w:val="left" w:pos="794"/>
        <w:tab w:val="left" w:pos="1191"/>
        <w:tab w:val="left" w:pos="1588"/>
        <w:tab w:val="left" w:pos="1985"/>
      </w:tabs>
      <w:overflowPunct w:val="0"/>
      <w:autoSpaceDE w:val="0"/>
      <w:autoSpaceDN w:val="0"/>
      <w:adjustRightInd w:val="0"/>
      <w:spacing w:before="60"/>
      <w:ind w:left="794"/>
      <w:textAlignment w:val="baseline"/>
    </w:pPr>
    <w:rPr>
      <w:rFonts w:eastAsia="MS Mincho"/>
      <w:szCs w:val="20"/>
      <w:lang w:eastAsia="en-US"/>
    </w:rPr>
  </w:style>
  <w:style w:type="paragraph" w:styleId="Caption">
    <w:name w:val="caption"/>
    <w:basedOn w:val="Normal"/>
    <w:next w:val="Normal"/>
    <w:unhideWhenUsed/>
    <w:qFormat/>
    <w:pPr>
      <w:spacing w:before="0" w:after="200"/>
    </w:pPr>
    <w:rPr>
      <w:i/>
      <w:iCs/>
      <w:color w:val="44546A" w:themeColor="text2"/>
      <w:sz w:val="18"/>
      <w:szCs w:val="18"/>
    </w:rPr>
  </w:style>
  <w:style w:type="paragraph" w:styleId="DocumentMap">
    <w:name w:val="Document Map"/>
    <w:basedOn w:val="Normal"/>
    <w:link w:val="DocumentMapChar"/>
    <w:qFormat/>
    <w:pPr>
      <w:tabs>
        <w:tab w:val="left" w:pos="794"/>
        <w:tab w:val="left" w:pos="1191"/>
        <w:tab w:val="left" w:pos="1588"/>
        <w:tab w:val="left" w:pos="1985"/>
      </w:tabs>
      <w:overflowPunct w:val="0"/>
      <w:autoSpaceDE w:val="0"/>
      <w:autoSpaceDN w:val="0"/>
      <w:adjustRightInd w:val="0"/>
      <w:textAlignment w:val="baseline"/>
    </w:pPr>
    <w:rPr>
      <w:rFonts w:ascii="SimSun" w:eastAsia="SimSun"/>
      <w:sz w:val="18"/>
      <w:szCs w:val="18"/>
      <w:lang w:eastAsia="en-US"/>
    </w:rPr>
  </w:style>
  <w:style w:type="paragraph" w:styleId="CommentText">
    <w:name w:val="annotation text"/>
    <w:basedOn w:val="Normal"/>
    <w:link w:val="CommentTextChar"/>
    <w:unhideWhenUsed/>
    <w:qFormat/>
  </w:style>
  <w:style w:type="paragraph" w:styleId="TOC3">
    <w:name w:val="toc 3"/>
    <w:basedOn w:val="Normal"/>
    <w:next w:val="Normal"/>
    <w:uiPriority w:val="39"/>
    <w:unhideWhenUsed/>
    <w:qFormat/>
    <w:pPr>
      <w:ind w:leftChars="400" w:left="840"/>
    </w:pPr>
  </w:style>
  <w:style w:type="paragraph" w:styleId="Index3">
    <w:name w:val="index 3"/>
    <w:basedOn w:val="Normal"/>
    <w:next w:val="Normal"/>
    <w:semiHidden/>
    <w:qFormat/>
    <w:pPr>
      <w:tabs>
        <w:tab w:val="left" w:pos="794"/>
        <w:tab w:val="left" w:pos="1191"/>
        <w:tab w:val="left" w:pos="1588"/>
        <w:tab w:val="left" w:pos="1985"/>
      </w:tabs>
      <w:overflowPunct w:val="0"/>
      <w:autoSpaceDE w:val="0"/>
      <w:autoSpaceDN w:val="0"/>
      <w:adjustRightInd w:val="0"/>
      <w:ind w:left="566"/>
      <w:textAlignment w:val="baseline"/>
    </w:pPr>
    <w:rPr>
      <w:szCs w:val="20"/>
      <w:lang w:eastAsia="en-US"/>
    </w:rPr>
  </w:style>
  <w:style w:type="paragraph" w:styleId="Date">
    <w:name w:val="Date"/>
    <w:basedOn w:val="Normal"/>
    <w:next w:val="Normal"/>
    <w:link w:val="DateChar"/>
    <w:qFormat/>
    <w:pPr>
      <w:tabs>
        <w:tab w:val="left" w:pos="794"/>
        <w:tab w:val="left" w:pos="1191"/>
        <w:tab w:val="left" w:pos="1588"/>
        <w:tab w:val="left" w:pos="1985"/>
      </w:tabs>
      <w:overflowPunct w:val="0"/>
      <w:autoSpaceDE w:val="0"/>
      <w:autoSpaceDN w:val="0"/>
      <w:adjustRightInd w:val="0"/>
      <w:ind w:leftChars="2500" w:left="100"/>
      <w:textAlignment w:val="baseline"/>
    </w:pPr>
    <w:rPr>
      <w:rFonts w:eastAsia="MS Mincho"/>
      <w:szCs w:val="20"/>
      <w:lang w:eastAsia="en-US"/>
    </w:rPr>
  </w:style>
  <w:style w:type="paragraph" w:styleId="BalloonText">
    <w:name w:val="Balloon Text"/>
    <w:basedOn w:val="Normal"/>
    <w:link w:val="BalloonTextChar"/>
    <w:unhideWhenUsed/>
    <w:qFormat/>
    <w:pPr>
      <w:spacing w:before="0"/>
    </w:pPr>
    <w:rPr>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overflowPunct w:val="0"/>
      <w:autoSpaceDE w:val="0"/>
      <w:autoSpaceDN w:val="0"/>
      <w:adjustRightInd w:val="0"/>
      <w:spacing w:before="0"/>
      <w:jc w:val="center"/>
      <w:textAlignment w:val="baseline"/>
    </w:pPr>
    <w:rPr>
      <w:rFonts w:eastAsia="Times New Roman"/>
      <w:sz w:val="18"/>
      <w:szCs w:val="20"/>
      <w:lang w:eastAsia="en-US"/>
    </w:rPr>
  </w:style>
  <w:style w:type="paragraph" w:styleId="TOC1">
    <w:name w:val="toc 1"/>
    <w:basedOn w:val="Normal"/>
    <w:next w:val="Normal"/>
    <w:uiPriority w:val="39"/>
    <w:qFormat/>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TOC4">
    <w:name w:val="toc 4"/>
    <w:basedOn w:val="TOC3"/>
    <w:next w:val="Normal"/>
    <w:uiPriority w:val="39"/>
    <w:qFormat/>
    <w:pPr>
      <w:keepLines/>
      <w:tabs>
        <w:tab w:val="left" w:pos="964"/>
        <w:tab w:val="left" w:leader="dot" w:pos="8789"/>
        <w:tab w:val="right" w:pos="9639"/>
      </w:tabs>
      <w:overflowPunct w:val="0"/>
      <w:autoSpaceDE w:val="0"/>
      <w:autoSpaceDN w:val="0"/>
      <w:adjustRightInd w:val="0"/>
      <w:spacing w:before="80"/>
      <w:ind w:leftChars="0" w:left="2269" w:right="851" w:hanging="851"/>
      <w:textAlignment w:val="baseline"/>
    </w:pPr>
    <w:rPr>
      <w:rFonts w:eastAsia="Batang"/>
      <w:szCs w:val="20"/>
      <w:lang w:eastAsia="en-US"/>
    </w:rPr>
  </w:style>
  <w:style w:type="paragraph" w:styleId="List">
    <w:name w:val="List"/>
    <w:basedOn w:val="Normal"/>
    <w:qFormat/>
    <w:pPr>
      <w:tabs>
        <w:tab w:val="left" w:pos="794"/>
        <w:tab w:val="left" w:pos="1191"/>
        <w:tab w:val="left" w:pos="1588"/>
        <w:tab w:val="left" w:pos="1985"/>
      </w:tabs>
      <w:overflowPunct w:val="0"/>
      <w:autoSpaceDE w:val="0"/>
      <w:autoSpaceDN w:val="0"/>
      <w:adjustRightInd w:val="0"/>
      <w:ind w:left="200" w:hangingChars="200" w:hanging="200"/>
      <w:textAlignment w:val="baseline"/>
    </w:pPr>
    <w:rPr>
      <w:rFonts w:eastAsia="MS Mincho"/>
      <w:szCs w:val="20"/>
      <w:lang w:eastAsia="en-US"/>
    </w:rPr>
  </w:style>
  <w:style w:type="paragraph" w:styleId="FootnoteText">
    <w:name w:val="footnote text"/>
    <w:basedOn w:val="Note"/>
    <w:link w:val="FootnoteTextChar"/>
    <w:semiHidden/>
    <w:qFormat/>
    <w:pPr>
      <w:keepLines/>
      <w:tabs>
        <w:tab w:val="left" w:pos="255"/>
      </w:tabs>
      <w:ind w:left="255" w:hanging="255"/>
    </w:pPr>
    <w:rPr>
      <w:rFonts w:asciiTheme="minorHAnsi" w:hAnsiTheme="minorHAnsi" w:cstheme="minorBidi"/>
      <w:kern w:val="2"/>
      <w:szCs w:val="22"/>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szCs w:val="20"/>
      <w:lang w:eastAsia="en-US"/>
    </w:r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2">
    <w:name w:val="toc 2"/>
    <w:basedOn w:val="TOC1"/>
    <w:next w:val="Normal"/>
    <w:uiPriority w:val="39"/>
    <w:qFormat/>
    <w:pPr>
      <w:tabs>
        <w:tab w:val="clear" w:pos="964"/>
      </w:tabs>
      <w:spacing w:before="80"/>
      <w:ind w:left="1531" w:hanging="851"/>
    </w:pPr>
  </w:style>
  <w:style w:type="paragraph" w:styleId="TOC9">
    <w:name w:val="toc 9"/>
    <w:basedOn w:val="Normal"/>
    <w:next w:val="Normal"/>
    <w:qFormat/>
    <w:pPr>
      <w:overflowPunct w:val="0"/>
      <w:autoSpaceDE w:val="0"/>
      <w:autoSpaceDN w:val="0"/>
      <w:adjustRightInd w:val="0"/>
      <w:spacing w:before="0"/>
      <w:ind w:left="1920"/>
      <w:textAlignment w:val="baseline"/>
    </w:pPr>
    <w:rPr>
      <w:rFonts w:ascii="Malgun Gothic" w:eastAsia="Malgun Gothic"/>
      <w:sz w:val="20"/>
      <w:szCs w:val="20"/>
      <w:lang w:eastAsia="en-US"/>
    </w:rPr>
  </w:style>
  <w:style w:type="paragraph" w:styleId="BodyText2">
    <w:name w:val="Body Text 2"/>
    <w:basedOn w:val="Normal"/>
    <w:link w:val="BodyText2Char"/>
    <w:qFormat/>
    <w:pPr>
      <w:tabs>
        <w:tab w:val="left" w:pos="794"/>
        <w:tab w:val="left" w:pos="1191"/>
        <w:tab w:val="left" w:pos="1588"/>
        <w:tab w:val="left" w:pos="1985"/>
      </w:tabs>
      <w:overflowPunct w:val="0"/>
      <w:autoSpaceDE w:val="0"/>
      <w:autoSpaceDN w:val="0"/>
      <w:adjustRightInd w:val="0"/>
      <w:jc w:val="both"/>
      <w:textAlignment w:val="baseline"/>
    </w:pPr>
    <w:rPr>
      <w:rFonts w:eastAsia="MS Mincho"/>
      <w:sz w:val="22"/>
      <w:szCs w:val="22"/>
      <w:lang w:eastAsia="en-U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GulimChe" w:eastAsia="GulimChe" w:hAnsi="GulimChe"/>
      <w:lang w:val="zh-CN" w:eastAsia="zh-CN"/>
    </w:rPr>
  </w:style>
  <w:style w:type="paragraph" w:styleId="Index1">
    <w:name w:val="index 1"/>
    <w:basedOn w:val="Normal"/>
    <w:next w:val="Normal"/>
    <w:semiHidden/>
    <w:qFormat/>
    <w:pPr>
      <w:tabs>
        <w:tab w:val="left" w:pos="794"/>
        <w:tab w:val="left" w:pos="1191"/>
        <w:tab w:val="left" w:pos="1588"/>
        <w:tab w:val="left" w:pos="1985"/>
      </w:tabs>
      <w:overflowPunct w:val="0"/>
      <w:autoSpaceDE w:val="0"/>
      <w:autoSpaceDN w:val="0"/>
      <w:adjustRightInd w:val="0"/>
      <w:textAlignment w:val="baseline"/>
    </w:pPr>
    <w:rPr>
      <w:szCs w:val="20"/>
      <w:lang w:eastAsia="en-US"/>
    </w:rPr>
  </w:style>
  <w:style w:type="paragraph" w:styleId="Title">
    <w:name w:val="Title"/>
    <w:basedOn w:val="Normal"/>
    <w:next w:val="Normal"/>
    <w:link w:val="TitleChar"/>
    <w:qFormat/>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Cambria" w:eastAsia="SimSun" w:hAnsi="Cambria"/>
      <w:b/>
      <w:bCs/>
      <w:sz w:val="32"/>
      <w:szCs w:val="32"/>
      <w:lang w:eastAsia="en-US"/>
    </w:rPr>
  </w:style>
  <w:style w:type="paragraph" w:styleId="CommentSubject">
    <w:name w:val="annotation subject"/>
    <w:basedOn w:val="CommentText"/>
    <w:next w:val="CommentText"/>
    <w:link w:val="CommentSubjectChar"/>
    <w:unhideWhenUsed/>
    <w:qFormat/>
    <w:rPr>
      <w:b/>
      <w:bCs/>
      <w:sz w:val="20"/>
      <w:szCs w:val="20"/>
    </w:rPr>
  </w:style>
  <w:style w:type="table" w:styleId="TableGrid">
    <w:name w:val="Table Grid"/>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qFormat/>
    <w:rPr>
      <w:i/>
      <w:iCs/>
    </w:rPr>
  </w:style>
  <w:style w:type="character" w:styleId="Hyperlink">
    <w:name w:val="Hyperlink"/>
    <w:aliases w:val="CEO_Hyperlink,超级链接,超?级链,Style 58,超????,超链接1,하이퍼링크2,超??级链,하이퍼링크21,超??级链Ú,fL????,fL?级,超?级链ïÈ,õ±?级链,õ±链ïÈ1,õ±???,超?级链?,Style?,S,超?级链Ú,’´?级链,’´????,’´??级链Ú,’´??级"/>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customStyle="1" w:styleId="Heading1Char">
    <w:name w:val="Heading 1 Char"/>
    <w:basedOn w:val="DefaultParagraphFont"/>
    <w:link w:val="Heading1"/>
    <w:qFormat/>
    <w:rPr>
      <w:rFonts w:ascii="Times New Roman" w:eastAsia="Times New Roman" w:hAnsi="Times New Roman" w:cs="Times New Roman"/>
      <w:b/>
      <w:kern w:val="0"/>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kern w:val="0"/>
      <w:sz w:val="24"/>
      <w:szCs w:val="20"/>
      <w:lang w:val="en-GB" w:eastAsia="en-US"/>
    </w:rPr>
  </w:style>
  <w:style w:type="character" w:customStyle="1" w:styleId="Heading3Char">
    <w:name w:val="Heading 3 Char"/>
    <w:basedOn w:val="DefaultParagraphFont"/>
    <w:link w:val="Heading3"/>
    <w:qFormat/>
    <w:rPr>
      <w:rFonts w:ascii="Times New Roman" w:hAnsi="Times New Roman" w:cs="Times New Roman"/>
      <w:b/>
      <w:bCs/>
      <w:kern w:val="0"/>
      <w:sz w:val="32"/>
      <w:szCs w:val="32"/>
      <w:lang w:val="en-GB" w:eastAsia="ja-JP"/>
    </w:rPr>
  </w:style>
  <w:style w:type="character" w:customStyle="1" w:styleId="Heading4Char">
    <w:name w:val="Heading 4 Char"/>
    <w:basedOn w:val="DefaultParagraphFont"/>
    <w:link w:val="Heading4"/>
    <w:qFormat/>
    <w:rPr>
      <w:rFonts w:asciiTheme="majorHAnsi" w:eastAsiaTheme="majorEastAsia" w:hAnsiTheme="majorHAnsi" w:cstheme="majorBidi"/>
      <w:b/>
      <w:bCs/>
      <w:kern w:val="0"/>
      <w:sz w:val="28"/>
      <w:szCs w:val="28"/>
      <w:lang w:val="en-GB" w:eastAsia="ja-JP"/>
    </w:rPr>
  </w:style>
  <w:style w:type="character" w:customStyle="1" w:styleId="Heading5Char">
    <w:name w:val="Heading 5 Char"/>
    <w:basedOn w:val="DefaultParagraphFont"/>
    <w:link w:val="Heading5"/>
    <w:qFormat/>
    <w:rPr>
      <w:rFonts w:ascii="Times New Roman" w:hAnsi="Times New Roman" w:cs="Times New Roman"/>
      <w:b/>
      <w:kern w:val="0"/>
      <w:sz w:val="24"/>
      <w:szCs w:val="20"/>
      <w:lang w:val="en-GB" w:eastAsia="en-US"/>
    </w:rPr>
  </w:style>
  <w:style w:type="character" w:customStyle="1" w:styleId="Heading6Char">
    <w:name w:val="Heading 6 Char"/>
    <w:basedOn w:val="DefaultParagraphFont"/>
    <w:link w:val="Heading6"/>
    <w:qFormat/>
    <w:rPr>
      <w:rFonts w:ascii="Times New Roman" w:hAnsi="Times New Roman" w:cs="Times New Roman"/>
      <w:b/>
      <w:kern w:val="0"/>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kern w:val="0"/>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kern w:val="0"/>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kern w:val="0"/>
      <w:sz w:val="24"/>
      <w:szCs w:val="20"/>
      <w:lang w:val="en-GB" w:eastAsia="en-US"/>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Pr>
      <w:rFonts w:ascii="Times New Roman" w:eastAsia="SimSun" w:hAnsi="Times New Roman" w:cs="Times New Roman"/>
      <w:b/>
      <w:kern w:val="0"/>
      <w:sz w:val="32"/>
      <w:szCs w:val="20"/>
      <w:lang w:val="en-GB"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18"/>
      <w:szCs w:val="20"/>
      <w:lang w:val="en-GB" w:eastAsia="en-US"/>
    </w:rPr>
  </w:style>
  <w:style w:type="paragraph" w:customStyle="1" w:styleId="VenueDate">
    <w:name w:val="VenueDate"/>
    <w:basedOn w:val="Normal"/>
    <w:qFormat/>
    <w:pPr>
      <w:jc w:val="right"/>
    </w:pPr>
  </w:style>
  <w:style w:type="paragraph" w:styleId="ListParagraph">
    <w:name w:val="List Paragraph"/>
    <w:aliases w:val="Recommendation,List Paragraph11,O5,Para_sk,Resume Title,- Bullets,Ref,Use Case List Paragraph,List Paragraph1,Bullet List Paragraph,List Paragraph111,List Paragraph Option,EG Bullet 1,Bulleted List1,b1,Bullet for no #'s,Body Bullet"/>
    <w:basedOn w:val="Normal"/>
    <w:link w:val="ListParagraphChar"/>
    <w:uiPriority w:val="34"/>
    <w:qFormat/>
    <w:pPr>
      <w:ind w:left="720"/>
      <w:contextualSpacing/>
    </w:pPr>
  </w:style>
  <w:style w:type="paragraph" w:customStyle="1" w:styleId="TSBHeaderRight14">
    <w:name w:val="TSBHeaderRight14"/>
    <w:basedOn w:val="Normal"/>
    <w:qFormat/>
    <w:pPr>
      <w:jc w:val="right"/>
    </w:pPr>
    <w:rPr>
      <w:b/>
      <w:bCs/>
      <w:sz w:val="28"/>
      <w:szCs w:val="28"/>
    </w:r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Summary">
    <w:name w:val="TSBHeaderSummary"/>
    <w:basedOn w:val="Normal"/>
    <w:qFormat/>
  </w:style>
  <w:style w:type="paragraph" w:customStyle="1" w:styleId="Heading1Centered">
    <w:name w:val="Heading 1 Centered"/>
    <w:basedOn w:val="Heading1"/>
    <w:qFormat/>
    <w:pPr>
      <w:tabs>
        <w:tab w:val="left" w:pos="1134"/>
        <w:tab w:val="left" w:pos="1871"/>
        <w:tab w:val="left" w:pos="2268"/>
      </w:tabs>
      <w:ind w:left="0" w:firstLine="0"/>
      <w:jc w:val="center"/>
    </w:pPr>
    <w:rPr>
      <w:bCs/>
    </w:rPr>
  </w:style>
  <w:style w:type="character" w:styleId="PlaceholderText">
    <w:name w:val="Placeholder Text"/>
    <w:basedOn w:val="DefaultParagraphFont"/>
    <w:uiPriority w:val="99"/>
    <w:qFormat/>
    <w:rPr>
      <w:rFonts w:ascii="Times New Roman" w:hAnsi="Times New Roman"/>
      <w:color w:val="808080"/>
    </w:rPr>
  </w:style>
  <w:style w:type="character" w:customStyle="1" w:styleId="FooterChar">
    <w:name w:val="Footer Char"/>
    <w:basedOn w:val="DefaultParagraphFont"/>
    <w:link w:val="Footer"/>
    <w:qFormat/>
    <w:rPr>
      <w:rFonts w:ascii="Times New Roman" w:hAnsi="Times New Roman" w:cs="Times New Roman"/>
      <w:kern w:val="0"/>
      <w:sz w:val="18"/>
      <w:szCs w:val="18"/>
      <w:lang w:val="en-GB" w:eastAsia="ja-JP"/>
    </w:rPr>
  </w:style>
  <w:style w:type="character" w:customStyle="1" w:styleId="CommentTextChar">
    <w:name w:val="Comment Text Char"/>
    <w:basedOn w:val="DefaultParagraphFont"/>
    <w:link w:val="CommentText"/>
    <w:qFormat/>
    <w:rPr>
      <w:rFonts w:ascii="Times New Roman" w:hAnsi="Times New Roman" w:cs="Times New Roman"/>
      <w:kern w:val="0"/>
      <w:sz w:val="24"/>
      <w:szCs w:val="24"/>
      <w:lang w:val="en-GB" w:eastAsia="ja-JP"/>
    </w:rPr>
  </w:style>
  <w:style w:type="character" w:customStyle="1" w:styleId="BalloonTextChar">
    <w:name w:val="Balloon Text Char"/>
    <w:basedOn w:val="DefaultParagraphFont"/>
    <w:link w:val="BalloonText"/>
    <w:qFormat/>
    <w:rPr>
      <w:rFonts w:ascii="Times New Roman" w:hAnsi="Times New Roman" w:cs="Times New Roman"/>
      <w:kern w:val="0"/>
      <w:sz w:val="18"/>
      <w:szCs w:val="18"/>
      <w:lang w:val="en-GB" w:eastAsia="ja-JP"/>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ja-JP"/>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Theme="minorEastAsia"/>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kern w:val="0"/>
      <w:sz w:val="24"/>
      <w:szCs w:val="24"/>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qFormat/>
    <w:locked/>
    <w:rPr>
      <w:rFonts w:ascii="Times New Roman" w:eastAsia="Times New Roman" w:hAnsi="Times New Roman" w:cs="Times New Roman"/>
      <w:kern w:val="0"/>
      <w:sz w:val="24"/>
      <w:szCs w:val="20"/>
      <w:lang w:val="en-GB"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character" w:customStyle="1" w:styleId="ListParagraphChar">
    <w:name w:val="List Paragraph Char"/>
    <w:aliases w:val="Recommendation Char,List Paragraph11 Char,O5 Char,Para_sk Char,Resume Title Char,- Bullets Char,Ref Char,Use Case List Paragraph Char,List Paragraph1 Char,Bullet List Paragraph Char,List Paragraph111 Char,List Paragraph Option Char"/>
    <w:link w:val="ListParagraph"/>
    <w:uiPriority w:val="34"/>
    <w:qFormat/>
    <w:locked/>
    <w:rPr>
      <w:rFonts w:ascii="Times New Roman" w:hAnsi="Times New Roman" w:cs="Times New Roman"/>
      <w:kern w:val="0"/>
      <w:sz w:val="24"/>
      <w:szCs w:val="24"/>
      <w:lang w:val="en-GB" w:eastAsia="ja-JP"/>
    </w:rPr>
  </w:style>
  <w:style w:type="paragraph" w:customStyle="1" w:styleId="1">
    <w:name w:val="修订1"/>
    <w:hidden/>
    <w:uiPriority w:val="99"/>
    <w:semiHidden/>
    <w:qFormat/>
    <w:rPr>
      <w:rFonts w:ascii="Times New Roman" w:hAnsi="Times New Roman" w:cs="Times New Roman"/>
      <w:sz w:val="24"/>
      <w:szCs w:val="24"/>
      <w:lang w:eastAsia="ja-JP"/>
    </w:rPr>
  </w:style>
  <w:style w:type="character" w:customStyle="1" w:styleId="DocumentMapChar">
    <w:name w:val="Document Map Char"/>
    <w:basedOn w:val="DefaultParagraphFont"/>
    <w:link w:val="DocumentMap"/>
    <w:qFormat/>
    <w:rPr>
      <w:rFonts w:ascii="SimSun" w:eastAsia="SimSun" w:hAnsi="Times New Roman" w:cs="Times New Roman"/>
      <w:kern w:val="0"/>
      <w:sz w:val="18"/>
      <w:szCs w:val="18"/>
      <w:lang w:val="en-GB" w:eastAsia="en-US"/>
    </w:rPr>
  </w:style>
  <w:style w:type="character" w:customStyle="1" w:styleId="DateChar">
    <w:name w:val="Date Char"/>
    <w:basedOn w:val="DefaultParagraphFont"/>
    <w:link w:val="Date"/>
    <w:qFormat/>
    <w:rPr>
      <w:rFonts w:ascii="Times New Roman" w:eastAsia="MS Mincho" w:hAnsi="Times New Roman" w:cs="Times New Roman"/>
      <w:kern w:val="0"/>
      <w:sz w:val="24"/>
      <w:szCs w:val="20"/>
      <w:lang w:val="en-GB" w:eastAsia="en-US"/>
    </w:rPr>
  </w:style>
  <w:style w:type="character" w:customStyle="1" w:styleId="FootnoteTextChar">
    <w:name w:val="Footnote Text Char"/>
    <w:basedOn w:val="DefaultParagraphFont"/>
    <w:link w:val="FootnoteText"/>
    <w:semiHidden/>
    <w:qFormat/>
    <w:rPr>
      <w:sz w:val="24"/>
      <w:lang w:val="en-GB" w:eastAsia="en-US"/>
    </w:rPr>
  </w:style>
  <w:style w:type="character" w:customStyle="1" w:styleId="Char1">
    <w:name w:val="脚注文本 Char1"/>
    <w:basedOn w:val="DefaultParagraphFont"/>
    <w:uiPriority w:val="99"/>
    <w:semiHidden/>
    <w:qFormat/>
    <w:rPr>
      <w:rFonts w:ascii="Times New Roman" w:hAnsi="Times New Roman" w:cs="Times New Roman"/>
      <w:kern w:val="0"/>
      <w:sz w:val="18"/>
      <w:szCs w:val="18"/>
      <w:lang w:val="en-GB" w:eastAsia="ja-JP"/>
    </w:rPr>
  </w:style>
  <w:style w:type="character" w:customStyle="1" w:styleId="BodyText2Char">
    <w:name w:val="Body Text 2 Char"/>
    <w:basedOn w:val="DefaultParagraphFont"/>
    <w:link w:val="BodyText2"/>
    <w:qFormat/>
    <w:rPr>
      <w:rFonts w:ascii="Times New Roman" w:eastAsia="MS Mincho" w:hAnsi="Times New Roman" w:cs="Times New Roman"/>
      <w:kern w:val="0"/>
      <w:sz w:val="22"/>
      <w:lang w:val="en-GB" w:eastAsia="en-US"/>
    </w:rPr>
  </w:style>
  <w:style w:type="character" w:customStyle="1" w:styleId="HTMLPreformattedChar">
    <w:name w:val="HTML Preformatted Char"/>
    <w:basedOn w:val="DefaultParagraphFont"/>
    <w:link w:val="HTMLPreformatted"/>
    <w:uiPriority w:val="99"/>
    <w:qFormat/>
    <w:rPr>
      <w:rFonts w:ascii="GulimChe" w:eastAsia="GulimChe" w:hAnsi="GulimChe" w:cs="Times New Roman"/>
      <w:kern w:val="0"/>
      <w:sz w:val="24"/>
      <w:szCs w:val="24"/>
      <w:lang w:val="zh-CN"/>
    </w:rPr>
  </w:style>
  <w:style w:type="character" w:customStyle="1" w:styleId="TitleChar">
    <w:name w:val="Title Char"/>
    <w:basedOn w:val="DefaultParagraphFont"/>
    <w:link w:val="Title"/>
    <w:qFormat/>
    <w:rPr>
      <w:rFonts w:ascii="Cambria" w:eastAsia="SimSun" w:hAnsi="Cambria" w:cs="Times New Roman"/>
      <w:b/>
      <w:bCs/>
      <w:kern w:val="0"/>
      <w:sz w:val="32"/>
      <w:szCs w:val="32"/>
      <w:lang w:val="en-GB" w:eastAsia="en-US"/>
    </w:rPr>
  </w:style>
  <w:style w:type="character" w:customStyle="1" w:styleId="Appdef">
    <w:name w:val="App_def"/>
    <w:qFormat/>
    <w:rPr>
      <w:rFonts w:ascii="Times New Roman" w:hAnsi="Times New Roman"/>
      <w:b/>
    </w:rPr>
  </w:style>
  <w:style w:type="character" w:customStyle="1" w:styleId="Appref">
    <w:name w:val="App_ref"/>
    <w:basedOn w:val="DefaultParagraphFont"/>
    <w:qFormat/>
  </w:style>
  <w:style w:type="character" w:customStyle="1" w:styleId="Artdef">
    <w:name w:val="Art_def"/>
    <w:qFormat/>
    <w:rPr>
      <w:rFonts w:ascii="Times New Roman" w:hAnsi="Times New Roman"/>
      <w:b/>
    </w:rPr>
  </w:style>
  <w:style w:type="paragraph" w:customStyle="1" w:styleId="Artheading">
    <w:name w:val="Art_heading"/>
    <w:basedOn w:val="Normal"/>
    <w:next w:val="Normal"/>
    <w:qFormat/>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rtNo">
    <w:name w:val="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character" w:customStyle="1" w:styleId="Artref">
    <w:name w:val="Art_ref"/>
    <w:basedOn w:val="DefaultParagraphFont"/>
    <w:qFormat/>
  </w:style>
  <w:style w:type="paragraph" w:customStyle="1" w:styleId="Arttitle">
    <w:name w:val="Art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ASN1">
    <w:name w:val="ASN.1"/>
    <w:basedOn w:val="Normal"/>
    <w:qFormat/>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sz w:val="20"/>
      <w:szCs w:val="20"/>
      <w:lang w:eastAsia="en-US"/>
    </w:rPr>
  </w:style>
  <w:style w:type="paragraph" w:customStyle="1" w:styleId="Call">
    <w:name w:val="Call"/>
    <w:basedOn w:val="Normal"/>
    <w:next w:val="Normal"/>
    <w:qFormat/>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eastAsia="en-US"/>
    </w:rPr>
  </w:style>
  <w:style w:type="paragraph" w:customStyle="1" w:styleId="ChapNo">
    <w:name w:val="Chap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eastAsia="en-US"/>
    </w:rPr>
  </w:style>
  <w:style w:type="paragraph" w:customStyle="1" w:styleId="Chaptitle">
    <w:name w:val="Chap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textAlignment w:val="baseline"/>
    </w:pPr>
    <w:rPr>
      <w:szCs w:val="20"/>
      <w:lang w:eastAsia="en-US"/>
    </w:rPr>
  </w:style>
  <w:style w:type="paragraph" w:customStyle="1" w:styleId="Equationlegend">
    <w:name w:val="Equation_legend"/>
    <w:basedOn w:val="Normal"/>
    <w:qFormat/>
    <w:pPr>
      <w:tabs>
        <w:tab w:val="right" w:pos="1814"/>
        <w:tab w:val="left" w:pos="1985"/>
      </w:tabs>
      <w:overflowPunct w:val="0"/>
      <w:autoSpaceDE w:val="0"/>
      <w:autoSpaceDN w:val="0"/>
      <w:adjustRightInd w:val="0"/>
      <w:spacing w:before="80"/>
      <w:ind w:left="1985" w:hanging="1985"/>
      <w:textAlignment w:val="baseline"/>
    </w:pPr>
    <w:rPr>
      <w:szCs w:val="20"/>
      <w:lang w:eastAsia="en-US"/>
    </w:rPr>
  </w:style>
  <w:style w:type="paragraph" w:customStyle="1" w:styleId="Figurelegend">
    <w:name w:val="Figure_legend"/>
    <w:basedOn w:val="Normal"/>
    <w:qFormat/>
    <w:pPr>
      <w:keepNext/>
      <w:keepLines/>
      <w:overflowPunct w:val="0"/>
      <w:autoSpaceDE w:val="0"/>
      <w:autoSpaceDN w:val="0"/>
      <w:adjustRightInd w:val="0"/>
      <w:spacing w:before="20" w:after="20"/>
      <w:textAlignment w:val="baseline"/>
    </w:pPr>
    <w:rPr>
      <w:sz w:val="18"/>
      <w:szCs w:val="20"/>
      <w:lang w:eastAsia="en-US"/>
    </w:rPr>
  </w:style>
  <w:style w:type="paragraph" w:customStyle="1" w:styleId="FigureNoBR">
    <w:name w:val="Figure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eastAsia="en-US"/>
    </w:rPr>
  </w:style>
  <w:style w:type="paragraph" w:customStyle="1" w:styleId="TabletitleBR">
    <w:name w:val="Table_title_BR"/>
    <w:basedOn w:val="Normal"/>
    <w:next w:val="Normal"/>
    <w:qFormat/>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szCs w:val="20"/>
      <w:lang w:eastAsia="en-US"/>
    </w:rPr>
  </w:style>
  <w:style w:type="paragraph" w:customStyle="1" w:styleId="FiguretitleBR">
    <w:name w:val="Figure_title_BR"/>
    <w:basedOn w:val="TabletitleBR"/>
    <w:next w:val="Normal"/>
    <w:qFormat/>
    <w:pPr>
      <w:keepNext w:val="0"/>
      <w:spacing w:after="480"/>
    </w:pPr>
  </w:style>
  <w:style w:type="paragraph" w:customStyle="1" w:styleId="Figurewithouttitle">
    <w:name w:val="Figure_without_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eastAsia="en-US"/>
    </w:rPr>
  </w:style>
  <w:style w:type="paragraph" w:customStyle="1" w:styleId="FirstFooter">
    <w:name w:val="FirstFooter"/>
    <w:basedOn w:val="Footer"/>
    <w:qFormat/>
    <w:pPr>
      <w:tabs>
        <w:tab w:val="clear" w:pos="4153"/>
        <w:tab w:val="clear" w:pos="8306"/>
      </w:tabs>
      <w:snapToGrid/>
      <w:spacing w:before="40"/>
    </w:pPr>
    <w:rPr>
      <w:sz w:val="16"/>
      <w:szCs w:val="20"/>
      <w:lang w:eastAsia="en-US"/>
    </w:rPr>
  </w:style>
  <w:style w:type="paragraph" w:customStyle="1" w:styleId="FooterQP">
    <w:name w:val="Footer_QP"/>
    <w:basedOn w:val="Normal"/>
    <w:qFormat/>
    <w:pPr>
      <w:tabs>
        <w:tab w:val="left" w:pos="907"/>
        <w:tab w:val="right" w:pos="8789"/>
        <w:tab w:val="right" w:pos="9639"/>
      </w:tabs>
      <w:overflowPunct w:val="0"/>
      <w:autoSpaceDE w:val="0"/>
      <w:autoSpaceDN w:val="0"/>
      <w:adjustRightInd w:val="0"/>
      <w:spacing w:before="0"/>
      <w:textAlignment w:val="baseline"/>
    </w:pPr>
    <w:rPr>
      <w:b/>
      <w:sz w:val="22"/>
      <w:szCs w:val="20"/>
      <w:lang w:eastAsia="en-US"/>
    </w:rPr>
  </w:style>
  <w:style w:type="paragraph" w:customStyle="1" w:styleId="Normalaftertitle">
    <w:name w:val="Normal_after_title"/>
    <w:basedOn w:val="Normal"/>
    <w:next w:val="Normal"/>
    <w:qFormat/>
    <w:pPr>
      <w:tabs>
        <w:tab w:val="left" w:pos="794"/>
        <w:tab w:val="left" w:pos="1191"/>
        <w:tab w:val="left" w:pos="1588"/>
        <w:tab w:val="left" w:pos="1985"/>
      </w:tabs>
      <w:overflowPunct w:val="0"/>
      <w:autoSpaceDE w:val="0"/>
      <w:autoSpaceDN w:val="0"/>
      <w:adjustRightInd w:val="0"/>
      <w:spacing w:before="360"/>
      <w:textAlignment w:val="baseline"/>
    </w:pPr>
    <w:rPr>
      <w:szCs w:val="20"/>
      <w:lang w:eastAsia="en-US"/>
    </w:rPr>
  </w:style>
  <w:style w:type="paragraph" w:customStyle="1" w:styleId="PartNo">
    <w:name w:val="P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Partref">
    <w:name w:val="Part_ref"/>
    <w:basedOn w:val="Normal"/>
    <w:next w:val="Normal"/>
    <w:qFormat/>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eastAsia="en-US"/>
    </w:rPr>
  </w:style>
  <w:style w:type="paragraph" w:customStyle="1" w:styleId="Parttitle">
    <w:name w:val="Part_title"/>
    <w:basedOn w:val="Normal"/>
    <w:next w:val="Normalaftertitle"/>
    <w:qFormat/>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eastAsia="en-US"/>
    </w:rPr>
  </w:style>
  <w:style w:type="paragraph" w:customStyle="1" w:styleId="Recdate">
    <w:name w:val="Rec_date"/>
    <w:basedOn w:val="Normal"/>
    <w:next w:val="Normalaftertitle"/>
    <w:qFormat/>
    <w:pPr>
      <w:keepNext/>
      <w:keepLines/>
      <w:overflowPunct w:val="0"/>
      <w:autoSpaceDE w:val="0"/>
      <w:autoSpaceDN w:val="0"/>
      <w:adjustRightInd w:val="0"/>
      <w:jc w:val="right"/>
      <w:textAlignment w:val="baseline"/>
    </w:pPr>
    <w:rPr>
      <w:i/>
      <w:sz w:val="22"/>
      <w:szCs w:val="20"/>
      <w:lang w:eastAsia="en-US"/>
    </w:rPr>
  </w:style>
  <w:style w:type="paragraph" w:customStyle="1" w:styleId="Questiondate">
    <w:name w:val="Question_date"/>
    <w:basedOn w:val="Recdate"/>
    <w:next w:val="Normalaftertitle"/>
    <w:qFormat/>
  </w:style>
  <w:style w:type="paragraph" w:customStyle="1" w:styleId="QuestionNo">
    <w:name w:val="Question_No"/>
    <w:basedOn w:val="RecNo"/>
    <w:next w:val="Normal"/>
    <w:qFormat/>
    <w:rPr>
      <w:lang w:eastAsia="en-US"/>
    </w:rPr>
  </w:style>
  <w:style w:type="paragraph" w:customStyle="1" w:styleId="RecNoBR">
    <w:name w:val="Rec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paragraph" w:customStyle="1" w:styleId="QuestionNoBR">
    <w:name w:val="Question_No_BR"/>
    <w:basedOn w:val="RecNoBR"/>
    <w:next w:val="Normal"/>
    <w:qFormat/>
  </w:style>
  <w:style w:type="paragraph" w:customStyle="1" w:styleId="Recref">
    <w:name w:val="Rec_ref"/>
    <w:basedOn w:val="Normal"/>
    <w:next w:val="Recdate"/>
    <w:qFormat/>
    <w:pPr>
      <w:keepNext/>
      <w:keepLines/>
      <w:overflowPunct w:val="0"/>
      <w:autoSpaceDE w:val="0"/>
      <w:autoSpaceDN w:val="0"/>
      <w:adjustRightInd w:val="0"/>
      <w:jc w:val="center"/>
      <w:textAlignment w:val="baseline"/>
    </w:pPr>
    <w:rPr>
      <w:i/>
      <w:szCs w:val="20"/>
      <w:lang w:eastAsia="en-US"/>
    </w:rPr>
  </w:style>
  <w:style w:type="paragraph" w:customStyle="1" w:styleId="Questionref">
    <w:name w:val="Question_ref"/>
    <w:basedOn w:val="Recref"/>
    <w:next w:val="Questiondate"/>
    <w:qFormat/>
  </w:style>
  <w:style w:type="paragraph" w:customStyle="1" w:styleId="Questiontitle">
    <w:name w:val="Question_title"/>
    <w:basedOn w:val="Rectitle"/>
    <w:next w:val="Questionref"/>
    <w:qFormat/>
    <w:rPr>
      <w:lang w:eastAsia="en-US"/>
    </w:rPr>
  </w:style>
  <w:style w:type="character" w:customStyle="1" w:styleId="Recdef">
    <w:name w:val="Rec_def"/>
    <w:qFormat/>
    <w:rPr>
      <w:b/>
    </w:rPr>
  </w:style>
  <w:style w:type="paragraph" w:customStyle="1" w:styleId="Reftitle">
    <w:name w:val="Ref_title"/>
    <w:basedOn w:val="Normal"/>
    <w:next w:val="Reftext"/>
    <w:qFormat/>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eastAsia="en-US"/>
    </w:rPr>
  </w:style>
  <w:style w:type="paragraph" w:customStyle="1" w:styleId="Repdate">
    <w:name w:val="Rep_date"/>
    <w:basedOn w:val="Recdate"/>
    <w:next w:val="Normalaftertitle"/>
    <w:qFormat/>
  </w:style>
  <w:style w:type="paragraph" w:customStyle="1" w:styleId="RepNo">
    <w:name w:val="Rep_No"/>
    <w:basedOn w:val="RecNo"/>
    <w:next w:val="Normal"/>
    <w:qFormat/>
    <w:rPr>
      <w:lang w:eastAsia="en-US"/>
    </w:rPr>
  </w:style>
  <w:style w:type="paragraph" w:customStyle="1" w:styleId="RepNoBR">
    <w:name w:val="Rep_No_BR"/>
    <w:basedOn w:val="RecNoBR"/>
    <w:next w:val="Normal"/>
    <w:qFormat/>
  </w:style>
  <w:style w:type="paragraph" w:customStyle="1" w:styleId="Repref">
    <w:name w:val="Rep_ref"/>
    <w:basedOn w:val="Recref"/>
    <w:next w:val="Repdate"/>
    <w:qFormat/>
  </w:style>
  <w:style w:type="paragraph" w:customStyle="1" w:styleId="Reptitle">
    <w:name w:val="Rep_title"/>
    <w:basedOn w:val="Rectitle"/>
    <w:next w:val="Repref"/>
    <w:qFormat/>
    <w:rPr>
      <w:lang w:eastAsia="en-US"/>
    </w:rPr>
  </w:style>
  <w:style w:type="paragraph" w:customStyle="1" w:styleId="Resdate">
    <w:name w:val="Res_date"/>
    <w:basedOn w:val="Recdate"/>
    <w:next w:val="Normalaftertitle"/>
    <w:qFormat/>
  </w:style>
  <w:style w:type="character" w:customStyle="1" w:styleId="Resdef">
    <w:name w:val="Res_def"/>
    <w:qFormat/>
    <w:rPr>
      <w:rFonts w:ascii="Times New Roman" w:hAnsi="Times New Roman"/>
      <w:b/>
    </w:rPr>
  </w:style>
  <w:style w:type="paragraph" w:customStyle="1" w:styleId="ResNo">
    <w:name w:val="Res_No"/>
    <w:basedOn w:val="RecNo"/>
    <w:next w:val="Normal"/>
    <w:qFormat/>
    <w:rPr>
      <w:lang w:eastAsia="en-US"/>
    </w:rPr>
  </w:style>
  <w:style w:type="paragraph" w:customStyle="1" w:styleId="ResNoBR">
    <w:name w:val="Res_No_BR"/>
    <w:basedOn w:val="RecNoBR"/>
    <w:next w:val="Normal"/>
    <w:qFormat/>
  </w:style>
  <w:style w:type="paragraph" w:customStyle="1" w:styleId="Resref">
    <w:name w:val="Res_ref"/>
    <w:basedOn w:val="Recref"/>
    <w:next w:val="Resdate"/>
    <w:qFormat/>
  </w:style>
  <w:style w:type="paragraph" w:customStyle="1" w:styleId="Restitle">
    <w:name w:val="Res_title"/>
    <w:basedOn w:val="Rectitle"/>
    <w:next w:val="Resref"/>
    <w:qFormat/>
    <w:rPr>
      <w:lang w:eastAsia="en-US"/>
    </w:rPr>
  </w:style>
  <w:style w:type="paragraph" w:customStyle="1" w:styleId="Section1">
    <w:name w:val="Section_1"/>
    <w:basedOn w:val="Normal"/>
    <w:next w:val="Normal"/>
    <w:qFormat/>
    <w:pPr>
      <w:overflowPunct w:val="0"/>
      <w:autoSpaceDE w:val="0"/>
      <w:autoSpaceDN w:val="0"/>
      <w:adjustRightInd w:val="0"/>
      <w:spacing w:before="624"/>
      <w:jc w:val="center"/>
      <w:textAlignment w:val="baseline"/>
    </w:pPr>
    <w:rPr>
      <w:b/>
      <w:szCs w:val="20"/>
      <w:lang w:eastAsia="en-US"/>
    </w:rPr>
  </w:style>
  <w:style w:type="paragraph" w:customStyle="1" w:styleId="Section2">
    <w:name w:val="Section_2"/>
    <w:basedOn w:val="Normal"/>
    <w:next w:val="Normal"/>
    <w:qFormat/>
    <w:pPr>
      <w:overflowPunct w:val="0"/>
      <w:autoSpaceDE w:val="0"/>
      <w:autoSpaceDN w:val="0"/>
      <w:adjustRightInd w:val="0"/>
      <w:spacing w:before="240"/>
      <w:jc w:val="center"/>
      <w:textAlignment w:val="baseline"/>
    </w:pPr>
    <w:rPr>
      <w:i/>
      <w:szCs w:val="20"/>
      <w:lang w:eastAsia="en-US"/>
    </w:rPr>
  </w:style>
  <w:style w:type="paragraph" w:customStyle="1" w:styleId="SectionNo">
    <w:name w:val="Section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Sectiontitle">
    <w:name w:val="Section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eastAsia="en-US"/>
    </w:rPr>
  </w:style>
  <w:style w:type="paragraph" w:customStyle="1" w:styleId="Source">
    <w:name w:val="Source"/>
    <w:basedOn w:val="Normal"/>
    <w:next w:val="Normalaftertitle"/>
    <w:qFormat/>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eastAsia="en-US"/>
    </w:rPr>
  </w:style>
  <w:style w:type="paragraph" w:customStyle="1" w:styleId="SpecialFooter">
    <w:name w:val="Special Footer"/>
    <w:basedOn w:val="Footer"/>
    <w:qFormat/>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snapToGrid/>
      <w:spacing w:before="0"/>
      <w:jc w:val="both"/>
      <w:textAlignment w:val="baseline"/>
    </w:pPr>
    <w:rPr>
      <w:sz w:val="16"/>
      <w:szCs w:val="20"/>
      <w:lang w:eastAsia="en-US"/>
    </w:rPr>
  </w:style>
  <w:style w:type="character" w:customStyle="1" w:styleId="Tablefreq">
    <w:name w:val="Table_freq"/>
    <w:qFormat/>
    <w:rPr>
      <w:b/>
      <w:color w:val="auto"/>
    </w:rPr>
  </w:style>
  <w:style w:type="paragraph" w:customStyle="1" w:styleId="TableNoBR">
    <w:name w:val="Table_No_BR"/>
    <w:basedOn w:val="Normal"/>
    <w:next w:val="TabletitleBR"/>
    <w:qFormat/>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eastAsia="en-US"/>
    </w:rPr>
  </w:style>
  <w:style w:type="paragraph" w:customStyle="1" w:styleId="Tableref">
    <w:name w:val="Table_ref"/>
    <w:basedOn w:val="Normal"/>
    <w:next w:val="TabletitleBR"/>
    <w:qFormat/>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szCs w:val="20"/>
      <w:lang w:eastAsia="en-US"/>
    </w:rPr>
  </w:style>
  <w:style w:type="paragraph" w:customStyle="1" w:styleId="Title1">
    <w:name w:val="Title 1"/>
    <w:basedOn w:val="Source"/>
    <w:next w:val="Normal"/>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right" w:pos="9639"/>
      </w:tabs>
      <w:overflowPunct w:val="0"/>
      <w:autoSpaceDE w:val="0"/>
      <w:autoSpaceDN w:val="0"/>
      <w:adjustRightInd w:val="0"/>
      <w:textAlignment w:val="baseline"/>
    </w:pPr>
    <w:rPr>
      <w:b/>
      <w:szCs w:val="20"/>
      <w:lang w:eastAsia="en-US"/>
    </w:rPr>
  </w:style>
  <w:style w:type="paragraph" w:customStyle="1" w:styleId="TOC10">
    <w:name w:val="TOC 标题1"/>
    <w:basedOn w:val="Heading1"/>
    <w:next w:val="Normal"/>
    <w:uiPriority w:val="39"/>
    <w:unhideWhenUsed/>
    <w:qFormat/>
    <w:pPr>
      <w:spacing w:before="340" w:after="330" w:line="578" w:lineRule="auto"/>
      <w:ind w:left="0" w:firstLine="0"/>
      <w:outlineLvl w:val="9"/>
    </w:pPr>
    <w:rPr>
      <w:rFonts w:eastAsiaTheme="minorEastAsia"/>
      <w:bCs/>
      <w:kern w:val="44"/>
      <w:sz w:val="44"/>
      <w:szCs w:val="44"/>
    </w:rPr>
  </w:style>
  <w:style w:type="paragraph" w:customStyle="1" w:styleId="TAL">
    <w:name w:val="TAL"/>
    <w:basedOn w:val="Normal"/>
    <w:qFormat/>
    <w:pPr>
      <w:keepNext/>
      <w:keepLines/>
      <w:overflowPunct w:val="0"/>
      <w:autoSpaceDE w:val="0"/>
      <w:autoSpaceDN w:val="0"/>
      <w:adjustRightInd w:val="0"/>
      <w:spacing w:before="0"/>
      <w:textAlignment w:val="baseline"/>
    </w:pPr>
    <w:rPr>
      <w:rFonts w:ascii="Arial" w:eastAsia="SimSun" w:hAnsi="Arial"/>
      <w:sz w:val="18"/>
      <w:szCs w:val="20"/>
      <w:lang w:eastAsia="en-US"/>
    </w:rPr>
  </w:style>
  <w:style w:type="paragraph" w:customStyle="1" w:styleId="TAH">
    <w:name w:val="TAH"/>
    <w:basedOn w:val="Normal"/>
    <w:qFormat/>
    <w:pPr>
      <w:keepNext/>
      <w:keepLines/>
      <w:overflowPunct w:val="0"/>
      <w:autoSpaceDE w:val="0"/>
      <w:autoSpaceDN w:val="0"/>
      <w:adjustRightInd w:val="0"/>
      <w:spacing w:before="0"/>
      <w:jc w:val="center"/>
      <w:textAlignment w:val="baseline"/>
    </w:pPr>
    <w:rPr>
      <w:rFonts w:ascii="Arial" w:eastAsia="SimSun" w:hAnsi="Arial"/>
      <w:b/>
      <w:sz w:val="18"/>
      <w:szCs w:val="20"/>
      <w:lang w:eastAsia="en-US"/>
    </w:rPr>
  </w:style>
  <w:style w:type="paragraph" w:customStyle="1" w:styleId="FigureNoTitle0">
    <w:name w:val="Figure_NoTitle"/>
    <w:basedOn w:val="Normal"/>
    <w:next w:val="Normalaftertitle"/>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eastAsia="en-US"/>
    </w:rPr>
  </w:style>
  <w:style w:type="paragraph" w:customStyle="1" w:styleId="Normalaftertitle0">
    <w:name w:val="Normal after title"/>
    <w:basedOn w:val="Normal"/>
    <w:next w:val="Normal"/>
    <w:qFormat/>
    <w:pPr>
      <w:tabs>
        <w:tab w:val="left" w:pos="794"/>
        <w:tab w:val="left" w:pos="1191"/>
        <w:tab w:val="left" w:pos="1588"/>
        <w:tab w:val="left" w:pos="1985"/>
      </w:tabs>
      <w:overflowPunct w:val="0"/>
      <w:autoSpaceDE w:val="0"/>
      <w:autoSpaceDN w:val="0"/>
      <w:adjustRightInd w:val="0"/>
      <w:textAlignment w:val="baseline"/>
    </w:pPr>
    <w:rPr>
      <w:rFonts w:eastAsia="MS Mincho"/>
      <w:szCs w:val="20"/>
      <w:lang w:eastAsia="en-US"/>
    </w:rPr>
  </w:style>
  <w:style w:type="paragraph" w:customStyle="1" w:styleId="AnnexTitle">
    <w:name w:val="Annex_Title"/>
    <w:basedOn w:val="Normal"/>
    <w:next w:val="Normalaftertitle0"/>
    <w:qFormat/>
    <w:pPr>
      <w:keepNext/>
      <w:keepLines/>
      <w:tabs>
        <w:tab w:val="left" w:pos="794"/>
        <w:tab w:val="left" w:pos="1191"/>
        <w:tab w:val="left" w:pos="1588"/>
        <w:tab w:val="left" w:pos="1985"/>
      </w:tabs>
      <w:overflowPunct w:val="0"/>
      <w:autoSpaceDE w:val="0"/>
      <w:autoSpaceDN w:val="0"/>
      <w:adjustRightInd w:val="0"/>
      <w:spacing w:before="0" w:after="480"/>
      <w:jc w:val="center"/>
      <w:textAlignment w:val="baseline"/>
    </w:pPr>
    <w:rPr>
      <w:rFonts w:ascii="Times New Roman Bold" w:eastAsia="MS Mincho" w:hAnsi="Times New Roman Bold"/>
      <w:b/>
      <w:szCs w:val="20"/>
      <w:u w:val="single"/>
      <w:lang w:eastAsia="en-US"/>
    </w:rPr>
  </w:style>
  <w:style w:type="paragraph" w:customStyle="1" w:styleId="Infodoc">
    <w:name w:val="Infodoc"/>
    <w:basedOn w:val="Normal"/>
    <w:qFormat/>
    <w:pPr>
      <w:tabs>
        <w:tab w:val="left" w:pos="1418"/>
      </w:tabs>
      <w:overflowPunct w:val="0"/>
      <w:autoSpaceDE w:val="0"/>
      <w:autoSpaceDN w:val="0"/>
      <w:adjustRightInd w:val="0"/>
      <w:spacing w:before="0"/>
      <w:ind w:left="1418" w:hanging="1418"/>
      <w:textAlignment w:val="baseline"/>
    </w:pPr>
    <w:rPr>
      <w:rFonts w:eastAsia="MS Mincho"/>
      <w:szCs w:val="20"/>
      <w:lang w:eastAsia="en-US"/>
    </w:rPr>
  </w:style>
  <w:style w:type="paragraph" w:customStyle="1" w:styleId="Retraitindent">
    <w:name w:val="Retrait_indent"/>
    <w:basedOn w:val="NormalIndent"/>
    <w:qFormat/>
    <w:pPr>
      <w:tabs>
        <w:tab w:val="clear" w:pos="794"/>
        <w:tab w:val="clear" w:pos="1191"/>
        <w:tab w:val="clear" w:pos="1588"/>
        <w:tab w:val="clear" w:pos="1985"/>
      </w:tabs>
      <w:spacing w:before="0"/>
      <w:ind w:left="851" w:hanging="284"/>
    </w:pPr>
    <w:rPr>
      <w:rFonts w:ascii="Arial" w:eastAsia="?ﾚﾗ??ﾊ" w:hAnsi="Arial"/>
      <w:sz w:val="20"/>
      <w:lang w:val="en-US" w:eastAsia="ja-JP"/>
    </w:rPr>
  </w:style>
  <w:style w:type="paragraph" w:customStyle="1" w:styleId="r">
    <w:name w:val="표준r"/>
    <w:next w:val="Normal"/>
    <w:qFormat/>
    <w:pPr>
      <w:widowControl w:val="0"/>
      <w:jc w:val="both"/>
    </w:pPr>
    <w:rPr>
      <w:rFonts w:ascii="Tahoma" w:eastAsia="SimSun" w:hAnsi="Tahoma" w:cs="Times New Roman"/>
      <w:kern w:val="2"/>
      <w:sz w:val="22"/>
      <w:lang w:val="en-US" w:eastAsia="zh-CN"/>
    </w:rPr>
  </w:style>
  <w:style w:type="paragraph" w:customStyle="1" w:styleId="Char1CharCharCharCharCharCharCharCharCharCharCharCharCharChar1">
    <w:name w:val="Char1 Char Char Char Char Char Char Char Char Char Char Char Char Char Char1"/>
    <w:basedOn w:val="Normal"/>
    <w:qFormat/>
    <w:pPr>
      <w:widowControl w:val="0"/>
      <w:spacing w:before="0"/>
      <w:jc w:val="both"/>
    </w:pPr>
    <w:rPr>
      <w:rFonts w:ascii="Tahoma" w:eastAsia="SimSun" w:hAnsi="Tahoma"/>
      <w:kern w:val="2"/>
      <w:sz w:val="22"/>
      <w:szCs w:val="20"/>
      <w:lang w:val="en-US" w:eastAsia="zh-CN"/>
    </w:rPr>
  </w:style>
  <w:style w:type="paragraph" w:customStyle="1" w:styleId="3">
    <w:name w:val="스타일 색인 3 + (한글) 바탕"/>
    <w:basedOn w:val="Index3"/>
    <w:link w:val="3Char"/>
    <w:qFormat/>
    <w:rPr>
      <w:rFonts w:eastAsia="Batang"/>
      <w:sz w:val="22"/>
    </w:rPr>
  </w:style>
  <w:style w:type="character" w:customStyle="1" w:styleId="3Char">
    <w:name w:val="스타일 색인 3 + (한글) 바탕 Char"/>
    <w:link w:val="3"/>
    <w:qFormat/>
    <w:locked/>
    <w:rPr>
      <w:rFonts w:ascii="Times New Roman" w:eastAsia="Batang" w:hAnsi="Times New Roman" w:cs="Times New Roman"/>
      <w:kern w:val="0"/>
      <w:sz w:val="22"/>
      <w:szCs w:val="20"/>
      <w:lang w:val="en-GB" w:eastAsia="en-US"/>
    </w:rPr>
  </w:style>
  <w:style w:type="paragraph" w:customStyle="1" w:styleId="a">
    <w:name w:val="목록 단락"/>
    <w:basedOn w:val="Normal"/>
    <w:uiPriority w:val="34"/>
    <w:qFormat/>
    <w:pPr>
      <w:tabs>
        <w:tab w:val="left" w:pos="794"/>
        <w:tab w:val="left" w:pos="1191"/>
        <w:tab w:val="left" w:pos="1588"/>
        <w:tab w:val="left" w:pos="1985"/>
      </w:tabs>
      <w:overflowPunct w:val="0"/>
      <w:autoSpaceDE w:val="0"/>
      <w:autoSpaceDN w:val="0"/>
      <w:adjustRightInd w:val="0"/>
      <w:ind w:leftChars="400" w:left="800"/>
      <w:textAlignment w:val="baseline"/>
    </w:pPr>
    <w:rPr>
      <w:rFonts w:eastAsia="MS Mincho"/>
      <w:szCs w:val="20"/>
      <w:lang w:eastAsia="en-US"/>
    </w:rPr>
  </w:style>
  <w:style w:type="paragraph" w:customStyle="1" w:styleId="CharCharCharCharCharCharCharCharCharCharCharChar">
    <w:name w:val="(文字) (文字) Char Char (文字) (文字) Char Char (文字) (文字) Char Char Char Char Char Char Char Char"/>
    <w:basedOn w:val="Normal"/>
    <w:qFormat/>
    <w:pPr>
      <w:widowControl w:val="0"/>
      <w:spacing w:before="0"/>
      <w:jc w:val="both"/>
    </w:pPr>
    <w:rPr>
      <w:rFonts w:ascii="Tahoma" w:eastAsia="SimSun" w:hAnsi="Tahoma"/>
      <w:kern w:val="2"/>
      <w:szCs w:val="20"/>
      <w:lang w:val="en-US" w:eastAsia="zh-CN"/>
    </w:rPr>
  </w:style>
  <w:style w:type="paragraph" w:customStyle="1" w:styleId="Body">
    <w:name w:val="Body"/>
    <w:basedOn w:val="Normal"/>
    <w:qFormat/>
    <w:pPr>
      <w:tabs>
        <w:tab w:val="left" w:pos="9356"/>
      </w:tabs>
      <w:spacing w:before="80" w:after="80" w:line="288" w:lineRule="auto"/>
      <w:ind w:left="1259"/>
      <w:jc w:val="both"/>
    </w:pPr>
    <w:rPr>
      <w:rFonts w:eastAsia="SimSun"/>
      <w:snapToGrid w:val="0"/>
      <w:sz w:val="21"/>
      <w:szCs w:val="21"/>
      <w:lang w:val="en-US" w:eastAsia="zh-CN"/>
    </w:rPr>
  </w:style>
  <w:style w:type="paragraph" w:customStyle="1" w:styleId="BodyParaIndented">
    <w:name w:val="Body Para Indented"/>
    <w:basedOn w:val="Normal"/>
    <w:qFormat/>
    <w:pPr>
      <w:keepLines/>
      <w:spacing w:after="240"/>
      <w:ind w:left="720"/>
    </w:pPr>
    <w:rPr>
      <w:rFonts w:ascii="Bookman Old Style" w:eastAsia="MS Mincho" w:hAnsi="Bookman Old Style"/>
      <w:szCs w:val="20"/>
      <w:lang w:val="en-US" w:eastAsia="en-US"/>
    </w:rPr>
  </w:style>
  <w:style w:type="paragraph" w:customStyle="1" w:styleId="B1">
    <w:name w:val="B1"/>
    <w:basedOn w:val="List"/>
    <w:link w:val="B1Char"/>
    <w:qFormat/>
    <w:pPr>
      <w:tabs>
        <w:tab w:val="clear" w:pos="794"/>
        <w:tab w:val="clear" w:pos="1191"/>
        <w:tab w:val="clear" w:pos="1588"/>
        <w:tab w:val="clear" w:pos="1985"/>
      </w:tabs>
      <w:overflowPunct/>
      <w:autoSpaceDE/>
      <w:autoSpaceDN/>
      <w:adjustRightInd/>
      <w:spacing w:before="0" w:after="180"/>
      <w:ind w:left="568" w:firstLineChars="0" w:hanging="284"/>
      <w:textAlignment w:val="auto"/>
    </w:pPr>
    <w:rPr>
      <w:rFonts w:eastAsia="SimSun"/>
      <w:sz w:val="20"/>
    </w:r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shorttext1">
    <w:name w:val="short_text1"/>
    <w:qFormat/>
    <w:rPr>
      <w:sz w:val="29"/>
      <w:szCs w:val="29"/>
    </w:rPr>
  </w:style>
  <w:style w:type="paragraph" w:customStyle="1" w:styleId="a0">
    <w:name w:val="段"/>
    <w:qFormat/>
    <w:pPr>
      <w:autoSpaceDE w:val="0"/>
      <w:autoSpaceDN w:val="0"/>
      <w:spacing w:line="360" w:lineRule="auto"/>
      <w:ind w:firstLineChars="200" w:firstLine="200"/>
      <w:jc w:val="both"/>
    </w:pPr>
    <w:rPr>
      <w:rFonts w:ascii="SimSun" w:eastAsia="SimSun" w:hAnsi="Times New Roman" w:cs="Times New Roman"/>
      <w:sz w:val="21"/>
      <w:lang w:val="en-US" w:eastAsia="zh-CN"/>
    </w:rPr>
  </w:style>
  <w:style w:type="paragraph" w:customStyle="1" w:styleId="CharChar1CharCharCharChar1CharCharCharCharCharCharCharCharCharChar1CharCharCharChar">
    <w:name w:val="Char Char1 Char Char Char Char1 Char Char Char Char Char Char Char Char Char Char1 Char Char Char Char"/>
    <w:basedOn w:val="Normal"/>
    <w:qFormat/>
    <w:pPr>
      <w:widowControl w:val="0"/>
      <w:spacing w:before="0"/>
      <w:jc w:val="both"/>
    </w:pPr>
    <w:rPr>
      <w:rFonts w:ascii="Tahoma" w:eastAsia="SimSun" w:hAnsi="Tahoma"/>
      <w:kern w:val="2"/>
      <w:szCs w:val="20"/>
      <w:lang w:val="en-US" w:eastAsia="zh-CN"/>
    </w:rPr>
  </w:style>
  <w:style w:type="character" w:customStyle="1" w:styleId="trans">
    <w:name w:val="trans"/>
    <w:basedOn w:val="DefaultParagraphFont"/>
    <w:qFormat/>
  </w:style>
  <w:style w:type="character" w:customStyle="1" w:styleId="webdict">
    <w:name w:val="webdict"/>
    <w:basedOn w:val="DefaultParagraphFont"/>
    <w:qFormat/>
  </w:style>
  <w:style w:type="character" w:customStyle="1" w:styleId="word">
    <w:name w:val="word"/>
    <w:basedOn w:val="DefaultParagraphFont"/>
    <w:qFormat/>
  </w:style>
  <w:style w:type="paragraph" w:customStyle="1" w:styleId="32numbers">
    <w:name w:val="3.2 numbers"/>
    <w:basedOn w:val="Normal"/>
    <w:qFormat/>
    <w:pPr>
      <w:numPr>
        <w:numId w:val="1"/>
      </w:numPr>
      <w:tabs>
        <w:tab w:val="left" w:pos="1191"/>
        <w:tab w:val="left" w:pos="1588"/>
        <w:tab w:val="left" w:pos="1985"/>
      </w:tabs>
      <w:overflowPunct w:val="0"/>
      <w:autoSpaceDE w:val="0"/>
      <w:autoSpaceDN w:val="0"/>
      <w:adjustRightInd w:val="0"/>
      <w:textAlignment w:val="baseline"/>
    </w:pPr>
    <w:rPr>
      <w:rFonts w:eastAsia="Batang"/>
      <w:szCs w:val="20"/>
      <w:lang w:eastAsia="en-US" w:bidi="he-IL"/>
    </w:rPr>
  </w:style>
  <w:style w:type="paragraph" w:customStyle="1" w:styleId="10">
    <w:name w:val="列出段落1"/>
    <w:basedOn w:val="Normal"/>
    <w:uiPriority w:val="34"/>
    <w:qFormat/>
    <w:pPr>
      <w:ind w:firstLineChars="200" w:firstLine="420"/>
    </w:pPr>
  </w:style>
  <w:style w:type="character" w:customStyle="1" w:styleId="15">
    <w:name w:val="15"/>
    <w:qFormat/>
    <w:rPr>
      <w:rFonts w:ascii="Times New Roman" w:hAnsi="Times New Roman" w:cs="Times New Roman" w:hint="default"/>
      <w:color w:val="0000FF"/>
      <w:u w:val="single"/>
    </w:rPr>
  </w:style>
  <w:style w:type="paragraph" w:customStyle="1" w:styleId="Style168">
    <w:name w:val="_Style 168"/>
    <w:basedOn w:val="Normal"/>
    <w:next w:val="ListParagraph"/>
    <w:uiPriority w:val="34"/>
    <w:qFormat/>
    <w:pPr>
      <w:tabs>
        <w:tab w:val="left" w:pos="794"/>
        <w:tab w:val="left" w:pos="1191"/>
        <w:tab w:val="left" w:pos="1588"/>
        <w:tab w:val="left" w:pos="1985"/>
      </w:tabs>
      <w:overflowPunct w:val="0"/>
      <w:autoSpaceDE w:val="0"/>
      <w:autoSpaceDN w:val="0"/>
      <w:adjustRightInd w:val="0"/>
      <w:ind w:firstLineChars="200" w:firstLine="420"/>
      <w:textAlignment w:val="baseline"/>
    </w:pPr>
    <w:rPr>
      <w:rFonts w:eastAsia="SimSun"/>
      <w:szCs w:val="20"/>
      <w:lang w:eastAsia="en-US"/>
    </w:rPr>
  </w:style>
  <w:style w:type="character" w:customStyle="1" w:styleId="skip">
    <w:name w:val="skip"/>
    <w:basedOn w:val="DefaultParagraphFont"/>
    <w:qFormat/>
  </w:style>
  <w:style w:type="character" w:customStyle="1" w:styleId="apple-converted-space">
    <w:name w:val="apple-converted-space"/>
    <w:basedOn w:val="DefaultParagraphFont"/>
    <w:qFormat/>
  </w:style>
  <w:style w:type="character" w:styleId="UnresolvedMention">
    <w:name w:val="Unresolved Mention"/>
    <w:basedOn w:val="DefaultParagraphFont"/>
    <w:uiPriority w:val="99"/>
    <w:semiHidden/>
    <w:unhideWhenUsed/>
    <w:rsid w:val="00174626"/>
    <w:rPr>
      <w:color w:val="605E5C"/>
      <w:shd w:val="clear" w:color="auto" w:fill="E1DFDD"/>
    </w:rPr>
  </w:style>
  <w:style w:type="paragraph" w:styleId="Revision">
    <w:name w:val="Revision"/>
    <w:hidden/>
    <w:uiPriority w:val="99"/>
    <w:semiHidden/>
    <w:rsid w:val="00174626"/>
    <w:rPr>
      <w:rFonts w:ascii="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775D7D"/>
    <w:rPr>
      <w:color w:val="954F72" w:themeColor="followedHyperlink"/>
      <w:u w:val="single"/>
    </w:rPr>
  </w:style>
  <w:style w:type="paragraph" w:styleId="BodyTextIndent">
    <w:name w:val="Body Text Indent"/>
    <w:basedOn w:val="Normal"/>
    <w:link w:val="BodyTextIndentChar"/>
    <w:uiPriority w:val="99"/>
    <w:unhideWhenUsed/>
    <w:rsid w:val="003C5CE3"/>
    <w:pPr>
      <w:spacing w:after="120"/>
      <w:ind w:left="360"/>
    </w:pPr>
  </w:style>
  <w:style w:type="character" w:customStyle="1" w:styleId="BodyTextIndentChar">
    <w:name w:val="Body Text Indent Char"/>
    <w:basedOn w:val="DefaultParagraphFont"/>
    <w:link w:val="BodyTextIndent"/>
    <w:uiPriority w:val="99"/>
    <w:rsid w:val="003C5CE3"/>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4421">
      <w:bodyDiv w:val="1"/>
      <w:marLeft w:val="0"/>
      <w:marRight w:val="0"/>
      <w:marTop w:val="0"/>
      <w:marBottom w:val="0"/>
      <w:divBdr>
        <w:top w:val="none" w:sz="0" w:space="0" w:color="auto"/>
        <w:left w:val="none" w:sz="0" w:space="0" w:color="auto"/>
        <w:bottom w:val="none" w:sz="0" w:space="0" w:color="auto"/>
        <w:right w:val="none" w:sz="0" w:space="0" w:color="auto"/>
      </w:divBdr>
      <w:divsChild>
        <w:div w:id="782185740">
          <w:marLeft w:val="0"/>
          <w:marRight w:val="0"/>
          <w:marTop w:val="0"/>
          <w:marBottom w:val="0"/>
          <w:divBdr>
            <w:top w:val="none" w:sz="0" w:space="0" w:color="auto"/>
            <w:left w:val="none" w:sz="0" w:space="0" w:color="auto"/>
            <w:bottom w:val="none" w:sz="0" w:space="0" w:color="auto"/>
            <w:right w:val="none" w:sz="0" w:space="0" w:color="auto"/>
          </w:divBdr>
        </w:div>
        <w:div w:id="689915315">
          <w:marLeft w:val="0"/>
          <w:marRight w:val="0"/>
          <w:marTop w:val="0"/>
          <w:marBottom w:val="0"/>
          <w:divBdr>
            <w:top w:val="none" w:sz="0" w:space="0" w:color="auto"/>
            <w:left w:val="none" w:sz="0" w:space="0" w:color="auto"/>
            <w:bottom w:val="none" w:sz="0" w:space="0" w:color="auto"/>
            <w:right w:val="none" w:sz="0" w:space="0" w:color="auto"/>
          </w:divBdr>
        </w:div>
      </w:divsChild>
    </w:div>
    <w:div w:id="162358158">
      <w:bodyDiv w:val="1"/>
      <w:marLeft w:val="0"/>
      <w:marRight w:val="0"/>
      <w:marTop w:val="0"/>
      <w:marBottom w:val="0"/>
      <w:divBdr>
        <w:top w:val="none" w:sz="0" w:space="0" w:color="auto"/>
        <w:left w:val="none" w:sz="0" w:space="0" w:color="auto"/>
        <w:bottom w:val="none" w:sz="0" w:space="0" w:color="auto"/>
        <w:right w:val="none" w:sz="0" w:space="0" w:color="auto"/>
      </w:divBdr>
      <w:divsChild>
        <w:div w:id="282856912">
          <w:marLeft w:val="0"/>
          <w:marRight w:val="0"/>
          <w:marTop w:val="0"/>
          <w:marBottom w:val="0"/>
          <w:divBdr>
            <w:top w:val="none" w:sz="0" w:space="0" w:color="auto"/>
            <w:left w:val="none" w:sz="0" w:space="0" w:color="auto"/>
            <w:bottom w:val="none" w:sz="0" w:space="0" w:color="auto"/>
            <w:right w:val="none" w:sz="0" w:space="0" w:color="auto"/>
          </w:divBdr>
        </w:div>
        <w:div w:id="1842306218">
          <w:marLeft w:val="0"/>
          <w:marRight w:val="0"/>
          <w:marTop w:val="0"/>
          <w:marBottom w:val="0"/>
          <w:divBdr>
            <w:top w:val="none" w:sz="0" w:space="0" w:color="auto"/>
            <w:left w:val="none" w:sz="0" w:space="0" w:color="auto"/>
            <w:bottom w:val="none" w:sz="0" w:space="0" w:color="auto"/>
            <w:right w:val="none" w:sz="0" w:space="0" w:color="auto"/>
          </w:divBdr>
        </w:div>
      </w:divsChild>
    </w:div>
    <w:div w:id="314186342">
      <w:bodyDiv w:val="1"/>
      <w:marLeft w:val="0"/>
      <w:marRight w:val="0"/>
      <w:marTop w:val="0"/>
      <w:marBottom w:val="0"/>
      <w:divBdr>
        <w:top w:val="none" w:sz="0" w:space="0" w:color="auto"/>
        <w:left w:val="none" w:sz="0" w:space="0" w:color="auto"/>
        <w:bottom w:val="none" w:sz="0" w:space="0" w:color="auto"/>
        <w:right w:val="none" w:sz="0" w:space="0" w:color="auto"/>
      </w:divBdr>
    </w:div>
    <w:div w:id="340007828">
      <w:bodyDiv w:val="1"/>
      <w:marLeft w:val="0"/>
      <w:marRight w:val="0"/>
      <w:marTop w:val="0"/>
      <w:marBottom w:val="0"/>
      <w:divBdr>
        <w:top w:val="none" w:sz="0" w:space="0" w:color="auto"/>
        <w:left w:val="none" w:sz="0" w:space="0" w:color="auto"/>
        <w:bottom w:val="none" w:sz="0" w:space="0" w:color="auto"/>
        <w:right w:val="none" w:sz="0" w:space="0" w:color="auto"/>
      </w:divBdr>
      <w:divsChild>
        <w:div w:id="1480729308">
          <w:marLeft w:val="0"/>
          <w:marRight w:val="0"/>
          <w:marTop w:val="0"/>
          <w:marBottom w:val="0"/>
          <w:divBdr>
            <w:top w:val="none" w:sz="0" w:space="0" w:color="auto"/>
            <w:left w:val="none" w:sz="0" w:space="0" w:color="auto"/>
            <w:bottom w:val="none" w:sz="0" w:space="0" w:color="auto"/>
            <w:right w:val="none" w:sz="0" w:space="0" w:color="auto"/>
          </w:divBdr>
        </w:div>
        <w:div w:id="2005546689">
          <w:marLeft w:val="0"/>
          <w:marRight w:val="0"/>
          <w:marTop w:val="0"/>
          <w:marBottom w:val="0"/>
          <w:divBdr>
            <w:top w:val="none" w:sz="0" w:space="0" w:color="auto"/>
            <w:left w:val="none" w:sz="0" w:space="0" w:color="auto"/>
            <w:bottom w:val="none" w:sz="0" w:space="0" w:color="auto"/>
            <w:right w:val="none" w:sz="0" w:space="0" w:color="auto"/>
          </w:divBdr>
          <w:divsChild>
            <w:div w:id="1023435019">
              <w:marLeft w:val="0"/>
              <w:marRight w:val="0"/>
              <w:marTop w:val="0"/>
              <w:marBottom w:val="0"/>
              <w:divBdr>
                <w:top w:val="none" w:sz="0" w:space="0" w:color="auto"/>
                <w:left w:val="none" w:sz="0" w:space="0" w:color="auto"/>
                <w:bottom w:val="none" w:sz="0" w:space="0" w:color="auto"/>
                <w:right w:val="none" w:sz="0" w:space="0" w:color="auto"/>
              </w:divBdr>
            </w:div>
          </w:divsChild>
        </w:div>
        <w:div w:id="765616419">
          <w:marLeft w:val="0"/>
          <w:marRight w:val="0"/>
          <w:marTop w:val="0"/>
          <w:marBottom w:val="0"/>
          <w:divBdr>
            <w:top w:val="none" w:sz="0" w:space="0" w:color="auto"/>
            <w:left w:val="none" w:sz="0" w:space="0" w:color="auto"/>
            <w:bottom w:val="none" w:sz="0" w:space="0" w:color="auto"/>
            <w:right w:val="none" w:sz="0" w:space="0" w:color="auto"/>
          </w:divBdr>
        </w:div>
      </w:divsChild>
    </w:div>
    <w:div w:id="357706680">
      <w:bodyDiv w:val="1"/>
      <w:marLeft w:val="0"/>
      <w:marRight w:val="0"/>
      <w:marTop w:val="0"/>
      <w:marBottom w:val="0"/>
      <w:divBdr>
        <w:top w:val="none" w:sz="0" w:space="0" w:color="auto"/>
        <w:left w:val="none" w:sz="0" w:space="0" w:color="auto"/>
        <w:bottom w:val="none" w:sz="0" w:space="0" w:color="auto"/>
        <w:right w:val="none" w:sz="0" w:space="0" w:color="auto"/>
      </w:divBdr>
    </w:div>
    <w:div w:id="461966782">
      <w:bodyDiv w:val="1"/>
      <w:marLeft w:val="0"/>
      <w:marRight w:val="0"/>
      <w:marTop w:val="0"/>
      <w:marBottom w:val="0"/>
      <w:divBdr>
        <w:top w:val="none" w:sz="0" w:space="0" w:color="auto"/>
        <w:left w:val="none" w:sz="0" w:space="0" w:color="auto"/>
        <w:bottom w:val="none" w:sz="0" w:space="0" w:color="auto"/>
        <w:right w:val="none" w:sz="0" w:space="0" w:color="auto"/>
      </w:divBdr>
      <w:divsChild>
        <w:div w:id="1743864558">
          <w:marLeft w:val="0"/>
          <w:marRight w:val="0"/>
          <w:marTop w:val="0"/>
          <w:marBottom w:val="0"/>
          <w:divBdr>
            <w:top w:val="none" w:sz="0" w:space="0" w:color="auto"/>
            <w:left w:val="none" w:sz="0" w:space="0" w:color="auto"/>
            <w:bottom w:val="none" w:sz="0" w:space="0" w:color="auto"/>
            <w:right w:val="none" w:sz="0" w:space="0" w:color="auto"/>
          </w:divBdr>
        </w:div>
        <w:div w:id="991446879">
          <w:marLeft w:val="0"/>
          <w:marRight w:val="0"/>
          <w:marTop w:val="0"/>
          <w:marBottom w:val="0"/>
          <w:divBdr>
            <w:top w:val="none" w:sz="0" w:space="0" w:color="auto"/>
            <w:left w:val="none" w:sz="0" w:space="0" w:color="auto"/>
            <w:bottom w:val="none" w:sz="0" w:space="0" w:color="auto"/>
            <w:right w:val="none" w:sz="0" w:space="0" w:color="auto"/>
          </w:divBdr>
        </w:div>
      </w:divsChild>
    </w:div>
    <w:div w:id="492373050">
      <w:bodyDiv w:val="1"/>
      <w:marLeft w:val="0"/>
      <w:marRight w:val="0"/>
      <w:marTop w:val="0"/>
      <w:marBottom w:val="0"/>
      <w:divBdr>
        <w:top w:val="none" w:sz="0" w:space="0" w:color="auto"/>
        <w:left w:val="none" w:sz="0" w:space="0" w:color="auto"/>
        <w:bottom w:val="none" w:sz="0" w:space="0" w:color="auto"/>
        <w:right w:val="none" w:sz="0" w:space="0" w:color="auto"/>
      </w:divBdr>
      <w:divsChild>
        <w:div w:id="1482497447">
          <w:marLeft w:val="0"/>
          <w:marRight w:val="0"/>
          <w:marTop w:val="0"/>
          <w:marBottom w:val="0"/>
          <w:divBdr>
            <w:top w:val="none" w:sz="0" w:space="0" w:color="auto"/>
            <w:left w:val="none" w:sz="0" w:space="0" w:color="auto"/>
            <w:bottom w:val="none" w:sz="0" w:space="0" w:color="auto"/>
            <w:right w:val="none" w:sz="0" w:space="0" w:color="auto"/>
          </w:divBdr>
        </w:div>
      </w:divsChild>
    </w:div>
    <w:div w:id="492839230">
      <w:bodyDiv w:val="1"/>
      <w:marLeft w:val="0"/>
      <w:marRight w:val="0"/>
      <w:marTop w:val="0"/>
      <w:marBottom w:val="0"/>
      <w:divBdr>
        <w:top w:val="none" w:sz="0" w:space="0" w:color="auto"/>
        <w:left w:val="none" w:sz="0" w:space="0" w:color="auto"/>
        <w:bottom w:val="none" w:sz="0" w:space="0" w:color="auto"/>
        <w:right w:val="none" w:sz="0" w:space="0" w:color="auto"/>
      </w:divBdr>
      <w:divsChild>
        <w:div w:id="609971365">
          <w:marLeft w:val="0"/>
          <w:marRight w:val="0"/>
          <w:marTop w:val="0"/>
          <w:marBottom w:val="0"/>
          <w:divBdr>
            <w:top w:val="none" w:sz="0" w:space="0" w:color="auto"/>
            <w:left w:val="none" w:sz="0" w:space="0" w:color="auto"/>
            <w:bottom w:val="none" w:sz="0" w:space="0" w:color="auto"/>
            <w:right w:val="none" w:sz="0" w:space="0" w:color="auto"/>
          </w:divBdr>
        </w:div>
        <w:div w:id="712002897">
          <w:marLeft w:val="0"/>
          <w:marRight w:val="0"/>
          <w:marTop w:val="0"/>
          <w:marBottom w:val="0"/>
          <w:divBdr>
            <w:top w:val="none" w:sz="0" w:space="0" w:color="auto"/>
            <w:left w:val="none" w:sz="0" w:space="0" w:color="auto"/>
            <w:bottom w:val="none" w:sz="0" w:space="0" w:color="auto"/>
            <w:right w:val="none" w:sz="0" w:space="0" w:color="auto"/>
          </w:divBdr>
        </w:div>
        <w:div w:id="1299915492">
          <w:marLeft w:val="0"/>
          <w:marRight w:val="0"/>
          <w:marTop w:val="0"/>
          <w:marBottom w:val="0"/>
          <w:divBdr>
            <w:top w:val="none" w:sz="0" w:space="0" w:color="auto"/>
            <w:left w:val="none" w:sz="0" w:space="0" w:color="auto"/>
            <w:bottom w:val="none" w:sz="0" w:space="0" w:color="auto"/>
            <w:right w:val="none" w:sz="0" w:space="0" w:color="auto"/>
          </w:divBdr>
        </w:div>
        <w:div w:id="701857648">
          <w:marLeft w:val="0"/>
          <w:marRight w:val="0"/>
          <w:marTop w:val="0"/>
          <w:marBottom w:val="0"/>
          <w:divBdr>
            <w:top w:val="none" w:sz="0" w:space="0" w:color="auto"/>
            <w:left w:val="none" w:sz="0" w:space="0" w:color="auto"/>
            <w:bottom w:val="none" w:sz="0" w:space="0" w:color="auto"/>
            <w:right w:val="none" w:sz="0" w:space="0" w:color="auto"/>
          </w:divBdr>
        </w:div>
        <w:div w:id="275016803">
          <w:marLeft w:val="0"/>
          <w:marRight w:val="0"/>
          <w:marTop w:val="0"/>
          <w:marBottom w:val="0"/>
          <w:divBdr>
            <w:top w:val="none" w:sz="0" w:space="0" w:color="auto"/>
            <w:left w:val="none" w:sz="0" w:space="0" w:color="auto"/>
            <w:bottom w:val="none" w:sz="0" w:space="0" w:color="auto"/>
            <w:right w:val="none" w:sz="0" w:space="0" w:color="auto"/>
          </w:divBdr>
        </w:div>
        <w:div w:id="1127623614">
          <w:marLeft w:val="0"/>
          <w:marRight w:val="0"/>
          <w:marTop w:val="0"/>
          <w:marBottom w:val="0"/>
          <w:divBdr>
            <w:top w:val="none" w:sz="0" w:space="0" w:color="auto"/>
            <w:left w:val="none" w:sz="0" w:space="0" w:color="auto"/>
            <w:bottom w:val="none" w:sz="0" w:space="0" w:color="auto"/>
            <w:right w:val="none" w:sz="0" w:space="0" w:color="auto"/>
          </w:divBdr>
        </w:div>
        <w:div w:id="599489605">
          <w:marLeft w:val="0"/>
          <w:marRight w:val="0"/>
          <w:marTop w:val="0"/>
          <w:marBottom w:val="0"/>
          <w:divBdr>
            <w:top w:val="none" w:sz="0" w:space="0" w:color="auto"/>
            <w:left w:val="none" w:sz="0" w:space="0" w:color="auto"/>
            <w:bottom w:val="none" w:sz="0" w:space="0" w:color="auto"/>
            <w:right w:val="none" w:sz="0" w:space="0" w:color="auto"/>
          </w:divBdr>
        </w:div>
      </w:divsChild>
    </w:div>
    <w:div w:id="526721031">
      <w:bodyDiv w:val="1"/>
      <w:marLeft w:val="0"/>
      <w:marRight w:val="0"/>
      <w:marTop w:val="0"/>
      <w:marBottom w:val="0"/>
      <w:divBdr>
        <w:top w:val="none" w:sz="0" w:space="0" w:color="auto"/>
        <w:left w:val="none" w:sz="0" w:space="0" w:color="auto"/>
        <w:bottom w:val="none" w:sz="0" w:space="0" w:color="auto"/>
        <w:right w:val="none" w:sz="0" w:space="0" w:color="auto"/>
      </w:divBdr>
      <w:divsChild>
        <w:div w:id="151217385">
          <w:marLeft w:val="0"/>
          <w:marRight w:val="0"/>
          <w:marTop w:val="0"/>
          <w:marBottom w:val="0"/>
          <w:divBdr>
            <w:top w:val="none" w:sz="0" w:space="0" w:color="auto"/>
            <w:left w:val="none" w:sz="0" w:space="0" w:color="auto"/>
            <w:bottom w:val="none" w:sz="0" w:space="0" w:color="auto"/>
            <w:right w:val="none" w:sz="0" w:space="0" w:color="auto"/>
          </w:divBdr>
        </w:div>
        <w:div w:id="1692144729">
          <w:marLeft w:val="0"/>
          <w:marRight w:val="0"/>
          <w:marTop w:val="0"/>
          <w:marBottom w:val="0"/>
          <w:divBdr>
            <w:top w:val="none" w:sz="0" w:space="0" w:color="auto"/>
            <w:left w:val="none" w:sz="0" w:space="0" w:color="auto"/>
            <w:bottom w:val="none" w:sz="0" w:space="0" w:color="auto"/>
            <w:right w:val="none" w:sz="0" w:space="0" w:color="auto"/>
          </w:divBdr>
        </w:div>
      </w:divsChild>
    </w:div>
    <w:div w:id="574095702">
      <w:bodyDiv w:val="1"/>
      <w:marLeft w:val="0"/>
      <w:marRight w:val="0"/>
      <w:marTop w:val="0"/>
      <w:marBottom w:val="0"/>
      <w:divBdr>
        <w:top w:val="none" w:sz="0" w:space="0" w:color="auto"/>
        <w:left w:val="none" w:sz="0" w:space="0" w:color="auto"/>
        <w:bottom w:val="none" w:sz="0" w:space="0" w:color="auto"/>
        <w:right w:val="none" w:sz="0" w:space="0" w:color="auto"/>
      </w:divBdr>
    </w:div>
    <w:div w:id="642277347">
      <w:bodyDiv w:val="1"/>
      <w:marLeft w:val="0"/>
      <w:marRight w:val="0"/>
      <w:marTop w:val="0"/>
      <w:marBottom w:val="0"/>
      <w:divBdr>
        <w:top w:val="none" w:sz="0" w:space="0" w:color="auto"/>
        <w:left w:val="none" w:sz="0" w:space="0" w:color="auto"/>
        <w:bottom w:val="none" w:sz="0" w:space="0" w:color="auto"/>
        <w:right w:val="none" w:sz="0" w:space="0" w:color="auto"/>
      </w:divBdr>
      <w:divsChild>
        <w:div w:id="86461171">
          <w:marLeft w:val="0"/>
          <w:marRight w:val="0"/>
          <w:marTop w:val="0"/>
          <w:marBottom w:val="0"/>
          <w:divBdr>
            <w:top w:val="none" w:sz="0" w:space="0" w:color="auto"/>
            <w:left w:val="none" w:sz="0" w:space="0" w:color="auto"/>
            <w:bottom w:val="none" w:sz="0" w:space="0" w:color="auto"/>
            <w:right w:val="none" w:sz="0" w:space="0" w:color="auto"/>
          </w:divBdr>
        </w:div>
        <w:div w:id="1555314713">
          <w:marLeft w:val="0"/>
          <w:marRight w:val="0"/>
          <w:marTop w:val="0"/>
          <w:marBottom w:val="0"/>
          <w:divBdr>
            <w:top w:val="none" w:sz="0" w:space="0" w:color="auto"/>
            <w:left w:val="none" w:sz="0" w:space="0" w:color="auto"/>
            <w:bottom w:val="none" w:sz="0" w:space="0" w:color="auto"/>
            <w:right w:val="none" w:sz="0" w:space="0" w:color="auto"/>
          </w:divBdr>
        </w:div>
      </w:divsChild>
    </w:div>
    <w:div w:id="730806487">
      <w:bodyDiv w:val="1"/>
      <w:marLeft w:val="0"/>
      <w:marRight w:val="0"/>
      <w:marTop w:val="0"/>
      <w:marBottom w:val="0"/>
      <w:divBdr>
        <w:top w:val="none" w:sz="0" w:space="0" w:color="auto"/>
        <w:left w:val="none" w:sz="0" w:space="0" w:color="auto"/>
        <w:bottom w:val="none" w:sz="0" w:space="0" w:color="auto"/>
        <w:right w:val="none" w:sz="0" w:space="0" w:color="auto"/>
      </w:divBdr>
      <w:divsChild>
        <w:div w:id="1841043705">
          <w:marLeft w:val="0"/>
          <w:marRight w:val="0"/>
          <w:marTop w:val="0"/>
          <w:marBottom w:val="0"/>
          <w:divBdr>
            <w:top w:val="none" w:sz="0" w:space="0" w:color="auto"/>
            <w:left w:val="none" w:sz="0" w:space="0" w:color="auto"/>
            <w:bottom w:val="none" w:sz="0" w:space="0" w:color="auto"/>
            <w:right w:val="none" w:sz="0" w:space="0" w:color="auto"/>
          </w:divBdr>
        </w:div>
        <w:div w:id="219101363">
          <w:marLeft w:val="0"/>
          <w:marRight w:val="0"/>
          <w:marTop w:val="0"/>
          <w:marBottom w:val="0"/>
          <w:divBdr>
            <w:top w:val="none" w:sz="0" w:space="0" w:color="auto"/>
            <w:left w:val="none" w:sz="0" w:space="0" w:color="auto"/>
            <w:bottom w:val="none" w:sz="0" w:space="0" w:color="auto"/>
            <w:right w:val="none" w:sz="0" w:space="0" w:color="auto"/>
          </w:divBdr>
        </w:div>
        <w:div w:id="1004741464">
          <w:marLeft w:val="0"/>
          <w:marRight w:val="0"/>
          <w:marTop w:val="0"/>
          <w:marBottom w:val="0"/>
          <w:divBdr>
            <w:top w:val="none" w:sz="0" w:space="0" w:color="auto"/>
            <w:left w:val="none" w:sz="0" w:space="0" w:color="auto"/>
            <w:bottom w:val="none" w:sz="0" w:space="0" w:color="auto"/>
            <w:right w:val="none" w:sz="0" w:space="0" w:color="auto"/>
          </w:divBdr>
        </w:div>
        <w:div w:id="64495569">
          <w:marLeft w:val="0"/>
          <w:marRight w:val="0"/>
          <w:marTop w:val="0"/>
          <w:marBottom w:val="0"/>
          <w:divBdr>
            <w:top w:val="none" w:sz="0" w:space="0" w:color="auto"/>
            <w:left w:val="none" w:sz="0" w:space="0" w:color="auto"/>
            <w:bottom w:val="none" w:sz="0" w:space="0" w:color="auto"/>
            <w:right w:val="none" w:sz="0" w:space="0" w:color="auto"/>
          </w:divBdr>
        </w:div>
      </w:divsChild>
    </w:div>
    <w:div w:id="736629327">
      <w:bodyDiv w:val="1"/>
      <w:marLeft w:val="0"/>
      <w:marRight w:val="0"/>
      <w:marTop w:val="0"/>
      <w:marBottom w:val="0"/>
      <w:divBdr>
        <w:top w:val="none" w:sz="0" w:space="0" w:color="auto"/>
        <w:left w:val="none" w:sz="0" w:space="0" w:color="auto"/>
        <w:bottom w:val="none" w:sz="0" w:space="0" w:color="auto"/>
        <w:right w:val="none" w:sz="0" w:space="0" w:color="auto"/>
      </w:divBdr>
      <w:divsChild>
        <w:div w:id="2101947024">
          <w:marLeft w:val="0"/>
          <w:marRight w:val="0"/>
          <w:marTop w:val="0"/>
          <w:marBottom w:val="0"/>
          <w:divBdr>
            <w:top w:val="none" w:sz="0" w:space="0" w:color="auto"/>
            <w:left w:val="none" w:sz="0" w:space="0" w:color="auto"/>
            <w:bottom w:val="none" w:sz="0" w:space="0" w:color="auto"/>
            <w:right w:val="none" w:sz="0" w:space="0" w:color="auto"/>
          </w:divBdr>
        </w:div>
        <w:div w:id="1992177332">
          <w:marLeft w:val="0"/>
          <w:marRight w:val="0"/>
          <w:marTop w:val="0"/>
          <w:marBottom w:val="0"/>
          <w:divBdr>
            <w:top w:val="none" w:sz="0" w:space="0" w:color="auto"/>
            <w:left w:val="none" w:sz="0" w:space="0" w:color="auto"/>
            <w:bottom w:val="none" w:sz="0" w:space="0" w:color="auto"/>
            <w:right w:val="none" w:sz="0" w:space="0" w:color="auto"/>
          </w:divBdr>
        </w:div>
      </w:divsChild>
    </w:div>
    <w:div w:id="805585087">
      <w:bodyDiv w:val="1"/>
      <w:marLeft w:val="0"/>
      <w:marRight w:val="0"/>
      <w:marTop w:val="0"/>
      <w:marBottom w:val="0"/>
      <w:divBdr>
        <w:top w:val="none" w:sz="0" w:space="0" w:color="auto"/>
        <w:left w:val="none" w:sz="0" w:space="0" w:color="auto"/>
        <w:bottom w:val="none" w:sz="0" w:space="0" w:color="auto"/>
        <w:right w:val="none" w:sz="0" w:space="0" w:color="auto"/>
      </w:divBdr>
      <w:divsChild>
        <w:div w:id="1985694593">
          <w:marLeft w:val="0"/>
          <w:marRight w:val="0"/>
          <w:marTop w:val="0"/>
          <w:marBottom w:val="0"/>
          <w:divBdr>
            <w:top w:val="none" w:sz="0" w:space="0" w:color="auto"/>
            <w:left w:val="none" w:sz="0" w:space="0" w:color="auto"/>
            <w:bottom w:val="none" w:sz="0" w:space="0" w:color="auto"/>
            <w:right w:val="none" w:sz="0" w:space="0" w:color="auto"/>
          </w:divBdr>
        </w:div>
        <w:div w:id="210390188">
          <w:marLeft w:val="0"/>
          <w:marRight w:val="0"/>
          <w:marTop w:val="0"/>
          <w:marBottom w:val="0"/>
          <w:divBdr>
            <w:top w:val="none" w:sz="0" w:space="0" w:color="auto"/>
            <w:left w:val="none" w:sz="0" w:space="0" w:color="auto"/>
            <w:bottom w:val="none" w:sz="0" w:space="0" w:color="auto"/>
            <w:right w:val="none" w:sz="0" w:space="0" w:color="auto"/>
          </w:divBdr>
        </w:div>
        <w:div w:id="2092971797">
          <w:marLeft w:val="0"/>
          <w:marRight w:val="0"/>
          <w:marTop w:val="0"/>
          <w:marBottom w:val="0"/>
          <w:divBdr>
            <w:top w:val="none" w:sz="0" w:space="0" w:color="auto"/>
            <w:left w:val="none" w:sz="0" w:space="0" w:color="auto"/>
            <w:bottom w:val="none" w:sz="0" w:space="0" w:color="auto"/>
            <w:right w:val="none" w:sz="0" w:space="0" w:color="auto"/>
          </w:divBdr>
        </w:div>
      </w:divsChild>
    </w:div>
    <w:div w:id="852189248">
      <w:bodyDiv w:val="1"/>
      <w:marLeft w:val="0"/>
      <w:marRight w:val="0"/>
      <w:marTop w:val="0"/>
      <w:marBottom w:val="0"/>
      <w:divBdr>
        <w:top w:val="none" w:sz="0" w:space="0" w:color="auto"/>
        <w:left w:val="none" w:sz="0" w:space="0" w:color="auto"/>
        <w:bottom w:val="none" w:sz="0" w:space="0" w:color="auto"/>
        <w:right w:val="none" w:sz="0" w:space="0" w:color="auto"/>
      </w:divBdr>
      <w:divsChild>
        <w:div w:id="622729793">
          <w:marLeft w:val="0"/>
          <w:marRight w:val="0"/>
          <w:marTop w:val="0"/>
          <w:marBottom w:val="0"/>
          <w:divBdr>
            <w:top w:val="none" w:sz="0" w:space="0" w:color="auto"/>
            <w:left w:val="none" w:sz="0" w:space="0" w:color="auto"/>
            <w:bottom w:val="none" w:sz="0" w:space="0" w:color="auto"/>
            <w:right w:val="none" w:sz="0" w:space="0" w:color="auto"/>
          </w:divBdr>
        </w:div>
      </w:divsChild>
    </w:div>
    <w:div w:id="999768343">
      <w:bodyDiv w:val="1"/>
      <w:marLeft w:val="0"/>
      <w:marRight w:val="0"/>
      <w:marTop w:val="0"/>
      <w:marBottom w:val="0"/>
      <w:divBdr>
        <w:top w:val="none" w:sz="0" w:space="0" w:color="auto"/>
        <w:left w:val="none" w:sz="0" w:space="0" w:color="auto"/>
        <w:bottom w:val="none" w:sz="0" w:space="0" w:color="auto"/>
        <w:right w:val="none" w:sz="0" w:space="0" w:color="auto"/>
      </w:divBdr>
    </w:div>
    <w:div w:id="1039472122">
      <w:bodyDiv w:val="1"/>
      <w:marLeft w:val="0"/>
      <w:marRight w:val="0"/>
      <w:marTop w:val="0"/>
      <w:marBottom w:val="0"/>
      <w:divBdr>
        <w:top w:val="none" w:sz="0" w:space="0" w:color="auto"/>
        <w:left w:val="none" w:sz="0" w:space="0" w:color="auto"/>
        <w:bottom w:val="none" w:sz="0" w:space="0" w:color="auto"/>
        <w:right w:val="none" w:sz="0" w:space="0" w:color="auto"/>
      </w:divBdr>
    </w:div>
    <w:div w:id="1056054013">
      <w:bodyDiv w:val="1"/>
      <w:marLeft w:val="0"/>
      <w:marRight w:val="0"/>
      <w:marTop w:val="0"/>
      <w:marBottom w:val="0"/>
      <w:divBdr>
        <w:top w:val="none" w:sz="0" w:space="0" w:color="auto"/>
        <w:left w:val="none" w:sz="0" w:space="0" w:color="auto"/>
        <w:bottom w:val="none" w:sz="0" w:space="0" w:color="auto"/>
        <w:right w:val="none" w:sz="0" w:space="0" w:color="auto"/>
      </w:divBdr>
    </w:div>
    <w:div w:id="1095515257">
      <w:bodyDiv w:val="1"/>
      <w:marLeft w:val="0"/>
      <w:marRight w:val="0"/>
      <w:marTop w:val="0"/>
      <w:marBottom w:val="0"/>
      <w:divBdr>
        <w:top w:val="none" w:sz="0" w:space="0" w:color="auto"/>
        <w:left w:val="none" w:sz="0" w:space="0" w:color="auto"/>
        <w:bottom w:val="none" w:sz="0" w:space="0" w:color="auto"/>
        <w:right w:val="none" w:sz="0" w:space="0" w:color="auto"/>
      </w:divBdr>
    </w:div>
    <w:div w:id="1151554129">
      <w:bodyDiv w:val="1"/>
      <w:marLeft w:val="0"/>
      <w:marRight w:val="0"/>
      <w:marTop w:val="0"/>
      <w:marBottom w:val="0"/>
      <w:divBdr>
        <w:top w:val="none" w:sz="0" w:space="0" w:color="auto"/>
        <w:left w:val="none" w:sz="0" w:space="0" w:color="auto"/>
        <w:bottom w:val="none" w:sz="0" w:space="0" w:color="auto"/>
        <w:right w:val="none" w:sz="0" w:space="0" w:color="auto"/>
      </w:divBdr>
      <w:divsChild>
        <w:div w:id="1859418150">
          <w:marLeft w:val="0"/>
          <w:marRight w:val="0"/>
          <w:marTop w:val="0"/>
          <w:marBottom w:val="0"/>
          <w:divBdr>
            <w:top w:val="none" w:sz="0" w:space="0" w:color="auto"/>
            <w:left w:val="none" w:sz="0" w:space="0" w:color="auto"/>
            <w:bottom w:val="none" w:sz="0" w:space="0" w:color="auto"/>
            <w:right w:val="none" w:sz="0" w:space="0" w:color="auto"/>
          </w:divBdr>
        </w:div>
        <w:div w:id="1810898128">
          <w:marLeft w:val="0"/>
          <w:marRight w:val="0"/>
          <w:marTop w:val="0"/>
          <w:marBottom w:val="0"/>
          <w:divBdr>
            <w:top w:val="none" w:sz="0" w:space="0" w:color="auto"/>
            <w:left w:val="none" w:sz="0" w:space="0" w:color="auto"/>
            <w:bottom w:val="none" w:sz="0" w:space="0" w:color="auto"/>
            <w:right w:val="none" w:sz="0" w:space="0" w:color="auto"/>
          </w:divBdr>
        </w:div>
        <w:div w:id="1788625069">
          <w:marLeft w:val="0"/>
          <w:marRight w:val="0"/>
          <w:marTop w:val="0"/>
          <w:marBottom w:val="0"/>
          <w:divBdr>
            <w:top w:val="none" w:sz="0" w:space="0" w:color="auto"/>
            <w:left w:val="none" w:sz="0" w:space="0" w:color="auto"/>
            <w:bottom w:val="none" w:sz="0" w:space="0" w:color="auto"/>
            <w:right w:val="none" w:sz="0" w:space="0" w:color="auto"/>
          </w:divBdr>
        </w:div>
      </w:divsChild>
    </w:div>
    <w:div w:id="1165247342">
      <w:bodyDiv w:val="1"/>
      <w:marLeft w:val="0"/>
      <w:marRight w:val="0"/>
      <w:marTop w:val="0"/>
      <w:marBottom w:val="0"/>
      <w:divBdr>
        <w:top w:val="none" w:sz="0" w:space="0" w:color="auto"/>
        <w:left w:val="none" w:sz="0" w:space="0" w:color="auto"/>
        <w:bottom w:val="none" w:sz="0" w:space="0" w:color="auto"/>
        <w:right w:val="none" w:sz="0" w:space="0" w:color="auto"/>
      </w:divBdr>
      <w:divsChild>
        <w:div w:id="1837915173">
          <w:marLeft w:val="0"/>
          <w:marRight w:val="0"/>
          <w:marTop w:val="0"/>
          <w:marBottom w:val="0"/>
          <w:divBdr>
            <w:top w:val="none" w:sz="0" w:space="0" w:color="auto"/>
            <w:left w:val="none" w:sz="0" w:space="0" w:color="auto"/>
            <w:bottom w:val="none" w:sz="0" w:space="0" w:color="auto"/>
            <w:right w:val="none" w:sz="0" w:space="0" w:color="auto"/>
          </w:divBdr>
        </w:div>
        <w:div w:id="224419808">
          <w:marLeft w:val="0"/>
          <w:marRight w:val="0"/>
          <w:marTop w:val="0"/>
          <w:marBottom w:val="0"/>
          <w:divBdr>
            <w:top w:val="none" w:sz="0" w:space="0" w:color="auto"/>
            <w:left w:val="none" w:sz="0" w:space="0" w:color="auto"/>
            <w:bottom w:val="none" w:sz="0" w:space="0" w:color="auto"/>
            <w:right w:val="none" w:sz="0" w:space="0" w:color="auto"/>
          </w:divBdr>
        </w:div>
      </w:divsChild>
    </w:div>
    <w:div w:id="1189756815">
      <w:bodyDiv w:val="1"/>
      <w:marLeft w:val="0"/>
      <w:marRight w:val="0"/>
      <w:marTop w:val="0"/>
      <w:marBottom w:val="0"/>
      <w:divBdr>
        <w:top w:val="none" w:sz="0" w:space="0" w:color="auto"/>
        <w:left w:val="none" w:sz="0" w:space="0" w:color="auto"/>
        <w:bottom w:val="none" w:sz="0" w:space="0" w:color="auto"/>
        <w:right w:val="none" w:sz="0" w:space="0" w:color="auto"/>
      </w:divBdr>
    </w:div>
    <w:div w:id="1215240362">
      <w:bodyDiv w:val="1"/>
      <w:marLeft w:val="0"/>
      <w:marRight w:val="0"/>
      <w:marTop w:val="0"/>
      <w:marBottom w:val="0"/>
      <w:divBdr>
        <w:top w:val="none" w:sz="0" w:space="0" w:color="auto"/>
        <w:left w:val="none" w:sz="0" w:space="0" w:color="auto"/>
        <w:bottom w:val="none" w:sz="0" w:space="0" w:color="auto"/>
        <w:right w:val="none" w:sz="0" w:space="0" w:color="auto"/>
      </w:divBdr>
    </w:div>
    <w:div w:id="1222519469">
      <w:bodyDiv w:val="1"/>
      <w:marLeft w:val="0"/>
      <w:marRight w:val="0"/>
      <w:marTop w:val="0"/>
      <w:marBottom w:val="0"/>
      <w:divBdr>
        <w:top w:val="none" w:sz="0" w:space="0" w:color="auto"/>
        <w:left w:val="none" w:sz="0" w:space="0" w:color="auto"/>
        <w:bottom w:val="none" w:sz="0" w:space="0" w:color="auto"/>
        <w:right w:val="none" w:sz="0" w:space="0" w:color="auto"/>
      </w:divBdr>
    </w:div>
    <w:div w:id="1336152807">
      <w:bodyDiv w:val="1"/>
      <w:marLeft w:val="0"/>
      <w:marRight w:val="0"/>
      <w:marTop w:val="0"/>
      <w:marBottom w:val="0"/>
      <w:divBdr>
        <w:top w:val="none" w:sz="0" w:space="0" w:color="auto"/>
        <w:left w:val="none" w:sz="0" w:space="0" w:color="auto"/>
        <w:bottom w:val="none" w:sz="0" w:space="0" w:color="auto"/>
        <w:right w:val="none" w:sz="0" w:space="0" w:color="auto"/>
      </w:divBdr>
      <w:divsChild>
        <w:div w:id="826484513">
          <w:marLeft w:val="0"/>
          <w:marRight w:val="0"/>
          <w:marTop w:val="0"/>
          <w:marBottom w:val="0"/>
          <w:divBdr>
            <w:top w:val="none" w:sz="0" w:space="0" w:color="auto"/>
            <w:left w:val="none" w:sz="0" w:space="0" w:color="auto"/>
            <w:bottom w:val="none" w:sz="0" w:space="0" w:color="auto"/>
            <w:right w:val="none" w:sz="0" w:space="0" w:color="auto"/>
          </w:divBdr>
        </w:div>
        <w:div w:id="142895722">
          <w:marLeft w:val="0"/>
          <w:marRight w:val="0"/>
          <w:marTop w:val="0"/>
          <w:marBottom w:val="0"/>
          <w:divBdr>
            <w:top w:val="none" w:sz="0" w:space="0" w:color="auto"/>
            <w:left w:val="none" w:sz="0" w:space="0" w:color="auto"/>
            <w:bottom w:val="none" w:sz="0" w:space="0" w:color="auto"/>
            <w:right w:val="none" w:sz="0" w:space="0" w:color="auto"/>
          </w:divBdr>
          <w:divsChild>
            <w:div w:id="931165686">
              <w:marLeft w:val="0"/>
              <w:marRight w:val="0"/>
              <w:marTop w:val="0"/>
              <w:marBottom w:val="0"/>
              <w:divBdr>
                <w:top w:val="none" w:sz="0" w:space="0" w:color="auto"/>
                <w:left w:val="none" w:sz="0" w:space="0" w:color="auto"/>
                <w:bottom w:val="none" w:sz="0" w:space="0" w:color="auto"/>
                <w:right w:val="none" w:sz="0" w:space="0" w:color="auto"/>
              </w:divBdr>
            </w:div>
          </w:divsChild>
        </w:div>
        <w:div w:id="2045671765">
          <w:marLeft w:val="0"/>
          <w:marRight w:val="0"/>
          <w:marTop w:val="0"/>
          <w:marBottom w:val="0"/>
          <w:divBdr>
            <w:top w:val="none" w:sz="0" w:space="0" w:color="auto"/>
            <w:left w:val="none" w:sz="0" w:space="0" w:color="auto"/>
            <w:bottom w:val="none" w:sz="0" w:space="0" w:color="auto"/>
            <w:right w:val="none" w:sz="0" w:space="0" w:color="auto"/>
          </w:divBdr>
        </w:div>
      </w:divsChild>
    </w:div>
    <w:div w:id="1391343926">
      <w:bodyDiv w:val="1"/>
      <w:marLeft w:val="0"/>
      <w:marRight w:val="0"/>
      <w:marTop w:val="0"/>
      <w:marBottom w:val="0"/>
      <w:divBdr>
        <w:top w:val="none" w:sz="0" w:space="0" w:color="auto"/>
        <w:left w:val="none" w:sz="0" w:space="0" w:color="auto"/>
        <w:bottom w:val="none" w:sz="0" w:space="0" w:color="auto"/>
        <w:right w:val="none" w:sz="0" w:space="0" w:color="auto"/>
      </w:divBdr>
    </w:div>
    <w:div w:id="1444495631">
      <w:bodyDiv w:val="1"/>
      <w:marLeft w:val="0"/>
      <w:marRight w:val="0"/>
      <w:marTop w:val="0"/>
      <w:marBottom w:val="0"/>
      <w:divBdr>
        <w:top w:val="none" w:sz="0" w:space="0" w:color="auto"/>
        <w:left w:val="none" w:sz="0" w:space="0" w:color="auto"/>
        <w:bottom w:val="none" w:sz="0" w:space="0" w:color="auto"/>
        <w:right w:val="none" w:sz="0" w:space="0" w:color="auto"/>
      </w:divBdr>
    </w:div>
    <w:div w:id="1495683269">
      <w:bodyDiv w:val="1"/>
      <w:marLeft w:val="0"/>
      <w:marRight w:val="0"/>
      <w:marTop w:val="0"/>
      <w:marBottom w:val="0"/>
      <w:divBdr>
        <w:top w:val="none" w:sz="0" w:space="0" w:color="auto"/>
        <w:left w:val="none" w:sz="0" w:space="0" w:color="auto"/>
        <w:bottom w:val="none" w:sz="0" w:space="0" w:color="auto"/>
        <w:right w:val="none" w:sz="0" w:space="0" w:color="auto"/>
      </w:divBdr>
      <w:divsChild>
        <w:div w:id="902259807">
          <w:marLeft w:val="0"/>
          <w:marRight w:val="0"/>
          <w:marTop w:val="0"/>
          <w:marBottom w:val="0"/>
          <w:divBdr>
            <w:top w:val="none" w:sz="0" w:space="0" w:color="auto"/>
            <w:left w:val="none" w:sz="0" w:space="0" w:color="auto"/>
            <w:bottom w:val="none" w:sz="0" w:space="0" w:color="auto"/>
            <w:right w:val="none" w:sz="0" w:space="0" w:color="auto"/>
          </w:divBdr>
        </w:div>
        <w:div w:id="1156191251">
          <w:marLeft w:val="0"/>
          <w:marRight w:val="0"/>
          <w:marTop w:val="0"/>
          <w:marBottom w:val="0"/>
          <w:divBdr>
            <w:top w:val="none" w:sz="0" w:space="0" w:color="auto"/>
            <w:left w:val="none" w:sz="0" w:space="0" w:color="auto"/>
            <w:bottom w:val="none" w:sz="0" w:space="0" w:color="auto"/>
            <w:right w:val="none" w:sz="0" w:space="0" w:color="auto"/>
          </w:divBdr>
        </w:div>
        <w:div w:id="1184904902">
          <w:marLeft w:val="0"/>
          <w:marRight w:val="0"/>
          <w:marTop w:val="0"/>
          <w:marBottom w:val="0"/>
          <w:divBdr>
            <w:top w:val="none" w:sz="0" w:space="0" w:color="auto"/>
            <w:left w:val="none" w:sz="0" w:space="0" w:color="auto"/>
            <w:bottom w:val="none" w:sz="0" w:space="0" w:color="auto"/>
            <w:right w:val="none" w:sz="0" w:space="0" w:color="auto"/>
          </w:divBdr>
        </w:div>
      </w:divsChild>
    </w:div>
    <w:div w:id="1497765608">
      <w:bodyDiv w:val="1"/>
      <w:marLeft w:val="0"/>
      <w:marRight w:val="0"/>
      <w:marTop w:val="0"/>
      <w:marBottom w:val="0"/>
      <w:divBdr>
        <w:top w:val="none" w:sz="0" w:space="0" w:color="auto"/>
        <w:left w:val="none" w:sz="0" w:space="0" w:color="auto"/>
        <w:bottom w:val="none" w:sz="0" w:space="0" w:color="auto"/>
        <w:right w:val="none" w:sz="0" w:space="0" w:color="auto"/>
      </w:divBdr>
    </w:div>
    <w:div w:id="1516964409">
      <w:bodyDiv w:val="1"/>
      <w:marLeft w:val="0"/>
      <w:marRight w:val="0"/>
      <w:marTop w:val="0"/>
      <w:marBottom w:val="0"/>
      <w:divBdr>
        <w:top w:val="none" w:sz="0" w:space="0" w:color="auto"/>
        <w:left w:val="none" w:sz="0" w:space="0" w:color="auto"/>
        <w:bottom w:val="none" w:sz="0" w:space="0" w:color="auto"/>
        <w:right w:val="none" w:sz="0" w:space="0" w:color="auto"/>
      </w:divBdr>
      <w:divsChild>
        <w:div w:id="1764230114">
          <w:marLeft w:val="0"/>
          <w:marRight w:val="0"/>
          <w:marTop w:val="0"/>
          <w:marBottom w:val="0"/>
          <w:divBdr>
            <w:top w:val="none" w:sz="0" w:space="0" w:color="auto"/>
            <w:left w:val="none" w:sz="0" w:space="0" w:color="auto"/>
            <w:bottom w:val="none" w:sz="0" w:space="0" w:color="auto"/>
            <w:right w:val="none" w:sz="0" w:space="0" w:color="auto"/>
          </w:divBdr>
        </w:div>
        <w:div w:id="1836648320">
          <w:marLeft w:val="0"/>
          <w:marRight w:val="0"/>
          <w:marTop w:val="0"/>
          <w:marBottom w:val="0"/>
          <w:divBdr>
            <w:top w:val="none" w:sz="0" w:space="0" w:color="auto"/>
            <w:left w:val="none" w:sz="0" w:space="0" w:color="auto"/>
            <w:bottom w:val="none" w:sz="0" w:space="0" w:color="auto"/>
            <w:right w:val="none" w:sz="0" w:space="0" w:color="auto"/>
          </w:divBdr>
        </w:div>
        <w:div w:id="1030839060">
          <w:marLeft w:val="0"/>
          <w:marRight w:val="0"/>
          <w:marTop w:val="0"/>
          <w:marBottom w:val="0"/>
          <w:divBdr>
            <w:top w:val="none" w:sz="0" w:space="0" w:color="auto"/>
            <w:left w:val="none" w:sz="0" w:space="0" w:color="auto"/>
            <w:bottom w:val="none" w:sz="0" w:space="0" w:color="auto"/>
            <w:right w:val="none" w:sz="0" w:space="0" w:color="auto"/>
          </w:divBdr>
        </w:div>
        <w:div w:id="726994036">
          <w:marLeft w:val="0"/>
          <w:marRight w:val="0"/>
          <w:marTop w:val="0"/>
          <w:marBottom w:val="0"/>
          <w:divBdr>
            <w:top w:val="none" w:sz="0" w:space="0" w:color="auto"/>
            <w:left w:val="none" w:sz="0" w:space="0" w:color="auto"/>
            <w:bottom w:val="none" w:sz="0" w:space="0" w:color="auto"/>
            <w:right w:val="none" w:sz="0" w:space="0" w:color="auto"/>
          </w:divBdr>
        </w:div>
        <w:div w:id="1516262498">
          <w:marLeft w:val="0"/>
          <w:marRight w:val="0"/>
          <w:marTop w:val="0"/>
          <w:marBottom w:val="0"/>
          <w:divBdr>
            <w:top w:val="none" w:sz="0" w:space="0" w:color="auto"/>
            <w:left w:val="none" w:sz="0" w:space="0" w:color="auto"/>
            <w:bottom w:val="none" w:sz="0" w:space="0" w:color="auto"/>
            <w:right w:val="none" w:sz="0" w:space="0" w:color="auto"/>
          </w:divBdr>
        </w:div>
        <w:div w:id="1156142336">
          <w:marLeft w:val="0"/>
          <w:marRight w:val="0"/>
          <w:marTop w:val="0"/>
          <w:marBottom w:val="0"/>
          <w:divBdr>
            <w:top w:val="none" w:sz="0" w:space="0" w:color="auto"/>
            <w:left w:val="none" w:sz="0" w:space="0" w:color="auto"/>
            <w:bottom w:val="none" w:sz="0" w:space="0" w:color="auto"/>
            <w:right w:val="none" w:sz="0" w:space="0" w:color="auto"/>
          </w:divBdr>
        </w:div>
        <w:div w:id="266305123">
          <w:marLeft w:val="0"/>
          <w:marRight w:val="0"/>
          <w:marTop w:val="0"/>
          <w:marBottom w:val="0"/>
          <w:divBdr>
            <w:top w:val="none" w:sz="0" w:space="0" w:color="auto"/>
            <w:left w:val="none" w:sz="0" w:space="0" w:color="auto"/>
            <w:bottom w:val="none" w:sz="0" w:space="0" w:color="auto"/>
            <w:right w:val="none" w:sz="0" w:space="0" w:color="auto"/>
          </w:divBdr>
        </w:div>
      </w:divsChild>
    </w:div>
    <w:div w:id="1616525059">
      <w:bodyDiv w:val="1"/>
      <w:marLeft w:val="0"/>
      <w:marRight w:val="0"/>
      <w:marTop w:val="0"/>
      <w:marBottom w:val="0"/>
      <w:divBdr>
        <w:top w:val="none" w:sz="0" w:space="0" w:color="auto"/>
        <w:left w:val="none" w:sz="0" w:space="0" w:color="auto"/>
        <w:bottom w:val="none" w:sz="0" w:space="0" w:color="auto"/>
        <w:right w:val="none" w:sz="0" w:space="0" w:color="auto"/>
      </w:divBdr>
      <w:divsChild>
        <w:div w:id="2066029309">
          <w:marLeft w:val="0"/>
          <w:marRight w:val="0"/>
          <w:marTop w:val="0"/>
          <w:marBottom w:val="0"/>
          <w:divBdr>
            <w:top w:val="none" w:sz="0" w:space="0" w:color="auto"/>
            <w:left w:val="none" w:sz="0" w:space="0" w:color="auto"/>
            <w:bottom w:val="none" w:sz="0" w:space="0" w:color="auto"/>
            <w:right w:val="none" w:sz="0" w:space="0" w:color="auto"/>
          </w:divBdr>
        </w:div>
        <w:div w:id="1882547928">
          <w:marLeft w:val="0"/>
          <w:marRight w:val="0"/>
          <w:marTop w:val="0"/>
          <w:marBottom w:val="0"/>
          <w:divBdr>
            <w:top w:val="none" w:sz="0" w:space="0" w:color="auto"/>
            <w:left w:val="none" w:sz="0" w:space="0" w:color="auto"/>
            <w:bottom w:val="none" w:sz="0" w:space="0" w:color="auto"/>
            <w:right w:val="none" w:sz="0" w:space="0" w:color="auto"/>
          </w:divBdr>
        </w:div>
        <w:div w:id="1847210600">
          <w:marLeft w:val="0"/>
          <w:marRight w:val="0"/>
          <w:marTop w:val="0"/>
          <w:marBottom w:val="0"/>
          <w:divBdr>
            <w:top w:val="none" w:sz="0" w:space="0" w:color="auto"/>
            <w:left w:val="none" w:sz="0" w:space="0" w:color="auto"/>
            <w:bottom w:val="none" w:sz="0" w:space="0" w:color="auto"/>
            <w:right w:val="none" w:sz="0" w:space="0" w:color="auto"/>
          </w:divBdr>
        </w:div>
      </w:divsChild>
    </w:div>
    <w:div w:id="1700079699">
      <w:bodyDiv w:val="1"/>
      <w:marLeft w:val="0"/>
      <w:marRight w:val="0"/>
      <w:marTop w:val="0"/>
      <w:marBottom w:val="0"/>
      <w:divBdr>
        <w:top w:val="none" w:sz="0" w:space="0" w:color="auto"/>
        <w:left w:val="none" w:sz="0" w:space="0" w:color="auto"/>
        <w:bottom w:val="none" w:sz="0" w:space="0" w:color="auto"/>
        <w:right w:val="none" w:sz="0" w:space="0" w:color="auto"/>
      </w:divBdr>
      <w:divsChild>
        <w:div w:id="204953879">
          <w:marLeft w:val="0"/>
          <w:marRight w:val="0"/>
          <w:marTop w:val="0"/>
          <w:marBottom w:val="0"/>
          <w:divBdr>
            <w:top w:val="none" w:sz="0" w:space="0" w:color="auto"/>
            <w:left w:val="none" w:sz="0" w:space="0" w:color="auto"/>
            <w:bottom w:val="none" w:sz="0" w:space="0" w:color="auto"/>
            <w:right w:val="none" w:sz="0" w:space="0" w:color="auto"/>
          </w:divBdr>
        </w:div>
      </w:divsChild>
    </w:div>
    <w:div w:id="1869946718">
      <w:bodyDiv w:val="1"/>
      <w:marLeft w:val="0"/>
      <w:marRight w:val="0"/>
      <w:marTop w:val="0"/>
      <w:marBottom w:val="0"/>
      <w:divBdr>
        <w:top w:val="none" w:sz="0" w:space="0" w:color="auto"/>
        <w:left w:val="none" w:sz="0" w:space="0" w:color="auto"/>
        <w:bottom w:val="none" w:sz="0" w:space="0" w:color="auto"/>
        <w:right w:val="none" w:sz="0" w:space="0" w:color="auto"/>
      </w:divBdr>
      <w:divsChild>
        <w:div w:id="1101757122">
          <w:marLeft w:val="0"/>
          <w:marRight w:val="0"/>
          <w:marTop w:val="0"/>
          <w:marBottom w:val="0"/>
          <w:divBdr>
            <w:top w:val="none" w:sz="0" w:space="0" w:color="auto"/>
            <w:left w:val="none" w:sz="0" w:space="0" w:color="auto"/>
            <w:bottom w:val="none" w:sz="0" w:space="0" w:color="auto"/>
            <w:right w:val="none" w:sz="0" w:space="0" w:color="auto"/>
          </w:divBdr>
        </w:div>
        <w:div w:id="405349558">
          <w:marLeft w:val="0"/>
          <w:marRight w:val="0"/>
          <w:marTop w:val="0"/>
          <w:marBottom w:val="0"/>
          <w:divBdr>
            <w:top w:val="none" w:sz="0" w:space="0" w:color="auto"/>
            <w:left w:val="none" w:sz="0" w:space="0" w:color="auto"/>
            <w:bottom w:val="none" w:sz="0" w:space="0" w:color="auto"/>
            <w:right w:val="none" w:sz="0" w:space="0" w:color="auto"/>
          </w:divBdr>
        </w:div>
        <w:div w:id="2108963267">
          <w:marLeft w:val="0"/>
          <w:marRight w:val="0"/>
          <w:marTop w:val="0"/>
          <w:marBottom w:val="0"/>
          <w:divBdr>
            <w:top w:val="none" w:sz="0" w:space="0" w:color="auto"/>
            <w:left w:val="none" w:sz="0" w:space="0" w:color="auto"/>
            <w:bottom w:val="none" w:sz="0" w:space="0" w:color="auto"/>
            <w:right w:val="none" w:sz="0" w:space="0" w:color="auto"/>
          </w:divBdr>
        </w:div>
        <w:div w:id="1958220581">
          <w:marLeft w:val="0"/>
          <w:marRight w:val="0"/>
          <w:marTop w:val="0"/>
          <w:marBottom w:val="0"/>
          <w:divBdr>
            <w:top w:val="none" w:sz="0" w:space="0" w:color="auto"/>
            <w:left w:val="none" w:sz="0" w:space="0" w:color="auto"/>
            <w:bottom w:val="none" w:sz="0" w:space="0" w:color="auto"/>
            <w:right w:val="none" w:sz="0" w:space="0" w:color="auto"/>
          </w:divBdr>
        </w:div>
      </w:divsChild>
    </w:div>
    <w:div w:id="2020232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22-SG11-240501-TD-GEN-1006" TargetMode="External"/><Relationship Id="rId21" Type="http://schemas.openxmlformats.org/officeDocument/2006/relationships/hyperlink" Target="https://www.itu.int/md/T22-SG11-R-0024/en" TargetMode="External"/><Relationship Id="rId34" Type="http://schemas.openxmlformats.org/officeDocument/2006/relationships/hyperlink" Target="https://www.itu.int/md/meetingdoc.asp?lang=en&amp;parent=T22-SG11-240501-TD-GEN-0818" TargetMode="External"/><Relationship Id="rId42" Type="http://schemas.openxmlformats.org/officeDocument/2006/relationships/hyperlink" Target="https://www.itu.int/en/itu-t/regionalgroups/sg11-afr/Pages/default.aspx" TargetMode="External"/><Relationship Id="rId47" Type="http://schemas.openxmlformats.org/officeDocument/2006/relationships/hyperlink" Target="https://www.itu.int/net/itu-t/ls/ls.aspx?isn=30326" TargetMode="External"/><Relationship Id="rId50" Type="http://schemas.openxmlformats.org/officeDocument/2006/relationships/hyperlink" Target="http://handle.itu.int/11.1002/ls/sp17-sg11-oLS-00206.docx" TargetMode="External"/><Relationship Id="rId55" Type="http://schemas.openxmlformats.org/officeDocument/2006/relationships/hyperlink" Target="https://www.itu.int/cities/digitaltransformationdialogues/counterfeiting/" TargetMode="External"/><Relationship Id="rId63" Type="http://schemas.openxmlformats.org/officeDocument/2006/relationships/hyperlink" Target="https://www.itu.int/en/itu-t/regionalgroups/sg11-afr/Pages/default.aspx"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tu.int/md/T22-SG11-R-0025/en" TargetMode="External"/><Relationship Id="rId29" Type="http://schemas.openxmlformats.org/officeDocument/2006/relationships/hyperlink" Target="https://www.itu.int/md/T22-SG11-R-0024/en" TargetMode="External"/><Relationship Id="rId11" Type="http://schemas.openxmlformats.org/officeDocument/2006/relationships/hyperlink" Target="https://www.itu.int/md/meetingdoc.asp?lang=en&amp;parent=T22-SG11-R-0021" TargetMode="External"/><Relationship Id="rId24" Type="http://schemas.openxmlformats.org/officeDocument/2006/relationships/hyperlink" Target="https://www.itu.int/md/T22-SG11-R-0024/en" TargetMode="External"/><Relationship Id="rId32" Type="http://schemas.openxmlformats.org/officeDocument/2006/relationships/hyperlink" Target="https://www.itu.int/md/T22-SG11-R-0026/en" TargetMode="External"/><Relationship Id="rId37" Type="http://schemas.openxmlformats.org/officeDocument/2006/relationships/hyperlink" Target="https://itu.int/go/tcdb" TargetMode="External"/><Relationship Id="rId40" Type="http://schemas.openxmlformats.org/officeDocument/2006/relationships/hyperlink" Target="https://www.itu.int/md/T22-SG11-R-0023/en" TargetMode="External"/><Relationship Id="rId45" Type="http://schemas.openxmlformats.org/officeDocument/2006/relationships/hyperlink" Target="https://www.itu.int/md/meetingdoc.asp?lang=en&amp;parent=T22-SG11-240501-TD-GEN-0822" TargetMode="External"/><Relationship Id="rId53" Type="http://schemas.openxmlformats.org/officeDocument/2006/relationships/hyperlink" Target="https://www.itu.int/md/T22-SG11-240207-TD-WP1-0132" TargetMode="External"/><Relationship Id="rId58" Type="http://schemas.openxmlformats.org/officeDocument/2006/relationships/hyperlink" Target="https://www.itu.int/md/T22-SG11-240501-TD-GEN-0977/en"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itu.int/md/T22-SG11-R-0026/en" TargetMode="External"/><Relationship Id="rId19" Type="http://schemas.openxmlformats.org/officeDocument/2006/relationships/hyperlink" Target="https://www.itu.int/net/itu-t/ls/ls.aspx?isn=30273" TargetMode="External"/><Relationship Id="rId14" Type="http://schemas.openxmlformats.org/officeDocument/2006/relationships/hyperlink" Target="https://www.itu.int/md/T22-SG11-R-0023/en" TargetMode="External"/><Relationship Id="rId22" Type="http://schemas.openxmlformats.org/officeDocument/2006/relationships/hyperlink" Target="https://www.itu.int/md/T22-SG11-R-0025/en" TargetMode="External"/><Relationship Id="rId27" Type="http://schemas.openxmlformats.org/officeDocument/2006/relationships/hyperlink" Target="https://www.itu.int/net/itu-t/ls/ls.aspx?isn=30272" TargetMode="External"/><Relationship Id="rId30" Type="http://schemas.openxmlformats.org/officeDocument/2006/relationships/hyperlink" Target="https://www.itu.int/net/itu-t/ls/ls.aspx?isn=30318" TargetMode="External"/><Relationship Id="rId35" Type="http://schemas.openxmlformats.org/officeDocument/2006/relationships/hyperlink" Target="https://itu.int/go/tldb" TargetMode="External"/><Relationship Id="rId43" Type="http://schemas.openxmlformats.org/officeDocument/2006/relationships/hyperlink" Target="https://www.itu.int/md/meetingdoc.asp?lang=en&amp;parent=T22-SG11-240501-TD-GEN-0860" TargetMode="External"/><Relationship Id="rId48" Type="http://schemas.openxmlformats.org/officeDocument/2006/relationships/hyperlink" Target="https://www.itu.int/net/itu-t/ls/ls.aspx?isn=30277" TargetMode="External"/><Relationship Id="rId56" Type="http://schemas.openxmlformats.org/officeDocument/2006/relationships/hyperlink" Target="https://www.itu.int/en/ITU-T/Workshops-and-Seminars/20210316/Pages/default.aspx" TargetMode="External"/><Relationship Id="rId64" Type="http://schemas.openxmlformats.org/officeDocument/2006/relationships/hyperlink" Target="https://www.itu.int/en/ITU-T/regionalgroups/sg11-eecat/Pages/default.aspx" TargetMode="External"/><Relationship Id="rId8" Type="http://schemas.openxmlformats.org/officeDocument/2006/relationships/hyperlink" Target="mailto:rr.mittar@gov.in" TargetMode="External"/><Relationship Id="rId51" Type="http://schemas.openxmlformats.org/officeDocument/2006/relationships/hyperlink" Target="https://www.itu.int/md/meetingdoc.asp?lang=en&amp;parent=T22-SG11-240501-TD-GEN-0968" TargetMode="External"/><Relationship Id="rId3" Type="http://schemas.openxmlformats.org/officeDocument/2006/relationships/settings" Target="settings.xml"/><Relationship Id="rId12" Type="http://schemas.openxmlformats.org/officeDocument/2006/relationships/hyperlink" Target="https://www.itu.int/md/meetingdoc.asp?lang=en&amp;parent=T22-SG11-R-0022" TargetMode="External"/><Relationship Id="rId17" Type="http://schemas.openxmlformats.org/officeDocument/2006/relationships/hyperlink" Target="https://www.itu.int/md/T22-SG11-R-0026/en" TargetMode="External"/><Relationship Id="rId25" Type="http://schemas.openxmlformats.org/officeDocument/2006/relationships/hyperlink" Target="https://itu.int/go/SIG-SECURITY" TargetMode="External"/><Relationship Id="rId33" Type="http://schemas.openxmlformats.org/officeDocument/2006/relationships/hyperlink" Target="https://www.itu.int/md/meetingdoc.asp?lang=en&amp;parent=T22-SG11-220706-TD-GEN-0123" TargetMode="External"/><Relationship Id="rId38" Type="http://schemas.openxmlformats.org/officeDocument/2006/relationships/hyperlink" Target="https://www.itu.int/webcast/archive/t2022-24sg11" TargetMode="External"/><Relationship Id="rId46" Type="http://schemas.openxmlformats.org/officeDocument/2006/relationships/hyperlink" Target="https://www.itu.int/md/T22-SG11-240501-TD-GEN-0931/en" TargetMode="External"/><Relationship Id="rId59" Type="http://schemas.openxmlformats.org/officeDocument/2006/relationships/hyperlink" Target="https://www.itu.int/md/T22-SG11-240501-TD-GEN-0954/en" TargetMode="External"/><Relationship Id="rId67" Type="http://schemas.openxmlformats.org/officeDocument/2006/relationships/theme" Target="theme/theme1.xml"/><Relationship Id="rId20" Type="http://schemas.openxmlformats.org/officeDocument/2006/relationships/hyperlink" Target="https://www.itu.int/md/meetingdoc.asp?lang=en&amp;parent=T22-SG11-240501-TD-GEN-0816" TargetMode="External"/><Relationship Id="rId41" Type="http://schemas.openxmlformats.org/officeDocument/2006/relationships/hyperlink" Target="https://www.itu.int/go/reference-table" TargetMode="External"/><Relationship Id="rId54" Type="http://schemas.openxmlformats.org/officeDocument/2006/relationships/hyperlink" Target="https://www.itu.int/md/T22-TSAG-240122-TD-GEN-0461/en" TargetMode="External"/><Relationship Id="rId62" Type="http://schemas.openxmlformats.org/officeDocument/2006/relationships/hyperlink" Target="https://www.itu.int/md/meetingdoc.asp?lang=en&amp;parent=T22-SG11RG.AFR-R-000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T22-SG11-R-0024/en" TargetMode="External"/><Relationship Id="rId23" Type="http://schemas.openxmlformats.org/officeDocument/2006/relationships/hyperlink" Target="https://www.itu.int/md/T22-SG11-240501-TD-GEN-0816/en" TargetMode="External"/><Relationship Id="rId28" Type="http://schemas.openxmlformats.org/officeDocument/2006/relationships/hyperlink" Target="https://www.itu.int/net/itu-t/ls/ls.aspx?isn=30351" TargetMode="External"/><Relationship Id="rId36" Type="http://schemas.openxmlformats.org/officeDocument/2006/relationships/hyperlink" Target="https://www.itu.int/md/meetingdoc.asp?lang=en&amp;parent=T17-TSB-CIR-0368" TargetMode="External"/><Relationship Id="rId49" Type="http://schemas.openxmlformats.org/officeDocument/2006/relationships/hyperlink" Target="https://www.itu.int/md/meetingdoc.asp?lang=en&amp;parent=T22-SG11-240501-TD-GEN-0878" TargetMode="External"/><Relationship Id="rId57" Type="http://schemas.openxmlformats.org/officeDocument/2006/relationships/hyperlink" Target="https://www.itu.int/cities/standards4dt/ep27" TargetMode="External"/><Relationship Id="rId10" Type="http://schemas.openxmlformats.org/officeDocument/2006/relationships/hyperlink" Target="https://www.itu.int/md/meetingdoc.asp?lang=en&amp;parent=T22-SG11-R-0020" TargetMode="External"/><Relationship Id="rId31" Type="http://schemas.openxmlformats.org/officeDocument/2006/relationships/hyperlink" Target="https://www.itu.int/en/ITU-T/focusgroups/tbfxg/Pages/default.aspx" TargetMode="External"/><Relationship Id="rId44" Type="http://schemas.openxmlformats.org/officeDocument/2006/relationships/hyperlink" Target="https://www.itu.int/md/meetingdoc.asp?lang=en&amp;parent=T22-SG11-240501-TD-GEN-0821" TargetMode="External"/><Relationship Id="rId52" Type="http://schemas.openxmlformats.org/officeDocument/2006/relationships/hyperlink" Target="http://handle.itu.int/11.1002/ls/sp17-sg11-oLS-00209.docx" TargetMode="External"/><Relationship Id="rId60" Type="http://schemas.openxmlformats.org/officeDocument/2006/relationships/hyperlink" Target="https://itu.int/go/fgtbf"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meetingdoc.asp?lang=en&amp;parent=T22-SG11-R-0019" TargetMode="External"/><Relationship Id="rId13" Type="http://schemas.openxmlformats.org/officeDocument/2006/relationships/hyperlink" Target="https://www.itu.int/en/ITU-T/studygroups/2022-2024/11/Pages/exec-sum-20240501.aspx" TargetMode="External"/><Relationship Id="rId18" Type="http://schemas.openxmlformats.org/officeDocument/2006/relationships/hyperlink" Target="https://www.itu.int/md/T22-SG11-R-0027/en" TargetMode="External"/><Relationship Id="rId39" Type="http://schemas.openxmlformats.org/officeDocument/2006/relationships/hyperlink" Target="https://www.itu.int/en/ITU-T/Workshops-and-Seminars/2023/1012/Pages/default.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3180</Words>
  <Characters>18126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roposal to improve Q.CPN for consen</vt:lpstr>
    </vt:vector>
  </TitlesOfParts>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roposal to improve Q.CPN for consen</dc:title>
  <dc:creator>张帅</dc:creator>
  <cp:lastModifiedBy>Al-Mnini, Lara</cp:lastModifiedBy>
  <cp:revision>2</cp:revision>
  <dcterms:created xsi:type="dcterms:W3CDTF">2024-06-26T08:42:00Z</dcterms:created>
  <dcterms:modified xsi:type="dcterms:W3CDTF">2024-06-26T08:42:00Z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E2EB3EE507CA4BF6A953E77C23DF2EF4</vt:lpwstr>
  </property>
</Properties>
</file>