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026"/>
        <w:gridCol w:w="284"/>
      </w:tblGrid>
      <w:tr w:rsidR="001B13F5" w:rsidRPr="0068196C" w14:paraId="13C03911" w14:textId="77777777" w:rsidTr="0061080C">
        <w:trPr>
          <w:gridAfter w:val="1"/>
          <w:wAfter w:w="284" w:type="dxa"/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7CA67CC6" w:rsidR="001B13F5" w:rsidRPr="0068196C" w:rsidRDefault="001B13F5" w:rsidP="001A4296">
            <w:pPr>
              <w:pStyle w:val="Docnumber"/>
            </w:pPr>
            <w:r w:rsidRPr="0068196C">
              <w:t>TSAG-</w:t>
            </w:r>
            <w:r w:rsidR="009B6188" w:rsidRPr="0068196C">
              <w:t>TD</w:t>
            </w:r>
            <w:r w:rsidR="009B6188">
              <w:t>541</w:t>
            </w:r>
          </w:p>
        </w:tc>
      </w:tr>
      <w:bookmarkEnd w:id="0"/>
      <w:tr w:rsidR="001B13F5" w:rsidRPr="0068196C" w14:paraId="7A8A1805" w14:textId="77777777" w:rsidTr="0061080C">
        <w:trPr>
          <w:gridAfter w:val="1"/>
          <w:wAfter w:w="284" w:type="dxa"/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4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61080C">
        <w:trPr>
          <w:gridAfter w:val="1"/>
          <w:wAfter w:w="284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61080C">
        <w:trPr>
          <w:gridAfter w:val="1"/>
          <w:wAfter w:w="284" w:type="dxa"/>
          <w:cantSplit/>
        </w:trPr>
        <w:tc>
          <w:tcPr>
            <w:tcW w:w="1587" w:type="dxa"/>
            <w:gridSpan w:val="3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002EF2D8" w:rsidR="001B13F5" w:rsidRPr="0068196C" w:rsidRDefault="00FE6DBE" w:rsidP="001A4296">
            <w:pPr>
              <w:pStyle w:val="TSBHeaderQuestion"/>
            </w:pPr>
            <w:r>
              <w:t>RG-WM</w:t>
            </w:r>
          </w:p>
        </w:tc>
        <w:tc>
          <w:tcPr>
            <w:tcW w:w="4026" w:type="dxa"/>
          </w:tcPr>
          <w:p w14:paraId="7C828D26" w14:textId="3A987ACF" w:rsidR="001B13F5" w:rsidRPr="0068196C" w:rsidRDefault="0061080C" w:rsidP="001A4296">
            <w:pPr>
              <w:pStyle w:val="VenueDate"/>
            </w:pPr>
            <w:r w:rsidRPr="0061080C">
              <w:t xml:space="preserve">Geneva, </w:t>
            </w:r>
            <w:r w:rsidR="0029029B" w:rsidRPr="0029029B">
              <w:t>29 July – 2 August 2024</w:t>
            </w:r>
          </w:p>
        </w:tc>
      </w:tr>
      <w:tr w:rsidR="001B13F5" w:rsidRPr="0068196C" w14:paraId="3C8B20D2" w14:textId="77777777" w:rsidTr="0061080C">
        <w:trPr>
          <w:gridAfter w:val="1"/>
          <w:wAfter w:w="284" w:type="dxa"/>
          <w:cantSplit/>
        </w:trPr>
        <w:tc>
          <w:tcPr>
            <w:tcW w:w="9639" w:type="dxa"/>
            <w:gridSpan w:val="6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61080C">
        <w:trPr>
          <w:gridAfter w:val="1"/>
          <w:wAfter w:w="284" w:type="dxa"/>
          <w:cantSplit/>
        </w:trPr>
        <w:tc>
          <w:tcPr>
            <w:tcW w:w="1587" w:type="dxa"/>
            <w:gridSpan w:val="3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6320B1EE" w:rsidR="001B13F5" w:rsidRPr="00F91FF0" w:rsidRDefault="0061080C" w:rsidP="001A4296">
            <w:pPr>
              <w:pStyle w:val="TSBHeaderSource"/>
              <w:rPr>
                <w:highlight w:val="yellow"/>
              </w:rPr>
            </w:pPr>
            <w:r w:rsidRPr="0061080C">
              <w:t>Rapporteur, TSAG Rapporteur group on working methods</w:t>
            </w:r>
          </w:p>
        </w:tc>
      </w:tr>
      <w:tr w:rsidR="001B13F5" w:rsidRPr="0068196C" w14:paraId="680D1A32" w14:textId="77777777" w:rsidTr="0061080C">
        <w:trPr>
          <w:gridAfter w:val="1"/>
          <w:wAfter w:w="284" w:type="dxa"/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7E6432D2" w:rsidR="001B13F5" w:rsidRPr="0068196C" w:rsidRDefault="00F4179A" w:rsidP="00F4179A">
            <w:r>
              <w:t xml:space="preserve">(for agreement) </w:t>
            </w:r>
            <w:r w:rsidRPr="00F4179A">
              <w:t>Draft new Supplement to ITU-T A-series Recommendations "Guidelines for the development of a standardization gap analysis"</w:t>
            </w:r>
          </w:p>
        </w:tc>
      </w:tr>
      <w:tr w:rsidR="0061080C" w:rsidRPr="009B6188" w14:paraId="5480818C" w14:textId="77777777" w:rsidTr="0061080C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4FB185" w14:textId="77777777" w:rsidR="0061080C" w:rsidRPr="008F7D1F" w:rsidRDefault="0061080C" w:rsidP="008C3C45">
            <w:pPr>
              <w:rPr>
                <w:b/>
                <w:bCs/>
              </w:rPr>
            </w:pPr>
            <w:r w:rsidRPr="008F7D1F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5A1BD3" w14:textId="77777777" w:rsidR="0061080C" w:rsidRPr="000C7CBA" w:rsidRDefault="0061080C" w:rsidP="008C3C45">
            <w:pPr>
              <w:rPr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Olivier Dubuisson</w:t>
            </w:r>
            <w:r w:rsidRPr="000C7CBA">
              <w:rPr>
                <w:rFonts w:asciiTheme="majorBidi" w:hAnsiTheme="majorBidi" w:cstheme="majorBidi"/>
                <w:lang w:val="fr-CH"/>
              </w:rPr>
              <w:t xml:space="preserve"> </w:t>
            </w:r>
            <w:r w:rsidRPr="000C7CBA">
              <w:rPr>
                <w:rFonts w:asciiTheme="majorBidi" w:hAnsiTheme="majorBidi" w:cstheme="majorBidi"/>
                <w:lang w:val="fr-CH"/>
              </w:rPr>
              <w:br/>
            </w:r>
            <w:r>
              <w:rPr>
                <w:rFonts w:asciiTheme="majorBidi" w:hAnsiTheme="majorBidi" w:cstheme="majorBidi"/>
                <w:lang w:val="fr-CH"/>
              </w:rPr>
              <w:t>Orange</w:t>
            </w:r>
            <w:r>
              <w:rPr>
                <w:rFonts w:asciiTheme="majorBidi" w:hAnsiTheme="majorBidi" w:cstheme="majorBidi"/>
                <w:lang w:val="fr-CH"/>
              </w:rPr>
              <w:br/>
              <w:t>France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6EA45B2" w14:textId="77777777" w:rsidR="0061080C" w:rsidRPr="000D2145" w:rsidRDefault="0061080C" w:rsidP="008C3C45">
            <w:pPr>
              <w:rPr>
                <w:lang w:val="de-DE"/>
              </w:rPr>
            </w:pPr>
            <w:r w:rsidRPr="000D2145">
              <w:rPr>
                <w:rFonts w:asciiTheme="majorBidi" w:hAnsiTheme="majorBidi" w:cstheme="majorBidi"/>
                <w:lang w:val="de-DE"/>
              </w:rPr>
              <w:t xml:space="preserve">E-mail: </w:t>
            </w:r>
            <w:r w:rsidR="006A3D14">
              <w:fldChar w:fldCharType="begin"/>
            </w:r>
            <w:r w:rsidR="006A3D14" w:rsidRPr="006A3D14">
              <w:rPr>
                <w:lang w:val="de-DE"/>
              </w:rPr>
              <w:instrText>HYPERLINK "mailto:olivier.dubuisson@orange.com"</w:instrText>
            </w:r>
            <w:r w:rsidR="006A3D14">
              <w:fldChar w:fldCharType="separate"/>
            </w:r>
            <w:r w:rsidRPr="000D2145">
              <w:rPr>
                <w:rStyle w:val="Hyperlink"/>
                <w:rFonts w:cstheme="majorBidi"/>
                <w:lang w:val="de-DE"/>
              </w:rPr>
              <w:t>olivier.dubuisson@orange.com</w:t>
            </w:r>
            <w:r w:rsidR="006A3D14">
              <w:rPr>
                <w:rStyle w:val="Hyperlink"/>
                <w:rFonts w:cstheme="majorBidi"/>
                <w:lang w:val="de-DE"/>
              </w:rPr>
              <w:fldChar w:fldCharType="end"/>
            </w:r>
          </w:p>
        </w:tc>
      </w:tr>
      <w:tr w:rsidR="008924B6" w:rsidRPr="00FB26FE" w14:paraId="6104CAB5" w14:textId="77777777" w:rsidTr="008924B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DF54C2" w14:textId="77777777" w:rsidR="008924B6" w:rsidRPr="008924B6" w:rsidRDefault="008924B6" w:rsidP="00600816">
            <w:pPr>
              <w:rPr>
                <w:b/>
                <w:bCs/>
              </w:rPr>
            </w:pPr>
            <w:bookmarkStart w:id="10" w:name="_Hlk98768222"/>
            <w:bookmarkEnd w:id="2"/>
            <w:bookmarkEnd w:id="9"/>
            <w:r w:rsidRPr="008F7D1F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35989" w14:textId="1B4F50FE" w:rsidR="008924B6" w:rsidRPr="006A3D14" w:rsidRDefault="008924B6" w:rsidP="00600816">
            <w:pPr>
              <w:rPr>
                <w:rFonts w:asciiTheme="majorBidi" w:hAnsiTheme="majorBidi" w:cstheme="majorBidi"/>
              </w:rPr>
            </w:pPr>
            <w:r w:rsidRPr="006A3D14">
              <w:rPr>
                <w:rStyle w:val="normaltextrun"/>
                <w:rFonts w:asciiTheme="majorBidi" w:hAnsiTheme="majorBidi" w:cstheme="majorBidi"/>
              </w:rPr>
              <w:t>Mr Stefano Polidori</w:t>
            </w:r>
            <w:r w:rsidRPr="006A3D14">
              <w:rPr>
                <w:rFonts w:asciiTheme="majorBidi" w:hAnsiTheme="majorBidi" w:cstheme="majorBidi"/>
              </w:rPr>
              <w:br/>
            </w:r>
            <w:r w:rsidRPr="006A3D14">
              <w:rPr>
                <w:rStyle w:val="normaltextrun"/>
                <w:rFonts w:asciiTheme="majorBidi" w:hAnsiTheme="majorBidi" w:cstheme="majorBidi"/>
              </w:rPr>
              <w:t>TSB</w:t>
            </w:r>
            <w:r w:rsidR="00EB25B3" w:rsidRPr="006A3D14">
              <w:rPr>
                <w:rStyle w:val="normaltextrun"/>
                <w:rFonts w:asciiTheme="majorBidi" w:hAnsiTheme="majorBidi" w:cstheme="majorBidi"/>
              </w:rPr>
              <w:t>,</w:t>
            </w:r>
            <w:r w:rsidRPr="006A3D14">
              <w:rPr>
                <w:rStyle w:val="normaltextrun"/>
                <w:rFonts w:asciiTheme="majorBidi" w:hAnsiTheme="majorBidi" w:cstheme="majorBidi"/>
              </w:rPr>
              <w:t xml:space="preserve"> Secretary RG-WM</w:t>
            </w:r>
            <w:r w:rsidRPr="006A3D14">
              <w:rPr>
                <w:rStyle w:val="eop"/>
                <w:rFonts w:asciiTheme="majorBidi" w:hAnsiTheme="majorBidi" w:cstheme="majorBidi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4ECC69" w14:textId="77777777" w:rsidR="008924B6" w:rsidRPr="006A3D14" w:rsidRDefault="008924B6" w:rsidP="00600816">
            <w:pPr>
              <w:rPr>
                <w:rFonts w:asciiTheme="majorBidi" w:hAnsiTheme="majorBidi" w:cstheme="majorBidi"/>
              </w:rPr>
            </w:pPr>
            <w:r w:rsidRPr="006A3D14">
              <w:rPr>
                <w:rStyle w:val="normaltextrun"/>
                <w:rFonts w:asciiTheme="majorBidi" w:hAnsiTheme="majorBidi" w:cstheme="majorBidi"/>
              </w:rPr>
              <w:t>E-mail:</w:t>
            </w:r>
            <w:r w:rsidRPr="006A3D14">
              <w:rPr>
                <w:rStyle w:val="tabchar"/>
                <w:rFonts w:asciiTheme="majorBidi" w:hAnsiTheme="majorBidi" w:cstheme="majorBidi"/>
              </w:rPr>
              <w:tab/>
            </w:r>
            <w:hyperlink r:id="rId12" w:tgtFrame="_blank" w:history="1">
              <w:r w:rsidRPr="006A3D14">
                <w:rPr>
                  <w:rStyle w:val="Hyperlink"/>
                  <w:rFonts w:asciiTheme="majorBidi" w:hAnsiTheme="majorBidi" w:cstheme="majorBidi"/>
                </w:rPr>
                <w:t>stefano.polidori@itu.int</w:t>
              </w:r>
            </w:hyperlink>
            <w:r w:rsidRPr="006A3D14">
              <w:rPr>
                <w:rStyle w:val="eop"/>
                <w:rFonts w:asciiTheme="majorBidi" w:hAnsiTheme="majorBidi" w:cstheme="majorBidi"/>
              </w:rPr>
              <w:t> </w:t>
            </w:r>
          </w:p>
        </w:tc>
      </w:tr>
    </w:tbl>
    <w:p w14:paraId="46864CFF" w14:textId="77777777" w:rsidR="00DB0706" w:rsidRPr="006A3D14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03893DAE" w:rsidR="0089088E" w:rsidRPr="0068196C" w:rsidRDefault="00AA7040" w:rsidP="00AA7040">
            <w:r w:rsidRPr="00AA7040">
              <w:t xml:space="preserve">This is the latest draft of a new Supplement to ITU-T A-series Recommendations "Guidelines for the development of a standardization gap analysis", based on discussions </w:t>
            </w:r>
            <w:r w:rsidR="00F85D55">
              <w:t xml:space="preserve">at the </w:t>
            </w:r>
            <w:r w:rsidRPr="00AA7040">
              <w:t>RG-WM rapporteur group meeting</w:t>
            </w:r>
            <w:r>
              <w:t>s</w:t>
            </w:r>
            <w:r w:rsidRPr="00AA7040">
              <w:t xml:space="preserve"> </w:t>
            </w:r>
            <w:r>
              <w:t xml:space="preserve">held on </w:t>
            </w:r>
            <w:r w:rsidRPr="00AA7040">
              <w:t>14 May 2024</w:t>
            </w:r>
            <w:r>
              <w:t xml:space="preserve"> and 2 July 2024</w:t>
            </w:r>
            <w:r w:rsidRPr="00AA7040">
              <w:t>.</w:t>
            </w:r>
          </w:p>
        </w:tc>
      </w:tr>
    </w:tbl>
    <w:bookmarkEnd w:id="10"/>
    <w:p w14:paraId="75E1ABEE" w14:textId="43C128BC" w:rsidR="004C1FCF" w:rsidRPr="00F23D5E" w:rsidRDefault="004C1FCF" w:rsidP="004C1FCF">
      <w:r w:rsidRPr="00F23D5E">
        <w:rPr>
          <w:b/>
        </w:rPr>
        <w:t>Action</w:t>
      </w:r>
      <w:r w:rsidRPr="00F23D5E">
        <w:t>:</w:t>
      </w:r>
      <w:r w:rsidRPr="00F23D5E">
        <w:tab/>
        <w:t xml:space="preserve">TSAG is invited to </w:t>
      </w:r>
      <w:r w:rsidR="00AA7040">
        <w:t>agree this new Supplement.</w:t>
      </w:r>
    </w:p>
    <w:p w14:paraId="6F8F7061" w14:textId="1D151D2C" w:rsidR="008C5A9A" w:rsidRDefault="008C5A9A" w:rsidP="008C5A9A"/>
    <w:p w14:paraId="7B130EB8" w14:textId="77777777" w:rsidR="00E57CD2" w:rsidRPr="000171A4" w:rsidRDefault="00E57CD2" w:rsidP="00E57CD2">
      <w:pPr>
        <w:rPr>
          <w:sz w:val="22"/>
          <w:szCs w:val="22"/>
        </w:rPr>
      </w:pPr>
      <w:r w:rsidRPr="000171A4">
        <w:rPr>
          <w:sz w:val="22"/>
          <w:szCs w:val="22"/>
        </w:rPr>
        <w:t>NOTE</w:t>
      </w:r>
      <w:r>
        <w:rPr>
          <w:sz w:val="22"/>
          <w:szCs w:val="22"/>
        </w:rPr>
        <w:t xml:space="preserve"> </w:t>
      </w:r>
      <w:r w:rsidRPr="000171A4">
        <w:rPr>
          <w:sz w:val="22"/>
          <w:szCs w:val="22"/>
        </w:rPr>
        <w:t>– The analysis that led to the drafting of this draft new Supplement is contained in TSAG-</w:t>
      </w:r>
      <w:hyperlink r:id="rId13" w:history="1">
        <w:r w:rsidRPr="00660358">
          <w:rPr>
            <w:rStyle w:val="Hyperlink"/>
            <w:sz w:val="22"/>
            <w:szCs w:val="22"/>
          </w:rPr>
          <w:t>TD385</w:t>
        </w:r>
      </w:hyperlink>
      <w:r w:rsidRPr="000171A4">
        <w:rPr>
          <w:sz w:val="22"/>
          <w:szCs w:val="22"/>
        </w:rPr>
        <w:t>.</w:t>
      </w: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807287" w:rsidRPr="00461FA5" w14:paraId="13D83898" w14:textId="77777777" w:rsidTr="00D21813">
        <w:tc>
          <w:tcPr>
            <w:tcW w:w="9945" w:type="dxa"/>
          </w:tcPr>
          <w:p w14:paraId="67DDC12C" w14:textId="77777777" w:rsidR="00807287" w:rsidRPr="00461FA5" w:rsidRDefault="00807287" w:rsidP="00D21813">
            <w:pPr>
              <w:pStyle w:val="RecNo"/>
              <w:pageBreakBefore/>
            </w:pPr>
            <w:r w:rsidRPr="00461FA5">
              <w:lastRenderedPageBreak/>
              <w:t>DRAFT Supplement </w:t>
            </w:r>
            <w:r w:rsidRPr="00292D9D">
              <w:rPr>
                <w:highlight w:val="yellow"/>
              </w:rPr>
              <w:t>n</w:t>
            </w:r>
            <w:r w:rsidRPr="00461FA5">
              <w:t xml:space="preserve"> to ITU-T A-series </w:t>
            </w:r>
            <w:proofErr w:type="gramStart"/>
            <w:r w:rsidRPr="00461FA5">
              <w:t>Recommendations</w:t>
            </w:r>
            <w:bookmarkStart w:id="11" w:name="imakespacee"/>
            <w:bookmarkEnd w:id="11"/>
            <w:proofErr w:type="gramEnd"/>
          </w:p>
          <w:p w14:paraId="4148B1BD" w14:textId="77777777" w:rsidR="00807287" w:rsidRPr="00461FA5" w:rsidRDefault="00807287" w:rsidP="00D21813">
            <w:pPr>
              <w:pStyle w:val="Rectitle"/>
            </w:pPr>
            <w:r w:rsidRPr="009C1265">
              <w:t>Guidelines for the development of a standard</w:t>
            </w:r>
            <w:r>
              <w:t>ization</w:t>
            </w:r>
            <w:r w:rsidRPr="009C1265">
              <w:t xml:space="preserve"> gap analysis</w:t>
            </w:r>
          </w:p>
          <w:p w14:paraId="1CD78A10" w14:textId="77777777" w:rsidR="00807287" w:rsidRPr="00461FA5" w:rsidRDefault="00807287" w:rsidP="00D21813"/>
        </w:tc>
      </w:tr>
    </w:tbl>
    <w:p w14:paraId="68FFDC35" w14:textId="77777777" w:rsidR="00807287" w:rsidRPr="00461FA5" w:rsidRDefault="00807287" w:rsidP="00807287"/>
    <w:p w14:paraId="3AAFD7EA" w14:textId="77777777" w:rsidR="00807287" w:rsidRPr="00461FA5" w:rsidRDefault="00807287" w:rsidP="0080728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807287" w:rsidRPr="00461FA5" w14:paraId="42A3ECE9" w14:textId="77777777" w:rsidTr="00D21813">
        <w:tc>
          <w:tcPr>
            <w:tcW w:w="9945" w:type="dxa"/>
          </w:tcPr>
          <w:p w14:paraId="06FAECC0" w14:textId="77777777" w:rsidR="00807287" w:rsidRPr="00461FA5" w:rsidRDefault="00807287" w:rsidP="00D21813">
            <w:pPr>
              <w:pStyle w:val="Headingb"/>
            </w:pPr>
            <w:bookmarkStart w:id="12" w:name="isume"/>
            <w:r w:rsidRPr="00461FA5">
              <w:t>Summary</w:t>
            </w:r>
          </w:p>
          <w:p w14:paraId="635932D4" w14:textId="77777777" w:rsidR="00807287" w:rsidRPr="00461FA5" w:rsidRDefault="00807287" w:rsidP="00D21813">
            <w:r w:rsidRPr="00461FA5">
              <w:t>This Supplement provides guid</w:t>
            </w:r>
            <w:r>
              <w:t>elines</w:t>
            </w:r>
            <w:r w:rsidRPr="00461FA5">
              <w:t xml:space="preserve"> to aid ITU-T study groups </w:t>
            </w:r>
            <w:bookmarkEnd w:id="12"/>
            <w:r w:rsidRPr="00461FA5">
              <w:t xml:space="preserve">in developing </w:t>
            </w:r>
            <w:r>
              <w:t>a standardization gap analysis of work done in other study groups or other standards development organizations</w:t>
            </w:r>
            <w:r w:rsidRPr="00461FA5">
              <w:t>.</w:t>
            </w:r>
            <w:r>
              <w:t xml:space="preserve"> A standardization gap analysis may be useful when a study group is considering new areas of work (i.e., establishing a new Question, establishing a focus group, adding a new work item to its work programme). </w:t>
            </w:r>
            <w:r>
              <w:rPr>
                <w:lang w:eastAsia="ko-KR"/>
              </w:rPr>
              <w:t>A focus group may also develop a standardization gap analysis.</w:t>
            </w:r>
          </w:p>
          <w:p w14:paraId="6FFFC7E1" w14:textId="77777777" w:rsidR="00807287" w:rsidRPr="00461FA5" w:rsidRDefault="00807287" w:rsidP="00D21813"/>
        </w:tc>
      </w:tr>
    </w:tbl>
    <w:p w14:paraId="25C48F52" w14:textId="77777777" w:rsidR="00807287" w:rsidRPr="00461FA5" w:rsidRDefault="00807287" w:rsidP="00807287">
      <w:pPr>
        <w:pStyle w:val="Rectitle"/>
      </w:pPr>
      <w:bookmarkStart w:id="13" w:name="p1rectexte"/>
      <w:bookmarkEnd w:id="13"/>
      <w:r w:rsidRPr="00461FA5">
        <w:rPr>
          <w:bCs/>
          <w:sz w:val="24"/>
        </w:rPr>
        <w:br w:type="page"/>
      </w:r>
      <w:r w:rsidRPr="00461FA5">
        <w:rPr>
          <w:bCs/>
          <w:sz w:val="24"/>
        </w:rPr>
        <w:lastRenderedPageBreak/>
        <w:t xml:space="preserve">DRAFT </w:t>
      </w:r>
      <w:r w:rsidRPr="00461FA5">
        <w:t>Supplement </w:t>
      </w:r>
      <w:r w:rsidRPr="00292D9D">
        <w:rPr>
          <w:highlight w:val="yellow"/>
        </w:rPr>
        <w:t>n</w:t>
      </w:r>
      <w:r w:rsidRPr="00461FA5">
        <w:t xml:space="preserve"> to ITU-T A-series Recommendations</w:t>
      </w:r>
    </w:p>
    <w:p w14:paraId="00BB0D1E" w14:textId="77777777" w:rsidR="00807287" w:rsidRPr="00461FA5" w:rsidRDefault="00807287" w:rsidP="00807287">
      <w:pPr>
        <w:pStyle w:val="Rectitle"/>
      </w:pPr>
      <w:r w:rsidRPr="009C1265">
        <w:t>Guidelines for the development of a standard</w:t>
      </w:r>
      <w:r>
        <w:t>ization</w:t>
      </w:r>
      <w:r w:rsidRPr="009C1265">
        <w:t xml:space="preserve"> gap analysis</w:t>
      </w:r>
    </w:p>
    <w:p w14:paraId="22F2E096" w14:textId="77777777" w:rsidR="00807287" w:rsidRPr="00461FA5" w:rsidRDefault="00807287" w:rsidP="00807287">
      <w:pPr>
        <w:pStyle w:val="Heading1"/>
      </w:pPr>
      <w:bookmarkStart w:id="14" w:name="_Toc30996543"/>
      <w:bookmarkStart w:id="15" w:name="_Toc35745877"/>
      <w:bookmarkStart w:id="16" w:name="_Toc35749791"/>
      <w:bookmarkStart w:id="17" w:name="_Toc36366110"/>
      <w:bookmarkStart w:id="18" w:name="_Toc302659559"/>
      <w:bookmarkStart w:id="19" w:name="_Toc304536335"/>
      <w:bookmarkStart w:id="20" w:name="_Toc317512737"/>
      <w:bookmarkStart w:id="21" w:name="_Toc318096071"/>
      <w:bookmarkStart w:id="22" w:name="_Toc321201952"/>
      <w:bookmarkStart w:id="23" w:name="_Toc30996544"/>
      <w:bookmarkStart w:id="24" w:name="_Toc35745878"/>
      <w:bookmarkStart w:id="25" w:name="_Toc35749792"/>
      <w:bookmarkStart w:id="26" w:name="_Toc36366111"/>
      <w:r w:rsidRPr="00461FA5">
        <w:t>1</w:t>
      </w:r>
      <w:r w:rsidRPr="00461FA5">
        <w:tab/>
        <w:t>Scope</w:t>
      </w:r>
      <w:bookmarkEnd w:id="14"/>
      <w:bookmarkEnd w:id="15"/>
      <w:bookmarkEnd w:id="16"/>
      <w:bookmarkEnd w:id="17"/>
    </w:p>
    <w:p w14:paraId="5A9EA62B" w14:textId="77777777" w:rsidR="00807287" w:rsidRDefault="00807287" w:rsidP="00807287">
      <w:r>
        <w:rPr>
          <w:lang w:eastAsia="ko-KR"/>
        </w:rPr>
        <w:t>To enhance a common understanding of work that needs to be done, and to identify potential competitive advantages and strategic standardization opportunities while optimizing the allocation of resources</w:t>
      </w:r>
      <w:r>
        <w:t>, conducting a standardization gap analysis might prove beneficial when a study group plans to:</w:t>
      </w:r>
    </w:p>
    <w:p w14:paraId="1359B67F" w14:textId="77777777" w:rsidR="00807287" w:rsidRPr="00CD4152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>expand</w:t>
      </w:r>
      <w:r>
        <w:rPr>
          <w:szCs w:val="24"/>
        </w:rPr>
        <w:t xml:space="preserve"> its</w:t>
      </w:r>
      <w:r w:rsidRPr="00CD4152">
        <w:rPr>
          <w:szCs w:val="24"/>
        </w:rPr>
        <w:t xml:space="preserve"> scope</w:t>
      </w:r>
      <w:r>
        <w:rPr>
          <w:szCs w:val="24"/>
        </w:rPr>
        <w:t>,</w:t>
      </w:r>
    </w:p>
    <w:p w14:paraId="73BAF376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>establish a new Question</w:t>
      </w:r>
      <w:r>
        <w:rPr>
          <w:szCs w:val="24"/>
        </w:rPr>
        <w:t>,</w:t>
      </w:r>
    </w:p>
    <w:p w14:paraId="661AE116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>form a focus group</w:t>
      </w:r>
      <w:r>
        <w:rPr>
          <w:szCs w:val="24"/>
        </w:rPr>
        <w:t>, or</w:t>
      </w:r>
    </w:p>
    <w:p w14:paraId="303A0680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 xml:space="preserve">add a new work item to </w:t>
      </w:r>
      <w:r>
        <w:rPr>
          <w:szCs w:val="24"/>
        </w:rPr>
        <w:t>its</w:t>
      </w:r>
      <w:r w:rsidRPr="00CD4152">
        <w:rPr>
          <w:szCs w:val="24"/>
        </w:rPr>
        <w:t xml:space="preserve"> work programme.</w:t>
      </w:r>
    </w:p>
    <w:p w14:paraId="3D18197E" w14:textId="77777777" w:rsidR="00807287" w:rsidRDefault="00807287" w:rsidP="00807287">
      <w:pPr>
        <w:rPr>
          <w:lang w:eastAsia="ko-KR"/>
        </w:rPr>
      </w:pPr>
      <w:bookmarkStart w:id="27" w:name="_Toc302659558"/>
      <w:bookmarkStart w:id="28" w:name="_Toc304536334"/>
      <w:bookmarkStart w:id="29" w:name="_Toc317512736"/>
      <w:bookmarkStart w:id="30" w:name="_Toc318096070"/>
      <w:bookmarkStart w:id="31" w:name="_Toc321201951"/>
      <w:r>
        <w:rPr>
          <w:lang w:eastAsia="ko-KR"/>
        </w:rPr>
        <w:t>A focus groups may also develop a standardization gap analysis.</w:t>
      </w:r>
    </w:p>
    <w:p w14:paraId="6096CB11" w14:textId="77777777" w:rsidR="00807287" w:rsidRDefault="00807287" w:rsidP="00807287">
      <w:pPr>
        <w:rPr>
          <w:lang w:eastAsia="ko-KR"/>
        </w:rPr>
      </w:pPr>
      <w:r>
        <w:rPr>
          <w:lang w:eastAsia="ko-KR"/>
        </w:rPr>
        <w:t>A standardization gap analysis is normally provided in a contribution to a meeting and further refined during the meeting.</w:t>
      </w:r>
    </w:p>
    <w:p w14:paraId="13F93248" w14:textId="77777777" w:rsidR="00807287" w:rsidRPr="00461FA5" w:rsidRDefault="00807287" w:rsidP="00807287">
      <w:pPr>
        <w:pStyle w:val="Heading1"/>
        <w:rPr>
          <w:lang w:eastAsia="ko-KR"/>
        </w:rPr>
      </w:pPr>
      <w:r w:rsidRPr="00461FA5">
        <w:rPr>
          <w:lang w:eastAsia="ko-KR"/>
        </w:rPr>
        <w:t>2</w:t>
      </w:r>
      <w:r w:rsidRPr="00461FA5">
        <w:rPr>
          <w:lang w:eastAsia="ko-KR"/>
        </w:rPr>
        <w:tab/>
        <w:t>References</w:t>
      </w:r>
      <w:bookmarkEnd w:id="27"/>
      <w:bookmarkEnd w:id="28"/>
      <w:bookmarkEnd w:id="29"/>
      <w:bookmarkEnd w:id="30"/>
      <w:bookmarkEnd w:id="31"/>
    </w:p>
    <w:p w14:paraId="5A0AA53C" w14:textId="77777777" w:rsidR="00807287" w:rsidRDefault="00807287" w:rsidP="00807287">
      <w:pPr>
        <w:pStyle w:val="Reftext"/>
        <w:ind w:left="1985" w:hanging="1985"/>
        <w:rPr>
          <w:rFonts w:eastAsia="Batang"/>
        </w:rPr>
      </w:pPr>
      <w:r w:rsidRPr="0092646F">
        <w:rPr>
          <w:rFonts w:eastAsia="Batang"/>
        </w:rPr>
        <w:t>[ITU-T A.1]</w:t>
      </w:r>
      <w:r w:rsidRPr="0092646F">
        <w:rPr>
          <w:rFonts w:eastAsia="Batang"/>
        </w:rPr>
        <w:tab/>
        <w:t>Recommendation ITU-T A.1 (201</w:t>
      </w:r>
      <w:r>
        <w:rPr>
          <w:rFonts w:eastAsia="Batang"/>
        </w:rPr>
        <w:t>9</w:t>
      </w:r>
      <w:r w:rsidRPr="0092646F">
        <w:rPr>
          <w:rFonts w:eastAsia="Batang"/>
        </w:rPr>
        <w:t xml:space="preserve">), </w:t>
      </w:r>
      <w:r w:rsidRPr="0092646F">
        <w:rPr>
          <w:rFonts w:eastAsia="Batang"/>
          <w:i/>
        </w:rPr>
        <w:t>Working methods for study groups of the ITU Telecommunication Standardization Sector (ITU-T)</w:t>
      </w:r>
      <w:r w:rsidRPr="0092646F">
        <w:rPr>
          <w:rFonts w:eastAsia="Batang"/>
        </w:rPr>
        <w:t>.</w:t>
      </w:r>
    </w:p>
    <w:p w14:paraId="6571C7A9" w14:textId="77777777" w:rsidR="00807287" w:rsidRPr="006A3D14" w:rsidRDefault="00807287" w:rsidP="00807287">
      <w:pPr>
        <w:pStyle w:val="Reftext"/>
        <w:ind w:left="1985" w:hanging="1985"/>
        <w:rPr>
          <w:rFonts w:eastAsia="Batang"/>
          <w:lang w:val="fr-FR"/>
        </w:rPr>
      </w:pPr>
      <w:r w:rsidRPr="006A3D14">
        <w:rPr>
          <w:rFonts w:eastAsia="Batang"/>
          <w:lang w:val="fr-FR"/>
        </w:rPr>
        <w:t>[ITU-T A.13]</w:t>
      </w:r>
      <w:r w:rsidRPr="006A3D14">
        <w:rPr>
          <w:rFonts w:eastAsia="Batang"/>
          <w:lang w:val="fr-FR"/>
        </w:rPr>
        <w:tab/>
      </w:r>
      <w:proofErr w:type="spellStart"/>
      <w:r w:rsidRPr="006A3D14">
        <w:rPr>
          <w:rFonts w:eastAsia="Batang"/>
          <w:lang w:val="fr-FR"/>
        </w:rPr>
        <w:t>Recommendation</w:t>
      </w:r>
      <w:proofErr w:type="spellEnd"/>
      <w:r w:rsidRPr="006A3D14">
        <w:rPr>
          <w:rFonts w:eastAsia="Batang"/>
          <w:lang w:val="fr-FR"/>
        </w:rPr>
        <w:t xml:space="preserve"> ITU-T A.13 (2019), </w:t>
      </w:r>
      <w:r w:rsidRPr="006A3D14">
        <w:rPr>
          <w:rFonts w:eastAsia="Batang"/>
          <w:i/>
          <w:iCs/>
          <w:lang w:val="fr-FR"/>
        </w:rPr>
        <w:t xml:space="preserve">Non-normative ITU-T publications, </w:t>
      </w:r>
      <w:proofErr w:type="spellStart"/>
      <w:r w:rsidRPr="006A3D14">
        <w:rPr>
          <w:rFonts w:eastAsia="Batang"/>
          <w:i/>
          <w:iCs/>
          <w:lang w:val="fr-FR"/>
        </w:rPr>
        <w:t>including</w:t>
      </w:r>
      <w:proofErr w:type="spellEnd"/>
      <w:r w:rsidRPr="006A3D14">
        <w:rPr>
          <w:rFonts w:eastAsia="Batang"/>
          <w:i/>
          <w:iCs/>
          <w:lang w:val="fr-FR"/>
        </w:rPr>
        <w:t xml:space="preserve"> </w:t>
      </w:r>
      <w:proofErr w:type="spellStart"/>
      <w:r w:rsidRPr="006A3D14">
        <w:rPr>
          <w:rFonts w:eastAsia="Batang"/>
          <w:i/>
          <w:iCs/>
          <w:lang w:val="fr-FR"/>
        </w:rPr>
        <w:t>Supplements</w:t>
      </w:r>
      <w:proofErr w:type="spellEnd"/>
      <w:r w:rsidRPr="006A3D14">
        <w:rPr>
          <w:rFonts w:eastAsia="Batang"/>
          <w:i/>
          <w:iCs/>
          <w:lang w:val="fr-FR"/>
        </w:rPr>
        <w:t xml:space="preserve"> to ITU-T </w:t>
      </w:r>
      <w:proofErr w:type="spellStart"/>
      <w:r w:rsidRPr="006A3D14">
        <w:rPr>
          <w:rFonts w:eastAsia="Batang"/>
          <w:i/>
          <w:iCs/>
          <w:lang w:val="fr-FR"/>
        </w:rPr>
        <w:t>Recommendations</w:t>
      </w:r>
      <w:proofErr w:type="spellEnd"/>
      <w:r w:rsidRPr="006A3D14">
        <w:rPr>
          <w:rFonts w:eastAsia="Batang"/>
          <w:lang w:val="fr-FR"/>
        </w:rPr>
        <w:t>.</w:t>
      </w:r>
    </w:p>
    <w:p w14:paraId="59058891" w14:textId="77777777" w:rsidR="00807287" w:rsidRDefault="00807287" w:rsidP="00807287">
      <w:pPr>
        <w:pStyle w:val="Reftext"/>
        <w:ind w:left="1985" w:hanging="1985"/>
        <w:rPr>
          <w:rFonts w:eastAsia="Batang"/>
        </w:rPr>
      </w:pPr>
      <w:r w:rsidRPr="0092646F">
        <w:rPr>
          <w:rFonts w:eastAsia="Batang"/>
        </w:rPr>
        <w:t>[ITU-T A.</w:t>
      </w:r>
      <w:r>
        <w:rPr>
          <w:rFonts w:eastAsia="Batang"/>
        </w:rPr>
        <w:t>7</w:t>
      </w:r>
      <w:r w:rsidRPr="0092646F">
        <w:rPr>
          <w:rFonts w:eastAsia="Batang"/>
        </w:rPr>
        <w:t>]</w:t>
      </w:r>
      <w:r w:rsidRPr="0092646F">
        <w:rPr>
          <w:rFonts w:eastAsia="Batang"/>
        </w:rPr>
        <w:tab/>
        <w:t>Recommendation ITU-T A.</w:t>
      </w:r>
      <w:r>
        <w:rPr>
          <w:rFonts w:eastAsia="Batang"/>
        </w:rPr>
        <w:t>7 (</w:t>
      </w:r>
      <w:r w:rsidRPr="004669BB">
        <w:rPr>
          <w:rFonts w:eastAsia="Batang"/>
          <w:highlight w:val="yellow"/>
        </w:rPr>
        <w:t>2024</w:t>
      </w:r>
      <w:r w:rsidRPr="0092646F">
        <w:rPr>
          <w:rFonts w:eastAsia="Batang"/>
        </w:rPr>
        <w:t xml:space="preserve">), </w:t>
      </w:r>
      <w:r w:rsidRPr="00B16DF6">
        <w:rPr>
          <w:i/>
        </w:rPr>
        <w:t>Focus groups: Establishment and working procedures</w:t>
      </w:r>
      <w:r w:rsidRPr="0092646F">
        <w:rPr>
          <w:rFonts w:eastAsia="Batang"/>
        </w:rPr>
        <w:t>.</w:t>
      </w:r>
    </w:p>
    <w:p w14:paraId="44550B47" w14:textId="77777777" w:rsidR="00807287" w:rsidRPr="009D2FDF" w:rsidRDefault="00807287" w:rsidP="00807287">
      <w:pPr>
        <w:pStyle w:val="Reftext"/>
        <w:spacing w:after="120"/>
        <w:ind w:left="1985" w:hanging="1985"/>
      </w:pPr>
      <w:r w:rsidRPr="009D2FDF">
        <w:t>[WTSA Res. 1]</w:t>
      </w:r>
      <w:r w:rsidRPr="009D2FDF">
        <w:tab/>
        <w:t xml:space="preserve">WTSA Resolution 1 (Rev. Geneva, 2022), </w:t>
      </w:r>
      <w:r w:rsidRPr="009D2FDF">
        <w:rPr>
          <w:i/>
        </w:rPr>
        <w:t>Rules of procedure of the ITU Telecommunication Standardization Sector</w:t>
      </w:r>
      <w:r w:rsidRPr="009D2FDF">
        <w:t>.</w:t>
      </w:r>
    </w:p>
    <w:p w14:paraId="0D9E6C27" w14:textId="77777777" w:rsidR="00807287" w:rsidRPr="009D2FDF" w:rsidRDefault="00807287" w:rsidP="00807287">
      <w:pPr>
        <w:pStyle w:val="Reftext"/>
        <w:spacing w:after="120"/>
        <w:ind w:left="1985" w:hanging="1985"/>
      </w:pPr>
      <w:r w:rsidRPr="009D2FDF">
        <w:t>[WTSA Res. 2]</w:t>
      </w:r>
      <w:r w:rsidRPr="009D2FDF">
        <w:tab/>
        <w:t xml:space="preserve">WTSA Resolution 2 (Rev. Geneva, 2022), </w:t>
      </w:r>
      <w:r w:rsidRPr="009D2FDF">
        <w:rPr>
          <w:i/>
        </w:rPr>
        <w:t>ITU Telecommunication Standardization Sector study group responsibility and mandates</w:t>
      </w:r>
      <w:r w:rsidRPr="009D2FDF">
        <w:t>.</w:t>
      </w:r>
    </w:p>
    <w:p w14:paraId="11A7C0FA" w14:textId="77777777" w:rsidR="00807287" w:rsidRPr="00461FA5" w:rsidRDefault="00807287" w:rsidP="00807287">
      <w:pPr>
        <w:pStyle w:val="Heading1"/>
        <w:ind w:left="0" w:firstLine="0"/>
        <w:rPr>
          <w:lang w:eastAsia="ko-KR"/>
        </w:rPr>
      </w:pPr>
      <w:r w:rsidRPr="00461FA5">
        <w:rPr>
          <w:lang w:eastAsia="ko-KR"/>
        </w:rPr>
        <w:t>3</w:t>
      </w:r>
      <w:r w:rsidRPr="00461FA5">
        <w:rPr>
          <w:lang w:eastAsia="ko-KR"/>
        </w:rPr>
        <w:tab/>
        <w:t>Terms and definitions</w:t>
      </w:r>
      <w:bookmarkEnd w:id="18"/>
      <w:bookmarkEnd w:id="19"/>
      <w:bookmarkEnd w:id="20"/>
      <w:bookmarkEnd w:id="21"/>
      <w:bookmarkEnd w:id="22"/>
    </w:p>
    <w:p w14:paraId="6BA3021F" w14:textId="77777777" w:rsidR="00807287" w:rsidRPr="00461FA5" w:rsidRDefault="00807287" w:rsidP="00807287">
      <w:pPr>
        <w:pStyle w:val="Heading2"/>
      </w:pPr>
      <w:bookmarkStart w:id="32" w:name="_Toc302659560"/>
      <w:bookmarkStart w:id="33" w:name="_Toc304536336"/>
      <w:bookmarkStart w:id="34" w:name="_Toc317512738"/>
      <w:bookmarkStart w:id="35" w:name="_Toc318096072"/>
      <w:bookmarkStart w:id="36" w:name="_Toc321201953"/>
      <w:r w:rsidRPr="00461FA5">
        <w:t>3.1</w:t>
      </w:r>
      <w:r w:rsidRPr="00461FA5">
        <w:tab/>
        <w:t xml:space="preserve">Terms defined </w:t>
      </w:r>
      <w:proofErr w:type="gramStart"/>
      <w:r w:rsidRPr="00461FA5">
        <w:t>elsewhere</w:t>
      </w:r>
      <w:bookmarkEnd w:id="32"/>
      <w:bookmarkEnd w:id="33"/>
      <w:bookmarkEnd w:id="34"/>
      <w:bookmarkEnd w:id="35"/>
      <w:bookmarkEnd w:id="36"/>
      <w:proofErr w:type="gramEnd"/>
    </w:p>
    <w:p w14:paraId="67954E27" w14:textId="77777777" w:rsidR="00807287" w:rsidRPr="00461FA5" w:rsidRDefault="00807287" w:rsidP="00807287">
      <w:pPr>
        <w:rPr>
          <w:rFonts w:eastAsia="Malgun Gothic"/>
          <w:lang w:eastAsia="ko-KR"/>
        </w:rPr>
      </w:pPr>
      <w:r w:rsidRPr="00461FA5">
        <w:rPr>
          <w:rFonts w:eastAsia="Malgun Gothic"/>
        </w:rPr>
        <w:t>None.</w:t>
      </w:r>
    </w:p>
    <w:p w14:paraId="65E427C6" w14:textId="77777777" w:rsidR="00807287" w:rsidRPr="00461FA5" w:rsidRDefault="00807287" w:rsidP="00807287">
      <w:pPr>
        <w:pStyle w:val="Heading2"/>
      </w:pPr>
      <w:bookmarkStart w:id="37" w:name="_Toc302659561"/>
      <w:bookmarkStart w:id="38" w:name="_Toc304536337"/>
      <w:bookmarkStart w:id="39" w:name="_Toc317512739"/>
      <w:bookmarkStart w:id="40" w:name="_Toc318096073"/>
      <w:bookmarkStart w:id="41" w:name="_Toc321201954"/>
      <w:r w:rsidRPr="00461FA5">
        <w:t>3.2</w:t>
      </w:r>
      <w:r w:rsidRPr="00461FA5">
        <w:tab/>
        <w:t xml:space="preserve">Terms defined in this </w:t>
      </w:r>
      <w:bookmarkEnd w:id="37"/>
      <w:bookmarkEnd w:id="38"/>
      <w:proofErr w:type="gramStart"/>
      <w:r w:rsidRPr="00461FA5">
        <w:t>supplement</w:t>
      </w:r>
      <w:bookmarkEnd w:id="39"/>
      <w:bookmarkEnd w:id="40"/>
      <w:bookmarkEnd w:id="41"/>
      <w:proofErr w:type="gramEnd"/>
    </w:p>
    <w:p w14:paraId="7CD6CF90" w14:textId="77777777" w:rsidR="00807287" w:rsidRPr="00461FA5" w:rsidRDefault="00807287" w:rsidP="00807287">
      <w:pPr>
        <w:rPr>
          <w:rFonts w:eastAsia="Malgun Gothic"/>
          <w:lang w:eastAsia="ko-KR"/>
        </w:rPr>
      </w:pPr>
      <w:r w:rsidRPr="00461FA5">
        <w:rPr>
          <w:rFonts w:eastAsia="Malgun Gothic"/>
        </w:rPr>
        <w:t>This supplement defines the following terms:</w:t>
      </w:r>
    </w:p>
    <w:p w14:paraId="57E5B216" w14:textId="77777777" w:rsidR="00807287" w:rsidRDefault="00807287" w:rsidP="00807287">
      <w:pPr>
        <w:rPr>
          <w:bCs/>
        </w:rPr>
      </w:pPr>
      <w:r w:rsidRPr="00461FA5">
        <w:rPr>
          <w:b/>
        </w:rPr>
        <w:t>3.2.1</w:t>
      </w:r>
      <w:r w:rsidRPr="00461FA5">
        <w:rPr>
          <w:b/>
        </w:rPr>
        <w:tab/>
      </w:r>
      <w:r>
        <w:rPr>
          <w:b/>
        </w:rPr>
        <w:t>s</w:t>
      </w:r>
      <w:r w:rsidRPr="0024385D">
        <w:rPr>
          <w:b/>
        </w:rPr>
        <w:t>tandard</w:t>
      </w:r>
      <w:r>
        <w:rPr>
          <w:b/>
        </w:rPr>
        <w:t>ization</w:t>
      </w:r>
      <w:r w:rsidRPr="0024385D">
        <w:rPr>
          <w:b/>
        </w:rPr>
        <w:t xml:space="preserve"> gap analysis</w:t>
      </w:r>
      <w:r w:rsidRPr="00461FA5">
        <w:rPr>
          <w:bCs/>
        </w:rPr>
        <w:t xml:space="preserve">: </w:t>
      </w:r>
      <w:r w:rsidRPr="0024385D">
        <w:rPr>
          <w:bCs/>
        </w:rPr>
        <w:t xml:space="preserve">Process of </w:t>
      </w:r>
      <w:r w:rsidRPr="00021947">
        <w:rPr>
          <w:bCs/>
        </w:rPr>
        <w:t>identifying discrepancies or deficiencies between current</w:t>
      </w:r>
      <w:r>
        <w:rPr>
          <w:bCs/>
        </w:rPr>
        <w:t xml:space="preserve"> standardization activities,</w:t>
      </w:r>
      <w:r w:rsidRPr="00021947">
        <w:rPr>
          <w:bCs/>
        </w:rPr>
        <w:t xml:space="preserve"> and </w:t>
      </w:r>
      <w:r w:rsidRPr="0024385D">
        <w:rPr>
          <w:bCs/>
        </w:rPr>
        <w:t xml:space="preserve">desired or optimal </w:t>
      </w:r>
      <w:r>
        <w:rPr>
          <w:bCs/>
        </w:rPr>
        <w:t>standardization activities</w:t>
      </w:r>
      <w:r w:rsidRPr="00021947">
        <w:rPr>
          <w:bCs/>
        </w:rPr>
        <w:t xml:space="preserve">, aiming to </w:t>
      </w:r>
      <w:r>
        <w:rPr>
          <w:bCs/>
        </w:rPr>
        <w:t>identify</w:t>
      </w:r>
      <w:r w:rsidRPr="00021947">
        <w:rPr>
          <w:bCs/>
        </w:rPr>
        <w:t xml:space="preserve"> the gaps </w:t>
      </w:r>
      <w:r w:rsidRPr="0024385D">
        <w:rPr>
          <w:bCs/>
        </w:rPr>
        <w:t>within a specific domain.</w:t>
      </w:r>
    </w:p>
    <w:p w14:paraId="21EDC9B0" w14:textId="77777777" w:rsidR="00807287" w:rsidRPr="00461FA5" w:rsidRDefault="00807287" w:rsidP="00807287">
      <w:pPr>
        <w:pStyle w:val="Heading1"/>
        <w:rPr>
          <w:lang w:eastAsia="ko-KR"/>
        </w:rPr>
      </w:pPr>
      <w:bookmarkStart w:id="42" w:name="_Toc302659562"/>
      <w:bookmarkStart w:id="43" w:name="_Toc304536338"/>
      <w:bookmarkStart w:id="44" w:name="_Toc317512740"/>
      <w:bookmarkStart w:id="45" w:name="_Toc318096074"/>
      <w:bookmarkStart w:id="46" w:name="_Toc321201955"/>
      <w:r w:rsidRPr="00461FA5">
        <w:rPr>
          <w:lang w:eastAsia="ko-KR"/>
        </w:rPr>
        <w:t>4</w:t>
      </w:r>
      <w:r w:rsidRPr="00461FA5">
        <w:rPr>
          <w:lang w:eastAsia="ko-KR"/>
        </w:rPr>
        <w:tab/>
        <w:t>Abbreviations and acronyms</w:t>
      </w:r>
      <w:bookmarkEnd w:id="42"/>
      <w:bookmarkEnd w:id="43"/>
      <w:bookmarkEnd w:id="44"/>
      <w:bookmarkEnd w:id="45"/>
      <w:bookmarkEnd w:id="46"/>
    </w:p>
    <w:p w14:paraId="3A5F3AA8" w14:textId="77777777" w:rsidR="00807287" w:rsidRPr="00461FA5" w:rsidRDefault="00807287" w:rsidP="00807287">
      <w:pPr>
        <w:tabs>
          <w:tab w:val="left" w:pos="1134"/>
        </w:tabs>
        <w:rPr>
          <w:lang w:eastAsia="ko-KR"/>
        </w:rPr>
      </w:pPr>
      <w:r>
        <w:t>SDO</w:t>
      </w:r>
      <w:r>
        <w:tab/>
        <w:t>Standards Development Organizations</w:t>
      </w:r>
    </w:p>
    <w:p w14:paraId="725A1113" w14:textId="77777777" w:rsidR="00807287" w:rsidRPr="00461FA5" w:rsidRDefault="00807287" w:rsidP="00807287">
      <w:pPr>
        <w:pStyle w:val="Heading1"/>
        <w:rPr>
          <w:lang w:eastAsia="ko-KR"/>
        </w:rPr>
      </w:pPr>
      <w:bookmarkStart w:id="47" w:name="_Toc302659563"/>
      <w:bookmarkStart w:id="48" w:name="_Toc304536339"/>
      <w:bookmarkStart w:id="49" w:name="_Toc317512741"/>
      <w:bookmarkStart w:id="50" w:name="_Toc318096075"/>
      <w:bookmarkStart w:id="51" w:name="_Toc321201956"/>
      <w:r w:rsidRPr="00461FA5">
        <w:rPr>
          <w:lang w:eastAsia="ko-KR"/>
        </w:rPr>
        <w:lastRenderedPageBreak/>
        <w:t>5</w:t>
      </w:r>
      <w:r w:rsidRPr="00461FA5">
        <w:rPr>
          <w:lang w:eastAsia="ko-KR"/>
        </w:rPr>
        <w:tab/>
        <w:t>Conventions</w:t>
      </w:r>
      <w:bookmarkEnd w:id="47"/>
      <w:bookmarkEnd w:id="48"/>
      <w:bookmarkEnd w:id="49"/>
      <w:bookmarkEnd w:id="50"/>
      <w:bookmarkEnd w:id="51"/>
    </w:p>
    <w:p w14:paraId="044E0223" w14:textId="77777777" w:rsidR="00807287" w:rsidRPr="00461FA5" w:rsidRDefault="00807287" w:rsidP="00807287">
      <w:pPr>
        <w:rPr>
          <w:rFonts w:eastAsia="Malgun Gothic"/>
          <w:lang w:eastAsia="ko-KR"/>
        </w:rPr>
      </w:pPr>
      <w:r w:rsidRPr="00461FA5">
        <w:rPr>
          <w:rFonts w:eastAsia="MS Mincho"/>
          <w:lang w:eastAsia="zh-CN"/>
        </w:rPr>
        <w:t>None.</w:t>
      </w:r>
    </w:p>
    <w:bookmarkEnd w:id="23"/>
    <w:bookmarkEnd w:id="24"/>
    <w:bookmarkEnd w:id="25"/>
    <w:bookmarkEnd w:id="26"/>
    <w:p w14:paraId="3FB4B27C" w14:textId="77777777" w:rsidR="00807287" w:rsidRDefault="00807287" w:rsidP="00807287">
      <w:pPr>
        <w:pStyle w:val="Heading1"/>
        <w:rPr>
          <w:lang w:eastAsia="ko-KR"/>
        </w:rPr>
      </w:pPr>
      <w:r w:rsidRPr="00461FA5">
        <w:rPr>
          <w:lang w:eastAsia="ko-KR"/>
        </w:rPr>
        <w:t>6</w:t>
      </w:r>
      <w:r w:rsidRPr="00461FA5">
        <w:rPr>
          <w:lang w:eastAsia="ko-KR"/>
        </w:rPr>
        <w:tab/>
      </w:r>
      <w:r>
        <w:rPr>
          <w:lang w:eastAsia="ko-KR"/>
        </w:rPr>
        <w:t>Context of use and benefits</w:t>
      </w:r>
    </w:p>
    <w:p w14:paraId="12301A9D" w14:textId="77777777" w:rsidR="00807287" w:rsidRDefault="00807287" w:rsidP="00807287">
      <w:pPr>
        <w:rPr>
          <w:lang w:eastAsia="ko-KR"/>
        </w:rPr>
      </w:pPr>
      <w:r>
        <w:rPr>
          <w:b/>
          <w:bCs/>
          <w:lang w:eastAsia="ko-KR"/>
        </w:rPr>
        <w:t>6</w:t>
      </w:r>
      <w:r w:rsidRPr="001D3553">
        <w:rPr>
          <w:b/>
          <w:bCs/>
          <w:lang w:eastAsia="ko-KR"/>
        </w:rPr>
        <w:t>.1</w:t>
      </w:r>
      <w:r>
        <w:rPr>
          <w:lang w:eastAsia="ko-KR"/>
        </w:rPr>
        <w:tab/>
        <w:t>A standardization gap analysis can be used to bring together information leading to effectively and efficiently scoped work. While the templates specified in clause 7 are not mandatory, they are recommended to be used to enhance a common understanding of the work that needs to be done.</w:t>
      </w:r>
    </w:p>
    <w:p w14:paraId="5A79AB29" w14:textId="77777777" w:rsidR="00807287" w:rsidRDefault="00807287" w:rsidP="00807287">
      <w:r>
        <w:rPr>
          <w:b/>
          <w:bCs/>
          <w:lang w:eastAsia="ko-KR"/>
        </w:rPr>
        <w:t>6</w:t>
      </w:r>
      <w:r w:rsidRPr="001D3553">
        <w:rPr>
          <w:b/>
          <w:bCs/>
          <w:lang w:eastAsia="ko-KR"/>
        </w:rPr>
        <w:t>.</w:t>
      </w:r>
      <w:r>
        <w:rPr>
          <w:b/>
          <w:bCs/>
          <w:lang w:eastAsia="ko-KR"/>
        </w:rPr>
        <w:t>2</w:t>
      </w:r>
      <w:r>
        <w:rPr>
          <w:lang w:eastAsia="ko-KR"/>
        </w:rPr>
        <w:tab/>
        <w:t xml:space="preserve">Based on discussions at a meeting, it may be agreed to </w:t>
      </w:r>
      <w:r>
        <w:t>conduct a standard</w:t>
      </w:r>
      <w:r>
        <w:rPr>
          <w:lang w:eastAsia="ko-KR"/>
        </w:rPr>
        <w:t>ization</w:t>
      </w:r>
      <w:r>
        <w:t xml:space="preserve"> gap analysis:</w:t>
      </w:r>
    </w:p>
    <w:p w14:paraId="08A83198" w14:textId="77777777" w:rsidR="00807287" w:rsidRPr="00CD4152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>when a study group is considering expanding its</w:t>
      </w:r>
      <w:r w:rsidRPr="00CD4152">
        <w:rPr>
          <w:szCs w:val="24"/>
        </w:rPr>
        <w:t xml:space="preserve"> scope</w:t>
      </w:r>
      <w:r>
        <w:rPr>
          <w:szCs w:val="24"/>
        </w:rPr>
        <w:t xml:space="preserve"> (see [WTSA Res. 2]</w:t>
      </w:r>
      <w:proofErr w:type="gramStart"/>
      <w:r>
        <w:rPr>
          <w:szCs w:val="24"/>
        </w:rPr>
        <w:t>)</w:t>
      </w:r>
      <w:r w:rsidRPr="00CD4152">
        <w:rPr>
          <w:szCs w:val="24"/>
        </w:rPr>
        <w:t>;</w:t>
      </w:r>
      <w:proofErr w:type="gramEnd"/>
    </w:p>
    <w:p w14:paraId="378344B3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>when a study group is considering establishing</w:t>
      </w:r>
      <w:r w:rsidRPr="00CD4152">
        <w:rPr>
          <w:szCs w:val="24"/>
        </w:rPr>
        <w:t xml:space="preserve"> a new Question</w:t>
      </w:r>
      <w:r>
        <w:rPr>
          <w:szCs w:val="24"/>
        </w:rPr>
        <w:t xml:space="preserve"> (see [WTSA Res. 1, section 7]</w:t>
      </w:r>
      <w:proofErr w:type="gramStart"/>
      <w:r>
        <w:rPr>
          <w:szCs w:val="24"/>
        </w:rPr>
        <w:t>)</w:t>
      </w:r>
      <w:r w:rsidRPr="00CD4152">
        <w:rPr>
          <w:szCs w:val="24"/>
        </w:rPr>
        <w:t>;</w:t>
      </w:r>
      <w:proofErr w:type="gramEnd"/>
    </w:p>
    <w:p w14:paraId="41EF4E82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 xml:space="preserve">when a focus group is being </w:t>
      </w:r>
      <w:r w:rsidRPr="00CD4152">
        <w:rPr>
          <w:szCs w:val="24"/>
        </w:rPr>
        <w:t>form</w:t>
      </w:r>
      <w:r>
        <w:rPr>
          <w:szCs w:val="24"/>
        </w:rPr>
        <w:t>ed (see [ITU-T A.7]</w:t>
      </w:r>
      <w:proofErr w:type="gramStart"/>
      <w:r>
        <w:rPr>
          <w:szCs w:val="24"/>
        </w:rPr>
        <w:t>)</w:t>
      </w:r>
      <w:r w:rsidRPr="00CD4152">
        <w:rPr>
          <w:szCs w:val="24"/>
        </w:rPr>
        <w:t>;</w:t>
      </w:r>
      <w:proofErr w:type="gramEnd"/>
    </w:p>
    <w:p w14:paraId="14A3B602" w14:textId="77777777" w:rsidR="00807287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 xml:space="preserve">when a study group is considering adding </w:t>
      </w:r>
      <w:r w:rsidRPr="00CD4152">
        <w:rPr>
          <w:szCs w:val="24"/>
        </w:rPr>
        <w:t xml:space="preserve">a new work item to </w:t>
      </w:r>
      <w:r>
        <w:rPr>
          <w:szCs w:val="24"/>
        </w:rPr>
        <w:t>its</w:t>
      </w:r>
      <w:r w:rsidRPr="00CD4152">
        <w:rPr>
          <w:szCs w:val="24"/>
        </w:rPr>
        <w:t xml:space="preserve"> work programme</w:t>
      </w:r>
      <w:r>
        <w:rPr>
          <w:szCs w:val="24"/>
        </w:rPr>
        <w:t xml:space="preserve"> (see [ITU</w:t>
      </w:r>
      <w:r>
        <w:rPr>
          <w:szCs w:val="24"/>
        </w:rPr>
        <w:noBreakHyphen/>
        <w:t>T A.1], clause 1.4.7</w:t>
      </w:r>
      <w:proofErr w:type="gramStart"/>
      <w:r>
        <w:rPr>
          <w:szCs w:val="24"/>
        </w:rPr>
        <w:t>);</w:t>
      </w:r>
      <w:proofErr w:type="gramEnd"/>
    </w:p>
    <w:p w14:paraId="678A29F7" w14:textId="77777777" w:rsidR="00807287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>as a focus group deliverable (see [ITU-T A.7]).</w:t>
      </w:r>
    </w:p>
    <w:p w14:paraId="3A78CE42" w14:textId="77777777" w:rsidR="00807287" w:rsidRPr="00807287" w:rsidRDefault="00807287" w:rsidP="00807287">
      <w:pPr>
        <w:jc w:val="both"/>
        <w:rPr>
          <w:b/>
          <w:bCs/>
        </w:rPr>
      </w:pPr>
      <w:r>
        <w:rPr>
          <w:b/>
          <w:bCs/>
          <w:lang w:eastAsia="ko-KR"/>
        </w:rPr>
        <w:t>6</w:t>
      </w:r>
      <w:r w:rsidRPr="001D3553">
        <w:rPr>
          <w:b/>
          <w:bCs/>
          <w:lang w:eastAsia="ko-KR"/>
        </w:rPr>
        <w:t>.</w:t>
      </w:r>
      <w:r>
        <w:rPr>
          <w:b/>
          <w:bCs/>
          <w:lang w:eastAsia="ko-KR"/>
        </w:rPr>
        <w:t>3</w:t>
      </w:r>
      <w:r>
        <w:rPr>
          <w:lang w:eastAsia="ko-KR"/>
        </w:rPr>
        <w:tab/>
        <w:t xml:space="preserve">When drafting a contribution addressing one of the cases listed in clause 6.2, a member may also find it beneficial to provide a standardization gap analysis (see [ITU-T A.2]). </w:t>
      </w:r>
      <w:bookmarkStart w:id="52" w:name="_Hlk167652554"/>
      <w:r w:rsidRPr="00D21813">
        <w:t xml:space="preserve">A standardization </w:t>
      </w:r>
      <w:r>
        <w:t xml:space="preserve">gap analysis will benefit from the knowledge of all experts attending the meeting where it is discussed. </w:t>
      </w:r>
      <w:r w:rsidRPr="00625006">
        <w:t>T</w:t>
      </w:r>
      <w:r>
        <w:t>o the extent possible, t</w:t>
      </w:r>
      <w:r w:rsidRPr="00625006">
        <w:t xml:space="preserve">he TSB may </w:t>
      </w:r>
      <w:r>
        <w:t>assist</w:t>
      </w:r>
      <w:r w:rsidRPr="00625006">
        <w:t xml:space="preserve"> the member </w:t>
      </w:r>
      <w:r>
        <w:t>to access</w:t>
      </w:r>
      <w:r w:rsidRPr="00625006">
        <w:t xml:space="preserve"> the references</w:t>
      </w:r>
      <w:r>
        <w:t>,</w:t>
      </w:r>
      <w:r w:rsidRPr="00625006">
        <w:t xml:space="preserve"> documentation </w:t>
      </w:r>
      <w:r>
        <w:t xml:space="preserve">and/or summary </w:t>
      </w:r>
      <w:r w:rsidRPr="00625006">
        <w:t xml:space="preserve">necessary to </w:t>
      </w:r>
      <w:r>
        <w:t xml:space="preserve">help the member </w:t>
      </w:r>
      <w:r w:rsidRPr="00625006">
        <w:t>conduct</w:t>
      </w:r>
      <w:r>
        <w:t>ing</w:t>
      </w:r>
      <w:r w:rsidRPr="00625006">
        <w:t xml:space="preserve"> such an analysis.</w:t>
      </w:r>
      <w:bookmarkEnd w:id="52"/>
    </w:p>
    <w:p w14:paraId="478D9889" w14:textId="77777777" w:rsidR="00807287" w:rsidRDefault="00807287" w:rsidP="00807287">
      <w:pPr>
        <w:pStyle w:val="Heading1"/>
        <w:rPr>
          <w:lang w:eastAsia="ko-KR"/>
        </w:rPr>
      </w:pPr>
      <w:r>
        <w:rPr>
          <w:lang w:eastAsia="ko-KR"/>
        </w:rPr>
        <w:t>7</w:t>
      </w:r>
      <w:r w:rsidRPr="00461FA5">
        <w:rPr>
          <w:lang w:eastAsia="ko-KR"/>
        </w:rPr>
        <w:tab/>
      </w:r>
      <w:r>
        <w:rPr>
          <w:lang w:eastAsia="ko-KR"/>
        </w:rPr>
        <w:t>Templates</w:t>
      </w:r>
    </w:p>
    <w:p w14:paraId="1E21A274" w14:textId="77777777" w:rsidR="00807287" w:rsidRDefault="00807287" w:rsidP="00807287">
      <w:pPr>
        <w:rPr>
          <w:lang w:eastAsia="ko-KR"/>
        </w:rPr>
      </w:pPr>
      <w:r w:rsidRPr="001D3553">
        <w:rPr>
          <w:b/>
          <w:bCs/>
          <w:lang w:eastAsia="ko-KR"/>
        </w:rPr>
        <w:t>7.1</w:t>
      </w:r>
      <w:r>
        <w:rPr>
          <w:lang w:eastAsia="ko-KR"/>
        </w:rPr>
        <w:tab/>
        <w:t>A standardization gap analysis can be organized in two potential ways:</w:t>
      </w:r>
    </w:p>
    <w:p w14:paraId="0B61F816" w14:textId="77777777" w:rsidR="00807287" w:rsidRPr="00DF5FEA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 w:rsidRPr="00DF5FEA">
        <w:rPr>
          <w:szCs w:val="24"/>
        </w:rPr>
        <w:tab/>
        <w:t xml:space="preserve">starting from a perceived gap and then considering the </w:t>
      </w:r>
      <w:r>
        <w:rPr>
          <w:szCs w:val="24"/>
        </w:rPr>
        <w:t>standardization activities</w:t>
      </w:r>
      <w:r w:rsidRPr="00DF5FEA">
        <w:rPr>
          <w:szCs w:val="24"/>
        </w:rPr>
        <w:t xml:space="preserve"> impacted</w:t>
      </w:r>
      <w:r>
        <w:rPr>
          <w:szCs w:val="24"/>
        </w:rPr>
        <w:t> </w:t>
      </w:r>
      <w:r w:rsidRPr="00DF5FEA">
        <w:rPr>
          <w:szCs w:val="24"/>
        </w:rPr>
        <w:t xml:space="preserve">(see Table 1); </w:t>
      </w:r>
      <w:r>
        <w:rPr>
          <w:szCs w:val="24"/>
        </w:rPr>
        <w:t>and/</w:t>
      </w:r>
      <w:r w:rsidRPr="00DF5FEA">
        <w:rPr>
          <w:szCs w:val="24"/>
        </w:rPr>
        <w:t>or</w:t>
      </w:r>
    </w:p>
    <w:p w14:paraId="48772375" w14:textId="77777777" w:rsidR="00807287" w:rsidRPr="00DF5FEA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 w:rsidRPr="00DF5FEA">
        <w:rPr>
          <w:szCs w:val="24"/>
        </w:rPr>
        <w:tab/>
        <w:t>starting from the perspective of the other SDOs in the standard</w:t>
      </w:r>
      <w:r>
        <w:rPr>
          <w:szCs w:val="24"/>
        </w:rPr>
        <w:t>ization</w:t>
      </w:r>
      <w:r w:rsidRPr="00DF5FEA">
        <w:rPr>
          <w:szCs w:val="24"/>
        </w:rPr>
        <w:t xml:space="preserve"> ecosystem, identifying their </w:t>
      </w:r>
      <w:r>
        <w:rPr>
          <w:szCs w:val="24"/>
        </w:rPr>
        <w:t>standardization activities</w:t>
      </w:r>
      <w:r w:rsidRPr="00DF5FEA">
        <w:rPr>
          <w:szCs w:val="24"/>
        </w:rPr>
        <w:t>, and then determining (</w:t>
      </w:r>
      <w:proofErr w:type="gramStart"/>
      <w:r w:rsidRPr="00DF5FEA">
        <w:rPr>
          <w:szCs w:val="24"/>
        </w:rPr>
        <w:t>compare and contrast</w:t>
      </w:r>
      <w:proofErr w:type="gramEnd"/>
      <w:r w:rsidRPr="00DF5FEA">
        <w:rPr>
          <w:szCs w:val="24"/>
        </w:rPr>
        <w:t>) if there is a gap to fill</w:t>
      </w:r>
      <w:r>
        <w:rPr>
          <w:szCs w:val="24"/>
        </w:rPr>
        <w:t> </w:t>
      </w:r>
      <w:r w:rsidRPr="00DF5FEA">
        <w:rPr>
          <w:szCs w:val="24"/>
        </w:rPr>
        <w:t>(see Table 2).</w:t>
      </w:r>
    </w:p>
    <w:p w14:paraId="1D981393" w14:textId="77777777" w:rsidR="00807287" w:rsidRDefault="00807287" w:rsidP="00807287">
      <w:pPr>
        <w:rPr>
          <w:lang w:eastAsia="ko-KR"/>
        </w:rPr>
      </w:pPr>
      <w:r w:rsidRPr="009E3B22">
        <w:rPr>
          <w:b/>
          <w:bCs/>
          <w:lang w:eastAsia="ko-KR"/>
        </w:rPr>
        <w:t>7.</w:t>
      </w:r>
      <w:r>
        <w:rPr>
          <w:b/>
          <w:bCs/>
          <w:lang w:eastAsia="ko-KR"/>
        </w:rPr>
        <w:t>2</w:t>
      </w:r>
      <w:r>
        <w:rPr>
          <w:lang w:eastAsia="ko-KR"/>
        </w:rPr>
        <w:tab/>
      </w:r>
      <w:r w:rsidRPr="0024385D">
        <w:rPr>
          <w:lang w:eastAsia="ko-KR"/>
        </w:rPr>
        <w:t>T</w:t>
      </w:r>
      <w:r>
        <w:rPr>
          <w:lang w:eastAsia="ko-KR"/>
        </w:rPr>
        <w:t xml:space="preserve">able 1 and Table 2 </w:t>
      </w:r>
      <w:r w:rsidRPr="0024385D">
        <w:rPr>
          <w:lang w:eastAsia="ko-KR"/>
        </w:rPr>
        <w:t>are not mutually exclusive. Table 2 is good for ecosystem awareness and Table 1 is useful when easy reference to the gaps is needed.</w:t>
      </w:r>
    </w:p>
    <w:p w14:paraId="6E33C099" w14:textId="77777777" w:rsidR="00807287" w:rsidRDefault="00807287" w:rsidP="00807287">
      <w:pPr>
        <w:rPr>
          <w:lang w:eastAsia="ko-KR"/>
        </w:rPr>
      </w:pPr>
      <w:r w:rsidRPr="009C5C24">
        <w:rPr>
          <w:b/>
          <w:bCs/>
          <w:lang w:eastAsia="ko-KR"/>
        </w:rPr>
        <w:t>7.</w:t>
      </w:r>
      <w:r>
        <w:rPr>
          <w:b/>
          <w:bCs/>
          <w:lang w:eastAsia="ko-KR"/>
        </w:rPr>
        <w:t>3</w:t>
      </w:r>
      <w:r>
        <w:rPr>
          <w:lang w:eastAsia="ko-KR"/>
        </w:rPr>
        <w:tab/>
      </w:r>
      <w:r w:rsidRPr="0024385D">
        <w:rPr>
          <w:lang w:eastAsia="ko-KR"/>
        </w:rPr>
        <w:t xml:space="preserve">Table 1 is formatted as a form that will capture each gap, provide </w:t>
      </w:r>
      <w:r>
        <w:rPr>
          <w:lang w:eastAsia="ko-KR"/>
        </w:rPr>
        <w:t>a</w:t>
      </w:r>
      <w:r w:rsidRPr="0024385D">
        <w:rPr>
          <w:lang w:eastAsia="ko-KR"/>
        </w:rPr>
        <w:t xml:space="preserve"> descri</w:t>
      </w:r>
      <w:r>
        <w:rPr>
          <w:lang w:eastAsia="ko-KR"/>
        </w:rPr>
        <w:t>ption of</w:t>
      </w:r>
      <w:r w:rsidRPr="0024385D">
        <w:rPr>
          <w:lang w:eastAsia="ko-KR"/>
        </w:rPr>
        <w:t xml:space="preserve"> the gap and point to the </w:t>
      </w:r>
      <w:r>
        <w:rPr>
          <w:lang w:eastAsia="ko-KR"/>
        </w:rPr>
        <w:t>standardization activities</w:t>
      </w:r>
      <w:r w:rsidRPr="0024385D">
        <w:rPr>
          <w:lang w:eastAsia="ko-KR"/>
        </w:rPr>
        <w:t xml:space="preserve"> that are impacted.</w:t>
      </w:r>
    </w:p>
    <w:p w14:paraId="52709163" w14:textId="77777777" w:rsidR="00807287" w:rsidRPr="00514CA8" w:rsidRDefault="00807287" w:rsidP="00807287">
      <w:pPr>
        <w:keepNext/>
        <w:spacing w:before="360" w:after="120"/>
        <w:jc w:val="center"/>
        <w:rPr>
          <w:b/>
          <w:bCs/>
          <w:lang w:eastAsia="ko-KR"/>
        </w:rPr>
      </w:pPr>
      <w:r w:rsidRPr="00514CA8">
        <w:rPr>
          <w:b/>
          <w:bCs/>
          <w:lang w:eastAsia="ko-KR"/>
        </w:rPr>
        <w:t xml:space="preserve">Table </w:t>
      </w:r>
      <w:r>
        <w:rPr>
          <w:b/>
          <w:bCs/>
          <w:lang w:eastAsia="ko-KR"/>
        </w:rPr>
        <w:t>1</w:t>
      </w:r>
      <w:r w:rsidRPr="00514CA8">
        <w:rPr>
          <w:b/>
          <w:bCs/>
          <w:lang w:eastAsia="ko-KR"/>
        </w:rPr>
        <w:t xml:space="preserve"> – </w:t>
      </w:r>
      <w:r>
        <w:rPr>
          <w:b/>
          <w:bCs/>
          <w:lang w:eastAsia="ko-KR"/>
        </w:rPr>
        <w:t xml:space="preserve">Template to describe standardization </w:t>
      </w:r>
      <w:proofErr w:type="gramStart"/>
      <w:r>
        <w:rPr>
          <w:b/>
          <w:bCs/>
          <w:lang w:eastAsia="ko-KR"/>
        </w:rPr>
        <w:t>gaps</w:t>
      </w:r>
      <w:proofErr w:type="gramEnd"/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6751"/>
      </w:tblGrid>
      <w:tr w:rsidR="00807287" w:rsidRPr="00735432" w14:paraId="40D5EBAD" w14:textId="77777777" w:rsidTr="00D21813">
        <w:trPr>
          <w:trHeight w:val="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AB5" w14:textId="77777777" w:rsidR="00807287" w:rsidRPr="00735432" w:rsidRDefault="00807287" w:rsidP="00D21813">
            <w:pPr>
              <w:keepNext/>
              <w:tabs>
                <w:tab w:val="left" w:pos="708"/>
              </w:tabs>
              <w:spacing w:before="0"/>
              <w:rPr>
                <w:sz w:val="20"/>
                <w:szCs w:val="20"/>
                <w:lang w:eastAsia="en-US"/>
              </w:rPr>
            </w:pPr>
            <w:r w:rsidRPr="00735432">
              <w:rPr>
                <w:b/>
                <w:bCs/>
                <w:sz w:val="20"/>
                <w:szCs w:val="20"/>
              </w:rPr>
              <w:t>Gap:</w:t>
            </w:r>
            <w:r w:rsidRPr="00735432">
              <w:rPr>
                <w:sz w:val="20"/>
                <w:szCs w:val="20"/>
              </w:rPr>
              <w:t xml:space="preserve"> </w:t>
            </w:r>
            <w:r w:rsidRPr="00735432">
              <w:rPr>
                <w:i/>
                <w:iCs/>
                <w:sz w:val="20"/>
                <w:szCs w:val="20"/>
              </w:rPr>
              <w:t>&lt;Identifier&gt;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A022" w14:textId="77777777" w:rsidR="00807287" w:rsidRPr="00735432" w:rsidRDefault="00807287" w:rsidP="00D21813">
            <w:pPr>
              <w:keepNext/>
              <w:spacing w:before="0"/>
              <w:rPr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  <w:lang w:eastAsia="en-US"/>
              </w:rPr>
              <w:t>Title:</w:t>
            </w:r>
            <w:r w:rsidRPr="00735432">
              <w:rPr>
                <w:i/>
                <w:iCs/>
                <w:sz w:val="20"/>
                <w:szCs w:val="20"/>
                <w:lang w:eastAsia="en-US"/>
              </w:rPr>
              <w:t xml:space="preserve"> &lt;Short descriptive title&gt;</w:t>
            </w:r>
          </w:p>
        </w:tc>
      </w:tr>
      <w:tr w:rsidR="00807287" w:rsidRPr="00735432" w14:paraId="03BBD657" w14:textId="77777777" w:rsidTr="00D21813">
        <w:trPr>
          <w:trHeight w:val="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5F2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  <w:lang w:val="en-US"/>
              </w:rPr>
              <w:t>Gap description:</w:t>
            </w:r>
          </w:p>
        </w:tc>
        <w:tc>
          <w:tcPr>
            <w:tcW w:w="6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668B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5432">
              <w:rPr>
                <w:i/>
                <w:iCs/>
                <w:sz w:val="20"/>
                <w:szCs w:val="20"/>
                <w:lang w:val="en-US"/>
              </w:rPr>
              <w:t>&lt;Description of the gap, including area(s) where the gap exists&gt;</w:t>
            </w:r>
          </w:p>
        </w:tc>
      </w:tr>
      <w:tr w:rsidR="00807287" w:rsidRPr="00735432" w14:paraId="4F4DCFA4" w14:textId="77777777" w:rsidTr="00D21813">
        <w:trPr>
          <w:trHeight w:val="2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7409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  <w:lang w:val="en-US"/>
              </w:rPr>
              <w:t>Future work:</w:t>
            </w:r>
          </w:p>
        </w:tc>
        <w:tc>
          <w:tcPr>
            <w:tcW w:w="6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276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5432">
              <w:rPr>
                <w:i/>
                <w:iCs/>
                <w:sz w:val="20"/>
                <w:szCs w:val="20"/>
                <w:lang w:val="en-US"/>
              </w:rPr>
              <w:t>&lt;Description of the future work/study needed to fill the gap (as [ITU-T A.1] or [ITU-T A.13] justifications, when applicable)&gt;</w:t>
            </w:r>
          </w:p>
        </w:tc>
      </w:tr>
      <w:tr w:rsidR="00807287" w:rsidRPr="00735432" w14:paraId="47FCC251" w14:textId="77777777" w:rsidTr="00D21813">
        <w:trPr>
          <w:trHeight w:val="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7F2" w14:textId="77777777" w:rsidR="00807287" w:rsidRPr="00735432" w:rsidRDefault="00807287" w:rsidP="00D21813">
            <w:pPr>
              <w:keepNext/>
              <w:spacing w:before="0"/>
              <w:rPr>
                <w:b/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</w:rPr>
              <w:t>Related work: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2929" w14:textId="77777777" w:rsidR="00807287" w:rsidRPr="00735432" w:rsidRDefault="00807287" w:rsidP="00D21813">
            <w:pPr>
              <w:keepNext/>
              <w:spacing w:before="0"/>
              <w:rPr>
                <w:b/>
                <w:sz w:val="20"/>
                <w:szCs w:val="20"/>
              </w:rPr>
            </w:pPr>
            <w:r w:rsidRPr="00735432">
              <w:rPr>
                <w:sz w:val="20"/>
                <w:szCs w:val="20"/>
              </w:rPr>
              <w:t>&lt;</w:t>
            </w:r>
            <w:r w:rsidRPr="00735432">
              <w:rPr>
                <w:i/>
                <w:iCs/>
                <w:sz w:val="20"/>
                <w:szCs w:val="20"/>
              </w:rPr>
              <w:t>Existing and draft standards which are relevant to the future work; SDOs impacted&gt;</w:t>
            </w:r>
          </w:p>
        </w:tc>
      </w:tr>
    </w:tbl>
    <w:p w14:paraId="46B76EA6" w14:textId="77777777" w:rsidR="00807287" w:rsidRDefault="00807287" w:rsidP="00807287">
      <w:pPr>
        <w:spacing w:before="0"/>
        <w:rPr>
          <w:b/>
          <w:bCs/>
          <w:lang w:eastAsia="ko-KR"/>
        </w:rPr>
      </w:pPr>
    </w:p>
    <w:p w14:paraId="061CAC40" w14:textId="77777777" w:rsidR="00807287" w:rsidRDefault="00807287" w:rsidP="00807287">
      <w:pPr>
        <w:rPr>
          <w:lang w:eastAsia="ko-KR"/>
        </w:rPr>
      </w:pPr>
      <w:r w:rsidRPr="009C5C24">
        <w:rPr>
          <w:b/>
          <w:bCs/>
          <w:lang w:eastAsia="ko-KR"/>
        </w:rPr>
        <w:t>7.</w:t>
      </w:r>
      <w:r>
        <w:rPr>
          <w:b/>
          <w:bCs/>
          <w:lang w:eastAsia="ko-KR"/>
        </w:rPr>
        <w:t>4</w:t>
      </w:r>
      <w:r>
        <w:rPr>
          <w:lang w:eastAsia="ko-KR"/>
        </w:rPr>
        <w:tab/>
      </w:r>
      <w:r w:rsidRPr="0024385D">
        <w:rPr>
          <w:lang w:eastAsia="ko-KR"/>
        </w:rPr>
        <w:t>Table 2 is formatted so that each organization has multiple rows in the table</w:t>
      </w:r>
      <w:r>
        <w:rPr>
          <w:lang w:eastAsia="ko-KR"/>
        </w:rPr>
        <w:t>,</w:t>
      </w:r>
      <w:r w:rsidRPr="0024385D">
        <w:rPr>
          <w:lang w:eastAsia="ko-KR"/>
        </w:rPr>
        <w:t xml:space="preserve"> providing a way to list all the </w:t>
      </w:r>
      <w:r>
        <w:rPr>
          <w:lang w:eastAsia="ko-KR"/>
        </w:rPr>
        <w:t>standardization activities</w:t>
      </w:r>
      <w:r w:rsidRPr="0024385D">
        <w:rPr>
          <w:lang w:eastAsia="ko-KR"/>
        </w:rPr>
        <w:t xml:space="preserve"> that need to be considered as part of the </w:t>
      </w:r>
      <w:r>
        <w:rPr>
          <w:lang w:eastAsia="ko-KR"/>
        </w:rPr>
        <w:t xml:space="preserve">standardization </w:t>
      </w:r>
      <w:r w:rsidRPr="0024385D">
        <w:rPr>
          <w:lang w:eastAsia="ko-KR"/>
        </w:rPr>
        <w:t>gap analysis.</w:t>
      </w:r>
    </w:p>
    <w:p w14:paraId="1508D3D7" w14:textId="77777777" w:rsidR="00807287" w:rsidRPr="00514CA8" w:rsidRDefault="00807287" w:rsidP="00807287">
      <w:pPr>
        <w:keepNext/>
        <w:spacing w:before="360" w:after="120"/>
        <w:jc w:val="center"/>
        <w:rPr>
          <w:b/>
          <w:bCs/>
          <w:lang w:eastAsia="ko-KR"/>
        </w:rPr>
      </w:pPr>
      <w:r w:rsidRPr="00514CA8">
        <w:rPr>
          <w:b/>
          <w:bCs/>
          <w:lang w:eastAsia="ko-KR"/>
        </w:rPr>
        <w:lastRenderedPageBreak/>
        <w:t xml:space="preserve">Table </w:t>
      </w:r>
      <w:r>
        <w:rPr>
          <w:b/>
          <w:bCs/>
          <w:lang w:eastAsia="ko-KR"/>
        </w:rPr>
        <w:t>2</w:t>
      </w:r>
      <w:r w:rsidRPr="00514CA8">
        <w:rPr>
          <w:b/>
          <w:bCs/>
          <w:lang w:eastAsia="ko-KR"/>
        </w:rPr>
        <w:t xml:space="preserve"> – </w:t>
      </w:r>
      <w:r>
        <w:rPr>
          <w:b/>
          <w:bCs/>
          <w:lang w:eastAsia="ko-KR"/>
        </w:rPr>
        <w:t xml:space="preserve">Template to describe existing </w:t>
      </w:r>
      <w:proofErr w:type="gramStart"/>
      <w:r>
        <w:rPr>
          <w:b/>
          <w:bCs/>
          <w:lang w:eastAsia="ko-KR"/>
        </w:rPr>
        <w:t>standards</w:t>
      </w:r>
      <w:proofErr w:type="gramEnd"/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3774"/>
      </w:tblGrid>
      <w:tr w:rsidR="00807287" w:rsidRPr="007326F5" w14:paraId="00A69C21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89D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</w:rPr>
              <w:t>SDO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49C8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  <w:lang w:eastAsia="en-US"/>
              </w:rPr>
              <w:t>Standards reference and title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0B7" w14:textId="77777777" w:rsidR="00807287" w:rsidRPr="007326F5" w:rsidRDefault="00807287" w:rsidP="00D21813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</w:rPr>
              <w:t>Short description</w:t>
            </w:r>
          </w:p>
        </w:tc>
      </w:tr>
      <w:tr w:rsidR="00807287" w:rsidRPr="007326F5" w14:paraId="56210248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43D5" w14:textId="77777777" w:rsidR="00807287" w:rsidRPr="007326F5" w:rsidRDefault="00807287" w:rsidP="00D21813">
            <w:pPr>
              <w:tabs>
                <w:tab w:val="left" w:pos="708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7326F5">
              <w:rPr>
                <w:i/>
                <w:iCs/>
                <w:sz w:val="20"/>
                <w:szCs w:val="20"/>
              </w:rPr>
              <w:t>&lt;SDO name&gt;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EB70" w14:textId="77777777" w:rsidR="00807287" w:rsidRPr="007326F5" w:rsidRDefault="00807287" w:rsidP="00D21813">
            <w:pPr>
              <w:tabs>
                <w:tab w:val="left" w:pos="708"/>
              </w:tabs>
              <w:spacing w:before="0"/>
              <w:rPr>
                <w:i/>
                <w:iCs/>
                <w:sz w:val="20"/>
                <w:szCs w:val="20"/>
                <w:lang w:eastAsia="en-US"/>
              </w:rPr>
            </w:pPr>
            <w:r w:rsidRPr="007326F5">
              <w:rPr>
                <w:i/>
                <w:iCs/>
                <w:sz w:val="20"/>
                <w:szCs w:val="20"/>
                <w:lang w:eastAsia="en-US"/>
              </w:rPr>
              <w:t>&lt;Standards reference: "Title"&gt;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21B5" w14:textId="77777777" w:rsidR="00807287" w:rsidRPr="007326F5" w:rsidRDefault="00807287" w:rsidP="00D21813">
            <w:pPr>
              <w:spacing w:before="0"/>
              <w:rPr>
                <w:i/>
                <w:iCs/>
                <w:sz w:val="20"/>
                <w:szCs w:val="20"/>
              </w:rPr>
            </w:pPr>
            <w:r w:rsidRPr="007326F5">
              <w:rPr>
                <w:i/>
                <w:iCs/>
                <w:sz w:val="20"/>
                <w:szCs w:val="20"/>
              </w:rPr>
              <w:t>&lt;Description (in relation with the specific domain being considered)&gt;</w:t>
            </w:r>
          </w:p>
        </w:tc>
      </w:tr>
    </w:tbl>
    <w:p w14:paraId="4B6162B7" w14:textId="77777777" w:rsidR="00807287" w:rsidRDefault="00807287" w:rsidP="00807287">
      <w:pPr>
        <w:spacing w:before="0"/>
        <w:rPr>
          <w:b/>
          <w:bCs/>
          <w:lang w:eastAsia="ko-KR"/>
        </w:rPr>
      </w:pPr>
    </w:p>
    <w:p w14:paraId="7214E929" w14:textId="77777777" w:rsidR="00807287" w:rsidRDefault="00807287" w:rsidP="00807287">
      <w:pPr>
        <w:rPr>
          <w:lang w:eastAsia="ko-KR"/>
        </w:rPr>
      </w:pPr>
      <w:r w:rsidRPr="009E3B22">
        <w:rPr>
          <w:b/>
          <w:bCs/>
          <w:lang w:eastAsia="ko-KR"/>
        </w:rPr>
        <w:t>7.</w:t>
      </w:r>
      <w:r>
        <w:rPr>
          <w:b/>
          <w:bCs/>
          <w:lang w:eastAsia="ko-KR"/>
        </w:rPr>
        <w:t>5</w:t>
      </w:r>
      <w:r>
        <w:rPr>
          <w:lang w:eastAsia="ko-KR"/>
        </w:rPr>
        <w:tab/>
        <w:t>E</w:t>
      </w:r>
      <w:r w:rsidRPr="0024385D">
        <w:rPr>
          <w:lang w:eastAsia="ko-KR"/>
        </w:rPr>
        <w:t>ach table</w:t>
      </w:r>
      <w:r>
        <w:rPr>
          <w:lang w:eastAsia="ko-KR"/>
        </w:rPr>
        <w:t xml:space="preserve"> is followed by </w:t>
      </w:r>
      <w:r w:rsidRPr="0024385D">
        <w:rPr>
          <w:lang w:eastAsia="ko-KR"/>
        </w:rPr>
        <w:t xml:space="preserve">a paragraph that contrasts between the </w:t>
      </w:r>
      <w:r>
        <w:rPr>
          <w:lang w:eastAsia="ko-KR"/>
        </w:rPr>
        <w:t>intended</w:t>
      </w:r>
      <w:r w:rsidRPr="0024385D">
        <w:rPr>
          <w:lang w:eastAsia="ko-KR"/>
        </w:rPr>
        <w:t xml:space="preserve"> </w:t>
      </w:r>
      <w:r>
        <w:rPr>
          <w:lang w:eastAsia="ko-KR"/>
        </w:rPr>
        <w:t>standardization activities</w:t>
      </w:r>
      <w:r w:rsidRPr="0024385D">
        <w:rPr>
          <w:lang w:eastAsia="ko-KR"/>
        </w:rPr>
        <w:t xml:space="preserve"> and the existing </w:t>
      </w:r>
      <w:r>
        <w:rPr>
          <w:lang w:eastAsia="ko-KR"/>
        </w:rPr>
        <w:t>ones</w:t>
      </w:r>
      <w:r w:rsidRPr="0024385D">
        <w:rPr>
          <w:lang w:eastAsia="ko-KR"/>
        </w:rPr>
        <w:t xml:space="preserve"> described in the table.</w:t>
      </w:r>
    </w:p>
    <w:p w14:paraId="2741AC34" w14:textId="77777777" w:rsidR="00807287" w:rsidRDefault="00807287" w:rsidP="00807287">
      <w:pPr>
        <w:pStyle w:val="AppendixNoTitle0"/>
        <w:pageBreakBefore/>
      </w:pPr>
      <w:bookmarkStart w:id="53" w:name="_Toc457983156"/>
      <w:bookmarkStart w:id="54" w:name="_Toc459278614"/>
      <w:r>
        <w:lastRenderedPageBreak/>
        <w:t>Appendix I</w:t>
      </w:r>
      <w:r w:rsidRPr="0092646F">
        <w:br/>
      </w:r>
      <w:r w:rsidRPr="0092646F">
        <w:br/>
      </w:r>
      <w:bookmarkEnd w:id="53"/>
      <w:bookmarkEnd w:id="54"/>
      <w:r>
        <w:t>Examples</w:t>
      </w:r>
    </w:p>
    <w:p w14:paraId="1D78065B" w14:textId="77777777" w:rsidR="00807287" w:rsidRPr="00E96110" w:rsidRDefault="00807287" w:rsidP="00807287">
      <w:pPr>
        <w:rPr>
          <w:lang w:eastAsia="en-US"/>
        </w:rPr>
      </w:pPr>
    </w:p>
    <w:p w14:paraId="2098A521" w14:textId="77777777" w:rsidR="00807287" w:rsidRDefault="00807287" w:rsidP="00807287">
      <w:pPr>
        <w:rPr>
          <w:lang w:eastAsia="ko-KR"/>
        </w:rPr>
      </w:pPr>
      <w:r>
        <w:rPr>
          <w:lang w:eastAsia="ko-KR"/>
        </w:rPr>
        <w:t>This appendix provides an example of use of the templates in Table 1 and Table 2, for illustration only</w:t>
      </w:r>
      <w:r w:rsidRPr="0024385D">
        <w:rPr>
          <w:lang w:eastAsia="ko-KR"/>
        </w:rPr>
        <w:t>.</w:t>
      </w:r>
    </w:p>
    <w:p w14:paraId="1B03B530" w14:textId="77777777" w:rsidR="00807287" w:rsidRDefault="00807287" w:rsidP="00807287">
      <w:pPr>
        <w:rPr>
          <w:lang w:eastAsia="ko-KR"/>
        </w:rPr>
      </w:pPr>
      <w:r w:rsidRPr="000E1CE5">
        <w:rPr>
          <w:b/>
          <w:bCs/>
          <w:lang w:eastAsia="ko-KR"/>
        </w:rPr>
        <w:t>I.1</w:t>
      </w:r>
      <w:r>
        <w:rPr>
          <w:lang w:eastAsia="ko-KR"/>
        </w:rPr>
        <w:tab/>
        <w:t>Example of a standardization gap described using the template of Table 1:</w:t>
      </w:r>
    </w:p>
    <w:p w14:paraId="784AAFE0" w14:textId="77777777" w:rsidR="00807287" w:rsidRDefault="00807287" w:rsidP="00807287">
      <w:pPr>
        <w:spacing w:before="0"/>
        <w:rPr>
          <w:lang w:eastAsia="ko-KR"/>
        </w:rPr>
      </w:pPr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6893"/>
      </w:tblGrid>
      <w:tr w:rsidR="00807287" w:rsidRPr="007326F5" w14:paraId="6FC7D402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27A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rPr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</w:rPr>
              <w:t>Gap:</w:t>
            </w:r>
            <w:r w:rsidRPr="007326F5">
              <w:rPr>
                <w:sz w:val="20"/>
                <w:szCs w:val="20"/>
              </w:rPr>
              <w:t xml:space="preserve"> G1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9723" w14:textId="77777777" w:rsidR="00807287" w:rsidRPr="007326F5" w:rsidRDefault="00807287" w:rsidP="00D21813">
            <w:pPr>
              <w:keepNext/>
              <w:spacing w:before="0"/>
              <w:rPr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  <w:lang w:eastAsia="en-US"/>
              </w:rPr>
              <w:t>Title:</w:t>
            </w:r>
            <w:r w:rsidRPr="007326F5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326F5">
              <w:rPr>
                <w:sz w:val="20"/>
                <w:szCs w:val="20"/>
              </w:rPr>
              <w:t>Media protection modelling is missing for Transport Element Optical Media Management</w:t>
            </w:r>
          </w:p>
        </w:tc>
      </w:tr>
      <w:tr w:rsidR="00807287" w:rsidRPr="007326F5" w14:paraId="34E8E7E1" w14:textId="77777777" w:rsidTr="00D21813">
        <w:trPr>
          <w:trHeight w:val="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36B4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  <w:lang w:val="en-US"/>
              </w:rPr>
              <w:t>Gap description:</w:t>
            </w:r>
          </w:p>
        </w:tc>
        <w:tc>
          <w:tcPr>
            <w:tcW w:w="6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7978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26F5">
              <w:rPr>
                <w:sz w:val="20"/>
                <w:szCs w:val="20"/>
              </w:rPr>
              <w:t>Optical media protection as described in ITU-T G.807 "Generic functional architecture of the optical media network" is an important capability that is currently missing from the ITU</w:t>
            </w:r>
            <w:r w:rsidRPr="007326F5">
              <w:rPr>
                <w:sz w:val="20"/>
                <w:szCs w:val="20"/>
              </w:rPr>
              <w:noBreakHyphen/>
              <w:t>T Q14/15 management model Recommendations</w:t>
            </w:r>
            <w:r w:rsidRPr="007326F5">
              <w:rPr>
                <w:sz w:val="20"/>
                <w:szCs w:val="20"/>
                <w:lang w:val="en-US"/>
              </w:rPr>
              <w:t>.</w:t>
            </w:r>
          </w:p>
        </w:tc>
      </w:tr>
      <w:tr w:rsidR="00807287" w:rsidRPr="007326F5" w14:paraId="5A840774" w14:textId="77777777" w:rsidTr="00D21813">
        <w:trPr>
          <w:trHeight w:val="2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32B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  <w:lang w:val="en-US"/>
              </w:rPr>
              <w:t>Future work:</w:t>
            </w:r>
          </w:p>
        </w:tc>
        <w:tc>
          <w:tcPr>
            <w:tcW w:w="6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000F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26F5">
              <w:rPr>
                <w:sz w:val="20"/>
                <w:szCs w:val="20"/>
              </w:rPr>
              <w:t>Enhance the optical media model described in ITU-T G.875 "Optical transport network: Protocol-neutral management information model for the network element view" adding the model for optical media protection</w:t>
            </w:r>
            <w:r w:rsidRPr="007326F5">
              <w:rPr>
                <w:sz w:val="20"/>
                <w:szCs w:val="20"/>
                <w:lang w:val="en-US"/>
              </w:rPr>
              <w:t>.</w:t>
            </w:r>
          </w:p>
        </w:tc>
      </w:tr>
      <w:tr w:rsidR="00807287" w:rsidRPr="007326F5" w14:paraId="0D8EF9CA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C56" w14:textId="77777777" w:rsidR="00807287" w:rsidRPr="007326F5" w:rsidRDefault="00807287" w:rsidP="00D21813">
            <w:pPr>
              <w:spacing w:before="0"/>
              <w:rPr>
                <w:b/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</w:rPr>
              <w:t>Related work: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9800" w14:textId="77777777" w:rsidR="00807287" w:rsidRPr="007326F5" w:rsidRDefault="00807287" w:rsidP="00D21813">
            <w:pPr>
              <w:spacing w:before="0"/>
              <w:rPr>
                <w:b/>
                <w:sz w:val="20"/>
                <w:szCs w:val="20"/>
                <w:lang w:val="it-IT"/>
              </w:rPr>
            </w:pPr>
            <w:r w:rsidRPr="007326F5">
              <w:rPr>
                <w:sz w:val="20"/>
                <w:szCs w:val="20"/>
                <w:lang w:val="it-IT"/>
              </w:rPr>
              <w:t>ITU-T G.875, ITU-T G.807, ITU-T G.798, Optical Internetworking Forum (OIF) FlexE IA, IEEE Std 802.3</w:t>
            </w:r>
          </w:p>
        </w:tc>
      </w:tr>
    </w:tbl>
    <w:p w14:paraId="4111804B" w14:textId="77777777" w:rsidR="00807287" w:rsidRPr="003A3C6A" w:rsidRDefault="00807287" w:rsidP="00807287">
      <w:pPr>
        <w:spacing w:before="0"/>
        <w:rPr>
          <w:b/>
          <w:bCs/>
          <w:lang w:val="it-IT" w:eastAsia="ko-KR"/>
        </w:rPr>
      </w:pPr>
    </w:p>
    <w:p w14:paraId="577382C7" w14:textId="77777777" w:rsidR="00807287" w:rsidRDefault="00807287" w:rsidP="00807287">
      <w:pPr>
        <w:rPr>
          <w:lang w:eastAsia="ko-KR"/>
        </w:rPr>
      </w:pPr>
      <w:r w:rsidRPr="000E1CE5">
        <w:rPr>
          <w:b/>
          <w:bCs/>
          <w:lang w:eastAsia="ko-KR"/>
        </w:rPr>
        <w:t>I.</w:t>
      </w:r>
      <w:r>
        <w:rPr>
          <w:b/>
          <w:bCs/>
          <w:lang w:eastAsia="ko-KR"/>
        </w:rPr>
        <w:t>2</w:t>
      </w:r>
      <w:r>
        <w:rPr>
          <w:lang w:eastAsia="ko-KR"/>
        </w:rPr>
        <w:tab/>
        <w:t>Example of an existing standard described using the template of Table 2:</w:t>
      </w:r>
    </w:p>
    <w:p w14:paraId="056CFBB7" w14:textId="77777777" w:rsidR="00807287" w:rsidRDefault="00807287" w:rsidP="00807287">
      <w:pPr>
        <w:spacing w:before="0"/>
      </w:pPr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3774"/>
      </w:tblGrid>
      <w:tr w:rsidR="00807287" w:rsidRPr="007326F5" w14:paraId="590628BA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2C7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</w:rPr>
              <w:t>SDO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7814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  <w:lang w:eastAsia="en-US"/>
              </w:rPr>
              <w:t>Standards reference and title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4AA" w14:textId="77777777" w:rsidR="00807287" w:rsidRPr="007326F5" w:rsidRDefault="00807287" w:rsidP="00D21813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</w:rPr>
              <w:t>Short description</w:t>
            </w:r>
          </w:p>
        </w:tc>
      </w:tr>
      <w:tr w:rsidR="00807287" w:rsidRPr="007326F5" w14:paraId="2A1DFEDB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3F89" w14:textId="77777777" w:rsidR="00807287" w:rsidRPr="007326F5" w:rsidRDefault="00807287" w:rsidP="00D21813">
            <w:pPr>
              <w:tabs>
                <w:tab w:val="left" w:pos="708"/>
              </w:tabs>
              <w:spacing w:before="0"/>
              <w:rPr>
                <w:sz w:val="20"/>
                <w:szCs w:val="20"/>
                <w:lang w:val="fr-FR"/>
              </w:rPr>
            </w:pPr>
            <w:r w:rsidRPr="007326F5">
              <w:rPr>
                <w:sz w:val="20"/>
                <w:szCs w:val="20"/>
                <w:lang w:val="fr-FR"/>
              </w:rPr>
              <w:t xml:space="preserve">Optical </w:t>
            </w:r>
            <w:proofErr w:type="spellStart"/>
            <w:r w:rsidRPr="007326F5">
              <w:rPr>
                <w:sz w:val="20"/>
                <w:szCs w:val="20"/>
                <w:lang w:val="fr-FR"/>
              </w:rPr>
              <w:t>Internetworking</w:t>
            </w:r>
            <w:proofErr w:type="spellEnd"/>
            <w:r w:rsidRPr="007326F5">
              <w:rPr>
                <w:sz w:val="20"/>
                <w:szCs w:val="20"/>
                <w:lang w:val="fr-FR"/>
              </w:rPr>
              <w:t xml:space="preserve"> Forum (OIF)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83" w14:textId="77777777" w:rsidR="00807287" w:rsidRPr="007326F5" w:rsidRDefault="006A3D14" w:rsidP="00D21813">
            <w:pPr>
              <w:tabs>
                <w:tab w:val="left" w:pos="708"/>
              </w:tabs>
              <w:spacing w:before="0"/>
              <w:rPr>
                <w:sz w:val="20"/>
                <w:szCs w:val="20"/>
                <w:lang w:eastAsia="en-US"/>
              </w:rPr>
            </w:pPr>
            <w:hyperlink r:id="rId14" w:history="1">
              <w:proofErr w:type="spellStart"/>
              <w:r w:rsidR="00807287" w:rsidRPr="007326F5">
                <w:rPr>
                  <w:rStyle w:val="Hyperlink"/>
                  <w:sz w:val="20"/>
                  <w:szCs w:val="20"/>
                  <w:lang w:eastAsia="en-US"/>
                </w:rPr>
                <w:t>FlexE</w:t>
              </w:r>
              <w:proofErr w:type="spellEnd"/>
              <w:r w:rsidR="00807287" w:rsidRPr="007326F5">
                <w:rPr>
                  <w:rStyle w:val="Hyperlink"/>
                  <w:sz w:val="20"/>
                  <w:szCs w:val="20"/>
                  <w:lang w:eastAsia="en-US"/>
                </w:rPr>
                <w:t xml:space="preserve"> 2.2 Implementation Agreement</w:t>
              </w:r>
            </w:hyperlink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243" w14:textId="77777777" w:rsidR="00807287" w:rsidRPr="007326F5" w:rsidRDefault="00807287" w:rsidP="00D21813">
            <w:pPr>
              <w:spacing w:before="0"/>
              <w:rPr>
                <w:sz w:val="20"/>
                <w:szCs w:val="20"/>
              </w:rPr>
            </w:pPr>
            <w:r w:rsidRPr="007326F5">
              <w:rPr>
                <w:sz w:val="20"/>
                <w:szCs w:val="20"/>
              </w:rPr>
              <w:t>The Flex Ethernet (</w:t>
            </w:r>
            <w:proofErr w:type="spellStart"/>
            <w:r w:rsidRPr="007326F5">
              <w:rPr>
                <w:sz w:val="20"/>
                <w:szCs w:val="20"/>
              </w:rPr>
              <w:t>FlexE</w:t>
            </w:r>
            <w:proofErr w:type="spellEnd"/>
            <w:r w:rsidRPr="007326F5">
              <w:rPr>
                <w:sz w:val="20"/>
                <w:szCs w:val="20"/>
              </w:rPr>
              <w:t>) Implementation Agreement provides a generic mechanism for supporting a variety of Ethernet MAC rates that may or may not correspond to any existing Ethernet PHY rate.</w:t>
            </w:r>
          </w:p>
        </w:tc>
      </w:tr>
    </w:tbl>
    <w:p w14:paraId="74039454" w14:textId="65F8FBF4" w:rsidR="00DF4500" w:rsidRPr="0068196C" w:rsidRDefault="008C5A9A" w:rsidP="00DA4466">
      <w:pPr>
        <w:jc w:val="center"/>
      </w:pPr>
      <w:bookmarkStart w:id="55" w:name="_Hlk98856042"/>
      <w:r w:rsidRPr="00DF123C">
        <w:t>_______________________</w:t>
      </w:r>
      <w:bookmarkEnd w:id="55"/>
    </w:p>
    <w:sectPr w:rsidR="00DF4500" w:rsidRPr="0068196C" w:rsidSect="004C1FCF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ADC2" w14:textId="77777777" w:rsidR="000F0BA6" w:rsidRDefault="000F0BA6" w:rsidP="00C42125">
      <w:pPr>
        <w:spacing w:before="0"/>
      </w:pPr>
      <w:r>
        <w:separator/>
      </w:r>
    </w:p>
  </w:endnote>
  <w:endnote w:type="continuationSeparator" w:id="0">
    <w:p w14:paraId="4FA17CF9" w14:textId="77777777" w:rsidR="000F0BA6" w:rsidRDefault="000F0BA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77EC" w14:textId="6FABF105" w:rsidR="0061080C" w:rsidRDefault="00610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8C97" w14:textId="7D0CD09C" w:rsidR="0061080C" w:rsidRDefault="00610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6E00" w14:textId="1735911D" w:rsidR="0061080C" w:rsidRDefault="00610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B0C83" w14:textId="77777777" w:rsidR="000F0BA6" w:rsidRDefault="000F0BA6" w:rsidP="00C42125">
      <w:pPr>
        <w:spacing w:before="0"/>
      </w:pPr>
      <w:r>
        <w:separator/>
      </w:r>
    </w:p>
  </w:footnote>
  <w:footnote w:type="continuationSeparator" w:id="0">
    <w:p w14:paraId="61A04549" w14:textId="77777777" w:rsidR="000F0BA6" w:rsidRDefault="000F0BA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650E8757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6A3D14">
      <w:rPr>
        <w:noProof/>
      </w:rPr>
      <w:t>TSAG-TD541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4"/>
  </w:num>
  <w:num w:numId="12" w16cid:durableId="628324437">
    <w:abstractNumId w:val="18"/>
  </w:num>
  <w:num w:numId="13" w16cid:durableId="1673484047">
    <w:abstractNumId w:val="23"/>
  </w:num>
  <w:num w:numId="14" w16cid:durableId="1977877175">
    <w:abstractNumId w:val="19"/>
  </w:num>
  <w:num w:numId="15" w16cid:durableId="1208101695">
    <w:abstractNumId w:val="15"/>
  </w:num>
  <w:num w:numId="16" w16cid:durableId="1689869113">
    <w:abstractNumId w:val="16"/>
  </w:num>
  <w:num w:numId="17" w16cid:durableId="1481576085">
    <w:abstractNumId w:val="13"/>
  </w:num>
  <w:num w:numId="18" w16cid:durableId="6518632">
    <w:abstractNumId w:val="17"/>
  </w:num>
  <w:num w:numId="19" w16cid:durableId="601960827">
    <w:abstractNumId w:val="22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0"/>
  </w:num>
  <w:num w:numId="23" w16cid:durableId="1784110109">
    <w:abstractNumId w:val="21"/>
  </w:num>
  <w:num w:numId="24" w16cid:durableId="1478378992">
    <w:abstractNumId w:val="12"/>
  </w:num>
  <w:num w:numId="25" w16cid:durableId="17031631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C5715"/>
    <w:rsid w:val="000E3C61"/>
    <w:rsid w:val="000E3E55"/>
    <w:rsid w:val="000E6083"/>
    <w:rsid w:val="000E6125"/>
    <w:rsid w:val="000F0BA6"/>
    <w:rsid w:val="00100BAF"/>
    <w:rsid w:val="00113DBE"/>
    <w:rsid w:val="001200A6"/>
    <w:rsid w:val="001251DA"/>
    <w:rsid w:val="00125432"/>
    <w:rsid w:val="00132C98"/>
    <w:rsid w:val="00136DDD"/>
    <w:rsid w:val="00137F40"/>
    <w:rsid w:val="00144BDF"/>
    <w:rsid w:val="00155DDC"/>
    <w:rsid w:val="00162D64"/>
    <w:rsid w:val="001871EC"/>
    <w:rsid w:val="001A20C3"/>
    <w:rsid w:val="001A4296"/>
    <w:rsid w:val="001A670F"/>
    <w:rsid w:val="001B13F5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9029B"/>
    <w:rsid w:val="002A11C4"/>
    <w:rsid w:val="002A399B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571BC"/>
    <w:rsid w:val="0036090C"/>
    <w:rsid w:val="00364979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3F7F15"/>
    <w:rsid w:val="00400B49"/>
    <w:rsid w:val="0040415B"/>
    <w:rsid w:val="004139E4"/>
    <w:rsid w:val="00415999"/>
    <w:rsid w:val="00443878"/>
    <w:rsid w:val="0044402C"/>
    <w:rsid w:val="004461C9"/>
    <w:rsid w:val="004539A8"/>
    <w:rsid w:val="004646F1"/>
    <w:rsid w:val="004712CA"/>
    <w:rsid w:val="0047422E"/>
    <w:rsid w:val="0049674B"/>
    <w:rsid w:val="004B1418"/>
    <w:rsid w:val="004C0673"/>
    <w:rsid w:val="004C1FCF"/>
    <w:rsid w:val="004C4E4E"/>
    <w:rsid w:val="004C7890"/>
    <w:rsid w:val="004E08F2"/>
    <w:rsid w:val="004F3816"/>
    <w:rsid w:val="004F500A"/>
    <w:rsid w:val="005126A0"/>
    <w:rsid w:val="005250B6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080C"/>
    <w:rsid w:val="00615A0A"/>
    <w:rsid w:val="00616233"/>
    <w:rsid w:val="006333D4"/>
    <w:rsid w:val="006369B2"/>
    <w:rsid w:val="0063718D"/>
    <w:rsid w:val="00647525"/>
    <w:rsid w:val="00647A71"/>
    <w:rsid w:val="006530A8"/>
    <w:rsid w:val="006570B0"/>
    <w:rsid w:val="0066022F"/>
    <w:rsid w:val="006725E1"/>
    <w:rsid w:val="0068196C"/>
    <w:rsid w:val="006823F3"/>
    <w:rsid w:val="0069210B"/>
    <w:rsid w:val="00693139"/>
    <w:rsid w:val="00695DD7"/>
    <w:rsid w:val="006A0F3F"/>
    <w:rsid w:val="006A2A02"/>
    <w:rsid w:val="006A3D14"/>
    <w:rsid w:val="006A4055"/>
    <w:rsid w:val="006A7C27"/>
    <w:rsid w:val="006B2FE4"/>
    <w:rsid w:val="006B37B0"/>
    <w:rsid w:val="006B6BA2"/>
    <w:rsid w:val="006C5641"/>
    <w:rsid w:val="006D1089"/>
    <w:rsid w:val="006D1B86"/>
    <w:rsid w:val="006D4F68"/>
    <w:rsid w:val="006D7355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B42"/>
    <w:rsid w:val="00807287"/>
    <w:rsid w:val="008249A7"/>
    <w:rsid w:val="00836D45"/>
    <w:rsid w:val="00837203"/>
    <w:rsid w:val="00842137"/>
    <w:rsid w:val="00851E6C"/>
    <w:rsid w:val="00853F5F"/>
    <w:rsid w:val="00856C7A"/>
    <w:rsid w:val="008623ED"/>
    <w:rsid w:val="00866604"/>
    <w:rsid w:val="00871DAA"/>
    <w:rsid w:val="00875AA6"/>
    <w:rsid w:val="00880944"/>
    <w:rsid w:val="0089088E"/>
    <w:rsid w:val="00892297"/>
    <w:rsid w:val="008924B6"/>
    <w:rsid w:val="008964D6"/>
    <w:rsid w:val="008B5123"/>
    <w:rsid w:val="008C5A9A"/>
    <w:rsid w:val="008D1E1E"/>
    <w:rsid w:val="008E0172"/>
    <w:rsid w:val="008E7F60"/>
    <w:rsid w:val="00936852"/>
    <w:rsid w:val="0094045D"/>
    <w:rsid w:val="009406B5"/>
    <w:rsid w:val="0094137B"/>
    <w:rsid w:val="00946166"/>
    <w:rsid w:val="00966B5C"/>
    <w:rsid w:val="0097755D"/>
    <w:rsid w:val="00983164"/>
    <w:rsid w:val="00984252"/>
    <w:rsid w:val="009972EF"/>
    <w:rsid w:val="009B5035"/>
    <w:rsid w:val="009B6188"/>
    <w:rsid w:val="009C3160"/>
    <w:rsid w:val="009D644B"/>
    <w:rsid w:val="009E4B6B"/>
    <w:rsid w:val="009E766E"/>
    <w:rsid w:val="009F1960"/>
    <w:rsid w:val="009F2949"/>
    <w:rsid w:val="009F4B1A"/>
    <w:rsid w:val="009F715E"/>
    <w:rsid w:val="009F78FE"/>
    <w:rsid w:val="00A10DBB"/>
    <w:rsid w:val="00A11720"/>
    <w:rsid w:val="00A21247"/>
    <w:rsid w:val="00A311F0"/>
    <w:rsid w:val="00A31D47"/>
    <w:rsid w:val="00A35473"/>
    <w:rsid w:val="00A4013E"/>
    <w:rsid w:val="00A4045F"/>
    <w:rsid w:val="00A427CD"/>
    <w:rsid w:val="00A45FEE"/>
    <w:rsid w:val="00A4600B"/>
    <w:rsid w:val="00A50506"/>
    <w:rsid w:val="00A51EF0"/>
    <w:rsid w:val="00A600CD"/>
    <w:rsid w:val="00A62399"/>
    <w:rsid w:val="00A67A81"/>
    <w:rsid w:val="00A730A6"/>
    <w:rsid w:val="00A827B0"/>
    <w:rsid w:val="00A96899"/>
    <w:rsid w:val="00A971A0"/>
    <w:rsid w:val="00AA1186"/>
    <w:rsid w:val="00AA1F22"/>
    <w:rsid w:val="00AA7040"/>
    <w:rsid w:val="00AB37FB"/>
    <w:rsid w:val="00AC3E73"/>
    <w:rsid w:val="00AC63B0"/>
    <w:rsid w:val="00AE0F14"/>
    <w:rsid w:val="00B05821"/>
    <w:rsid w:val="00B100D6"/>
    <w:rsid w:val="00B125C2"/>
    <w:rsid w:val="00B164C9"/>
    <w:rsid w:val="00B26C28"/>
    <w:rsid w:val="00B4174C"/>
    <w:rsid w:val="00B453F5"/>
    <w:rsid w:val="00B5162E"/>
    <w:rsid w:val="00B61624"/>
    <w:rsid w:val="00B66481"/>
    <w:rsid w:val="00B7189C"/>
    <w:rsid w:val="00B718A5"/>
    <w:rsid w:val="00B742B5"/>
    <w:rsid w:val="00B86602"/>
    <w:rsid w:val="00B95D70"/>
    <w:rsid w:val="00BA7411"/>
    <w:rsid w:val="00BA788A"/>
    <w:rsid w:val="00BB4120"/>
    <w:rsid w:val="00BB4983"/>
    <w:rsid w:val="00BB7597"/>
    <w:rsid w:val="00BC62E2"/>
    <w:rsid w:val="00BE4AC3"/>
    <w:rsid w:val="00BF56AC"/>
    <w:rsid w:val="00C21D03"/>
    <w:rsid w:val="00C42125"/>
    <w:rsid w:val="00C47120"/>
    <w:rsid w:val="00C52462"/>
    <w:rsid w:val="00C557CE"/>
    <w:rsid w:val="00C62814"/>
    <w:rsid w:val="00C67B25"/>
    <w:rsid w:val="00C748F7"/>
    <w:rsid w:val="00C74937"/>
    <w:rsid w:val="00CB2599"/>
    <w:rsid w:val="00CC386F"/>
    <w:rsid w:val="00CD2139"/>
    <w:rsid w:val="00CE5986"/>
    <w:rsid w:val="00D10A47"/>
    <w:rsid w:val="00D26477"/>
    <w:rsid w:val="00D56CC3"/>
    <w:rsid w:val="00D647EF"/>
    <w:rsid w:val="00D73137"/>
    <w:rsid w:val="00D977A2"/>
    <w:rsid w:val="00DA1D47"/>
    <w:rsid w:val="00DA4466"/>
    <w:rsid w:val="00DB0706"/>
    <w:rsid w:val="00DB7B14"/>
    <w:rsid w:val="00DC5278"/>
    <w:rsid w:val="00DD50DE"/>
    <w:rsid w:val="00DE1204"/>
    <w:rsid w:val="00DE3062"/>
    <w:rsid w:val="00DF123C"/>
    <w:rsid w:val="00DF4500"/>
    <w:rsid w:val="00E0581D"/>
    <w:rsid w:val="00E1590B"/>
    <w:rsid w:val="00E204DD"/>
    <w:rsid w:val="00E228B7"/>
    <w:rsid w:val="00E257CC"/>
    <w:rsid w:val="00E353EC"/>
    <w:rsid w:val="00E51F61"/>
    <w:rsid w:val="00E53C24"/>
    <w:rsid w:val="00E56E77"/>
    <w:rsid w:val="00E57CD2"/>
    <w:rsid w:val="00EA0BE7"/>
    <w:rsid w:val="00EA10F5"/>
    <w:rsid w:val="00EB25B3"/>
    <w:rsid w:val="00EB387E"/>
    <w:rsid w:val="00EB444D"/>
    <w:rsid w:val="00ED1B45"/>
    <w:rsid w:val="00EE10FB"/>
    <w:rsid w:val="00EE1A06"/>
    <w:rsid w:val="00EE5C0D"/>
    <w:rsid w:val="00EF4792"/>
    <w:rsid w:val="00EF76DC"/>
    <w:rsid w:val="00F02294"/>
    <w:rsid w:val="00F30DE7"/>
    <w:rsid w:val="00F35F57"/>
    <w:rsid w:val="00F4179A"/>
    <w:rsid w:val="00F50467"/>
    <w:rsid w:val="00F562A0"/>
    <w:rsid w:val="00F57FA4"/>
    <w:rsid w:val="00F85D55"/>
    <w:rsid w:val="00F91FF0"/>
    <w:rsid w:val="00F9547A"/>
    <w:rsid w:val="00FA02CB"/>
    <w:rsid w:val="00FA2177"/>
    <w:rsid w:val="00FB0783"/>
    <w:rsid w:val="00FB1B33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E6DBE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link w:val="RecNoChar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9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24B6"/>
  </w:style>
  <w:style w:type="character" w:customStyle="1" w:styleId="scxw137975846">
    <w:name w:val="scxw137975846"/>
    <w:basedOn w:val="DefaultParagraphFont"/>
    <w:rsid w:val="008924B6"/>
  </w:style>
  <w:style w:type="character" w:customStyle="1" w:styleId="eop">
    <w:name w:val="eop"/>
    <w:basedOn w:val="DefaultParagraphFont"/>
    <w:rsid w:val="008924B6"/>
  </w:style>
  <w:style w:type="character" w:customStyle="1" w:styleId="tabchar">
    <w:name w:val="tabchar"/>
    <w:basedOn w:val="DefaultParagraphFont"/>
    <w:rsid w:val="008924B6"/>
  </w:style>
  <w:style w:type="character" w:customStyle="1" w:styleId="enumlev1Char">
    <w:name w:val="enumlev1 Char"/>
    <w:link w:val="enumlev1"/>
    <w:locked/>
    <w:rsid w:val="0080728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NoChar">
    <w:name w:val="Rec_No Char"/>
    <w:link w:val="RecNo"/>
    <w:rsid w:val="00807287"/>
    <w:rPr>
      <w:rFonts w:ascii="Times New Roman" w:hAnsi="Times New Roman" w:cs="Times New Roman"/>
      <w:b/>
      <w:sz w:val="28"/>
      <w:szCs w:val="20"/>
      <w:lang w:val="en-GB" w:eastAsia="ja-JP"/>
    </w:rPr>
  </w:style>
  <w:style w:type="paragraph" w:customStyle="1" w:styleId="AppendixNoTitle0">
    <w:name w:val="Appendix_NoTitle"/>
    <w:basedOn w:val="Normal"/>
    <w:next w:val="Normal"/>
    <w:rsid w:val="0080728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AG-240122-TD-GEN-0385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iforum.com/wp-content/uploads/OIF-FLEXE-02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[Draft] Opening WP1 agenda</vt:lpstr>
      <vt:lpstr>Basic template - Unformatted (T21)</vt:lpstr>
    </vt:vector>
  </TitlesOfParts>
  <Manager>ITU-T</Manager>
  <Company>International Telecommunication Union (ITU)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3</cp:revision>
  <cp:lastPrinted>2016-12-23T12:52:00Z</cp:lastPrinted>
  <dcterms:created xsi:type="dcterms:W3CDTF">2024-07-03T07:30:00Z</dcterms:created>
  <dcterms:modified xsi:type="dcterms:W3CDTF">2024-07-03T07:30:00Z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