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130EA8" w14:paraId="14FF2DB1" w14:textId="77777777" w:rsidTr="00F3787F">
        <w:trPr>
          <w:cantSplit/>
        </w:trPr>
        <w:tc>
          <w:tcPr>
            <w:tcW w:w="1191" w:type="dxa"/>
            <w:vMerge w:val="restart"/>
            <w:vAlign w:val="center"/>
          </w:tcPr>
          <w:p w14:paraId="1F885C86" w14:textId="77777777" w:rsidR="00130EA8" w:rsidRDefault="00130EA8" w:rsidP="00F3787F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5F3F8FF8" wp14:editId="2482FE6D">
                  <wp:extent cx="650240" cy="70294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4D525247" w14:textId="77777777" w:rsidR="00130EA8" w:rsidRDefault="00130EA8" w:rsidP="00F3787F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6A2B4036" w14:textId="77777777" w:rsidR="00130EA8" w:rsidRDefault="00130EA8" w:rsidP="00F3787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84B5054" w14:textId="77777777" w:rsidR="00130EA8" w:rsidRDefault="00130EA8" w:rsidP="00F3787F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1C5571E5" w14:textId="77777777" w:rsidR="00130EA8" w:rsidRPr="00C310D1" w:rsidRDefault="00130EA8" w:rsidP="00F3787F">
            <w:pPr>
              <w:pStyle w:val="Docnumber"/>
              <w:rPr>
                <w:sz w:val="32"/>
                <w:szCs w:val="32"/>
              </w:rPr>
            </w:pPr>
            <w:r w:rsidRPr="00C310D1">
              <w:rPr>
                <w:sz w:val="32"/>
                <w:szCs w:val="32"/>
              </w:rPr>
              <w:t>TSAG-TD604</w:t>
            </w:r>
          </w:p>
        </w:tc>
      </w:tr>
      <w:tr w:rsidR="00130EA8" w14:paraId="26882C4F" w14:textId="77777777" w:rsidTr="00F3787F">
        <w:trPr>
          <w:cantSplit/>
          <w:trHeight w:val="461"/>
        </w:trPr>
        <w:tc>
          <w:tcPr>
            <w:tcW w:w="1191" w:type="dxa"/>
            <w:vMerge/>
          </w:tcPr>
          <w:p w14:paraId="1C88AE6D" w14:textId="77777777" w:rsidR="00130EA8" w:rsidRDefault="00130EA8" w:rsidP="00F3787F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42985E3E" w14:textId="77777777" w:rsidR="00130EA8" w:rsidRDefault="00130EA8" w:rsidP="00F3787F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A6457C6" w14:textId="77777777" w:rsidR="00130EA8" w:rsidRDefault="00130EA8" w:rsidP="00F3787F">
            <w:pPr>
              <w:pStyle w:val="TSBHeaderRight14"/>
            </w:pPr>
            <w:r>
              <w:t>TSAG</w:t>
            </w:r>
          </w:p>
        </w:tc>
      </w:tr>
      <w:tr w:rsidR="00130EA8" w14:paraId="4A87E15B" w14:textId="77777777" w:rsidTr="00F3787F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18A352" w14:textId="77777777" w:rsidR="00130EA8" w:rsidRDefault="00130EA8" w:rsidP="00F3787F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393E6BB6" w14:textId="77777777" w:rsidR="00130EA8" w:rsidRDefault="00130EA8" w:rsidP="00F3787F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2AB706AD" w14:textId="77777777" w:rsidR="00130EA8" w:rsidRDefault="00130EA8" w:rsidP="00F3787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130EA8" w14:paraId="6CACD52F" w14:textId="77777777" w:rsidTr="00F3787F">
        <w:trPr>
          <w:cantSplit/>
          <w:trHeight w:val="357"/>
        </w:trPr>
        <w:tc>
          <w:tcPr>
            <w:tcW w:w="1550" w:type="dxa"/>
            <w:gridSpan w:val="2"/>
          </w:tcPr>
          <w:p w14:paraId="59DD36F9" w14:textId="77777777" w:rsidR="00130EA8" w:rsidRDefault="00130EA8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1692E346" w14:textId="696AB5EC" w:rsidR="00130EA8" w:rsidRDefault="00796B5A" w:rsidP="00F3787F">
            <w:pPr>
              <w:pStyle w:val="TSBHeaderQuestion"/>
            </w:pPr>
            <w:r>
              <w:t>N/</w:t>
            </w:r>
            <w:r w:rsidR="00130EA8">
              <w:t>A</w:t>
            </w:r>
          </w:p>
        </w:tc>
        <w:tc>
          <w:tcPr>
            <w:tcW w:w="3345" w:type="dxa"/>
          </w:tcPr>
          <w:p w14:paraId="1C25AEBA" w14:textId="77777777" w:rsidR="00130EA8" w:rsidRDefault="00130EA8" w:rsidP="00F3787F">
            <w:pPr>
              <w:pStyle w:val="VenueDate"/>
            </w:pPr>
            <w:r>
              <w:t>Geneva, 29 July - 2 August 2024</w:t>
            </w:r>
          </w:p>
        </w:tc>
      </w:tr>
      <w:tr w:rsidR="00130EA8" w14:paraId="3E6F4595" w14:textId="77777777" w:rsidTr="00F3787F">
        <w:trPr>
          <w:cantSplit/>
          <w:trHeight w:val="357"/>
        </w:trPr>
        <w:tc>
          <w:tcPr>
            <w:tcW w:w="9639" w:type="dxa"/>
            <w:gridSpan w:val="5"/>
          </w:tcPr>
          <w:p w14:paraId="3D7B4E15" w14:textId="3DD21CD7" w:rsidR="00130EA8" w:rsidRDefault="00130EA8" w:rsidP="00F3787F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796B5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3" w:tooltip="ITU-T ftp file restricted to TIES access only" w:history="1">
              <w:r>
                <w:rPr>
                  <w:rStyle w:val="Hyperlink"/>
                </w:rPr>
                <w:t>SG2-LS119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130EA8" w14:paraId="5FD53BF5" w14:textId="77777777" w:rsidTr="00F3787F">
        <w:trPr>
          <w:cantSplit/>
          <w:trHeight w:val="357"/>
        </w:trPr>
        <w:tc>
          <w:tcPr>
            <w:tcW w:w="1550" w:type="dxa"/>
            <w:gridSpan w:val="2"/>
          </w:tcPr>
          <w:p w14:paraId="4DCD49AF" w14:textId="77777777" w:rsidR="00130EA8" w:rsidRDefault="00130EA8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57908F45" w14:textId="77777777" w:rsidR="00130EA8" w:rsidRDefault="00130EA8" w:rsidP="00F3787F">
            <w:pPr>
              <w:pStyle w:val="TSBHeaderSource"/>
            </w:pPr>
            <w:r>
              <w:t>ITU-T Study Group 2</w:t>
            </w:r>
          </w:p>
        </w:tc>
      </w:tr>
      <w:tr w:rsidR="00130EA8" w14:paraId="544CC038" w14:textId="77777777" w:rsidTr="00F3787F">
        <w:trPr>
          <w:cantSplit/>
          <w:trHeight w:val="357"/>
        </w:trPr>
        <w:tc>
          <w:tcPr>
            <w:tcW w:w="1550" w:type="dxa"/>
            <w:gridSpan w:val="2"/>
          </w:tcPr>
          <w:p w14:paraId="126A0371" w14:textId="77777777" w:rsidR="00130EA8" w:rsidRDefault="00130EA8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0812CCF0" w14:textId="4529DC35" w:rsidR="00130EA8" w:rsidRDefault="00130EA8" w:rsidP="00F3787F">
            <w:pPr>
              <w:pStyle w:val="TSBHeaderTitle"/>
            </w:pPr>
            <w:r>
              <w:t>LS/r on metaverse (reply to TSAG-LS35)</w:t>
            </w:r>
            <w:r w:rsidR="00796B5A">
              <w:t xml:space="preserve"> [from </w:t>
            </w:r>
            <w:r w:rsidR="00796B5A">
              <w:t>ITU-T SG2</w:t>
            </w:r>
            <w:r w:rsidR="00796B5A">
              <w:t>]</w:t>
            </w:r>
          </w:p>
        </w:tc>
      </w:tr>
      <w:tr w:rsidR="00130EA8" w14:paraId="33F677C1" w14:textId="77777777" w:rsidTr="00F3787F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1F77048E" w14:textId="77777777" w:rsidR="00130EA8" w:rsidRDefault="00130EA8" w:rsidP="00F3787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30EA8" w14:paraId="29863E6F" w14:textId="77777777" w:rsidTr="00F3787F">
        <w:trPr>
          <w:cantSplit/>
          <w:trHeight w:val="357"/>
        </w:trPr>
        <w:tc>
          <w:tcPr>
            <w:tcW w:w="2250" w:type="dxa"/>
            <w:gridSpan w:val="3"/>
          </w:tcPr>
          <w:p w14:paraId="115CFB7C" w14:textId="77777777" w:rsidR="00130EA8" w:rsidRDefault="00130EA8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7288BC1" w14:textId="77777777" w:rsidR="00130EA8" w:rsidRDefault="00130EA8" w:rsidP="00F3787F">
            <w:r>
              <w:t>-</w:t>
            </w:r>
          </w:p>
        </w:tc>
      </w:tr>
      <w:tr w:rsidR="00130EA8" w14:paraId="31D7F2BA" w14:textId="77777777" w:rsidTr="00F3787F">
        <w:trPr>
          <w:cantSplit/>
          <w:trHeight w:val="357"/>
        </w:trPr>
        <w:tc>
          <w:tcPr>
            <w:tcW w:w="2250" w:type="dxa"/>
            <w:gridSpan w:val="3"/>
          </w:tcPr>
          <w:p w14:paraId="1E160191" w14:textId="77777777" w:rsidR="00130EA8" w:rsidRDefault="00130EA8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4D46D7F7" w14:textId="77777777" w:rsidR="00130EA8" w:rsidRDefault="00130EA8" w:rsidP="00F3787F">
            <w:r>
              <w:t>TSAG</w:t>
            </w:r>
          </w:p>
        </w:tc>
      </w:tr>
      <w:tr w:rsidR="00130EA8" w14:paraId="40ACB6A3" w14:textId="77777777" w:rsidTr="00F3787F">
        <w:trPr>
          <w:cantSplit/>
          <w:trHeight w:val="357"/>
        </w:trPr>
        <w:tc>
          <w:tcPr>
            <w:tcW w:w="2250" w:type="dxa"/>
            <w:gridSpan w:val="3"/>
          </w:tcPr>
          <w:p w14:paraId="448794CC" w14:textId="77777777" w:rsidR="00130EA8" w:rsidRDefault="00130EA8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20643E0A" w14:textId="77777777" w:rsidR="00130EA8" w:rsidRDefault="00130EA8" w:rsidP="00F3787F">
            <w:r>
              <w:t>ITU-T Study Group 2 meeting (Geneva, 28 June 2024)</w:t>
            </w:r>
          </w:p>
        </w:tc>
      </w:tr>
      <w:tr w:rsidR="00130EA8" w14:paraId="7F686274" w14:textId="77777777" w:rsidTr="00F3787F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CE75D1D" w14:textId="77777777" w:rsidR="00130EA8" w:rsidRDefault="00130EA8" w:rsidP="00F3787F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12EBE978" w14:textId="46262B46" w:rsidR="00130EA8" w:rsidRDefault="002816BD" w:rsidP="00F3787F">
            <w:r>
              <w:t>N/A</w:t>
            </w:r>
          </w:p>
        </w:tc>
      </w:tr>
      <w:tr w:rsidR="00130EA8" w:rsidRPr="00796B5A" w14:paraId="2EC28A06" w14:textId="77777777" w:rsidTr="00F3787F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295EF61" w14:textId="77777777" w:rsidR="00130EA8" w:rsidRDefault="00130EA8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D0D442A" w14:textId="39BCF2A5" w:rsidR="00130EA8" w:rsidRDefault="00130EA8" w:rsidP="00796B5A">
            <w:r>
              <w:t>Phil Rushton</w:t>
            </w:r>
            <w:r>
              <w:br/>
              <w:t>SG2 Chair</w:t>
            </w:r>
            <w:r>
              <w:br/>
              <w:t>UK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70FCD69F" w14:textId="6B0431D2" w:rsidR="00130EA8" w:rsidRPr="001D6ACB" w:rsidRDefault="00130EA8" w:rsidP="00796B5A">
            <w:pPr>
              <w:rPr>
                <w:lang w:val="de-DE"/>
              </w:rPr>
            </w:pPr>
            <w:r w:rsidRPr="001D6ACB">
              <w:rPr>
                <w:lang w:val="de-DE"/>
              </w:rPr>
              <w:t>Tel:</w:t>
            </w:r>
            <w:r w:rsidR="00796B5A">
              <w:rPr>
                <w:lang w:val="de-DE"/>
              </w:rPr>
              <w:t xml:space="preserve"> </w:t>
            </w:r>
            <w:r w:rsidRPr="001D6ACB">
              <w:rPr>
                <w:lang w:val="de-DE"/>
              </w:rPr>
              <w:t>+44 20 3286 3085</w:t>
            </w:r>
            <w:r w:rsidRPr="001D6ACB">
              <w:rPr>
                <w:lang w:val="de-DE"/>
              </w:rPr>
              <w:br/>
              <w:t xml:space="preserve"> E-mail:</w:t>
            </w:r>
            <w:r w:rsidR="00796B5A">
              <w:rPr>
                <w:lang w:val="de-DE"/>
              </w:rPr>
              <w:t xml:space="preserve"> </w:t>
            </w:r>
            <w:hyperlink r:id="rId14" w:history="1">
              <w:r w:rsidR="00796B5A" w:rsidRPr="00CF283F">
                <w:rPr>
                  <w:rStyle w:val="Hyperlink"/>
                  <w:rFonts w:ascii="Times New Roman" w:hAnsi="Times New Roman"/>
                  <w:lang w:val="de-DE"/>
                </w:rPr>
                <w:t>philrushton@rcc-uk.uk</w:t>
              </w:r>
            </w:hyperlink>
            <w:r w:rsidR="00796B5A">
              <w:rPr>
                <w:lang w:val="de-DE"/>
              </w:rPr>
              <w:t xml:space="preserve"> </w:t>
            </w:r>
          </w:p>
        </w:tc>
      </w:tr>
    </w:tbl>
    <w:p w14:paraId="7835D02F" w14:textId="77777777" w:rsidR="00130EA8" w:rsidRPr="001D6ACB" w:rsidRDefault="00130EA8" w:rsidP="00130EA8">
      <w:pPr>
        <w:rPr>
          <w:lang w:val="de-DE"/>
        </w:rPr>
      </w:pPr>
    </w:p>
    <w:p w14:paraId="03D99DF6" w14:textId="77777777" w:rsidR="00130EA8" w:rsidRDefault="00130EA8" w:rsidP="00130EA8">
      <w:r>
        <w:t xml:space="preserve">This liaison statement answers </w:t>
      </w:r>
      <w:hyperlink r:id="rId15" w:history="1">
        <w:r>
          <w:rPr>
            <w:rStyle w:val="Hyperlink"/>
          </w:rPr>
          <w:t>TSAG-LS35</w:t>
        </w:r>
      </w:hyperlink>
      <w:r>
        <w:t>.</w:t>
      </w:r>
    </w:p>
    <w:p w14:paraId="4E8DABE6" w14:textId="77777777" w:rsidR="00130EA8" w:rsidRDefault="00130EA8" w:rsidP="00130EA8"/>
    <w:p w14:paraId="2C0885F9" w14:textId="77777777" w:rsidR="00130EA8" w:rsidRDefault="00130EA8" w:rsidP="00130EA8">
      <w:r>
        <w:t>A new liaison statement has been received from SG2.</w:t>
      </w:r>
    </w:p>
    <w:p w14:paraId="5E087F1E" w14:textId="77777777" w:rsidR="00130EA8" w:rsidRDefault="00130EA8" w:rsidP="00130EA8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http://handle.itu.int/11.1002/ls/sp17-sg2-oLS-00119.docx</w:t>
        </w:r>
      </w:hyperlink>
      <w:r>
        <w:t>.</w:t>
      </w:r>
    </w:p>
    <w:p w14:paraId="07017DB0" w14:textId="77777777" w:rsidR="00130EA8" w:rsidRDefault="00130EA8" w:rsidP="00130EA8">
      <w:pPr>
        <w:spacing w:before="0"/>
        <w:jc w:val="center"/>
      </w:pPr>
    </w:p>
    <w:p w14:paraId="66C7BB9D" w14:textId="77777777" w:rsidR="00130EA8" w:rsidRDefault="00130EA8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71"/>
        <w:gridCol w:w="509"/>
        <w:gridCol w:w="3267"/>
        <w:gridCol w:w="63"/>
        <w:gridCol w:w="4468"/>
      </w:tblGrid>
      <w:tr w:rsidR="005D1722" w:rsidRPr="005D1722" w14:paraId="0D5E8949" w14:textId="77777777" w:rsidTr="005D1722">
        <w:trPr>
          <w:cantSplit/>
        </w:trPr>
        <w:tc>
          <w:tcPr>
            <w:tcW w:w="1104" w:type="dxa"/>
            <w:vMerge w:val="restart"/>
            <w:vAlign w:val="center"/>
          </w:tcPr>
          <w:p w14:paraId="7BD907A1" w14:textId="3B592AB2" w:rsidR="005D1722" w:rsidRPr="005D1722" w:rsidRDefault="005D1722" w:rsidP="005D1722">
            <w:pPr>
              <w:spacing w:before="0"/>
              <w:jc w:val="center"/>
              <w:rPr>
                <w:sz w:val="20"/>
                <w:szCs w:val="20"/>
              </w:rPr>
            </w:pPr>
            <w:r w:rsidRPr="005D1722">
              <w:rPr>
                <w:noProof/>
              </w:rPr>
              <w:lastRenderedPageBreak/>
              <w:drawing>
                <wp:inline distT="0" distB="0" distL="0" distR="0" wp14:anchorId="48B1F444" wp14:editId="6DF4AEB1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5006930A" w14:textId="77777777" w:rsidR="005D1722" w:rsidRPr="005D1722" w:rsidRDefault="005D1722" w:rsidP="005D1722">
            <w:pPr>
              <w:rPr>
                <w:sz w:val="16"/>
                <w:szCs w:val="16"/>
              </w:rPr>
            </w:pPr>
            <w:r w:rsidRPr="005D1722">
              <w:rPr>
                <w:sz w:val="16"/>
                <w:szCs w:val="16"/>
              </w:rPr>
              <w:t>INTERNATIONAL TELECOMMUNICATION UNION</w:t>
            </w:r>
          </w:p>
          <w:p w14:paraId="2743C1AC" w14:textId="77777777" w:rsidR="005D1722" w:rsidRPr="005D1722" w:rsidRDefault="005D1722" w:rsidP="005D1722">
            <w:pPr>
              <w:rPr>
                <w:b/>
                <w:bCs/>
                <w:sz w:val="26"/>
                <w:szCs w:val="26"/>
              </w:rPr>
            </w:pPr>
            <w:r w:rsidRPr="005D1722">
              <w:rPr>
                <w:b/>
                <w:bCs/>
                <w:sz w:val="26"/>
                <w:szCs w:val="26"/>
              </w:rPr>
              <w:t>TELECOMMUNICATION</w:t>
            </w:r>
            <w:r w:rsidRPr="005D172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D69B18F" w14:textId="77777777" w:rsidR="005D1722" w:rsidRPr="005D1722" w:rsidRDefault="005D1722" w:rsidP="005D1722">
            <w:pPr>
              <w:rPr>
                <w:sz w:val="20"/>
                <w:szCs w:val="20"/>
              </w:rPr>
            </w:pPr>
            <w:r w:rsidRPr="005D1722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5D1722">
              <w:rPr>
                <w:sz w:val="20"/>
              </w:rPr>
              <w:t>2022</w:t>
            </w:r>
            <w:r w:rsidRPr="005D1722">
              <w:rPr>
                <w:sz w:val="20"/>
                <w:szCs w:val="20"/>
              </w:rPr>
              <w:t>-</w:t>
            </w:r>
            <w:r w:rsidRPr="005D1722">
              <w:rPr>
                <w:sz w:val="20"/>
              </w:rPr>
              <w:t>2024</w:t>
            </w:r>
            <w:bookmarkEnd w:id="4"/>
          </w:p>
        </w:tc>
        <w:tc>
          <w:tcPr>
            <w:tcW w:w="4468" w:type="dxa"/>
            <w:vAlign w:val="center"/>
          </w:tcPr>
          <w:p w14:paraId="0ACD9F22" w14:textId="23EE7FF3" w:rsidR="005D1722" w:rsidRPr="00130EA8" w:rsidRDefault="005D1722" w:rsidP="00130EA8">
            <w:pPr>
              <w:jc w:val="right"/>
              <w:rPr>
                <w:b/>
                <w:sz w:val="28"/>
              </w:rPr>
            </w:pPr>
            <w:r w:rsidRPr="00130EA8">
              <w:rPr>
                <w:b/>
                <w:sz w:val="28"/>
              </w:rPr>
              <w:t>SG2-LS119</w:t>
            </w:r>
          </w:p>
        </w:tc>
      </w:tr>
      <w:tr w:rsidR="005D1722" w:rsidRPr="005D1722" w14:paraId="5002D46A" w14:textId="77777777" w:rsidTr="005D1722">
        <w:trPr>
          <w:cantSplit/>
        </w:trPr>
        <w:tc>
          <w:tcPr>
            <w:tcW w:w="1104" w:type="dxa"/>
            <w:vMerge/>
          </w:tcPr>
          <w:p w14:paraId="7EC57641" w14:textId="77777777" w:rsidR="005D1722" w:rsidRPr="005D1722" w:rsidRDefault="005D1722" w:rsidP="005D1722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7856996A" w14:textId="77777777" w:rsidR="005D1722" w:rsidRPr="005D1722" w:rsidRDefault="005D1722" w:rsidP="005D1722">
            <w:pPr>
              <w:rPr>
                <w:smallCaps/>
                <w:sz w:val="20"/>
              </w:rPr>
            </w:pPr>
          </w:p>
        </w:tc>
        <w:tc>
          <w:tcPr>
            <w:tcW w:w="4468" w:type="dxa"/>
          </w:tcPr>
          <w:p w14:paraId="2D4876D0" w14:textId="378C7EF0" w:rsidR="005D1722" w:rsidRPr="005D1722" w:rsidRDefault="005D1722" w:rsidP="005D172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5D1722" w:rsidRPr="005D1722" w14:paraId="36E624FD" w14:textId="77777777" w:rsidTr="005D1722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179BD1F5" w14:textId="77777777" w:rsidR="005D1722" w:rsidRPr="005D1722" w:rsidRDefault="005D1722" w:rsidP="005D1722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4FD2699D" w14:textId="77777777" w:rsidR="005D1722" w:rsidRPr="005D1722" w:rsidRDefault="005D1722" w:rsidP="005D1722">
            <w:pPr>
              <w:rPr>
                <w:b/>
                <w:bCs/>
                <w:sz w:val="26"/>
              </w:rPr>
            </w:pPr>
          </w:p>
        </w:tc>
        <w:tc>
          <w:tcPr>
            <w:tcW w:w="4468" w:type="dxa"/>
            <w:tcBorders>
              <w:bottom w:val="single" w:sz="12" w:space="0" w:color="auto"/>
            </w:tcBorders>
            <w:vAlign w:val="center"/>
          </w:tcPr>
          <w:p w14:paraId="562A7C0F" w14:textId="77777777" w:rsidR="005D1722" w:rsidRPr="005D1722" w:rsidRDefault="005D1722" w:rsidP="005D1722">
            <w:pPr>
              <w:jc w:val="right"/>
              <w:rPr>
                <w:b/>
                <w:bCs/>
                <w:sz w:val="28"/>
                <w:szCs w:val="28"/>
              </w:rPr>
            </w:pPr>
            <w:r w:rsidRPr="005D172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D1722" w:rsidRPr="005D1722" w14:paraId="2EF628A3" w14:textId="77777777" w:rsidTr="005D1722">
        <w:trPr>
          <w:cantSplit/>
        </w:trPr>
        <w:tc>
          <w:tcPr>
            <w:tcW w:w="1545" w:type="dxa"/>
            <w:gridSpan w:val="2"/>
          </w:tcPr>
          <w:p w14:paraId="3625DA13" w14:textId="77777777" w:rsidR="005D1722" w:rsidRPr="005D1722" w:rsidRDefault="005D1722" w:rsidP="005D1722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5D1722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652BCE69" w14:textId="0FAF610D" w:rsidR="005D1722" w:rsidRPr="005D1722" w:rsidRDefault="005D1722" w:rsidP="005D1722">
            <w:r w:rsidRPr="005D1722">
              <w:t>1/2</w:t>
            </w:r>
          </w:p>
        </w:tc>
        <w:tc>
          <w:tcPr>
            <w:tcW w:w="4468" w:type="dxa"/>
          </w:tcPr>
          <w:p w14:paraId="5C9A853C" w14:textId="562AE60B" w:rsidR="005D1722" w:rsidRPr="005D1722" w:rsidRDefault="005D1722" w:rsidP="005D1722">
            <w:pPr>
              <w:jc w:val="right"/>
            </w:pPr>
            <w:r w:rsidRPr="005D1722">
              <w:t>Geneva, 19-28 June 2024</w:t>
            </w:r>
          </w:p>
        </w:tc>
      </w:tr>
      <w:tr w:rsidR="005D1722" w:rsidRPr="005D1722" w14:paraId="71B7CBDA" w14:textId="77777777" w:rsidTr="005D1722">
        <w:trPr>
          <w:cantSplit/>
        </w:trPr>
        <w:tc>
          <w:tcPr>
            <w:tcW w:w="9923" w:type="dxa"/>
            <w:gridSpan w:val="7"/>
          </w:tcPr>
          <w:p w14:paraId="3481C6E3" w14:textId="20158689" w:rsidR="005D1722" w:rsidRPr="005D1722" w:rsidRDefault="005D1722" w:rsidP="005D1722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5D1722">
              <w:rPr>
                <w:b/>
                <w:bCs/>
              </w:rPr>
              <w:t xml:space="preserve">Ref.: </w:t>
            </w:r>
            <w:hyperlink r:id="rId17" w:history="1">
              <w:r w:rsidRPr="005D1722">
                <w:rPr>
                  <w:rStyle w:val="Hyperlink"/>
                  <w:rFonts w:ascii="Times New Roman" w:hAnsi="Times New Roman"/>
                  <w:b/>
                  <w:bCs/>
                </w:rPr>
                <w:t>SG2-TD482/GEN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5D1722" w:rsidRPr="005D1722" w14:paraId="1EE147E9" w14:textId="77777777" w:rsidTr="005D1722">
        <w:trPr>
          <w:cantSplit/>
        </w:trPr>
        <w:tc>
          <w:tcPr>
            <w:tcW w:w="1545" w:type="dxa"/>
            <w:gridSpan w:val="2"/>
          </w:tcPr>
          <w:p w14:paraId="33145EC9" w14:textId="77777777" w:rsidR="005D1722" w:rsidRPr="005D1722" w:rsidRDefault="005D1722" w:rsidP="005D1722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D1722"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5"/>
          </w:tcPr>
          <w:p w14:paraId="2F8510C6" w14:textId="46C82849" w:rsidR="005D1722" w:rsidRPr="005D1722" w:rsidRDefault="005D1722" w:rsidP="005D1722">
            <w:r w:rsidRPr="005D1722">
              <w:t>ITU-T Study Group 2</w:t>
            </w:r>
          </w:p>
        </w:tc>
      </w:tr>
      <w:tr w:rsidR="005D1722" w:rsidRPr="005D1722" w14:paraId="06CEDAF1" w14:textId="77777777" w:rsidTr="005D1722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4390702A" w14:textId="77777777" w:rsidR="005D1722" w:rsidRPr="005D1722" w:rsidRDefault="005D1722" w:rsidP="005D1722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5D1722"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5"/>
            <w:tcBorders>
              <w:bottom w:val="single" w:sz="8" w:space="0" w:color="auto"/>
            </w:tcBorders>
          </w:tcPr>
          <w:p w14:paraId="172BCFC8" w14:textId="07BE4EC4" w:rsidR="005D1722" w:rsidRPr="005D1722" w:rsidRDefault="005D1722" w:rsidP="005D1722">
            <w:r w:rsidRPr="005D1722">
              <w:t>LS/r on metaverse (reply to TSAG-LS35)</w:t>
            </w:r>
          </w:p>
        </w:tc>
      </w:tr>
      <w:bookmarkEnd w:id="1"/>
      <w:bookmarkEnd w:id="10"/>
      <w:tr w:rsidR="000A1470" w14:paraId="149DA298" w14:textId="77777777" w:rsidTr="005D172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542B1A52" w14:textId="77777777" w:rsidR="000A1470" w:rsidRDefault="0077674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A1470" w14:paraId="746C22F8" w14:textId="77777777" w:rsidTr="005D172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7E735CC9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798" w:type="dxa"/>
            <w:gridSpan w:val="3"/>
          </w:tcPr>
          <w:p w14:paraId="2ABB745F" w14:textId="0133CA78" w:rsidR="000A1470" w:rsidRDefault="00F05240">
            <w:pPr>
              <w:pStyle w:val="LSForAction"/>
            </w:pPr>
            <w:r>
              <w:t>-</w:t>
            </w:r>
          </w:p>
        </w:tc>
      </w:tr>
      <w:tr w:rsidR="000A1470" w14:paraId="11D96987" w14:textId="77777777" w:rsidTr="005D172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68F360B3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798" w:type="dxa"/>
            <w:gridSpan w:val="3"/>
          </w:tcPr>
          <w:p w14:paraId="5BD191F6" w14:textId="6B382CD1" w:rsidR="000A1470" w:rsidRDefault="006104FE">
            <w:pPr>
              <w:pStyle w:val="LSForInfo"/>
            </w:pPr>
            <w:r>
              <w:t>T</w:t>
            </w:r>
            <w:r w:rsidR="005C5242">
              <w:t>elecommunication Standardization Advisory Group (T</w:t>
            </w:r>
            <w:r>
              <w:t>SAG</w:t>
            </w:r>
            <w:r w:rsidR="005C5242">
              <w:t>)</w:t>
            </w:r>
          </w:p>
        </w:tc>
      </w:tr>
      <w:tr w:rsidR="000A1470" w14:paraId="038ED709" w14:textId="77777777" w:rsidTr="005D1722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5" w:type="dxa"/>
            <w:gridSpan w:val="4"/>
          </w:tcPr>
          <w:p w14:paraId="5CB22DBE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8" w:type="dxa"/>
            <w:gridSpan w:val="3"/>
          </w:tcPr>
          <w:p w14:paraId="3A91B9BA" w14:textId="475DBEB2" w:rsidR="000A1470" w:rsidRDefault="0077674C">
            <w:r>
              <w:t>ITU-T Study Group 2 meeting (</w:t>
            </w:r>
            <w:r w:rsidR="00E42236">
              <w:rPr>
                <w:rFonts w:hint="eastAsia"/>
                <w:lang w:eastAsia="zh-CN"/>
              </w:rPr>
              <w:t>Gen</w:t>
            </w:r>
            <w:r w:rsidR="00FF6870">
              <w:rPr>
                <w:rFonts w:hint="eastAsia"/>
                <w:lang w:eastAsia="zh-CN"/>
              </w:rPr>
              <w:t>e</w:t>
            </w:r>
            <w:r w:rsidR="00E42236">
              <w:rPr>
                <w:rFonts w:hint="eastAsia"/>
                <w:lang w:eastAsia="zh-CN"/>
              </w:rPr>
              <w:t>va</w:t>
            </w:r>
            <w:r>
              <w:t xml:space="preserve">, </w:t>
            </w:r>
            <w:r w:rsidR="00F05240">
              <w:t>28</w:t>
            </w:r>
            <w:r w:rsidR="00E42236">
              <w:t xml:space="preserve"> </w:t>
            </w:r>
            <w:r w:rsidR="00F05240">
              <w:t>June 2024</w:t>
            </w:r>
            <w:r>
              <w:t>)</w:t>
            </w:r>
          </w:p>
        </w:tc>
      </w:tr>
      <w:tr w:rsidR="000A1470" w14:paraId="79C32C62" w14:textId="77777777" w:rsidTr="005D1722">
        <w:tblPrEx>
          <w:tblLook w:val="04A0" w:firstRow="1" w:lastRow="0" w:firstColumn="1" w:lastColumn="0" w:noHBand="0" w:noVBand="1"/>
        </w:tblPrEx>
        <w:trPr>
          <w:cantSplit/>
          <w:trHeight w:val="508"/>
        </w:trPr>
        <w:tc>
          <w:tcPr>
            <w:tcW w:w="2125" w:type="dxa"/>
            <w:gridSpan w:val="4"/>
            <w:tcBorders>
              <w:bottom w:val="single" w:sz="12" w:space="0" w:color="auto"/>
            </w:tcBorders>
          </w:tcPr>
          <w:p w14:paraId="19DC2C2B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8" w:type="dxa"/>
            <w:gridSpan w:val="3"/>
            <w:tcBorders>
              <w:bottom w:val="single" w:sz="12" w:space="0" w:color="auto"/>
            </w:tcBorders>
          </w:tcPr>
          <w:p w14:paraId="2E97346E" w14:textId="57D7565E" w:rsidR="000A1470" w:rsidRDefault="00810C59">
            <w:pPr>
              <w:pStyle w:val="LSDeadline"/>
            </w:pPr>
            <w:r>
              <w:t>N/A</w:t>
            </w:r>
          </w:p>
        </w:tc>
      </w:tr>
      <w:tr w:rsidR="001521A0" w:rsidRPr="00796B5A" w14:paraId="23EB5D30" w14:textId="77777777" w:rsidTr="005D1722">
        <w:tblPrEx>
          <w:tblLook w:val="04A0" w:firstRow="1" w:lastRow="0" w:firstColumn="1" w:lastColumn="0" w:noHBand="0" w:noVBand="1"/>
        </w:tblPrEx>
        <w:trPr>
          <w:cantSplit/>
          <w:trHeight w:val="1045"/>
        </w:trPr>
        <w:tc>
          <w:tcPr>
            <w:tcW w:w="161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A066710" w14:textId="126CBB3E" w:rsidR="001521A0" w:rsidRPr="00AF3A0C" w:rsidRDefault="001521A0" w:rsidP="001521A0">
            <w:pP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</w:pPr>
            <w:r>
              <w:rPr>
                <w:rFonts w:asciiTheme="majorBidi" w:hAnsiTheme="majorBidi" w:cstheme="majorBidi"/>
                <w:b/>
                <w:bCs/>
                <w:kern w:val="2"/>
                <w:lang w:val="en-US" w:eastAsia="zh-CN"/>
              </w:rPr>
              <w:t>Contact: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ACB42A" w14:textId="17E17391" w:rsidR="001521A0" w:rsidRDefault="001521A0" w:rsidP="001521A0">
            <w:pPr>
              <w:rPr>
                <w:lang w:val="en-US" w:eastAsia="zh-CN"/>
              </w:rPr>
            </w:pPr>
            <w:r w:rsidRPr="00D5603A">
              <w:t>Phil Rushton</w:t>
            </w:r>
            <w:r w:rsidRPr="00D5603A">
              <w:br/>
              <w:t>SG2 Chair</w:t>
            </w:r>
            <w:r w:rsidRPr="00D5603A">
              <w:br/>
              <w:t>UK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688A9EA" w14:textId="11F84929" w:rsidR="001521A0" w:rsidRDefault="001521A0" w:rsidP="004C6BE8">
            <w:pPr>
              <w:rPr>
                <w:lang w:val="es-ES"/>
              </w:rPr>
            </w:pPr>
            <w:r w:rsidRPr="001D6ACB">
              <w:rPr>
                <w:lang w:val="de-DE"/>
              </w:rPr>
              <w:t>Tel:</w:t>
            </w:r>
            <w:r w:rsidRPr="001D6ACB">
              <w:rPr>
                <w:lang w:val="de-DE"/>
              </w:rPr>
              <w:tab/>
              <w:t>+44 20 3286 3085</w:t>
            </w:r>
            <w:r w:rsidRPr="001D6ACB">
              <w:rPr>
                <w:lang w:val="de-DE"/>
              </w:rPr>
              <w:br/>
              <w:t>E-mail:</w:t>
            </w:r>
            <w:r w:rsidRPr="001D6ACB">
              <w:rPr>
                <w:lang w:val="de-DE"/>
              </w:rPr>
              <w:tab/>
            </w:r>
            <w:hyperlink r:id="rId18" w:history="1">
              <w:r w:rsidRPr="001D6ACB">
                <w:rPr>
                  <w:rStyle w:val="Hyperlink"/>
                  <w:lang w:val="de-DE"/>
                </w:rPr>
                <w:t>philrushton@rcc-uk.uk</w:t>
              </w:r>
            </w:hyperlink>
            <w:r w:rsidRPr="001D6ACB">
              <w:rPr>
                <w:lang w:val="de-DE"/>
              </w:rPr>
              <w:t xml:space="preserve"> </w:t>
            </w:r>
          </w:p>
        </w:tc>
      </w:tr>
    </w:tbl>
    <w:p w14:paraId="17FC28B2" w14:textId="77777777" w:rsidR="000A1470" w:rsidRDefault="000A1470">
      <w:pPr>
        <w:rPr>
          <w:lang w:val="pt-BR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1"/>
        <w:gridCol w:w="8282"/>
      </w:tblGrid>
      <w:tr w:rsidR="000A1470" w14:paraId="4D181367" w14:textId="77777777">
        <w:trPr>
          <w:cantSplit/>
        </w:trPr>
        <w:tc>
          <w:tcPr>
            <w:tcW w:w="1641" w:type="dxa"/>
          </w:tcPr>
          <w:p w14:paraId="1823E38D" w14:textId="77777777" w:rsidR="000A1470" w:rsidRDefault="0077674C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sdt>
          <w:sdtPr>
            <w:rPr>
              <w:rFonts w:hint="eastAsia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33DD5524" w14:textId="3AF3D3C6" w:rsidR="000A1470" w:rsidRDefault="005D48DE" w:rsidP="000E7CA4">
                <w:r>
                  <w:t xml:space="preserve">TSAG has allocated one deliverable from the Focus Group on Metaverse (FG-MV) to </w:t>
                </w:r>
                <w:r w:rsidR="00F34BB9">
                  <w:t>ITU-T Study Group 2 (SG2)</w:t>
                </w:r>
                <w:r w:rsidR="00FA485A">
                  <w:t>, alongside several other Study Groups.</w:t>
                </w:r>
                <w:r w:rsidR="00AE7631">
                  <w:t xml:space="preserve"> </w:t>
                </w:r>
                <w:r>
                  <w:t xml:space="preserve">SG2 </w:t>
                </w:r>
                <w:r w:rsidR="00830E7A">
                  <w:t xml:space="preserve">does not currently plan any further work on </w:t>
                </w:r>
                <w:r w:rsidR="00FA485A">
                  <w:t>this deliverable.</w:t>
                </w:r>
                <w:r w:rsidR="00E74F32">
                  <w:t xml:space="preserve"> </w:t>
                </w:r>
              </w:p>
            </w:tc>
          </w:sdtContent>
        </w:sdt>
      </w:tr>
    </w:tbl>
    <w:p w14:paraId="6681CEC1" w14:textId="5D9E1A08" w:rsidR="001365E2" w:rsidRPr="00B03110" w:rsidRDefault="001365E2">
      <w:pPr>
        <w:jc w:val="both"/>
        <w:rPr>
          <w:rFonts w:eastAsia="MS Mincho"/>
        </w:rPr>
      </w:pPr>
    </w:p>
    <w:p w14:paraId="66BE637D" w14:textId="741E2231" w:rsidR="00117B53" w:rsidRDefault="00A761E2" w:rsidP="00D45FCE">
      <w:r w:rsidRPr="00A761E2">
        <w:t>ITU-T Study Group 2</w:t>
      </w:r>
      <w:r w:rsidR="00197F12">
        <w:t xml:space="preserve"> (SG2) </w:t>
      </w:r>
      <w:r w:rsidR="00F02EAE">
        <w:t>thanks TSAG for its</w:t>
      </w:r>
      <w:r w:rsidR="00CC1142">
        <w:t xml:space="preserve"> liaison statement</w:t>
      </w:r>
      <w:r w:rsidR="0011758A">
        <w:t>.</w:t>
      </w:r>
      <w:r w:rsidR="00AE7631">
        <w:t xml:space="preserve"> </w:t>
      </w:r>
      <w:r w:rsidR="0011758A">
        <w:t xml:space="preserve">We have duly noted that </w:t>
      </w:r>
      <w:r w:rsidR="00A67B52">
        <w:t xml:space="preserve">SG2 has </w:t>
      </w:r>
      <w:r w:rsidR="0011758A">
        <w:t xml:space="preserve">been allocated one deliverable from the Focus Group on </w:t>
      </w:r>
      <w:r w:rsidR="00CC1142">
        <w:t>M</w:t>
      </w:r>
      <w:r w:rsidR="0011758A">
        <w:t>etaverse (FG-MV), namely</w:t>
      </w:r>
      <w:r w:rsidR="00F02EAE">
        <w:t xml:space="preserve"> </w:t>
      </w:r>
      <w:hyperlink r:id="rId19" w:history="1">
        <w:r w:rsidR="00C639EF">
          <w:rPr>
            <w:rStyle w:val="Hyperlink"/>
          </w:rPr>
          <w:t>FGMV</w:t>
        </w:r>
        <w:r w:rsidR="00AE7631">
          <w:rPr>
            <w:rStyle w:val="Hyperlink"/>
          </w:rPr>
          <w:noBreakHyphen/>
        </w:r>
        <w:r w:rsidR="00C639EF">
          <w:rPr>
            <w:rStyle w:val="Hyperlink"/>
          </w:rPr>
          <w:t>05</w:t>
        </w:r>
      </w:hyperlink>
      <w:r w:rsidR="00CC1142">
        <w:t xml:space="preserve">, “Technical Specification on Requirements of accessible products and services in the metaverse: Part II – User perspective.” </w:t>
      </w:r>
    </w:p>
    <w:p w14:paraId="1FAC1085" w14:textId="62A22768" w:rsidR="00263A4D" w:rsidRDefault="00B24730" w:rsidP="00D45FCE">
      <w:r>
        <w:t xml:space="preserve">Per TSAG’s instructions, since </w:t>
      </w:r>
      <w:r w:rsidR="004B4A67">
        <w:t xml:space="preserve">more than one Study Group </w:t>
      </w:r>
      <w:r w:rsidR="00117B53">
        <w:t xml:space="preserve">has been </w:t>
      </w:r>
      <w:r w:rsidR="004B4A67">
        <w:t xml:space="preserve">assigned </w:t>
      </w:r>
      <w:r w:rsidR="00F64445">
        <w:t>to this</w:t>
      </w:r>
      <w:r w:rsidR="004B4A67">
        <w:t xml:space="preserve"> deliverable, </w:t>
      </w:r>
      <w:r>
        <w:t>SG2 has</w:t>
      </w:r>
      <w:r w:rsidR="004B4A67">
        <w:t xml:space="preserve"> review</w:t>
      </w:r>
      <w:r>
        <w:t>ed</w:t>
      </w:r>
      <w:r w:rsidR="004B4A67">
        <w:t xml:space="preserve"> the deliverable and </w:t>
      </w:r>
      <w:r>
        <w:t xml:space="preserve">wishes to </w:t>
      </w:r>
      <w:r w:rsidR="004B4A67">
        <w:t>inform TSA</w:t>
      </w:r>
      <w:r w:rsidR="00263A4D">
        <w:t>G that</w:t>
      </w:r>
      <w:r w:rsidR="0036081A">
        <w:t xml:space="preserve"> </w:t>
      </w:r>
      <w:r w:rsidR="005C6FCA">
        <w:t>we</w:t>
      </w:r>
      <w:r w:rsidR="00263A4D">
        <w:t xml:space="preserve"> currently see no need for any further work in SG2 regarding this deliverable.</w:t>
      </w:r>
    </w:p>
    <w:p w14:paraId="7FAAD28C" w14:textId="06CEEB0F" w:rsidR="006104FE" w:rsidRDefault="005C6FCA" w:rsidP="00D45FCE">
      <w:r>
        <w:t>Should this situation change based on contributions, and SG2</w:t>
      </w:r>
      <w:r w:rsidR="004B4A67">
        <w:t xml:space="preserve"> would like to use either a portion or the entirety of the deliverable, then </w:t>
      </w:r>
      <w:r w:rsidR="009D3426">
        <w:t xml:space="preserve">SG2 will be sure to inform </w:t>
      </w:r>
      <w:r w:rsidR="004B4A67">
        <w:t>TSAG prior to commencing any work</w:t>
      </w:r>
      <w:r w:rsidR="009D3426">
        <w:t>, as required.</w:t>
      </w:r>
    </w:p>
    <w:p w14:paraId="01328D82" w14:textId="77E746D0" w:rsidR="00906CB9" w:rsidRDefault="0077674C" w:rsidP="00FB1A7F">
      <w:pPr>
        <w:spacing w:after="120"/>
        <w:jc w:val="center"/>
      </w:pPr>
      <w:r>
        <w:t>_______________________</w:t>
      </w:r>
    </w:p>
    <w:sectPr w:rsidR="00906CB9" w:rsidSect="00130EA8">
      <w:headerReference w:type="default" r:id="rId20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0252" w14:textId="77777777" w:rsidR="00CA046E" w:rsidRDefault="00CA046E">
      <w:pPr>
        <w:spacing w:before="0"/>
      </w:pPr>
      <w:r>
        <w:separator/>
      </w:r>
    </w:p>
  </w:endnote>
  <w:endnote w:type="continuationSeparator" w:id="0">
    <w:p w14:paraId="4CA10217" w14:textId="77777777" w:rsidR="00CA046E" w:rsidRDefault="00CA04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B43B" w14:textId="77777777" w:rsidR="00CA046E" w:rsidRDefault="00CA046E">
      <w:pPr>
        <w:spacing w:before="0"/>
      </w:pPr>
      <w:r>
        <w:separator/>
      </w:r>
    </w:p>
  </w:footnote>
  <w:footnote w:type="continuationSeparator" w:id="0">
    <w:p w14:paraId="7120FC84" w14:textId="77777777" w:rsidR="00CA046E" w:rsidRDefault="00CA04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78E1" w14:textId="2687D01D" w:rsidR="000A1470" w:rsidRPr="005D1722" w:rsidRDefault="005D1722" w:rsidP="005D1722">
    <w:pPr>
      <w:pStyle w:val="Header"/>
      <w:rPr>
        <w:sz w:val="18"/>
      </w:rPr>
    </w:pPr>
    <w:r w:rsidRPr="005D1722">
      <w:rPr>
        <w:sz w:val="18"/>
      </w:rPr>
      <w:t xml:space="preserve">- </w:t>
    </w:r>
    <w:r w:rsidRPr="005D1722">
      <w:rPr>
        <w:sz w:val="18"/>
      </w:rPr>
      <w:fldChar w:fldCharType="begin"/>
    </w:r>
    <w:r w:rsidRPr="005D1722">
      <w:rPr>
        <w:sz w:val="18"/>
      </w:rPr>
      <w:instrText xml:space="preserve"> PAGE  \* MERGEFORMAT </w:instrText>
    </w:r>
    <w:r w:rsidRPr="005D1722">
      <w:rPr>
        <w:sz w:val="18"/>
      </w:rPr>
      <w:fldChar w:fldCharType="separate"/>
    </w:r>
    <w:r w:rsidRPr="005D1722">
      <w:rPr>
        <w:noProof/>
        <w:sz w:val="18"/>
      </w:rPr>
      <w:t>1</w:t>
    </w:r>
    <w:r w:rsidRPr="005D1722">
      <w:rPr>
        <w:sz w:val="18"/>
      </w:rPr>
      <w:fldChar w:fldCharType="end"/>
    </w:r>
    <w:r w:rsidRPr="005D1722">
      <w:rPr>
        <w:sz w:val="18"/>
      </w:rPr>
      <w:t xml:space="preserve"> -</w:t>
    </w:r>
  </w:p>
  <w:p w14:paraId="3277545E" w14:textId="6547FDA7" w:rsidR="005D1722" w:rsidRPr="005D1722" w:rsidRDefault="005D1722" w:rsidP="005D1722">
    <w:pPr>
      <w:pStyle w:val="Header"/>
      <w:spacing w:after="240"/>
      <w:rPr>
        <w:sz w:val="18"/>
      </w:rPr>
    </w:pPr>
    <w:r w:rsidRPr="005D1722">
      <w:rPr>
        <w:sz w:val="18"/>
      </w:rPr>
      <w:fldChar w:fldCharType="begin"/>
    </w:r>
    <w:r w:rsidRPr="005D1722">
      <w:rPr>
        <w:sz w:val="18"/>
      </w:rPr>
      <w:instrText xml:space="preserve"> STYLEREF  Docnumber  </w:instrText>
    </w:r>
    <w:r w:rsidRPr="005D1722">
      <w:rPr>
        <w:sz w:val="18"/>
      </w:rPr>
      <w:fldChar w:fldCharType="separate"/>
    </w:r>
    <w:r w:rsidR="00C310D1">
      <w:rPr>
        <w:noProof/>
        <w:sz w:val="18"/>
      </w:rPr>
      <w:t>TSAG-TD604</w:t>
    </w:r>
    <w:r w:rsidRPr="005D172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5343A"/>
    <w:multiLevelType w:val="hybridMultilevel"/>
    <w:tmpl w:val="A2809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3F34"/>
    <w:multiLevelType w:val="multilevel"/>
    <w:tmpl w:val="2A2D3F34"/>
    <w:lvl w:ilvl="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723B1FEF"/>
    <w:multiLevelType w:val="hybridMultilevel"/>
    <w:tmpl w:val="CBB0DB4C"/>
    <w:lvl w:ilvl="0" w:tplc="3D703C2C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B00C06"/>
    <w:multiLevelType w:val="hybridMultilevel"/>
    <w:tmpl w:val="40E4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95535122">
    <w:abstractNumId w:val="2"/>
  </w:num>
  <w:num w:numId="2" w16cid:durableId="1877962438">
    <w:abstractNumId w:val="1"/>
  </w:num>
  <w:num w:numId="3" w16cid:durableId="963922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613066">
    <w:abstractNumId w:val="0"/>
  </w:num>
  <w:num w:numId="5" w16cid:durableId="206740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0AF"/>
    <w:rsid w:val="00014F69"/>
    <w:rsid w:val="000171DB"/>
    <w:rsid w:val="00023D9A"/>
    <w:rsid w:val="00024CBA"/>
    <w:rsid w:val="0003019E"/>
    <w:rsid w:val="0003582E"/>
    <w:rsid w:val="00043D75"/>
    <w:rsid w:val="000469BD"/>
    <w:rsid w:val="00052621"/>
    <w:rsid w:val="000561AC"/>
    <w:rsid w:val="000564F3"/>
    <w:rsid w:val="00057000"/>
    <w:rsid w:val="00061268"/>
    <w:rsid w:val="000640E0"/>
    <w:rsid w:val="00066F2A"/>
    <w:rsid w:val="00082EDB"/>
    <w:rsid w:val="00090E1D"/>
    <w:rsid w:val="00093724"/>
    <w:rsid w:val="000966A8"/>
    <w:rsid w:val="000A1470"/>
    <w:rsid w:val="000A5CA2"/>
    <w:rsid w:val="000A682F"/>
    <w:rsid w:val="000A78C9"/>
    <w:rsid w:val="000B049A"/>
    <w:rsid w:val="000B4852"/>
    <w:rsid w:val="000C2062"/>
    <w:rsid w:val="000C397B"/>
    <w:rsid w:val="000C573C"/>
    <w:rsid w:val="000D0354"/>
    <w:rsid w:val="000D067F"/>
    <w:rsid w:val="000D793D"/>
    <w:rsid w:val="000E6125"/>
    <w:rsid w:val="000E7CA4"/>
    <w:rsid w:val="000F1BD9"/>
    <w:rsid w:val="000F37D0"/>
    <w:rsid w:val="000F6BC5"/>
    <w:rsid w:val="00111A13"/>
    <w:rsid w:val="00112B43"/>
    <w:rsid w:val="00113DBE"/>
    <w:rsid w:val="0011758A"/>
    <w:rsid w:val="00117B53"/>
    <w:rsid w:val="001200A6"/>
    <w:rsid w:val="00123F50"/>
    <w:rsid w:val="00124A40"/>
    <w:rsid w:val="001251DA"/>
    <w:rsid w:val="00125432"/>
    <w:rsid w:val="00125540"/>
    <w:rsid w:val="00125FAB"/>
    <w:rsid w:val="0013016D"/>
    <w:rsid w:val="001301E9"/>
    <w:rsid w:val="00130EA8"/>
    <w:rsid w:val="001326EF"/>
    <w:rsid w:val="001365E2"/>
    <w:rsid w:val="00136DDD"/>
    <w:rsid w:val="00137F40"/>
    <w:rsid w:val="00144BDF"/>
    <w:rsid w:val="001521A0"/>
    <w:rsid w:val="00154492"/>
    <w:rsid w:val="00155DDC"/>
    <w:rsid w:val="00161830"/>
    <w:rsid w:val="001650B4"/>
    <w:rsid w:val="00166FD4"/>
    <w:rsid w:val="0018267D"/>
    <w:rsid w:val="001871EC"/>
    <w:rsid w:val="00197F12"/>
    <w:rsid w:val="001A20C3"/>
    <w:rsid w:val="001A3078"/>
    <w:rsid w:val="001A670F"/>
    <w:rsid w:val="001B2FD1"/>
    <w:rsid w:val="001B5270"/>
    <w:rsid w:val="001B602B"/>
    <w:rsid w:val="001B6A45"/>
    <w:rsid w:val="001C2014"/>
    <w:rsid w:val="001C624F"/>
    <w:rsid w:val="001C62B8"/>
    <w:rsid w:val="001C6BCB"/>
    <w:rsid w:val="001D22D8"/>
    <w:rsid w:val="001D4296"/>
    <w:rsid w:val="001D5708"/>
    <w:rsid w:val="001D6ACB"/>
    <w:rsid w:val="001E7B0E"/>
    <w:rsid w:val="001F141D"/>
    <w:rsid w:val="00200A06"/>
    <w:rsid w:val="00200A98"/>
    <w:rsid w:val="00201AFA"/>
    <w:rsid w:val="002229F1"/>
    <w:rsid w:val="0023247D"/>
    <w:rsid w:val="00233F75"/>
    <w:rsid w:val="00250C06"/>
    <w:rsid w:val="00253DBE"/>
    <w:rsid w:val="00253DC6"/>
    <w:rsid w:val="0025489C"/>
    <w:rsid w:val="00256339"/>
    <w:rsid w:val="002571BB"/>
    <w:rsid w:val="00261239"/>
    <w:rsid w:val="002622FA"/>
    <w:rsid w:val="00263518"/>
    <w:rsid w:val="00263A4D"/>
    <w:rsid w:val="00264184"/>
    <w:rsid w:val="00267AB8"/>
    <w:rsid w:val="002759E7"/>
    <w:rsid w:val="00277326"/>
    <w:rsid w:val="002816BD"/>
    <w:rsid w:val="002834DF"/>
    <w:rsid w:val="00286B94"/>
    <w:rsid w:val="0029256A"/>
    <w:rsid w:val="002925BC"/>
    <w:rsid w:val="00297151"/>
    <w:rsid w:val="002A0E9B"/>
    <w:rsid w:val="002A11C4"/>
    <w:rsid w:val="002A399B"/>
    <w:rsid w:val="002B2D72"/>
    <w:rsid w:val="002C26C0"/>
    <w:rsid w:val="002C2BC5"/>
    <w:rsid w:val="002E0407"/>
    <w:rsid w:val="002E2117"/>
    <w:rsid w:val="002E333B"/>
    <w:rsid w:val="002E3C52"/>
    <w:rsid w:val="002E79CB"/>
    <w:rsid w:val="002F7F55"/>
    <w:rsid w:val="0030745F"/>
    <w:rsid w:val="00314630"/>
    <w:rsid w:val="0032090A"/>
    <w:rsid w:val="00321CDE"/>
    <w:rsid w:val="003308D8"/>
    <w:rsid w:val="00333E15"/>
    <w:rsid w:val="003407D8"/>
    <w:rsid w:val="003449F4"/>
    <w:rsid w:val="003452FD"/>
    <w:rsid w:val="003571BC"/>
    <w:rsid w:val="003606FB"/>
    <w:rsid w:val="0036081A"/>
    <w:rsid w:val="0036090C"/>
    <w:rsid w:val="00361116"/>
    <w:rsid w:val="00362562"/>
    <w:rsid w:val="003665FE"/>
    <w:rsid w:val="00371F35"/>
    <w:rsid w:val="00374E6C"/>
    <w:rsid w:val="00385FB5"/>
    <w:rsid w:val="0038715D"/>
    <w:rsid w:val="00394DBF"/>
    <w:rsid w:val="003957A6"/>
    <w:rsid w:val="003A00A7"/>
    <w:rsid w:val="003A43EF"/>
    <w:rsid w:val="003B5BF5"/>
    <w:rsid w:val="003C1B3B"/>
    <w:rsid w:val="003C52E1"/>
    <w:rsid w:val="003C6870"/>
    <w:rsid w:val="003C7445"/>
    <w:rsid w:val="003D19C2"/>
    <w:rsid w:val="003D1D10"/>
    <w:rsid w:val="003D361E"/>
    <w:rsid w:val="003E39A2"/>
    <w:rsid w:val="003E57AB"/>
    <w:rsid w:val="003F1BFD"/>
    <w:rsid w:val="003F2BED"/>
    <w:rsid w:val="003F402E"/>
    <w:rsid w:val="003F77D5"/>
    <w:rsid w:val="00400B49"/>
    <w:rsid w:val="00410E85"/>
    <w:rsid w:val="00423950"/>
    <w:rsid w:val="00432239"/>
    <w:rsid w:val="00443878"/>
    <w:rsid w:val="00446E08"/>
    <w:rsid w:val="004539A8"/>
    <w:rsid w:val="00453CA3"/>
    <w:rsid w:val="00455BF7"/>
    <w:rsid w:val="004712CA"/>
    <w:rsid w:val="00473782"/>
    <w:rsid w:val="0047422E"/>
    <w:rsid w:val="00481F13"/>
    <w:rsid w:val="0048376C"/>
    <w:rsid w:val="0049090D"/>
    <w:rsid w:val="0049187E"/>
    <w:rsid w:val="0049284F"/>
    <w:rsid w:val="004928AD"/>
    <w:rsid w:val="0049674B"/>
    <w:rsid w:val="004A5D91"/>
    <w:rsid w:val="004B4A67"/>
    <w:rsid w:val="004B762B"/>
    <w:rsid w:val="004C0673"/>
    <w:rsid w:val="004C2BA2"/>
    <w:rsid w:val="004C4E4E"/>
    <w:rsid w:val="004C6BE8"/>
    <w:rsid w:val="004D3B85"/>
    <w:rsid w:val="004E636F"/>
    <w:rsid w:val="004F1A5E"/>
    <w:rsid w:val="004F3816"/>
    <w:rsid w:val="004F6641"/>
    <w:rsid w:val="0050343E"/>
    <w:rsid w:val="0050586A"/>
    <w:rsid w:val="005144FF"/>
    <w:rsid w:val="005165BF"/>
    <w:rsid w:val="00520DBF"/>
    <w:rsid w:val="00521651"/>
    <w:rsid w:val="005265EE"/>
    <w:rsid w:val="0052699E"/>
    <w:rsid w:val="00531B94"/>
    <w:rsid w:val="0053731C"/>
    <w:rsid w:val="005406CB"/>
    <w:rsid w:val="00543321"/>
    <w:rsid w:val="00543D41"/>
    <w:rsid w:val="0054560A"/>
    <w:rsid w:val="0055093F"/>
    <w:rsid w:val="00550966"/>
    <w:rsid w:val="005518DE"/>
    <w:rsid w:val="00551CFE"/>
    <w:rsid w:val="00553E14"/>
    <w:rsid w:val="00553E3E"/>
    <w:rsid w:val="00556A5B"/>
    <w:rsid w:val="00556C29"/>
    <w:rsid w:val="00566EDA"/>
    <w:rsid w:val="0057081A"/>
    <w:rsid w:val="00572654"/>
    <w:rsid w:val="00574A47"/>
    <w:rsid w:val="00577EE6"/>
    <w:rsid w:val="00582948"/>
    <w:rsid w:val="005849DC"/>
    <w:rsid w:val="00597482"/>
    <w:rsid w:val="005976A1"/>
    <w:rsid w:val="005A7A12"/>
    <w:rsid w:val="005B5629"/>
    <w:rsid w:val="005C0300"/>
    <w:rsid w:val="005C095D"/>
    <w:rsid w:val="005C25DA"/>
    <w:rsid w:val="005C27A2"/>
    <w:rsid w:val="005C3666"/>
    <w:rsid w:val="005C431B"/>
    <w:rsid w:val="005C4E2A"/>
    <w:rsid w:val="005C5242"/>
    <w:rsid w:val="005C6FCA"/>
    <w:rsid w:val="005D1722"/>
    <w:rsid w:val="005D42D8"/>
    <w:rsid w:val="005D48DE"/>
    <w:rsid w:val="005D4FEB"/>
    <w:rsid w:val="005D6DC0"/>
    <w:rsid w:val="005E06A7"/>
    <w:rsid w:val="005F4B6A"/>
    <w:rsid w:val="005F57B4"/>
    <w:rsid w:val="005F7510"/>
    <w:rsid w:val="006010F3"/>
    <w:rsid w:val="00601E47"/>
    <w:rsid w:val="00601EBC"/>
    <w:rsid w:val="006020B1"/>
    <w:rsid w:val="0060348A"/>
    <w:rsid w:val="006104FE"/>
    <w:rsid w:val="00615A0A"/>
    <w:rsid w:val="00626673"/>
    <w:rsid w:val="00630215"/>
    <w:rsid w:val="006333D4"/>
    <w:rsid w:val="006369B2"/>
    <w:rsid w:val="0063718D"/>
    <w:rsid w:val="00647525"/>
    <w:rsid w:val="00647A71"/>
    <w:rsid w:val="0065641D"/>
    <w:rsid w:val="006570B0"/>
    <w:rsid w:val="0066022F"/>
    <w:rsid w:val="00663206"/>
    <w:rsid w:val="006710C1"/>
    <w:rsid w:val="006813BC"/>
    <w:rsid w:val="006823F3"/>
    <w:rsid w:val="00687055"/>
    <w:rsid w:val="0069210B"/>
    <w:rsid w:val="00694ACA"/>
    <w:rsid w:val="00695DD7"/>
    <w:rsid w:val="006A3970"/>
    <w:rsid w:val="006A4055"/>
    <w:rsid w:val="006A62B5"/>
    <w:rsid w:val="006A68FB"/>
    <w:rsid w:val="006A7C27"/>
    <w:rsid w:val="006B2FE4"/>
    <w:rsid w:val="006B37B0"/>
    <w:rsid w:val="006C1B70"/>
    <w:rsid w:val="006C4147"/>
    <w:rsid w:val="006C5641"/>
    <w:rsid w:val="006C5F90"/>
    <w:rsid w:val="006D1089"/>
    <w:rsid w:val="006D1B86"/>
    <w:rsid w:val="006D29E6"/>
    <w:rsid w:val="006D7355"/>
    <w:rsid w:val="006F7DEE"/>
    <w:rsid w:val="00713D68"/>
    <w:rsid w:val="00715551"/>
    <w:rsid w:val="00715CA6"/>
    <w:rsid w:val="00716A1A"/>
    <w:rsid w:val="00730C8C"/>
    <w:rsid w:val="00731135"/>
    <w:rsid w:val="007324AF"/>
    <w:rsid w:val="00735DBA"/>
    <w:rsid w:val="007409B4"/>
    <w:rsid w:val="00741974"/>
    <w:rsid w:val="007431CD"/>
    <w:rsid w:val="0075525E"/>
    <w:rsid w:val="00756D3D"/>
    <w:rsid w:val="00762743"/>
    <w:rsid w:val="007713D2"/>
    <w:rsid w:val="0077431C"/>
    <w:rsid w:val="0077674C"/>
    <w:rsid w:val="007806A7"/>
    <w:rsid w:val="007806C2"/>
    <w:rsid w:val="00781FEE"/>
    <w:rsid w:val="00785452"/>
    <w:rsid w:val="007903F8"/>
    <w:rsid w:val="00794F4F"/>
    <w:rsid w:val="00796B5A"/>
    <w:rsid w:val="007974BE"/>
    <w:rsid w:val="007A0916"/>
    <w:rsid w:val="007A0DFD"/>
    <w:rsid w:val="007B07AC"/>
    <w:rsid w:val="007B176F"/>
    <w:rsid w:val="007B2920"/>
    <w:rsid w:val="007B4979"/>
    <w:rsid w:val="007C0ED6"/>
    <w:rsid w:val="007C2F83"/>
    <w:rsid w:val="007C3936"/>
    <w:rsid w:val="007C6357"/>
    <w:rsid w:val="007C7122"/>
    <w:rsid w:val="007C7A04"/>
    <w:rsid w:val="007D0C66"/>
    <w:rsid w:val="007D3F11"/>
    <w:rsid w:val="007D4333"/>
    <w:rsid w:val="007E2C69"/>
    <w:rsid w:val="007E53E4"/>
    <w:rsid w:val="007E656A"/>
    <w:rsid w:val="007E72EC"/>
    <w:rsid w:val="007F28E9"/>
    <w:rsid w:val="007F3CAA"/>
    <w:rsid w:val="007F5255"/>
    <w:rsid w:val="007F664D"/>
    <w:rsid w:val="00802F2D"/>
    <w:rsid w:val="00810C59"/>
    <w:rsid w:val="00813A62"/>
    <w:rsid w:val="00815954"/>
    <w:rsid w:val="00823055"/>
    <w:rsid w:val="00823A74"/>
    <w:rsid w:val="00830E7A"/>
    <w:rsid w:val="00834802"/>
    <w:rsid w:val="00837203"/>
    <w:rsid w:val="00842137"/>
    <w:rsid w:val="00852EA2"/>
    <w:rsid w:val="0085305E"/>
    <w:rsid w:val="00853F5F"/>
    <w:rsid w:val="008623ED"/>
    <w:rsid w:val="0087149C"/>
    <w:rsid w:val="00871656"/>
    <w:rsid w:val="0087187D"/>
    <w:rsid w:val="0087225A"/>
    <w:rsid w:val="00873875"/>
    <w:rsid w:val="00875AA6"/>
    <w:rsid w:val="00880944"/>
    <w:rsid w:val="00886E69"/>
    <w:rsid w:val="008906CF"/>
    <w:rsid w:val="0089088E"/>
    <w:rsid w:val="00892297"/>
    <w:rsid w:val="008964D6"/>
    <w:rsid w:val="008965D1"/>
    <w:rsid w:val="008B1EC5"/>
    <w:rsid w:val="008B2307"/>
    <w:rsid w:val="008B5123"/>
    <w:rsid w:val="008B5B45"/>
    <w:rsid w:val="008E0172"/>
    <w:rsid w:val="008E1E4B"/>
    <w:rsid w:val="008E5695"/>
    <w:rsid w:val="008E7E70"/>
    <w:rsid w:val="008F1A6C"/>
    <w:rsid w:val="008F5B1C"/>
    <w:rsid w:val="008F6D0E"/>
    <w:rsid w:val="00906CB9"/>
    <w:rsid w:val="00914B5D"/>
    <w:rsid w:val="0092266E"/>
    <w:rsid w:val="009363D1"/>
    <w:rsid w:val="00936852"/>
    <w:rsid w:val="0094045D"/>
    <w:rsid w:val="009406B5"/>
    <w:rsid w:val="009415FD"/>
    <w:rsid w:val="00946166"/>
    <w:rsid w:val="0097530B"/>
    <w:rsid w:val="00980529"/>
    <w:rsid w:val="00983164"/>
    <w:rsid w:val="009972EF"/>
    <w:rsid w:val="009A06C3"/>
    <w:rsid w:val="009A35A5"/>
    <w:rsid w:val="009B5035"/>
    <w:rsid w:val="009B5DAD"/>
    <w:rsid w:val="009C121F"/>
    <w:rsid w:val="009C3160"/>
    <w:rsid w:val="009D3426"/>
    <w:rsid w:val="009D7FB7"/>
    <w:rsid w:val="009E766E"/>
    <w:rsid w:val="009F1960"/>
    <w:rsid w:val="009F3132"/>
    <w:rsid w:val="009F5A21"/>
    <w:rsid w:val="009F5E1B"/>
    <w:rsid w:val="009F715E"/>
    <w:rsid w:val="00A10DBB"/>
    <w:rsid w:val="00A11720"/>
    <w:rsid w:val="00A20A42"/>
    <w:rsid w:val="00A21247"/>
    <w:rsid w:val="00A27E19"/>
    <w:rsid w:val="00A31D47"/>
    <w:rsid w:val="00A4013E"/>
    <w:rsid w:val="00A4045F"/>
    <w:rsid w:val="00A427CD"/>
    <w:rsid w:val="00A45D21"/>
    <w:rsid w:val="00A45FEE"/>
    <w:rsid w:val="00A4600B"/>
    <w:rsid w:val="00A50506"/>
    <w:rsid w:val="00A51EF0"/>
    <w:rsid w:val="00A55B9D"/>
    <w:rsid w:val="00A6088D"/>
    <w:rsid w:val="00A62FE1"/>
    <w:rsid w:val="00A67A81"/>
    <w:rsid w:val="00A67B52"/>
    <w:rsid w:val="00A730A6"/>
    <w:rsid w:val="00A761E2"/>
    <w:rsid w:val="00A971A0"/>
    <w:rsid w:val="00AA1F22"/>
    <w:rsid w:val="00AB0AD8"/>
    <w:rsid w:val="00AD1D36"/>
    <w:rsid w:val="00AD43E5"/>
    <w:rsid w:val="00AE0EE7"/>
    <w:rsid w:val="00AE5CC4"/>
    <w:rsid w:val="00AE7631"/>
    <w:rsid w:val="00AF1249"/>
    <w:rsid w:val="00AF3A0C"/>
    <w:rsid w:val="00B03110"/>
    <w:rsid w:val="00B05821"/>
    <w:rsid w:val="00B100D6"/>
    <w:rsid w:val="00B12DAE"/>
    <w:rsid w:val="00B15648"/>
    <w:rsid w:val="00B164C9"/>
    <w:rsid w:val="00B24730"/>
    <w:rsid w:val="00B26C28"/>
    <w:rsid w:val="00B4174C"/>
    <w:rsid w:val="00B4221D"/>
    <w:rsid w:val="00B44218"/>
    <w:rsid w:val="00B453F5"/>
    <w:rsid w:val="00B47775"/>
    <w:rsid w:val="00B51DBA"/>
    <w:rsid w:val="00B61205"/>
    <w:rsid w:val="00B61624"/>
    <w:rsid w:val="00B66481"/>
    <w:rsid w:val="00B7189C"/>
    <w:rsid w:val="00B718A5"/>
    <w:rsid w:val="00B74818"/>
    <w:rsid w:val="00B90AD6"/>
    <w:rsid w:val="00B921D2"/>
    <w:rsid w:val="00B93D6F"/>
    <w:rsid w:val="00BA788A"/>
    <w:rsid w:val="00BB17D9"/>
    <w:rsid w:val="00BB4983"/>
    <w:rsid w:val="00BB7597"/>
    <w:rsid w:val="00BC2AAB"/>
    <w:rsid w:val="00BC62E2"/>
    <w:rsid w:val="00BE6499"/>
    <w:rsid w:val="00BF63B8"/>
    <w:rsid w:val="00BF7E0D"/>
    <w:rsid w:val="00C06D67"/>
    <w:rsid w:val="00C0773F"/>
    <w:rsid w:val="00C310D1"/>
    <w:rsid w:val="00C32B68"/>
    <w:rsid w:val="00C37820"/>
    <w:rsid w:val="00C41683"/>
    <w:rsid w:val="00C42125"/>
    <w:rsid w:val="00C62814"/>
    <w:rsid w:val="00C639EF"/>
    <w:rsid w:val="00C67B25"/>
    <w:rsid w:val="00C748F7"/>
    <w:rsid w:val="00C74937"/>
    <w:rsid w:val="00C85F5E"/>
    <w:rsid w:val="00C93C60"/>
    <w:rsid w:val="00CA046E"/>
    <w:rsid w:val="00CA710F"/>
    <w:rsid w:val="00CB2599"/>
    <w:rsid w:val="00CB44FF"/>
    <w:rsid w:val="00CB479F"/>
    <w:rsid w:val="00CB510C"/>
    <w:rsid w:val="00CC1142"/>
    <w:rsid w:val="00CD2139"/>
    <w:rsid w:val="00CD6848"/>
    <w:rsid w:val="00CD6D09"/>
    <w:rsid w:val="00CD77EA"/>
    <w:rsid w:val="00CE3C59"/>
    <w:rsid w:val="00CE5986"/>
    <w:rsid w:val="00D35215"/>
    <w:rsid w:val="00D369BE"/>
    <w:rsid w:val="00D45FCE"/>
    <w:rsid w:val="00D5783C"/>
    <w:rsid w:val="00D647EF"/>
    <w:rsid w:val="00D665FA"/>
    <w:rsid w:val="00D73137"/>
    <w:rsid w:val="00D83063"/>
    <w:rsid w:val="00D936DE"/>
    <w:rsid w:val="00D977A2"/>
    <w:rsid w:val="00DA1D47"/>
    <w:rsid w:val="00DB265C"/>
    <w:rsid w:val="00DB6688"/>
    <w:rsid w:val="00DB73CA"/>
    <w:rsid w:val="00DC0374"/>
    <w:rsid w:val="00DC39F3"/>
    <w:rsid w:val="00DD1DEE"/>
    <w:rsid w:val="00DD35A6"/>
    <w:rsid w:val="00DD429B"/>
    <w:rsid w:val="00DD4C8C"/>
    <w:rsid w:val="00DD50DE"/>
    <w:rsid w:val="00DD66C3"/>
    <w:rsid w:val="00DE3062"/>
    <w:rsid w:val="00E01D6C"/>
    <w:rsid w:val="00E01F0C"/>
    <w:rsid w:val="00E0581D"/>
    <w:rsid w:val="00E13541"/>
    <w:rsid w:val="00E204DD"/>
    <w:rsid w:val="00E31433"/>
    <w:rsid w:val="00E353EC"/>
    <w:rsid w:val="00E35E66"/>
    <w:rsid w:val="00E42236"/>
    <w:rsid w:val="00E43C86"/>
    <w:rsid w:val="00E51F61"/>
    <w:rsid w:val="00E53C24"/>
    <w:rsid w:val="00E56E77"/>
    <w:rsid w:val="00E6380A"/>
    <w:rsid w:val="00E65B41"/>
    <w:rsid w:val="00E67A87"/>
    <w:rsid w:val="00E74F32"/>
    <w:rsid w:val="00E87553"/>
    <w:rsid w:val="00E87795"/>
    <w:rsid w:val="00E934FA"/>
    <w:rsid w:val="00E93D34"/>
    <w:rsid w:val="00E965D6"/>
    <w:rsid w:val="00EB2406"/>
    <w:rsid w:val="00EB444D"/>
    <w:rsid w:val="00EB4B15"/>
    <w:rsid w:val="00EC038F"/>
    <w:rsid w:val="00ED5B66"/>
    <w:rsid w:val="00EE5C0D"/>
    <w:rsid w:val="00EF3B88"/>
    <w:rsid w:val="00EF4792"/>
    <w:rsid w:val="00F001A4"/>
    <w:rsid w:val="00F02294"/>
    <w:rsid w:val="00F02EAE"/>
    <w:rsid w:val="00F05240"/>
    <w:rsid w:val="00F12329"/>
    <w:rsid w:val="00F15634"/>
    <w:rsid w:val="00F30DE7"/>
    <w:rsid w:val="00F31C0C"/>
    <w:rsid w:val="00F34BB9"/>
    <w:rsid w:val="00F35C6C"/>
    <w:rsid w:val="00F35F57"/>
    <w:rsid w:val="00F442A6"/>
    <w:rsid w:val="00F50467"/>
    <w:rsid w:val="00F52573"/>
    <w:rsid w:val="00F562A0"/>
    <w:rsid w:val="00F56877"/>
    <w:rsid w:val="00F57FA4"/>
    <w:rsid w:val="00F64445"/>
    <w:rsid w:val="00F66D84"/>
    <w:rsid w:val="00F75875"/>
    <w:rsid w:val="00F800FC"/>
    <w:rsid w:val="00F91985"/>
    <w:rsid w:val="00F91E1C"/>
    <w:rsid w:val="00F95510"/>
    <w:rsid w:val="00F966ED"/>
    <w:rsid w:val="00F9734D"/>
    <w:rsid w:val="00FA02CB"/>
    <w:rsid w:val="00FA2177"/>
    <w:rsid w:val="00FA485A"/>
    <w:rsid w:val="00FB0783"/>
    <w:rsid w:val="00FB1A7F"/>
    <w:rsid w:val="00FB21C4"/>
    <w:rsid w:val="00FB7A8B"/>
    <w:rsid w:val="00FC551C"/>
    <w:rsid w:val="00FC652F"/>
    <w:rsid w:val="00FD0542"/>
    <w:rsid w:val="00FD439E"/>
    <w:rsid w:val="00FD7356"/>
    <w:rsid w:val="00FD76CB"/>
    <w:rsid w:val="00FE152B"/>
    <w:rsid w:val="00FE1E29"/>
    <w:rsid w:val="00FE239E"/>
    <w:rsid w:val="00FF31E5"/>
    <w:rsid w:val="00FF4546"/>
    <w:rsid w:val="00FF538F"/>
    <w:rsid w:val="00FF6870"/>
    <w:rsid w:val="3D654F8B"/>
    <w:rsid w:val="4E3D2C8D"/>
    <w:rsid w:val="59F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8C1F"/>
  <w15:docId w15:val="{7E8E00A0-2E00-4138-94F4-194F0E5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aliases w:val="超级链接,Style 58,하이퍼링크2,超?级链,하이퍼링크21,超????,超??级链Ú,fL????,fL?级,超??级链,CEO_Hyperlink,超链接1,超?级链Ú,’´?级链,’´????,’´??级链Ú,’´??级,超?级链?,Style?,S,하이퍼링크1,超?级链ïÈ,õ±?级链,õ±链ïÈ1,õ±???"/>
    <w:basedOn w:val="DefaultParagraphFont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qFormat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qFormat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jlqj4b">
    <w:name w:val="jlqj4b"/>
    <w:basedOn w:val="DefaultParagraphFont"/>
    <w:rsid w:val="005D6DC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F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1E47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rynqvb">
    <w:name w:val="rynqvb"/>
    <w:basedOn w:val="DefaultParagraphFont"/>
    <w:rsid w:val="00A761E2"/>
  </w:style>
  <w:style w:type="paragraph" w:customStyle="1" w:styleId="AnnexNo">
    <w:name w:val="Annex_No"/>
    <w:basedOn w:val="Normal"/>
    <w:next w:val="Normal"/>
    <w:rsid w:val="00B7481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/>
      <w:bCs/>
      <w:sz w:val="28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348A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130EA8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130EA8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130EA8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130EA8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130EA8"/>
    <w:rPr>
      <w:rFonts w:eastAsia="DengXian"/>
      <w:lang w:eastAsia="en-GB"/>
    </w:rPr>
  </w:style>
  <w:style w:type="paragraph" w:customStyle="1" w:styleId="VenueDate">
    <w:name w:val="VenueDate"/>
    <w:basedOn w:val="Normal"/>
    <w:rsid w:val="00130EA8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handle.itu.int/11.1002/ls/sp17-sg2-oLS-00119.docx" TargetMode="External"/><Relationship Id="rId18" Type="http://schemas.openxmlformats.org/officeDocument/2006/relationships/hyperlink" Target="mailto:philrushton@rcc-uk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22-SG02-240619-TD-GEN-04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7-sg2-oLS-00119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ifa/t/2022/ls/tsag/sp17-tsag-oLS-00035.doc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en/ITU-T/focusgroups/mv/Documents/List%20of%20FG-MV%20deliverables/FGMV-05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ilrushton@rcc-uk.uk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78084A" w:rsidRDefault="00090965">
          <w:pPr>
            <w:pStyle w:val="AC14B36049EE4F7F9B8ACAEB3B0ACAED25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15A9B"/>
    <w:rsid w:val="000277EB"/>
    <w:rsid w:val="00037F0A"/>
    <w:rsid w:val="00050609"/>
    <w:rsid w:val="00052621"/>
    <w:rsid w:val="00061607"/>
    <w:rsid w:val="00090965"/>
    <w:rsid w:val="000E25BB"/>
    <w:rsid w:val="00104E4C"/>
    <w:rsid w:val="00125FAB"/>
    <w:rsid w:val="0013281E"/>
    <w:rsid w:val="001A1C4C"/>
    <w:rsid w:val="002213A8"/>
    <w:rsid w:val="002507CD"/>
    <w:rsid w:val="00256D54"/>
    <w:rsid w:val="00276067"/>
    <w:rsid w:val="002A0AE4"/>
    <w:rsid w:val="002D5667"/>
    <w:rsid w:val="002D6447"/>
    <w:rsid w:val="00300983"/>
    <w:rsid w:val="00325284"/>
    <w:rsid w:val="00325869"/>
    <w:rsid w:val="003962CD"/>
    <w:rsid w:val="003B491B"/>
    <w:rsid w:val="003F3AC7"/>
    <w:rsid w:val="003F520B"/>
    <w:rsid w:val="00400FFE"/>
    <w:rsid w:val="00402B48"/>
    <w:rsid w:val="00403A9C"/>
    <w:rsid w:val="00407F73"/>
    <w:rsid w:val="004132AE"/>
    <w:rsid w:val="00464382"/>
    <w:rsid w:val="004C5B62"/>
    <w:rsid w:val="004D3A5B"/>
    <w:rsid w:val="004E2252"/>
    <w:rsid w:val="004F124B"/>
    <w:rsid w:val="00521197"/>
    <w:rsid w:val="00553E14"/>
    <w:rsid w:val="00577662"/>
    <w:rsid w:val="0058667C"/>
    <w:rsid w:val="005B0AEB"/>
    <w:rsid w:val="005B38F3"/>
    <w:rsid w:val="005E6F39"/>
    <w:rsid w:val="005F6CD5"/>
    <w:rsid w:val="0061653B"/>
    <w:rsid w:val="006431B1"/>
    <w:rsid w:val="0066023D"/>
    <w:rsid w:val="006D2486"/>
    <w:rsid w:val="006F6568"/>
    <w:rsid w:val="00726DDE"/>
    <w:rsid w:val="00731377"/>
    <w:rsid w:val="00747A76"/>
    <w:rsid w:val="00760477"/>
    <w:rsid w:val="0078084A"/>
    <w:rsid w:val="007B176F"/>
    <w:rsid w:val="007B2920"/>
    <w:rsid w:val="007C3620"/>
    <w:rsid w:val="008208D0"/>
    <w:rsid w:val="00826B0B"/>
    <w:rsid w:val="00841C9F"/>
    <w:rsid w:val="00861271"/>
    <w:rsid w:val="00874885"/>
    <w:rsid w:val="008D554D"/>
    <w:rsid w:val="00947D8D"/>
    <w:rsid w:val="00992675"/>
    <w:rsid w:val="00994982"/>
    <w:rsid w:val="009A4B03"/>
    <w:rsid w:val="009B0B78"/>
    <w:rsid w:val="009D0F9B"/>
    <w:rsid w:val="009F2F69"/>
    <w:rsid w:val="00A3586C"/>
    <w:rsid w:val="00A65845"/>
    <w:rsid w:val="00A74022"/>
    <w:rsid w:val="00A8359E"/>
    <w:rsid w:val="00AB0F92"/>
    <w:rsid w:val="00AB1603"/>
    <w:rsid w:val="00AD49AA"/>
    <w:rsid w:val="00AF3CAC"/>
    <w:rsid w:val="00B57FFA"/>
    <w:rsid w:val="00B603E6"/>
    <w:rsid w:val="00B772D8"/>
    <w:rsid w:val="00B9490F"/>
    <w:rsid w:val="00BF10DB"/>
    <w:rsid w:val="00BF3BC1"/>
    <w:rsid w:val="00BF7816"/>
    <w:rsid w:val="00C02C21"/>
    <w:rsid w:val="00C05AE3"/>
    <w:rsid w:val="00C25978"/>
    <w:rsid w:val="00C71F01"/>
    <w:rsid w:val="00C7519D"/>
    <w:rsid w:val="00D056B1"/>
    <w:rsid w:val="00D13A99"/>
    <w:rsid w:val="00D23681"/>
    <w:rsid w:val="00D352FB"/>
    <w:rsid w:val="00D40096"/>
    <w:rsid w:val="00D63914"/>
    <w:rsid w:val="00D677E6"/>
    <w:rsid w:val="00DA4CB5"/>
    <w:rsid w:val="00DB774F"/>
    <w:rsid w:val="00DD7F58"/>
    <w:rsid w:val="00E24248"/>
    <w:rsid w:val="00E66F7A"/>
    <w:rsid w:val="00E7321D"/>
    <w:rsid w:val="00E75FF4"/>
    <w:rsid w:val="00E8408F"/>
    <w:rsid w:val="00E925DE"/>
    <w:rsid w:val="00E93268"/>
    <w:rsid w:val="00EC252E"/>
    <w:rsid w:val="00EE281E"/>
    <w:rsid w:val="00F12780"/>
    <w:rsid w:val="00F176CB"/>
    <w:rsid w:val="00F869EF"/>
    <w:rsid w:val="00F87DC4"/>
    <w:rsid w:val="00F940EE"/>
    <w:rsid w:val="00F96566"/>
    <w:rsid w:val="00FD0183"/>
    <w:rsid w:val="00FE01B7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qFormat/>
    <w:rsid w:val="00B9490F"/>
    <w:rPr>
      <w:rFonts w:ascii="Times New Roman" w:hAnsi="Times New Roman"/>
      <w:color w:val="808080"/>
    </w:rPr>
  </w:style>
  <w:style w:type="paragraph" w:customStyle="1" w:styleId="AC14B36049EE4F7F9B8ACAEB3B0ACAED25">
    <w:name w:val="AC14B36049EE4F7F9B8ACAEB3B0ACAED25"/>
    <w:qFormat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12</SgText>
    <Purpose xmlns="3f6fad35-1f81-480e-a4e5-6e5474dcfb96" xsi:nil="true"/>
    <Abstract xmlns="3f6fad35-1f81-480e-a4e5-6e5474dcfb96">TSAG has allocated one deliverable from the Focus Group on Metaverse (FG-MV) to ITU-T Study Group 2 (SG2), alongside several other Study Groups. SG2 does not currently plan any further work on this deliverable. 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13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1-10 May 2018</Place>
    <Observations xmlns="3f6fad35-1f81-480e-a4e5-6e5474dcfb96" xsi:nil="true"/>
    <DocumentSource xmlns="3f6fad35-1f81-480e-a4e5-6e5474dcfb96">ITU-T Study Group 12</DocumentSourc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5666A-42F8-4BD8-AC4B-78FA9E21B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3f6fad35-1f81-480e-a4e5-6e5474dcfb96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LS/r on suggestions of QoE indicators of Video Quality Management of Surveillance Service (reply to SG2-LS98)</vt:lpstr>
    </vt:vector>
  </TitlesOfParts>
  <Manager>ITU-T</Manager>
  <Company>International Telecommunication Union (ITU)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metaverse (reply to TSAG-LS35)</dc:title>
  <dc:creator>ITU-T Study Group 2</dc:creator>
  <cp:keywords>TSAG-LS19</cp:keywords>
  <dc:description>SG2-LS119  For: Geneva, 19-28 June 2024_x000d_Document date: _x000d_Saved by ITU51014924 at 10:51:28 on 02.07.2024</dc:description>
  <cp:lastModifiedBy>Al-Mnini, Lara</cp:lastModifiedBy>
  <cp:revision>5</cp:revision>
  <cp:lastPrinted>2019-05-20T08:48:00Z</cp:lastPrinted>
  <dcterms:created xsi:type="dcterms:W3CDTF">2024-07-08T11:47:00Z</dcterms:created>
  <dcterms:modified xsi:type="dcterms:W3CDTF">2024-07-08T13:14:00Z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SG2-LS119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1/2</vt:lpwstr>
  </property>
  <property fmtid="{D5CDD505-2E9C-101B-9397-08002B2CF9AE}" pid="6" name="Docdest">
    <vt:lpwstr>Geneva, 19-28 June 2024</vt:lpwstr>
  </property>
  <property fmtid="{D5CDD505-2E9C-101B-9397-08002B2CF9AE}" pid="7" name="Docauthor">
    <vt:lpwstr>ITU-T Study Group 2</vt:lpwstr>
  </property>
  <property fmtid="{D5CDD505-2E9C-101B-9397-08002B2CF9AE}" pid="8" name="KSOProductBuildVer">
    <vt:lpwstr>2052-11.1.0.9662</vt:lpwstr>
  </property>
  <property fmtid="{D5CDD505-2E9C-101B-9397-08002B2CF9AE}" pid="9" name="MSIP_Label_1665d9ee-429a-4d5f-97cc-cfb56e044a6e_Enabled">
    <vt:lpwstr>true</vt:lpwstr>
  </property>
  <property fmtid="{D5CDD505-2E9C-101B-9397-08002B2CF9AE}" pid="10" name="MSIP_Label_1665d9ee-429a-4d5f-97cc-cfb56e044a6e_SetDate">
    <vt:lpwstr>2024-06-24T17:14:16Z</vt:lpwstr>
  </property>
  <property fmtid="{D5CDD505-2E9C-101B-9397-08002B2CF9AE}" pid="11" name="MSIP_Label_1665d9ee-429a-4d5f-97cc-cfb56e044a6e_Method">
    <vt:lpwstr>Privileged</vt:lpwstr>
  </property>
  <property fmtid="{D5CDD505-2E9C-101B-9397-08002B2CF9AE}" pid="12" name="MSIP_Label_1665d9ee-429a-4d5f-97cc-cfb56e044a6e_Name">
    <vt:lpwstr>1665d9ee-429a-4d5f-97cc-cfb56e044a6e</vt:lpwstr>
  </property>
  <property fmtid="{D5CDD505-2E9C-101B-9397-08002B2CF9AE}" pid="13" name="MSIP_Label_1665d9ee-429a-4d5f-97cc-cfb56e044a6e_SiteId">
    <vt:lpwstr>66cf5074-5afe-48d1-a691-a12b2121f44b</vt:lpwstr>
  </property>
  <property fmtid="{D5CDD505-2E9C-101B-9397-08002B2CF9AE}" pid="14" name="MSIP_Label_1665d9ee-429a-4d5f-97cc-cfb56e044a6e_ActionId">
    <vt:lpwstr>cc2b5cae-11c6-481d-8f67-ed764e91ed68</vt:lpwstr>
  </property>
  <property fmtid="{D5CDD505-2E9C-101B-9397-08002B2CF9AE}" pid="15" name="MSIP_Label_1665d9ee-429a-4d5f-97cc-cfb56e044a6e_ContentBits">
    <vt:lpwstr>0</vt:lpwstr>
  </property>
</Properties>
</file>