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0D7A1D" w14:paraId="1E8FC1CB" w14:textId="77777777" w:rsidTr="00F3787F">
        <w:trPr>
          <w:cantSplit/>
        </w:trPr>
        <w:tc>
          <w:tcPr>
            <w:tcW w:w="1191" w:type="dxa"/>
            <w:vMerge w:val="restart"/>
            <w:vAlign w:val="center"/>
          </w:tcPr>
          <w:p w14:paraId="7EAA3F74" w14:textId="77777777" w:rsidR="000D7A1D" w:rsidRDefault="000D7A1D" w:rsidP="00F3787F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54461E1" wp14:editId="7B6BAC2F">
                  <wp:extent cx="650240" cy="70294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64514651" w14:textId="77777777" w:rsidR="000D7A1D" w:rsidRDefault="000D7A1D" w:rsidP="00F3787F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D03880A" w14:textId="77777777" w:rsidR="000D7A1D" w:rsidRDefault="000D7A1D" w:rsidP="00F3787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B86AFB7" w14:textId="77777777" w:rsidR="000D7A1D" w:rsidRDefault="000D7A1D" w:rsidP="00F3787F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690FCF47" w14:textId="77777777" w:rsidR="000D7A1D" w:rsidRDefault="000D7A1D" w:rsidP="00F3787F">
            <w:pPr>
              <w:pStyle w:val="Docnumber"/>
            </w:pPr>
            <w:r>
              <w:t>TSAG-TD606</w:t>
            </w:r>
          </w:p>
        </w:tc>
      </w:tr>
      <w:tr w:rsidR="000D7A1D" w14:paraId="66D55875" w14:textId="77777777" w:rsidTr="00F3787F">
        <w:trPr>
          <w:cantSplit/>
          <w:trHeight w:val="461"/>
        </w:trPr>
        <w:tc>
          <w:tcPr>
            <w:tcW w:w="1191" w:type="dxa"/>
            <w:vMerge/>
          </w:tcPr>
          <w:p w14:paraId="0C0A4AE9" w14:textId="77777777" w:rsidR="000D7A1D" w:rsidRDefault="000D7A1D" w:rsidP="00F3787F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01E88F09" w14:textId="77777777" w:rsidR="000D7A1D" w:rsidRDefault="000D7A1D" w:rsidP="00F3787F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1C3FD32" w14:textId="77777777" w:rsidR="000D7A1D" w:rsidRDefault="000D7A1D" w:rsidP="00F3787F">
            <w:pPr>
              <w:pStyle w:val="TSBHeaderRight14"/>
            </w:pPr>
            <w:r>
              <w:t>TSAG</w:t>
            </w:r>
          </w:p>
        </w:tc>
      </w:tr>
      <w:tr w:rsidR="000D7A1D" w14:paraId="29614843" w14:textId="77777777" w:rsidTr="00F3787F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1AF6390" w14:textId="77777777" w:rsidR="000D7A1D" w:rsidRDefault="000D7A1D" w:rsidP="00F3787F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608B43BB" w14:textId="77777777" w:rsidR="000D7A1D" w:rsidRDefault="000D7A1D" w:rsidP="00F3787F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9B25485" w14:textId="77777777" w:rsidR="000D7A1D" w:rsidRDefault="000D7A1D" w:rsidP="00F3787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0D7A1D" w14:paraId="0EBBD42B" w14:textId="77777777" w:rsidTr="00F3787F">
        <w:trPr>
          <w:cantSplit/>
          <w:trHeight w:val="357"/>
        </w:trPr>
        <w:tc>
          <w:tcPr>
            <w:tcW w:w="1550" w:type="dxa"/>
            <w:gridSpan w:val="2"/>
          </w:tcPr>
          <w:p w14:paraId="141DF2EE" w14:textId="77777777" w:rsidR="000D7A1D" w:rsidRDefault="000D7A1D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5BFD5DF7" w14:textId="2E48DF20" w:rsidR="000D7A1D" w:rsidRDefault="00046A16" w:rsidP="00F3787F">
            <w:pPr>
              <w:pStyle w:val="TSBHeaderQuestion"/>
            </w:pPr>
            <w:r>
              <w:t>N/</w:t>
            </w:r>
            <w:r w:rsidR="000D7A1D">
              <w:t>A</w:t>
            </w:r>
          </w:p>
        </w:tc>
        <w:tc>
          <w:tcPr>
            <w:tcW w:w="3345" w:type="dxa"/>
          </w:tcPr>
          <w:p w14:paraId="220AADD7" w14:textId="77777777" w:rsidR="000D7A1D" w:rsidRDefault="000D7A1D" w:rsidP="00F3787F">
            <w:pPr>
              <w:pStyle w:val="VenueDate"/>
            </w:pPr>
            <w:r>
              <w:t>Geneva, 29 July - 2 August 2024</w:t>
            </w:r>
          </w:p>
        </w:tc>
      </w:tr>
      <w:tr w:rsidR="000D7A1D" w14:paraId="34C4F01F" w14:textId="77777777" w:rsidTr="00F3787F">
        <w:trPr>
          <w:cantSplit/>
          <w:trHeight w:val="357"/>
        </w:trPr>
        <w:tc>
          <w:tcPr>
            <w:tcW w:w="9639" w:type="dxa"/>
            <w:gridSpan w:val="5"/>
          </w:tcPr>
          <w:p w14:paraId="56C73EE6" w14:textId="3CA4A0F9" w:rsidR="000D7A1D" w:rsidRDefault="000D7A1D" w:rsidP="00F3787F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46A1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SG2-LS133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0D7A1D" w14:paraId="2AEABB7D" w14:textId="77777777" w:rsidTr="00F3787F">
        <w:trPr>
          <w:cantSplit/>
          <w:trHeight w:val="357"/>
        </w:trPr>
        <w:tc>
          <w:tcPr>
            <w:tcW w:w="1550" w:type="dxa"/>
            <w:gridSpan w:val="2"/>
          </w:tcPr>
          <w:p w14:paraId="023CA4B1" w14:textId="77777777" w:rsidR="000D7A1D" w:rsidRDefault="000D7A1D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6B86BC17" w14:textId="77777777" w:rsidR="000D7A1D" w:rsidRDefault="000D7A1D" w:rsidP="00F3787F">
            <w:pPr>
              <w:pStyle w:val="TSBHeaderSource"/>
            </w:pPr>
            <w:r>
              <w:t>ITU-T Study Group 2</w:t>
            </w:r>
          </w:p>
        </w:tc>
      </w:tr>
      <w:tr w:rsidR="000D7A1D" w14:paraId="7AFE3A67" w14:textId="77777777" w:rsidTr="00F3787F">
        <w:trPr>
          <w:cantSplit/>
          <w:trHeight w:val="357"/>
        </w:trPr>
        <w:tc>
          <w:tcPr>
            <w:tcW w:w="1550" w:type="dxa"/>
            <w:gridSpan w:val="2"/>
          </w:tcPr>
          <w:p w14:paraId="0A278201" w14:textId="77777777" w:rsidR="000D7A1D" w:rsidRDefault="000D7A1D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28B320CE" w14:textId="535D8617" w:rsidR="000D7A1D" w:rsidRDefault="000D7A1D" w:rsidP="00F3787F">
            <w:pPr>
              <w:pStyle w:val="TSBHeaderTitle"/>
            </w:pPr>
            <w:r>
              <w:t>LS/r on utilization of tools to produce Recommendations (reply to SG17-LS108)</w:t>
            </w:r>
            <w:r w:rsidR="00046A16">
              <w:t xml:space="preserve"> [from ITU-T SG2]</w:t>
            </w:r>
          </w:p>
        </w:tc>
      </w:tr>
      <w:tr w:rsidR="000D7A1D" w14:paraId="31F3CA07" w14:textId="77777777" w:rsidTr="00F3787F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06136AC5" w14:textId="77777777" w:rsidR="000D7A1D" w:rsidRDefault="000D7A1D" w:rsidP="00F3787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D7A1D" w14:paraId="7BC02371" w14:textId="77777777" w:rsidTr="00F3787F">
        <w:trPr>
          <w:cantSplit/>
          <w:trHeight w:val="357"/>
        </w:trPr>
        <w:tc>
          <w:tcPr>
            <w:tcW w:w="2250" w:type="dxa"/>
            <w:gridSpan w:val="3"/>
          </w:tcPr>
          <w:p w14:paraId="709A4CCD" w14:textId="77777777" w:rsidR="000D7A1D" w:rsidRDefault="000D7A1D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6A8141A4" w14:textId="77777777" w:rsidR="000D7A1D" w:rsidRDefault="000D7A1D" w:rsidP="00F3787F">
            <w:r>
              <w:t>-</w:t>
            </w:r>
          </w:p>
        </w:tc>
      </w:tr>
      <w:tr w:rsidR="000D7A1D" w14:paraId="30D2AB6A" w14:textId="77777777" w:rsidTr="00F3787F">
        <w:trPr>
          <w:cantSplit/>
          <w:trHeight w:val="357"/>
        </w:trPr>
        <w:tc>
          <w:tcPr>
            <w:tcW w:w="2250" w:type="dxa"/>
            <w:gridSpan w:val="3"/>
          </w:tcPr>
          <w:p w14:paraId="151C915A" w14:textId="77777777" w:rsidR="000D7A1D" w:rsidRDefault="000D7A1D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0400E15F" w14:textId="2EF81D08" w:rsidR="000D7A1D" w:rsidRDefault="00046A16" w:rsidP="00F3787F">
            <w:r>
              <w:t xml:space="preserve">ITU-T </w:t>
            </w:r>
            <w:r w:rsidR="000D7A1D">
              <w:t xml:space="preserve">SG3, SG5, SG9, SG11, SG12, SG13, SG15, SG16, SG17, </w:t>
            </w:r>
            <w:r w:rsidR="005E66AF">
              <w:t>SG20</w:t>
            </w:r>
            <w:r w:rsidR="005E66AF">
              <w:t xml:space="preserve">, </w:t>
            </w:r>
            <w:r w:rsidR="000D7A1D">
              <w:t>TSAG</w:t>
            </w:r>
          </w:p>
        </w:tc>
      </w:tr>
      <w:tr w:rsidR="000D7A1D" w14:paraId="0CB4B049" w14:textId="77777777" w:rsidTr="00F3787F">
        <w:trPr>
          <w:cantSplit/>
          <w:trHeight w:val="357"/>
        </w:trPr>
        <w:tc>
          <w:tcPr>
            <w:tcW w:w="2250" w:type="dxa"/>
            <w:gridSpan w:val="3"/>
          </w:tcPr>
          <w:p w14:paraId="1D06DA4D" w14:textId="77777777" w:rsidR="000D7A1D" w:rsidRDefault="000D7A1D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AF178D1" w14:textId="77777777" w:rsidR="000D7A1D" w:rsidRDefault="000D7A1D" w:rsidP="00F3787F">
            <w:r>
              <w:t>ITU-T Study Group 2 meeting (Geneva, 28 June 2024)</w:t>
            </w:r>
          </w:p>
        </w:tc>
      </w:tr>
      <w:tr w:rsidR="000D7A1D" w14:paraId="7FB0B9B5" w14:textId="77777777" w:rsidTr="00F3787F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ADBA981" w14:textId="77777777" w:rsidR="000D7A1D" w:rsidRDefault="000D7A1D" w:rsidP="00F3787F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28026A32" w14:textId="77777777" w:rsidR="000D7A1D" w:rsidRDefault="000D7A1D" w:rsidP="00F3787F">
            <w:r>
              <w:t>-</w:t>
            </w:r>
          </w:p>
        </w:tc>
      </w:tr>
      <w:tr w:rsidR="000D7A1D" w:rsidRPr="00046A16" w14:paraId="2588825F" w14:textId="77777777" w:rsidTr="00F3787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9D141C6" w14:textId="77777777" w:rsidR="000D7A1D" w:rsidRDefault="000D7A1D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BD52DDC" w14:textId="02122C33" w:rsidR="000D7A1D" w:rsidRDefault="000D7A1D" w:rsidP="00046A16">
            <w:r>
              <w:t>WANG Zhili</w:t>
            </w:r>
            <w:r>
              <w:br/>
              <w:t>BUPT</w:t>
            </w:r>
            <w:r>
              <w:br/>
              <w:t>China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C4D1E19" w14:textId="09AF35AE" w:rsidR="000D7A1D" w:rsidRPr="00945AA2" w:rsidRDefault="000D7A1D" w:rsidP="00046A16">
            <w:pPr>
              <w:rPr>
                <w:lang w:val="de-DE"/>
              </w:rPr>
            </w:pPr>
            <w:r w:rsidRPr="00945AA2">
              <w:rPr>
                <w:lang w:val="de-DE"/>
              </w:rPr>
              <w:t>Tel:</w:t>
            </w:r>
            <w:r w:rsidR="00046A16">
              <w:rPr>
                <w:lang w:val="de-DE"/>
              </w:rPr>
              <w:t xml:space="preserve"> </w:t>
            </w:r>
            <w:r w:rsidRPr="00945AA2">
              <w:rPr>
                <w:lang w:val="de-DE"/>
              </w:rPr>
              <w:t>+86 10 61198090 - 8726</w:t>
            </w:r>
            <w:r w:rsidRPr="00945AA2">
              <w:rPr>
                <w:lang w:val="de-DE"/>
              </w:rPr>
              <w:br/>
            </w:r>
            <w:r w:rsidR="00046A16">
              <w:rPr>
                <w:lang w:val="de-DE"/>
              </w:rPr>
              <w:t xml:space="preserve"> </w:t>
            </w:r>
            <w:r w:rsidRPr="00945AA2">
              <w:rPr>
                <w:lang w:val="de-DE"/>
              </w:rPr>
              <w:t>Email:</w:t>
            </w:r>
            <w:r w:rsidR="00046A16">
              <w:rPr>
                <w:lang w:val="de-DE"/>
              </w:rPr>
              <w:t xml:space="preserve"> </w:t>
            </w:r>
            <w:hyperlink r:id="rId12" w:history="1">
              <w:r w:rsidR="00046A16" w:rsidRPr="00CF283F">
                <w:rPr>
                  <w:rStyle w:val="Hyperlink"/>
                  <w:lang w:val="de-DE"/>
                </w:rPr>
                <w:t>zlwang@bupt.edu.cn</w:t>
              </w:r>
            </w:hyperlink>
            <w:r w:rsidR="00046A16">
              <w:rPr>
                <w:lang w:val="de-DE"/>
              </w:rPr>
              <w:t xml:space="preserve"> </w:t>
            </w:r>
          </w:p>
        </w:tc>
      </w:tr>
    </w:tbl>
    <w:p w14:paraId="00FE2F76" w14:textId="77777777" w:rsidR="000D7A1D" w:rsidRPr="00945AA2" w:rsidRDefault="000D7A1D" w:rsidP="000D7A1D">
      <w:pPr>
        <w:rPr>
          <w:lang w:val="de-DE"/>
        </w:rPr>
      </w:pPr>
    </w:p>
    <w:p w14:paraId="0E700773" w14:textId="77777777" w:rsidR="000D7A1D" w:rsidRDefault="000D7A1D" w:rsidP="000D7A1D">
      <w:r>
        <w:t xml:space="preserve">This liaison statement answers </w:t>
      </w:r>
      <w:hyperlink r:id="rId13" w:history="1">
        <w:r>
          <w:rPr>
            <w:rStyle w:val="Hyperlink"/>
          </w:rPr>
          <w:t>SG17-LS108</w:t>
        </w:r>
      </w:hyperlink>
      <w:r>
        <w:t>.</w:t>
      </w:r>
    </w:p>
    <w:p w14:paraId="7ADA826B" w14:textId="77777777" w:rsidR="000D7A1D" w:rsidRDefault="000D7A1D" w:rsidP="000D7A1D"/>
    <w:p w14:paraId="2BCA3331" w14:textId="77777777" w:rsidR="000D7A1D" w:rsidRDefault="000D7A1D" w:rsidP="000D7A1D">
      <w:r>
        <w:t>A new liaison statement has been received from SG2.</w:t>
      </w:r>
    </w:p>
    <w:p w14:paraId="071A9D12" w14:textId="77777777" w:rsidR="000D7A1D" w:rsidRDefault="000D7A1D" w:rsidP="000D7A1D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http://handle.itu.int/11.1002/ls/sp17-sg2-oLS-00133.docx</w:t>
        </w:r>
      </w:hyperlink>
      <w:r>
        <w:t>.</w:t>
      </w:r>
    </w:p>
    <w:p w14:paraId="23086CD8" w14:textId="77777777" w:rsidR="000D7A1D" w:rsidRDefault="000D7A1D" w:rsidP="000D7A1D">
      <w:pPr>
        <w:spacing w:before="0"/>
        <w:jc w:val="center"/>
      </w:pPr>
    </w:p>
    <w:p w14:paraId="1F0E0C34" w14:textId="77777777" w:rsidR="000D7A1D" w:rsidRDefault="000D7A1D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0"/>
        <w:gridCol w:w="215"/>
        <w:gridCol w:w="3969"/>
      </w:tblGrid>
      <w:tr w:rsidR="00B0521E" w:rsidRPr="00B0521E" w14:paraId="19A2A83D" w14:textId="77777777" w:rsidTr="00B0521E">
        <w:trPr>
          <w:cantSplit/>
        </w:trPr>
        <w:tc>
          <w:tcPr>
            <w:tcW w:w="1104" w:type="dxa"/>
            <w:vMerge w:val="restart"/>
            <w:vAlign w:val="center"/>
          </w:tcPr>
          <w:p w14:paraId="111A2E3A" w14:textId="788B9CDF" w:rsidR="00B0521E" w:rsidRPr="00B0521E" w:rsidRDefault="00B0521E" w:rsidP="00B0521E">
            <w:pPr>
              <w:spacing w:before="0"/>
              <w:jc w:val="center"/>
              <w:rPr>
                <w:sz w:val="20"/>
                <w:szCs w:val="20"/>
              </w:rPr>
            </w:pPr>
            <w:r w:rsidRPr="00B0521E">
              <w:rPr>
                <w:noProof/>
              </w:rPr>
              <w:lastRenderedPageBreak/>
              <w:drawing>
                <wp:inline distT="0" distB="0" distL="0" distR="0" wp14:anchorId="4C1773BA" wp14:editId="3ABF7FA9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3"/>
            <w:vMerge w:val="restart"/>
          </w:tcPr>
          <w:p w14:paraId="346C178D" w14:textId="77777777" w:rsidR="00B0521E" w:rsidRPr="00B0521E" w:rsidRDefault="00B0521E" w:rsidP="00B0521E">
            <w:pPr>
              <w:rPr>
                <w:sz w:val="16"/>
                <w:szCs w:val="16"/>
              </w:rPr>
            </w:pPr>
            <w:r w:rsidRPr="00B0521E">
              <w:rPr>
                <w:sz w:val="16"/>
                <w:szCs w:val="16"/>
              </w:rPr>
              <w:t>INTERNATIONAL TELECOMMUNICATION UNION</w:t>
            </w:r>
          </w:p>
          <w:p w14:paraId="31D043B5" w14:textId="77777777" w:rsidR="00B0521E" w:rsidRPr="00B0521E" w:rsidRDefault="00B0521E" w:rsidP="00B0521E">
            <w:pPr>
              <w:rPr>
                <w:b/>
                <w:bCs/>
                <w:sz w:val="26"/>
                <w:szCs w:val="26"/>
              </w:rPr>
            </w:pPr>
            <w:r w:rsidRPr="00B0521E">
              <w:rPr>
                <w:b/>
                <w:bCs/>
                <w:sz w:val="26"/>
                <w:szCs w:val="26"/>
              </w:rPr>
              <w:t>TELECOMMUNICATION</w:t>
            </w:r>
            <w:r w:rsidRPr="00B0521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DC2352C" w14:textId="77777777" w:rsidR="00B0521E" w:rsidRPr="00B0521E" w:rsidRDefault="00B0521E" w:rsidP="00B0521E">
            <w:pPr>
              <w:rPr>
                <w:sz w:val="20"/>
                <w:szCs w:val="20"/>
              </w:rPr>
            </w:pPr>
            <w:r w:rsidRPr="00B0521E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B0521E">
              <w:rPr>
                <w:sz w:val="20"/>
              </w:rPr>
              <w:t>2022</w:t>
            </w:r>
            <w:r w:rsidRPr="00B0521E">
              <w:rPr>
                <w:sz w:val="20"/>
                <w:szCs w:val="20"/>
              </w:rPr>
              <w:t>-</w:t>
            </w:r>
            <w:r w:rsidRPr="00B0521E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gridSpan w:val="2"/>
            <w:vAlign w:val="center"/>
          </w:tcPr>
          <w:p w14:paraId="3E7E9839" w14:textId="5C13C0B5" w:rsidR="00B0521E" w:rsidRPr="000D7A1D" w:rsidRDefault="00B0521E" w:rsidP="000D7A1D">
            <w:pPr>
              <w:jc w:val="right"/>
              <w:rPr>
                <w:b/>
                <w:sz w:val="28"/>
              </w:rPr>
            </w:pPr>
            <w:r w:rsidRPr="000D7A1D">
              <w:rPr>
                <w:b/>
                <w:sz w:val="28"/>
              </w:rPr>
              <w:t>SG2-LS133</w:t>
            </w:r>
          </w:p>
        </w:tc>
      </w:tr>
      <w:tr w:rsidR="00B0521E" w:rsidRPr="00B0521E" w14:paraId="7C95AE8E" w14:textId="77777777" w:rsidTr="00B0521E">
        <w:trPr>
          <w:cantSplit/>
        </w:trPr>
        <w:tc>
          <w:tcPr>
            <w:tcW w:w="1104" w:type="dxa"/>
            <w:vMerge/>
          </w:tcPr>
          <w:p w14:paraId="101CE45C" w14:textId="77777777" w:rsidR="00B0521E" w:rsidRPr="00B0521E" w:rsidRDefault="00B0521E" w:rsidP="00B0521E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3"/>
            <w:vMerge/>
          </w:tcPr>
          <w:p w14:paraId="3F7159BD" w14:textId="77777777" w:rsidR="00B0521E" w:rsidRPr="00B0521E" w:rsidRDefault="00B0521E" w:rsidP="00B0521E">
            <w:pPr>
              <w:rPr>
                <w:smallCaps/>
                <w:sz w:val="20"/>
              </w:rPr>
            </w:pPr>
          </w:p>
        </w:tc>
        <w:tc>
          <w:tcPr>
            <w:tcW w:w="4184" w:type="dxa"/>
            <w:gridSpan w:val="2"/>
          </w:tcPr>
          <w:p w14:paraId="7A8C89F6" w14:textId="09CEC2CC" w:rsidR="00B0521E" w:rsidRPr="00B0521E" w:rsidRDefault="00B0521E" w:rsidP="00B0521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B0521E" w:rsidRPr="00B0521E" w14:paraId="6C401B06" w14:textId="77777777" w:rsidTr="00B0521E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5567819" w14:textId="77777777" w:rsidR="00B0521E" w:rsidRPr="00B0521E" w:rsidRDefault="00B0521E" w:rsidP="00B0521E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3"/>
            <w:vMerge/>
            <w:tcBorders>
              <w:bottom w:val="single" w:sz="12" w:space="0" w:color="auto"/>
            </w:tcBorders>
          </w:tcPr>
          <w:p w14:paraId="314A09F6" w14:textId="77777777" w:rsidR="00B0521E" w:rsidRPr="00B0521E" w:rsidRDefault="00B0521E" w:rsidP="00B0521E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gridSpan w:val="2"/>
            <w:tcBorders>
              <w:bottom w:val="single" w:sz="12" w:space="0" w:color="auto"/>
            </w:tcBorders>
            <w:vAlign w:val="center"/>
          </w:tcPr>
          <w:p w14:paraId="006CE2A9" w14:textId="77777777" w:rsidR="00B0521E" w:rsidRPr="00B0521E" w:rsidRDefault="00B0521E" w:rsidP="00B0521E">
            <w:pPr>
              <w:jc w:val="right"/>
              <w:rPr>
                <w:b/>
                <w:bCs/>
                <w:sz w:val="28"/>
                <w:szCs w:val="28"/>
              </w:rPr>
            </w:pPr>
            <w:r w:rsidRPr="00B0521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0521E" w:rsidRPr="00B0521E" w14:paraId="12A5D216" w14:textId="77777777" w:rsidTr="00B0521E">
        <w:trPr>
          <w:cantSplit/>
        </w:trPr>
        <w:tc>
          <w:tcPr>
            <w:tcW w:w="1545" w:type="dxa"/>
            <w:gridSpan w:val="2"/>
          </w:tcPr>
          <w:p w14:paraId="7259A6C5" w14:textId="77777777" w:rsidR="00B0521E" w:rsidRPr="00B0521E" w:rsidRDefault="00B0521E" w:rsidP="00B0521E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B0521E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2"/>
          </w:tcPr>
          <w:p w14:paraId="745FC707" w14:textId="7CD4CD39" w:rsidR="00B0521E" w:rsidRPr="00B0521E" w:rsidRDefault="00B0521E" w:rsidP="00B0521E">
            <w:r w:rsidRPr="00B0521E">
              <w:t>All/2</w:t>
            </w:r>
          </w:p>
        </w:tc>
        <w:tc>
          <w:tcPr>
            <w:tcW w:w="4184" w:type="dxa"/>
            <w:gridSpan w:val="2"/>
          </w:tcPr>
          <w:p w14:paraId="1963544D" w14:textId="0AD1EC03" w:rsidR="00B0521E" w:rsidRPr="00B0521E" w:rsidRDefault="00B0521E" w:rsidP="00B0521E">
            <w:pPr>
              <w:jc w:val="right"/>
            </w:pPr>
            <w:r w:rsidRPr="00B0521E">
              <w:t>Geneva, 19-28 June 2024</w:t>
            </w:r>
          </w:p>
        </w:tc>
      </w:tr>
      <w:tr w:rsidR="00B0521E" w:rsidRPr="00B0521E" w14:paraId="0EA82AE6" w14:textId="77777777" w:rsidTr="00B0521E">
        <w:trPr>
          <w:cantSplit/>
        </w:trPr>
        <w:tc>
          <w:tcPr>
            <w:tcW w:w="9639" w:type="dxa"/>
            <w:gridSpan w:val="6"/>
          </w:tcPr>
          <w:p w14:paraId="7E794DBC" w14:textId="0FF2BC1B" w:rsidR="00B0521E" w:rsidRPr="00B0521E" w:rsidRDefault="00B0521E" w:rsidP="00B0521E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B0521E">
              <w:rPr>
                <w:b/>
                <w:bCs/>
              </w:rPr>
              <w:t xml:space="preserve">Ref.: </w:t>
            </w:r>
            <w:hyperlink r:id="rId15" w:history="1">
              <w:r w:rsidRPr="00B0521E">
                <w:rPr>
                  <w:rStyle w:val="Hyperlink"/>
                  <w:b/>
                  <w:bCs/>
                </w:rPr>
                <w:t>SG2-TD496R1/GEN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B0521E" w:rsidRPr="00B0521E" w14:paraId="40FEEF97" w14:textId="77777777" w:rsidTr="00B0521E">
        <w:trPr>
          <w:cantSplit/>
        </w:trPr>
        <w:tc>
          <w:tcPr>
            <w:tcW w:w="1545" w:type="dxa"/>
            <w:gridSpan w:val="2"/>
          </w:tcPr>
          <w:p w14:paraId="648267EF" w14:textId="77777777" w:rsidR="00B0521E" w:rsidRPr="00B0521E" w:rsidRDefault="00B0521E" w:rsidP="00B0521E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B0521E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4"/>
          </w:tcPr>
          <w:p w14:paraId="79DA265E" w14:textId="3257DC93" w:rsidR="00B0521E" w:rsidRPr="00B0521E" w:rsidRDefault="00B0521E" w:rsidP="00B0521E">
            <w:r w:rsidRPr="00B0521E">
              <w:t>ITU-T Study Group 2</w:t>
            </w:r>
          </w:p>
        </w:tc>
      </w:tr>
      <w:tr w:rsidR="00B0521E" w:rsidRPr="00B0521E" w14:paraId="08B969AB" w14:textId="77777777" w:rsidTr="00B0521E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0F3A4F0C" w14:textId="77777777" w:rsidR="00B0521E" w:rsidRPr="00B0521E" w:rsidRDefault="00B0521E" w:rsidP="00B0521E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B0521E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4AF73502" w14:textId="27510992" w:rsidR="00B0521E" w:rsidRPr="00B0521E" w:rsidRDefault="00B0521E" w:rsidP="00B0521E">
            <w:r w:rsidRPr="00B0521E">
              <w:t xml:space="preserve">LS/r on utilization of tools to produce Recommendations (reply to SG17-LS108) </w:t>
            </w:r>
          </w:p>
        </w:tc>
      </w:tr>
      <w:bookmarkEnd w:id="1"/>
      <w:bookmarkEnd w:id="10"/>
      <w:tr w:rsidR="009339B6" w14:paraId="537C6664" w14:textId="77777777" w:rsidTr="00B0521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34259D0" w14:textId="77777777" w:rsidR="009339B6" w:rsidRDefault="006964C0" w:rsidP="00B05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LIAISON STATEMENT</w:t>
            </w:r>
          </w:p>
        </w:tc>
      </w:tr>
      <w:tr w:rsidR="009339B6" w14:paraId="731901F1" w14:textId="77777777" w:rsidTr="00B0521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3"/>
          </w:tcPr>
          <w:p w14:paraId="6670DE78" w14:textId="77777777" w:rsidR="009339B6" w:rsidRDefault="006964C0" w:rsidP="00B0521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1313A120" w14:textId="67E4F55B" w:rsidR="009339B6" w:rsidRDefault="006964C0" w:rsidP="00B0521E">
            <w:pPr>
              <w:pStyle w:val="LSForAction"/>
            </w:pPr>
            <w:r>
              <w:t>-</w:t>
            </w:r>
          </w:p>
        </w:tc>
      </w:tr>
      <w:tr w:rsidR="009339B6" w14:paraId="1D4CE7ED" w14:textId="77777777" w:rsidTr="00B0521E">
        <w:tblPrEx>
          <w:tblLook w:val="04A0" w:firstRow="1" w:lastRow="0" w:firstColumn="1" w:lastColumn="0" w:noHBand="0" w:noVBand="1"/>
        </w:tblPrEx>
        <w:trPr>
          <w:cantSplit/>
          <w:trHeight w:val="298"/>
        </w:trPr>
        <w:tc>
          <w:tcPr>
            <w:tcW w:w="2205" w:type="dxa"/>
            <w:gridSpan w:val="3"/>
          </w:tcPr>
          <w:p w14:paraId="216C7908" w14:textId="77777777" w:rsidR="009339B6" w:rsidRDefault="006964C0" w:rsidP="00B0521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596BF2C2" w14:textId="77777777" w:rsidR="009339B6" w:rsidRDefault="006964C0" w:rsidP="00B0521E">
            <w:pPr>
              <w:pStyle w:val="LSForInfo"/>
              <w:rPr>
                <w:rFonts w:eastAsia="SimSun"/>
                <w:lang w:val="en-US" w:eastAsia="zh-CN"/>
              </w:rPr>
            </w:pPr>
            <w:r>
              <w:t>All ITU-T Study Groups</w:t>
            </w:r>
            <w:r>
              <w:rPr>
                <w:rFonts w:eastAsia="SimSun" w:hint="eastAsia"/>
                <w:lang w:val="en-US" w:eastAsia="zh-CN"/>
              </w:rPr>
              <w:t>,</w:t>
            </w:r>
            <w:r>
              <w:t xml:space="preserve"> TSAG</w:t>
            </w:r>
          </w:p>
        </w:tc>
      </w:tr>
      <w:tr w:rsidR="009339B6" w14:paraId="67ED52D5" w14:textId="77777777" w:rsidTr="00B0521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3"/>
          </w:tcPr>
          <w:p w14:paraId="2A6A34B5" w14:textId="77777777" w:rsidR="009339B6" w:rsidRDefault="006964C0" w:rsidP="00B0521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4774D3C7" w14:textId="77777777" w:rsidR="009339B6" w:rsidRDefault="006964C0" w:rsidP="00B0521E">
            <w:pPr>
              <w:pStyle w:val="LSApproval"/>
            </w:pPr>
            <w:r>
              <w:t xml:space="preserve">ITU-T Study Group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meeting (Geneva, </w:t>
            </w:r>
            <w:r>
              <w:rPr>
                <w:rFonts w:hint="eastAsia"/>
                <w:lang w:val="en-US" w:eastAsia="zh-CN"/>
              </w:rPr>
              <w:t>28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June</w:t>
            </w:r>
            <w:r>
              <w:t xml:space="preserve"> 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)</w:t>
            </w:r>
          </w:p>
        </w:tc>
      </w:tr>
      <w:tr w:rsidR="009339B6" w14:paraId="56972A74" w14:textId="77777777" w:rsidTr="00B0521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168F918B" w14:textId="77777777" w:rsidR="009339B6" w:rsidRDefault="006964C0" w:rsidP="00B0521E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1CCF4502" w14:textId="77777777" w:rsidR="009339B6" w:rsidRDefault="006964C0" w:rsidP="00B0521E">
            <w:pPr>
              <w:pStyle w:val="LSDeadline"/>
            </w:pPr>
            <w:r>
              <w:t>-</w:t>
            </w:r>
          </w:p>
        </w:tc>
      </w:tr>
      <w:tr w:rsidR="009339B6" w:rsidRPr="00046A16" w14:paraId="2DF70CCA" w14:textId="77777777" w:rsidTr="00B052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0447DFC" w14:textId="77777777" w:rsidR="009339B6" w:rsidRDefault="006964C0" w:rsidP="00B0521E">
            <w:pPr>
              <w:tabs>
                <w:tab w:val="left" w:pos="1134"/>
                <w:tab w:val="left" w:pos="1871"/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A1D7DB" w14:textId="77777777" w:rsidR="009339B6" w:rsidRDefault="006964C0" w:rsidP="00B052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>
              <w:rPr>
                <w:rFonts w:hint="eastAsia"/>
                <w:kern w:val="2"/>
                <w:lang w:eastAsia="zh-CN"/>
              </w:rPr>
              <w:t>W</w:t>
            </w:r>
            <w:r>
              <w:rPr>
                <w:rFonts w:hint="eastAsia"/>
                <w:kern w:val="2"/>
                <w:lang w:val="en-US" w:eastAsia="zh-CN"/>
              </w:rPr>
              <w:t>ANG</w:t>
            </w:r>
            <w:r>
              <w:rPr>
                <w:rFonts w:hint="eastAsia"/>
                <w:kern w:val="2"/>
                <w:lang w:eastAsia="zh-CN"/>
              </w:rPr>
              <w:t xml:space="preserve"> Zhili</w:t>
            </w:r>
            <w:r>
              <w:rPr>
                <w:rFonts w:hint="eastAsia"/>
                <w:kern w:val="2"/>
                <w:lang w:eastAsia="zh-CN"/>
              </w:rPr>
              <w:br/>
              <w:t>BUPT</w:t>
            </w:r>
            <w:r>
              <w:rPr>
                <w:rFonts w:hint="eastAsia"/>
                <w:kern w:val="2"/>
                <w:lang w:eastAsia="zh-CN"/>
              </w:rPr>
              <w:br/>
              <w:t>China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14:paraId="01E2C5F4" w14:textId="77777777" w:rsidR="009339B6" w:rsidRDefault="006964C0" w:rsidP="00B052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kern w:val="2"/>
                <w:lang w:val="de-AT" w:eastAsia="zh-CN"/>
              </w:rPr>
            </w:pPr>
            <w:r>
              <w:rPr>
                <w:kern w:val="2"/>
                <w:lang w:val="de-AT" w:eastAsia="zh-CN"/>
              </w:rPr>
              <w:t>Tel:</w:t>
            </w:r>
            <w:r>
              <w:rPr>
                <w:kern w:val="2"/>
                <w:lang w:val="de-AT" w:eastAsia="zh-CN"/>
              </w:rPr>
              <w:tab/>
              <w:t>+</w:t>
            </w:r>
            <w:r>
              <w:rPr>
                <w:rFonts w:hint="eastAsia"/>
                <w:kern w:val="2"/>
                <w:lang w:val="de-AT" w:eastAsia="zh-CN"/>
              </w:rPr>
              <w:t xml:space="preserve">86 10 61198090 </w:t>
            </w:r>
            <w:r>
              <w:rPr>
                <w:kern w:val="2"/>
                <w:lang w:val="de-AT" w:eastAsia="zh-CN"/>
              </w:rPr>
              <w:t>-</w:t>
            </w:r>
            <w:r>
              <w:rPr>
                <w:rFonts w:hint="eastAsia"/>
                <w:kern w:val="2"/>
                <w:lang w:val="de-AT" w:eastAsia="zh-CN"/>
              </w:rPr>
              <w:t xml:space="preserve"> 8726</w:t>
            </w:r>
          </w:p>
          <w:p w14:paraId="73D0D7E3" w14:textId="77777777" w:rsidR="009339B6" w:rsidRDefault="006964C0" w:rsidP="00B052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lang w:val="de-AT"/>
              </w:rPr>
            </w:pPr>
            <w:r>
              <w:rPr>
                <w:kern w:val="2"/>
                <w:lang w:val="de-AT"/>
              </w:rPr>
              <w:t>Email:</w:t>
            </w:r>
            <w:r>
              <w:rPr>
                <w:kern w:val="2"/>
                <w:lang w:val="de-AT"/>
              </w:rPr>
              <w:tab/>
            </w:r>
            <w:hyperlink r:id="rId16" w:history="1">
              <w:r>
                <w:rPr>
                  <w:rStyle w:val="Hyperlink"/>
                  <w:rFonts w:hint="eastAsia"/>
                  <w:kern w:val="2"/>
                  <w:lang w:val="de-AT" w:eastAsia="zh-CN"/>
                </w:rPr>
                <w:t>zlwang@bupt.edu.cn</w:t>
              </w:r>
            </w:hyperlink>
          </w:p>
        </w:tc>
      </w:tr>
    </w:tbl>
    <w:p w14:paraId="79B26C62" w14:textId="77777777" w:rsidR="009339B6" w:rsidRPr="00B0521E" w:rsidRDefault="009339B6">
      <w:pPr>
        <w:rPr>
          <w:lang w:val="de-A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9339B6" w14:paraId="55E32391" w14:textId="77777777">
        <w:trPr>
          <w:cantSplit/>
        </w:trPr>
        <w:tc>
          <w:tcPr>
            <w:tcW w:w="1588" w:type="dxa"/>
          </w:tcPr>
          <w:p w14:paraId="4CF4E4FC" w14:textId="77777777" w:rsidR="009339B6" w:rsidRDefault="006964C0">
            <w:r>
              <w:rPr>
                <w:b/>
                <w:bCs/>
              </w:rPr>
              <w:t>Abstract</w:t>
            </w:r>
            <w:r>
              <w:t>:</w:t>
            </w:r>
          </w:p>
        </w:tc>
        <w:tc>
          <w:tcPr>
            <w:tcW w:w="8051" w:type="dxa"/>
          </w:tcPr>
          <w:p w14:paraId="6A017B46" w14:textId="77777777" w:rsidR="009339B6" w:rsidRDefault="006964C0">
            <w:pPr>
              <w:pStyle w:val="TSBHeaderSummary"/>
              <w:rPr>
                <w:highlight w:val="yellow"/>
              </w:rPr>
            </w:pPr>
            <w:r>
              <w:t>ITU-T SG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provides its feedback </w:t>
            </w:r>
            <w:r>
              <w:rPr>
                <w:rFonts w:hint="eastAsia"/>
                <w:lang w:val="en-US" w:eastAsia="zh-CN"/>
              </w:rPr>
              <w:t>to</w:t>
            </w:r>
            <w:r>
              <w:t xml:space="preserve"> ITU-T SG17 (SG17-LS108)</w:t>
            </w:r>
            <w:r>
              <w:rPr>
                <w:rFonts w:hint="eastAsia"/>
                <w:lang w:val="en-US" w:eastAsia="zh-CN"/>
              </w:rPr>
              <w:t xml:space="preserve"> on </w:t>
            </w:r>
            <w:r>
              <w:t>utili</w:t>
            </w:r>
            <w:r>
              <w:rPr>
                <w:rFonts w:hint="eastAsia"/>
                <w:lang w:val="en-US" w:eastAsia="zh-CN"/>
              </w:rPr>
              <w:t>z</w:t>
            </w:r>
            <w:r>
              <w:t xml:space="preserve">ation of tools to produce Recommendations. </w:t>
            </w:r>
          </w:p>
        </w:tc>
      </w:tr>
    </w:tbl>
    <w:p w14:paraId="54BC254C" w14:textId="77777777" w:rsidR="009339B6" w:rsidRDefault="006964C0">
      <w:r>
        <w:t xml:space="preserve">ITU-T Study Group </w:t>
      </w:r>
      <w:r>
        <w:rPr>
          <w:rFonts w:hint="eastAsia"/>
          <w:lang w:val="en-US" w:eastAsia="zh-CN"/>
        </w:rPr>
        <w:t>2</w:t>
      </w:r>
      <w:r>
        <w:t xml:space="preserve"> would like to thank ITU</w:t>
      </w:r>
      <w:r>
        <w:rPr>
          <w:rFonts w:hint="eastAsia"/>
          <w:lang w:val="en-US" w:eastAsia="zh-CN"/>
        </w:rPr>
        <w:t xml:space="preserve">-T </w:t>
      </w:r>
      <w:r>
        <w:t>SG17 for</w:t>
      </w:r>
      <w:r>
        <w:rPr>
          <w:rFonts w:hint="eastAsia"/>
          <w:lang w:val="en-US" w:eastAsia="zh-CN"/>
        </w:rPr>
        <w:t xml:space="preserve"> your</w:t>
      </w:r>
      <w:r>
        <w:t xml:space="preserve"> </w:t>
      </w:r>
      <w:r>
        <w:rPr>
          <w:rFonts w:hint="eastAsia"/>
          <w:lang w:val="en-US" w:eastAsia="zh-CN"/>
        </w:rPr>
        <w:t xml:space="preserve">valuable analysis </w:t>
      </w:r>
      <w:r>
        <w:t>on utili</w:t>
      </w:r>
      <w:r>
        <w:rPr>
          <w:rFonts w:hint="eastAsia"/>
          <w:lang w:val="en-US" w:eastAsia="zh-CN"/>
        </w:rPr>
        <w:t>z</w:t>
      </w:r>
      <w:r>
        <w:t>ation of tools to produce Recommendations (</w:t>
      </w:r>
      <w:hyperlink r:id="rId17" w:history="1">
        <w:r>
          <w:rPr>
            <w:rStyle w:val="Hyperlink"/>
          </w:rPr>
          <w:t>SG17-LS108</w:t>
        </w:r>
      </w:hyperlink>
      <w:r>
        <w:t>).</w:t>
      </w:r>
    </w:p>
    <w:p w14:paraId="50EFC23B" w14:textId="77777777" w:rsidR="009339B6" w:rsidRDefault="006964C0">
      <w:pPr>
        <w:rPr>
          <w:lang w:val="en-US" w:eastAsia="zh-CN"/>
        </w:rPr>
      </w:pPr>
      <w:r>
        <w:t>ITU-T S</w:t>
      </w:r>
      <w:r>
        <w:rPr>
          <w:rFonts w:hint="eastAsia"/>
          <w:lang w:val="en-US" w:eastAsia="zh-CN"/>
        </w:rPr>
        <w:t>G2</w:t>
      </w:r>
      <w:r>
        <w:t xml:space="preserve"> would like to inform ITU</w:t>
      </w:r>
      <w:r>
        <w:rPr>
          <w:rFonts w:hint="eastAsia"/>
          <w:lang w:val="en-US" w:eastAsia="zh-CN"/>
        </w:rPr>
        <w:t xml:space="preserve">-T </w:t>
      </w:r>
      <w:r>
        <w:t>SG17 that</w:t>
      </w:r>
      <w:r>
        <w:rPr>
          <w:rFonts w:hint="eastAsia"/>
          <w:lang w:val="en-US" w:eastAsia="zh-CN"/>
        </w:rPr>
        <w:t xml:space="preserve"> currently SG2 does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o</w:t>
      </w:r>
      <w:r>
        <w:rPr>
          <w:rFonts w:hint="eastAsia"/>
          <w:lang w:val="en-US" w:eastAsia="zh-CN"/>
        </w:rPr>
        <w:t xml:space="preserve">t </w:t>
      </w:r>
      <w:r>
        <w:t>use tools such as Metanorma, Liquid, and GitHub</w:t>
      </w:r>
      <w:r>
        <w:rPr>
          <w:rFonts w:hint="eastAsia"/>
          <w:lang w:val="en-US" w:eastAsia="zh-CN"/>
        </w:rPr>
        <w:t>/GitLab</w:t>
      </w:r>
      <w:r>
        <w:t xml:space="preserve"> to </w:t>
      </w:r>
      <w:r>
        <w:rPr>
          <w:rFonts w:hint="eastAsia"/>
          <w:lang w:val="en-US" w:eastAsia="zh-CN"/>
        </w:rPr>
        <w:t>support</w:t>
      </w:r>
      <w:r>
        <w:t xml:space="preserve"> the development of</w:t>
      </w:r>
      <w:r>
        <w:rPr>
          <w:rFonts w:hint="eastAsia"/>
          <w:lang w:val="en-US" w:eastAsia="zh-CN"/>
        </w:rPr>
        <w:t xml:space="preserve"> Recommendations. </w:t>
      </w:r>
    </w:p>
    <w:p w14:paraId="18FB214F" w14:textId="77777777" w:rsidR="009339B6" w:rsidRDefault="006964C0">
      <w:pPr>
        <w:rPr>
          <w:lang w:val="en-US" w:eastAsia="zh-CN"/>
        </w:rPr>
      </w:pPr>
      <w:r>
        <w:rPr>
          <w:rFonts w:hint="eastAsia"/>
          <w:lang w:val="en-US" w:eastAsia="zh-CN"/>
        </w:rPr>
        <w:t>But in Question 7/2, when developing management interface Recommendations, for the implementable interface definitions, we do use some tools to check the syntax errors for our interface definitions. For example, when developing Web services/WSDL based interface designs, the tool Axis is used; when developing YAML/JSON-based RESTful interface designs, the tool Swagger is used as a convenient assistant and also as a syntax checker.</w:t>
      </w:r>
    </w:p>
    <w:p w14:paraId="75399F4D" w14:textId="77777777" w:rsidR="009339B6" w:rsidRDefault="006964C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ITU-T SG2 would also share with you that 3GPP SA5 are using the tool FORGE to manage their interface design source codes extracted from their standards, which is a good approach for the version management of the evolving interface specifications, and this approach is very friendly for interface developers. </w:t>
      </w:r>
    </w:p>
    <w:p w14:paraId="3EA13161" w14:textId="65069867" w:rsidR="009339B6" w:rsidRDefault="006964C0">
      <w:pPr>
        <w:rPr>
          <w:lang w:eastAsia="zh-CN"/>
        </w:rPr>
      </w:pPr>
      <w:r>
        <w:rPr>
          <w:rFonts w:hint="eastAsia"/>
          <w:lang w:val="en-US" w:eastAsia="zh-CN"/>
        </w:rPr>
        <w:t xml:space="preserve">ITU-T </w:t>
      </w:r>
      <w:r>
        <w:rPr>
          <w:lang w:eastAsia="zh-CN"/>
        </w:rPr>
        <w:t>SG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 is </w:t>
      </w:r>
      <w:r>
        <w:rPr>
          <w:rFonts w:hint="eastAsia"/>
          <w:lang w:val="en-US" w:eastAsia="zh-CN"/>
        </w:rPr>
        <w:t xml:space="preserve">also </w:t>
      </w:r>
      <w:r>
        <w:rPr>
          <w:lang w:eastAsia="zh-CN"/>
        </w:rPr>
        <w:t>open to exploring the use of these collaborative tools for developing Recommendations. This would be especially helpful for SG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's work on implementation, particularly regarding </w:t>
      </w:r>
      <w:r>
        <w:rPr>
          <w:rFonts w:hint="eastAsia"/>
          <w:lang w:val="en-US" w:eastAsia="zh-CN"/>
        </w:rPr>
        <w:t>protocol-</w:t>
      </w:r>
      <w:r w:rsidR="000329B9">
        <w:rPr>
          <w:lang w:val="en-US" w:eastAsia="zh-CN"/>
        </w:rPr>
        <w:t>dependent</w:t>
      </w:r>
      <w:r>
        <w:rPr>
          <w:rFonts w:hint="eastAsia"/>
          <w:lang w:val="en-US" w:eastAsia="zh-CN"/>
        </w:rPr>
        <w:t xml:space="preserve"> interface design </w:t>
      </w:r>
      <w:r>
        <w:rPr>
          <w:lang w:eastAsia="zh-CN"/>
        </w:rPr>
        <w:t>Recommendations. SG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 also welcomes discussions on this topic with the relevant Study Groups and TSAG.</w:t>
      </w:r>
    </w:p>
    <w:p w14:paraId="48F01900" w14:textId="79D9773B" w:rsidR="009339B6" w:rsidRDefault="006964C0">
      <w:pPr>
        <w:rPr>
          <w:lang w:val="en-US" w:eastAsia="zh-CN"/>
        </w:rPr>
      </w:pPr>
      <w:r>
        <w:rPr>
          <w:rFonts w:hint="eastAsia"/>
          <w:lang w:val="en-US" w:eastAsia="zh-CN"/>
        </w:rPr>
        <w:t>ITU-T SG2 would also suggest that TSAG may provide guidance for using such too</w:t>
      </w:r>
      <w:r w:rsidR="000329B9">
        <w:rPr>
          <w:lang w:val="en-US" w:eastAsia="zh-CN"/>
        </w:rPr>
        <w:t xml:space="preserve">ls for all study groups, including possible </w:t>
      </w:r>
      <w:r>
        <w:rPr>
          <w:rFonts w:hint="eastAsia"/>
          <w:lang w:val="en-US" w:eastAsia="zh-CN"/>
        </w:rPr>
        <w:t>IPR issues, and may also provide some facilities for all relevant Study Groups to use in the future. For example, proving some database for user of ITU-T Recommendations to access compiled and implementable interface definition source codes associated with some specific Recommendations.</w:t>
      </w:r>
    </w:p>
    <w:p w14:paraId="3DFBE8C5" w14:textId="77777777" w:rsidR="009339B6" w:rsidRDefault="006964C0">
      <w:r>
        <w:t>ITU-T SG</w:t>
      </w:r>
      <w:r>
        <w:rPr>
          <w:rFonts w:hint="eastAsia"/>
          <w:lang w:val="en-US" w:eastAsia="zh-CN"/>
        </w:rPr>
        <w:t>2</w:t>
      </w:r>
      <w:r>
        <w:t xml:space="preserve"> looks forward to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the continuous </w:t>
      </w:r>
      <w:r>
        <w:rPr>
          <w:lang w:eastAsia="zh-CN"/>
        </w:rPr>
        <w:t>collaboration with</w:t>
      </w:r>
      <w:r>
        <w:t xml:space="preserve"> ITU</w:t>
      </w:r>
      <w:r>
        <w:rPr>
          <w:rFonts w:hint="eastAsia"/>
          <w:lang w:val="en-US" w:eastAsia="zh-CN"/>
        </w:rPr>
        <w:t xml:space="preserve">-T </w:t>
      </w:r>
      <w:r>
        <w:t>SG17</w:t>
      </w:r>
      <w:r>
        <w:rPr>
          <w:rFonts w:hint="eastAsia"/>
          <w:lang w:val="en-US" w:eastAsia="zh-CN"/>
        </w:rPr>
        <w:t xml:space="preserve"> on this aspect</w:t>
      </w:r>
      <w:r>
        <w:t>.</w:t>
      </w:r>
    </w:p>
    <w:p w14:paraId="041DAA42" w14:textId="7D6D3A5E" w:rsidR="009339B6" w:rsidRDefault="00046A16" w:rsidP="00046A16">
      <w:pPr>
        <w:jc w:val="center"/>
      </w:pPr>
      <w:r>
        <w:t>___________________</w:t>
      </w:r>
    </w:p>
    <w:sectPr w:rsidR="009339B6" w:rsidSect="00046A16">
      <w:headerReference w:type="default" r:id="rId18"/>
      <w:pgSz w:w="11907" w:h="16840"/>
      <w:pgMar w:top="1134" w:right="113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787F" w14:textId="77777777" w:rsidR="006964C0" w:rsidRDefault="006964C0">
      <w:pPr>
        <w:spacing w:before="0"/>
      </w:pPr>
      <w:r>
        <w:separator/>
      </w:r>
    </w:p>
  </w:endnote>
  <w:endnote w:type="continuationSeparator" w:id="0">
    <w:p w14:paraId="64A6121D" w14:textId="77777777" w:rsidR="006964C0" w:rsidRDefault="006964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D68DA" w14:textId="77777777" w:rsidR="009339B6" w:rsidRDefault="006964C0">
      <w:pPr>
        <w:spacing w:before="0"/>
      </w:pPr>
      <w:r>
        <w:separator/>
      </w:r>
    </w:p>
  </w:footnote>
  <w:footnote w:type="continuationSeparator" w:id="0">
    <w:p w14:paraId="68752900" w14:textId="77777777" w:rsidR="009339B6" w:rsidRDefault="006964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75FD" w14:textId="1B7FBBEC" w:rsidR="009339B6" w:rsidRPr="00B0521E" w:rsidRDefault="00B0521E" w:rsidP="00B0521E">
    <w:pPr>
      <w:pStyle w:val="Header"/>
    </w:pPr>
    <w:r w:rsidRPr="00B0521E">
      <w:t xml:space="preserve">- </w:t>
    </w:r>
    <w:r w:rsidRPr="00B0521E">
      <w:fldChar w:fldCharType="begin"/>
    </w:r>
    <w:r w:rsidRPr="00B0521E">
      <w:instrText xml:space="preserve"> PAGE  \* MERGEFORMAT </w:instrText>
    </w:r>
    <w:r w:rsidRPr="00B0521E">
      <w:fldChar w:fldCharType="separate"/>
    </w:r>
    <w:r w:rsidRPr="00B0521E">
      <w:rPr>
        <w:noProof/>
      </w:rPr>
      <w:t>1</w:t>
    </w:r>
    <w:r w:rsidRPr="00B0521E">
      <w:fldChar w:fldCharType="end"/>
    </w:r>
    <w:r w:rsidRPr="00B0521E">
      <w:t xml:space="preserve"> -</w:t>
    </w:r>
  </w:p>
  <w:p w14:paraId="0C18935D" w14:textId="6D9BC125" w:rsidR="00B0521E" w:rsidRPr="00B0521E" w:rsidRDefault="00B0521E" w:rsidP="00B0521E">
    <w:pPr>
      <w:pStyle w:val="Header"/>
      <w:spacing w:after="240"/>
    </w:pPr>
    <w:r w:rsidRPr="00B0521E">
      <w:fldChar w:fldCharType="begin"/>
    </w:r>
    <w:r w:rsidRPr="00B0521E">
      <w:instrText xml:space="preserve"> STYLEREF  Docnumber  </w:instrText>
    </w:r>
    <w:r w:rsidRPr="00B0521E">
      <w:fldChar w:fldCharType="separate"/>
    </w:r>
    <w:r w:rsidR="005E66AF">
      <w:rPr>
        <w:noProof/>
      </w:rPr>
      <w:t>TSAG-TD606</w:t>
    </w:r>
    <w:r w:rsidRPr="00B0521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427770384">
    <w:abstractNumId w:val="3"/>
  </w:num>
  <w:num w:numId="2" w16cid:durableId="1969848203">
    <w:abstractNumId w:val="5"/>
  </w:num>
  <w:num w:numId="3" w16cid:durableId="290869109">
    <w:abstractNumId w:val="8"/>
  </w:num>
  <w:num w:numId="4" w16cid:durableId="440032501">
    <w:abstractNumId w:val="9"/>
  </w:num>
  <w:num w:numId="5" w16cid:durableId="642932926">
    <w:abstractNumId w:val="6"/>
  </w:num>
  <w:num w:numId="6" w16cid:durableId="988292835">
    <w:abstractNumId w:val="2"/>
  </w:num>
  <w:num w:numId="7" w16cid:durableId="1807776803">
    <w:abstractNumId w:val="7"/>
  </w:num>
  <w:num w:numId="8" w16cid:durableId="1617103256">
    <w:abstractNumId w:val="4"/>
  </w:num>
  <w:num w:numId="9" w16cid:durableId="2030181466">
    <w:abstractNumId w:val="1"/>
  </w:num>
  <w:num w:numId="10" w16cid:durableId="4046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3MDE4NTQ2MGQ2ZWMwZGYxZTc4MjQxNTA0OTJhYWMifQ=="/>
  </w:docVars>
  <w:rsids>
    <w:rsidRoot w:val="007B311A"/>
    <w:rsid w:val="00000EDE"/>
    <w:rsid w:val="00014F69"/>
    <w:rsid w:val="000171DB"/>
    <w:rsid w:val="00023D9A"/>
    <w:rsid w:val="000329B9"/>
    <w:rsid w:val="0003582E"/>
    <w:rsid w:val="00043D75"/>
    <w:rsid w:val="00046A16"/>
    <w:rsid w:val="000561A3"/>
    <w:rsid w:val="00057000"/>
    <w:rsid w:val="00061268"/>
    <w:rsid w:val="000640E0"/>
    <w:rsid w:val="000920CE"/>
    <w:rsid w:val="000966A8"/>
    <w:rsid w:val="000A5CA2"/>
    <w:rsid w:val="000B739D"/>
    <w:rsid w:val="000C397B"/>
    <w:rsid w:val="000D7A1D"/>
    <w:rsid w:val="000E6125"/>
    <w:rsid w:val="000E7A39"/>
    <w:rsid w:val="001137B8"/>
    <w:rsid w:val="00113DBE"/>
    <w:rsid w:val="001200A6"/>
    <w:rsid w:val="00124A40"/>
    <w:rsid w:val="001251DA"/>
    <w:rsid w:val="00125432"/>
    <w:rsid w:val="00125FAB"/>
    <w:rsid w:val="00136DDD"/>
    <w:rsid w:val="00137F40"/>
    <w:rsid w:val="001410FD"/>
    <w:rsid w:val="00144BDF"/>
    <w:rsid w:val="00155DDC"/>
    <w:rsid w:val="00161830"/>
    <w:rsid w:val="00182C59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33F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4D9E"/>
    <w:rsid w:val="002C502A"/>
    <w:rsid w:val="002D6447"/>
    <w:rsid w:val="002E0407"/>
    <w:rsid w:val="002E3C52"/>
    <w:rsid w:val="002E79CB"/>
    <w:rsid w:val="002F5070"/>
    <w:rsid w:val="002F7F55"/>
    <w:rsid w:val="0030745F"/>
    <w:rsid w:val="003136E1"/>
    <w:rsid w:val="00314630"/>
    <w:rsid w:val="0032090A"/>
    <w:rsid w:val="00321CDE"/>
    <w:rsid w:val="00333E15"/>
    <w:rsid w:val="0034200E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E7319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3E14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E66AF"/>
    <w:rsid w:val="005F4B6A"/>
    <w:rsid w:val="006010F3"/>
    <w:rsid w:val="00606DB6"/>
    <w:rsid w:val="0061585D"/>
    <w:rsid w:val="00615A0A"/>
    <w:rsid w:val="0061675A"/>
    <w:rsid w:val="00626673"/>
    <w:rsid w:val="00626995"/>
    <w:rsid w:val="006333D4"/>
    <w:rsid w:val="006369B2"/>
    <w:rsid w:val="0063718D"/>
    <w:rsid w:val="00647525"/>
    <w:rsid w:val="00647A71"/>
    <w:rsid w:val="00652D9F"/>
    <w:rsid w:val="006570B0"/>
    <w:rsid w:val="0066022F"/>
    <w:rsid w:val="00661D42"/>
    <w:rsid w:val="006813BC"/>
    <w:rsid w:val="006823F3"/>
    <w:rsid w:val="0069210B"/>
    <w:rsid w:val="00692AB1"/>
    <w:rsid w:val="00695DD7"/>
    <w:rsid w:val="00695FC2"/>
    <w:rsid w:val="006964C0"/>
    <w:rsid w:val="006A4055"/>
    <w:rsid w:val="006A6DA0"/>
    <w:rsid w:val="006A7C27"/>
    <w:rsid w:val="006B12B6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32B31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920"/>
    <w:rsid w:val="007B2BC6"/>
    <w:rsid w:val="007B311A"/>
    <w:rsid w:val="007C7122"/>
    <w:rsid w:val="007D3F11"/>
    <w:rsid w:val="007D66E2"/>
    <w:rsid w:val="007E2C69"/>
    <w:rsid w:val="007E4CBD"/>
    <w:rsid w:val="007E53E4"/>
    <w:rsid w:val="007E656A"/>
    <w:rsid w:val="007F3CAA"/>
    <w:rsid w:val="007F664D"/>
    <w:rsid w:val="00812E67"/>
    <w:rsid w:val="00837203"/>
    <w:rsid w:val="00842137"/>
    <w:rsid w:val="00853F5F"/>
    <w:rsid w:val="00861E78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0D95"/>
    <w:rsid w:val="008B5123"/>
    <w:rsid w:val="008B6C3C"/>
    <w:rsid w:val="008E0172"/>
    <w:rsid w:val="008F3AAC"/>
    <w:rsid w:val="00900EF1"/>
    <w:rsid w:val="00906CD2"/>
    <w:rsid w:val="009302DE"/>
    <w:rsid w:val="009339B6"/>
    <w:rsid w:val="00936852"/>
    <w:rsid w:val="0094045D"/>
    <w:rsid w:val="009406B5"/>
    <w:rsid w:val="00945AA2"/>
    <w:rsid w:val="00946166"/>
    <w:rsid w:val="009507EC"/>
    <w:rsid w:val="00981DBD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35DC4"/>
    <w:rsid w:val="00A4013E"/>
    <w:rsid w:val="00A4045F"/>
    <w:rsid w:val="00A427CD"/>
    <w:rsid w:val="00A45FEE"/>
    <w:rsid w:val="00A4600B"/>
    <w:rsid w:val="00A50506"/>
    <w:rsid w:val="00A51EF0"/>
    <w:rsid w:val="00A652A8"/>
    <w:rsid w:val="00A67A81"/>
    <w:rsid w:val="00A730A6"/>
    <w:rsid w:val="00A84724"/>
    <w:rsid w:val="00A971A0"/>
    <w:rsid w:val="00AA1F22"/>
    <w:rsid w:val="00AE0906"/>
    <w:rsid w:val="00AF5A57"/>
    <w:rsid w:val="00AF735D"/>
    <w:rsid w:val="00B024D7"/>
    <w:rsid w:val="00B0521E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1E8A"/>
    <w:rsid w:val="00BA788A"/>
    <w:rsid w:val="00BB4983"/>
    <w:rsid w:val="00BB7597"/>
    <w:rsid w:val="00BC2AAB"/>
    <w:rsid w:val="00BC62E2"/>
    <w:rsid w:val="00BE4110"/>
    <w:rsid w:val="00BF02DC"/>
    <w:rsid w:val="00BF1C1D"/>
    <w:rsid w:val="00C02DDF"/>
    <w:rsid w:val="00C27FD3"/>
    <w:rsid w:val="00C37820"/>
    <w:rsid w:val="00C42125"/>
    <w:rsid w:val="00C46B2B"/>
    <w:rsid w:val="00C62814"/>
    <w:rsid w:val="00C62BE6"/>
    <w:rsid w:val="00C67B25"/>
    <w:rsid w:val="00C748F7"/>
    <w:rsid w:val="00C74937"/>
    <w:rsid w:val="00C9637E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B57D2"/>
    <w:rsid w:val="00DC774A"/>
    <w:rsid w:val="00DD50DE"/>
    <w:rsid w:val="00DE3062"/>
    <w:rsid w:val="00E04F5E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47EE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870BB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E59EC"/>
    <w:rsid w:val="00FF4546"/>
    <w:rsid w:val="00FF538F"/>
    <w:rsid w:val="049911F7"/>
    <w:rsid w:val="05797CED"/>
    <w:rsid w:val="13A55A6D"/>
    <w:rsid w:val="13E1581F"/>
    <w:rsid w:val="15072747"/>
    <w:rsid w:val="16581EB6"/>
    <w:rsid w:val="28EE24EE"/>
    <w:rsid w:val="2BFF463C"/>
    <w:rsid w:val="2E916106"/>
    <w:rsid w:val="333869F2"/>
    <w:rsid w:val="38EE34A4"/>
    <w:rsid w:val="3B7EA76E"/>
    <w:rsid w:val="3ED226E5"/>
    <w:rsid w:val="44D36F60"/>
    <w:rsid w:val="45AF4585"/>
    <w:rsid w:val="4D2B7238"/>
    <w:rsid w:val="54F226E1"/>
    <w:rsid w:val="5B1A64ED"/>
    <w:rsid w:val="5F8429B0"/>
    <w:rsid w:val="6DBC34D5"/>
    <w:rsid w:val="6ED44ED9"/>
    <w:rsid w:val="6EE84615"/>
    <w:rsid w:val="7BA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B04A"/>
  <w15:docId w15:val="{AE50E596-6A42-4C41-A972-924101F0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before="120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tabs>
        <w:tab w:val="clear" w:pos="1209"/>
        <w:tab w:val="num" w:pos="360"/>
      </w:tabs>
      <w:ind w:left="0" w:firstLine="0"/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tabs>
        <w:tab w:val="num" w:pos="360"/>
      </w:tabs>
      <w:ind w:left="0" w:firstLine="0"/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autoRedefine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autoRedefine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b/>
      <w:sz w:val="32"/>
      <w:lang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eastAsia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eastAsia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eastAsia="Times New Roman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/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LSDeadline">
    <w:name w:val="LSDeadline"/>
    <w:basedOn w:val="LSForAction"/>
    <w:next w:val="Normal"/>
    <w:autoRedefine/>
    <w:qFormat/>
  </w:style>
  <w:style w:type="paragraph" w:customStyle="1" w:styleId="LSForAction">
    <w:name w:val="LSForAction"/>
    <w:basedOn w:val="LSTitle"/>
    <w:next w:val="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Title">
    <w:name w:val="LSTitle"/>
    <w:basedOn w:val="Normal"/>
    <w:next w:val="Normal"/>
    <w:autoRedefine/>
    <w:qFormat/>
    <w:rPr>
      <w:rFonts w:eastAsiaTheme="minorHAnsi"/>
      <w:bCs/>
    </w:rPr>
  </w:style>
  <w:style w:type="paragraph" w:customStyle="1" w:styleId="LSForInfo">
    <w:name w:val="LSForInfo"/>
    <w:basedOn w:val="LSTitle"/>
    <w:next w:val="Normal"/>
    <w:autoRedefine/>
    <w:qFormat/>
  </w:style>
  <w:style w:type="paragraph" w:customStyle="1" w:styleId="LSForComment">
    <w:name w:val="LSForComment"/>
    <w:basedOn w:val="LSTitle"/>
    <w:next w:val="Normal"/>
    <w:autoRedefine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Title"/>
    <w:next w:val="Normal"/>
    <w:autoRedefine/>
    <w:qFormat/>
    <w:rPr>
      <w:bCs w:val="0"/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EastAsia"/>
      <w:sz w:val="24"/>
      <w:szCs w:val="24"/>
      <w:lang w:eastAsia="ja-JP"/>
    </w:rPr>
  </w:style>
  <w:style w:type="paragraph" w:customStyle="1" w:styleId="VenueDate">
    <w:name w:val="VenueDate"/>
    <w:basedOn w:val="Normal"/>
    <w:qFormat/>
    <w:pPr>
      <w:jc w:val="righ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Theme="minorEastAsia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Theme="minorEastAsia"/>
      <w:b/>
      <w:bCs/>
      <w:lang w:eastAsia="ja-JP"/>
    </w:rPr>
  </w:style>
  <w:style w:type="character" w:customStyle="1" w:styleId="UnresolvedMention1">
    <w:name w:val="Unresolved Mention1"/>
    <w:basedOn w:val="DefaultParagraphFont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eastAsiaTheme="minorEastAsia"/>
      <w:lang w:eastAsia="ja-JP"/>
    </w:rPr>
  </w:style>
  <w:style w:type="paragraph" w:customStyle="1" w:styleId="Bibliography1">
    <w:name w:val="Bibliography1"/>
    <w:basedOn w:val="Normal"/>
    <w:next w:val="Normal"/>
    <w:autoRedefine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eastAsiaTheme="minorEastAsia"/>
      <w:sz w:val="16"/>
      <w:szCs w:val="1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eastAsiaTheme="minorEastAsia"/>
      <w:sz w:val="16"/>
      <w:szCs w:val="16"/>
      <w:lang w:eastAsia="ja-JP"/>
    </w:rPr>
  </w:style>
  <w:style w:type="character" w:customStyle="1" w:styleId="BookTitle1">
    <w:name w:val="Book Title1"/>
    <w:basedOn w:val="DefaultParagraphFont"/>
    <w:autoRedefine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eastAsiaTheme="minorEastAsia"/>
      <w:lang w:eastAsia="ja-JP"/>
    </w:rPr>
  </w:style>
  <w:style w:type="character" w:customStyle="1" w:styleId="Hashtag1">
    <w:name w:val="Hashtag1"/>
    <w:basedOn w:val="DefaultParagraphFont"/>
    <w:autoRedefine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eastAsiaTheme="minorEastAsia"/>
      <w:i/>
      <w:iCs/>
      <w:sz w:val="24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eastAsiaTheme="minorEastAsia" w:hAnsi="Consolas"/>
      <w:lang w:eastAsia="ja-JP"/>
    </w:rPr>
  </w:style>
  <w:style w:type="character" w:customStyle="1" w:styleId="IntenseEmphasis1">
    <w:name w:val="Intense Emphasis1"/>
    <w:basedOn w:val="DefaultParagraphFont"/>
    <w:autoRedefine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eastAsiaTheme="minorEastAsia"/>
      <w:i/>
      <w:iCs/>
      <w:color w:val="5B9BD5" w:themeColor="accent1"/>
      <w:sz w:val="24"/>
      <w:szCs w:val="24"/>
      <w:lang w:eastAsia="ja-JP"/>
    </w:rPr>
  </w:style>
  <w:style w:type="character" w:customStyle="1" w:styleId="IntenseReference1">
    <w:name w:val="Intense Reference1"/>
    <w:basedOn w:val="DefaultParagraphFont"/>
    <w:autoRedefine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eastAsiaTheme="minorEastAsia" w:hAnsi="Consolas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Pr>
      <w:rFonts w:eastAsiaTheme="minorEastAsia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eastAsiaTheme="minorEastAsia" w:hAnsi="Consolas"/>
      <w:sz w:val="21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eastAsiaTheme="minorEastAsia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autoRedefine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autoRedefine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1">
    <w:name w:val="Subtle Emphasis1"/>
    <w:basedOn w:val="DefaultParagraphFont"/>
    <w:autoRedefine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autoRedefine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customStyle="1" w:styleId="TOCHeading1">
    <w:name w:val="TOC Heading1"/>
    <w:basedOn w:val="Heading1"/>
    <w:next w:val="Normal"/>
    <w:autoRedefine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LSApproval">
    <w:name w:val="LSApproval"/>
    <w:basedOn w:val="Normal"/>
    <w:autoRedefine/>
    <w:qFormat/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Revision2">
    <w:name w:val="Revision2"/>
    <w:hidden/>
    <w:uiPriority w:val="99"/>
    <w:unhideWhenUsed/>
    <w:qFormat/>
    <w:rPr>
      <w:rFonts w:eastAsiaTheme="minorEastAsia"/>
      <w:sz w:val="24"/>
      <w:szCs w:val="24"/>
      <w:lang w:eastAsia="ja-JP"/>
    </w:rPr>
  </w:style>
  <w:style w:type="paragraph" w:customStyle="1" w:styleId="Bibliography2">
    <w:name w:val="Bibliography2"/>
    <w:basedOn w:val="Normal"/>
    <w:next w:val="Normal"/>
    <w:uiPriority w:val="37"/>
    <w:semiHidden/>
    <w:unhideWhenUsed/>
    <w:qFormat/>
  </w:style>
  <w:style w:type="character" w:customStyle="1" w:styleId="BookTitle2">
    <w:name w:val="Book Title2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ashtag2">
    <w:name w:val="Hashtag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rPr>
      <w:i/>
      <w:iCs/>
      <w:color w:val="5B9BD5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qFormat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6964C0"/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0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sg17/sp17-sg17-oLS-00108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lwang@bupt.edu.cn" TargetMode="External"/><Relationship Id="rId17" Type="http://schemas.openxmlformats.org/officeDocument/2006/relationships/hyperlink" Target="https://www.itu.int/net/itu-t/ls/ls.aspx?isn=300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lwang@bupt.edu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-oLS-0013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SG02-240619-TD-GEN-0496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2-oLS-0013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/>
</ds:datastoreItem>
</file>

<file path=customXml/itemProps2.xml><?xml version="1.0" encoding="utf-8"?>
<ds:datastoreItem xmlns:ds="http://schemas.openxmlformats.org/officeDocument/2006/customXml" ds:itemID="{EF8523CC-DEB2-463D-9A27-DF0B8D2CAEC3}">
  <ds:schemaRefs/>
</ds:datastoreItem>
</file>

<file path=customXml/itemProps3.xml><?xml version="1.0" encoding="utf-8"?>
<ds:datastoreItem xmlns:ds="http://schemas.openxmlformats.org/officeDocument/2006/customXml" ds:itemID="{A02A634D-8C1C-48E0-8DF5-C16C9F285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2</Pages>
  <Words>604</Words>
  <Characters>3447</Characters>
  <Application>Microsoft Office Word</Application>
  <DocSecurity>0</DocSecurity>
  <Lines>28</Lines>
  <Paragraphs>8</Paragraphs>
  <ScaleCrop>false</ScaleCrop>
  <Manager>ITU-T</Manager>
  <Company>International Telecommunication Union (ITU)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utilization of tools to produce Recommendations (reply to SG17-LS108) [to All ITU-T Study Groups, TSAG]</dc:title>
  <dc:creator>ITU-T Study Group 2</dc:creator>
  <dc:description>SG2-LS133  For: Geneva, 19-28 June 2024_x000d_Document date: _x000d_Saved by ITU51014924 at 14:49:00 on 02.07.2024</dc:description>
  <cp:lastModifiedBy>Al-Mnini, Lara</cp:lastModifiedBy>
  <cp:revision>4</cp:revision>
  <cp:lastPrinted>2016-12-23T12:52:00Z</cp:lastPrinted>
  <dcterms:created xsi:type="dcterms:W3CDTF">2024-07-08T11:49:00Z</dcterms:created>
  <dcterms:modified xsi:type="dcterms:W3CDTF">2024-07-08T13:20:00Z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SG2-LS133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All/2</vt:lpwstr>
  </property>
  <property fmtid="{D5CDD505-2E9C-101B-9397-08002B2CF9AE}" pid="7" name="Docdest">
    <vt:lpwstr>Geneva, 19-28 June 2024</vt:lpwstr>
  </property>
  <property fmtid="{D5CDD505-2E9C-101B-9397-08002B2CF9AE}" pid="8" name="Docauthor">
    <vt:lpwstr>ITU-T Study Group 2</vt:lpwstr>
  </property>
  <property fmtid="{D5CDD505-2E9C-101B-9397-08002B2CF9AE}" pid="9" name="KSOProductBuildVer">
    <vt:lpwstr>2052-12.1.0.16929</vt:lpwstr>
  </property>
  <property fmtid="{D5CDD505-2E9C-101B-9397-08002B2CF9AE}" pid="10" name="ICV">
    <vt:lpwstr>4E9AA0E940734D988AA583E4B0B50073_13</vt:lpwstr>
  </property>
</Properties>
</file>