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BE3B3F" w14:paraId="0AC5C3BF" w14:textId="77777777" w:rsidTr="00036F4F">
        <w:trPr>
          <w:gridAfter w:val="1"/>
          <w:wAfter w:w="8" w:type="dxa"/>
          <w:cantSplit/>
        </w:trPr>
        <w:tc>
          <w:tcPr>
            <w:tcW w:w="1418" w:type="dxa"/>
            <w:gridSpan w:val="3"/>
            <w:vAlign w:val="center"/>
          </w:tcPr>
          <w:p w14:paraId="0B016FE1" w14:textId="77777777" w:rsidR="00036F4F" w:rsidRPr="00BE3B3F" w:rsidRDefault="00036F4F" w:rsidP="00D14F31">
            <w:pPr>
              <w:tabs>
                <w:tab w:val="right" w:pos="8732"/>
              </w:tabs>
              <w:spacing w:before="0"/>
              <w:rPr>
                <w:b/>
                <w:bCs/>
                <w:iCs/>
                <w:color w:val="FFFFFF"/>
                <w:sz w:val="30"/>
                <w:szCs w:val="30"/>
              </w:rPr>
            </w:pPr>
            <w:r w:rsidRPr="00BE3B3F">
              <w:rPr>
                <w:noProof/>
                <w:lang w:eastAsia="zh-CN"/>
              </w:rPr>
              <w:drawing>
                <wp:inline distT="0" distB="0" distL="0" distR="0" wp14:anchorId="4E2A5919" wp14:editId="49A9044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512DAFD4" w14:textId="77777777" w:rsidR="00036F4F" w:rsidRPr="00BE3B3F" w:rsidRDefault="00036F4F" w:rsidP="00D14F31">
            <w:pPr>
              <w:spacing w:before="0"/>
              <w:rPr>
                <w:rFonts w:cs="Times New Roman Bold"/>
                <w:b/>
                <w:bCs/>
                <w:iCs/>
                <w:smallCaps/>
                <w:sz w:val="34"/>
                <w:szCs w:val="34"/>
              </w:rPr>
            </w:pPr>
            <w:r w:rsidRPr="00BE3B3F">
              <w:rPr>
                <w:rFonts w:cs="Times New Roman Bold"/>
                <w:b/>
                <w:bCs/>
                <w:iCs/>
                <w:smallCaps/>
                <w:sz w:val="34"/>
                <w:szCs w:val="34"/>
              </w:rPr>
              <w:t>Union internationale des télécommunications</w:t>
            </w:r>
          </w:p>
          <w:p w14:paraId="60BF2E7B" w14:textId="77777777" w:rsidR="00036F4F" w:rsidRPr="00BE3B3F" w:rsidRDefault="00036F4F" w:rsidP="00D14F31">
            <w:pPr>
              <w:tabs>
                <w:tab w:val="right" w:pos="8732"/>
              </w:tabs>
              <w:spacing w:before="0"/>
              <w:rPr>
                <w:b/>
                <w:bCs/>
                <w:iCs/>
                <w:color w:val="FFFFFF"/>
                <w:sz w:val="30"/>
                <w:szCs w:val="30"/>
              </w:rPr>
            </w:pPr>
            <w:r w:rsidRPr="00BE3B3F">
              <w:rPr>
                <w:rFonts w:cs="Times New Roman Bold"/>
                <w:b/>
                <w:bCs/>
                <w:iCs/>
                <w:smallCaps/>
                <w:sz w:val="28"/>
                <w:szCs w:val="28"/>
              </w:rPr>
              <w:t>B</w:t>
            </w:r>
            <w:r w:rsidRPr="00BE3B3F">
              <w:rPr>
                <w:b/>
                <w:bCs/>
                <w:iCs/>
                <w:smallCaps/>
                <w:sz w:val="28"/>
                <w:szCs w:val="28"/>
              </w:rPr>
              <w:t>ureau de la Normalisation des Télécommunications</w:t>
            </w:r>
          </w:p>
        </w:tc>
        <w:tc>
          <w:tcPr>
            <w:tcW w:w="2126" w:type="dxa"/>
            <w:vAlign w:val="center"/>
          </w:tcPr>
          <w:p w14:paraId="2167160D" w14:textId="77777777" w:rsidR="00036F4F" w:rsidRPr="00BE3B3F" w:rsidRDefault="00036F4F" w:rsidP="00D14F31">
            <w:pPr>
              <w:spacing w:before="0"/>
              <w:jc w:val="right"/>
              <w:rPr>
                <w:color w:val="FFFFFF"/>
                <w:sz w:val="26"/>
                <w:szCs w:val="26"/>
              </w:rPr>
            </w:pPr>
          </w:p>
        </w:tc>
      </w:tr>
      <w:tr w:rsidR="00036F4F" w:rsidRPr="0035110E" w14:paraId="3F220FAF" w14:textId="77777777" w:rsidTr="00A5645A">
        <w:trPr>
          <w:gridBefore w:val="1"/>
          <w:wBefore w:w="8" w:type="dxa"/>
          <w:cantSplit/>
        </w:trPr>
        <w:tc>
          <w:tcPr>
            <w:tcW w:w="1977" w:type="dxa"/>
            <w:gridSpan w:val="3"/>
          </w:tcPr>
          <w:p w14:paraId="5FF333C0" w14:textId="77777777" w:rsidR="00036F4F" w:rsidRPr="0035110E" w:rsidRDefault="00036F4F" w:rsidP="00A5280F">
            <w:pPr>
              <w:tabs>
                <w:tab w:val="left" w:pos="4111"/>
              </w:tabs>
              <w:spacing w:before="10"/>
              <w:ind w:left="57"/>
              <w:rPr>
                <w:rFonts w:cstheme="minorHAnsi"/>
                <w:sz w:val="22"/>
                <w:szCs w:val="22"/>
              </w:rPr>
            </w:pPr>
          </w:p>
        </w:tc>
        <w:tc>
          <w:tcPr>
            <w:tcW w:w="2900" w:type="dxa"/>
          </w:tcPr>
          <w:p w14:paraId="101543E4" w14:textId="77777777" w:rsidR="00036F4F" w:rsidRPr="0035110E" w:rsidRDefault="00036F4F" w:rsidP="00A5280F">
            <w:pPr>
              <w:tabs>
                <w:tab w:val="left" w:pos="4111"/>
              </w:tabs>
              <w:spacing w:before="10"/>
              <w:ind w:left="57"/>
              <w:rPr>
                <w:rFonts w:cstheme="minorHAnsi"/>
                <w:b/>
                <w:sz w:val="22"/>
                <w:szCs w:val="22"/>
              </w:rPr>
            </w:pPr>
          </w:p>
        </w:tc>
        <w:tc>
          <w:tcPr>
            <w:tcW w:w="5046" w:type="dxa"/>
            <w:gridSpan w:val="3"/>
          </w:tcPr>
          <w:p w14:paraId="1ADA2DF7" w14:textId="4B446E62" w:rsidR="00036F4F" w:rsidRPr="0035110E"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35110E">
              <w:rPr>
                <w:rFonts w:cstheme="minorHAnsi"/>
                <w:sz w:val="22"/>
                <w:szCs w:val="22"/>
              </w:rPr>
              <w:t>Genève, le</w:t>
            </w:r>
            <w:r w:rsidR="00904C39" w:rsidRPr="0035110E">
              <w:rPr>
                <w:rFonts w:cstheme="minorHAnsi"/>
                <w:sz w:val="22"/>
                <w:szCs w:val="22"/>
              </w:rPr>
              <w:t xml:space="preserve"> 28 mars 2022</w:t>
            </w:r>
          </w:p>
        </w:tc>
      </w:tr>
      <w:tr w:rsidR="00036F4F" w:rsidRPr="0035110E" w14:paraId="14CE224B" w14:textId="77777777" w:rsidTr="00842B2C">
        <w:trPr>
          <w:gridBefore w:val="1"/>
          <w:wBefore w:w="8" w:type="dxa"/>
          <w:cantSplit/>
          <w:trHeight w:val="340"/>
        </w:trPr>
        <w:tc>
          <w:tcPr>
            <w:tcW w:w="1126" w:type="dxa"/>
          </w:tcPr>
          <w:p w14:paraId="18C073D5" w14:textId="77777777" w:rsidR="00036F4F" w:rsidRPr="0035110E" w:rsidRDefault="00036F4F" w:rsidP="00A5280F">
            <w:pPr>
              <w:tabs>
                <w:tab w:val="left" w:pos="4111"/>
              </w:tabs>
              <w:spacing w:before="10"/>
              <w:ind w:left="57"/>
              <w:rPr>
                <w:rFonts w:cstheme="minorHAnsi"/>
                <w:b/>
                <w:bCs/>
                <w:sz w:val="22"/>
                <w:szCs w:val="22"/>
              </w:rPr>
            </w:pPr>
            <w:proofErr w:type="gramStart"/>
            <w:r w:rsidRPr="0035110E">
              <w:rPr>
                <w:rFonts w:cstheme="minorHAnsi"/>
                <w:b/>
                <w:bCs/>
                <w:sz w:val="22"/>
                <w:szCs w:val="22"/>
              </w:rPr>
              <w:t>Réf.:</w:t>
            </w:r>
            <w:proofErr w:type="gramEnd"/>
          </w:p>
          <w:p w14:paraId="2A288241" w14:textId="77777777" w:rsidR="00036F4F" w:rsidRPr="0035110E" w:rsidRDefault="00036F4F" w:rsidP="00036F4F">
            <w:pPr>
              <w:tabs>
                <w:tab w:val="left" w:pos="4111"/>
              </w:tabs>
              <w:spacing w:before="10"/>
              <w:ind w:left="57"/>
              <w:rPr>
                <w:rFonts w:cstheme="minorHAnsi"/>
                <w:b/>
                <w:bCs/>
                <w:sz w:val="22"/>
                <w:szCs w:val="22"/>
              </w:rPr>
            </w:pPr>
          </w:p>
        </w:tc>
        <w:tc>
          <w:tcPr>
            <w:tcW w:w="3751" w:type="dxa"/>
            <w:gridSpan w:val="3"/>
          </w:tcPr>
          <w:p w14:paraId="37705D7D" w14:textId="2D84F138" w:rsidR="00036F4F" w:rsidRPr="0035110E" w:rsidRDefault="00036F4F" w:rsidP="00842B2C">
            <w:pPr>
              <w:tabs>
                <w:tab w:val="left" w:pos="4111"/>
              </w:tabs>
              <w:spacing w:before="10"/>
              <w:ind w:left="57"/>
              <w:rPr>
                <w:rFonts w:cstheme="minorHAnsi"/>
                <w:b/>
                <w:sz w:val="22"/>
                <w:szCs w:val="22"/>
              </w:rPr>
            </w:pPr>
            <w:r w:rsidRPr="0035110E">
              <w:rPr>
                <w:rFonts w:cstheme="minorHAnsi"/>
                <w:b/>
                <w:sz w:val="22"/>
                <w:szCs w:val="22"/>
              </w:rPr>
              <w:t xml:space="preserve">Circulaire TSB </w:t>
            </w:r>
            <w:r w:rsidR="00BE3B3F" w:rsidRPr="0035110E">
              <w:rPr>
                <w:rFonts w:cstheme="minorHAnsi"/>
                <w:b/>
                <w:sz w:val="22"/>
                <w:szCs w:val="22"/>
              </w:rPr>
              <w:t>00</w:t>
            </w:r>
            <w:r w:rsidR="00842B2C" w:rsidRPr="0035110E">
              <w:rPr>
                <w:rFonts w:cstheme="minorHAnsi"/>
                <w:b/>
                <w:sz w:val="22"/>
                <w:szCs w:val="22"/>
              </w:rPr>
              <w:t>4</w:t>
            </w:r>
          </w:p>
          <w:p w14:paraId="4A62F962" w14:textId="64FEE2F8" w:rsidR="00842B2C" w:rsidRPr="0035110E" w:rsidRDefault="00842B2C" w:rsidP="00842B2C">
            <w:pPr>
              <w:tabs>
                <w:tab w:val="left" w:pos="4111"/>
              </w:tabs>
              <w:spacing w:before="10"/>
              <w:ind w:left="57"/>
              <w:rPr>
                <w:rFonts w:cstheme="minorHAnsi"/>
                <w:bCs/>
                <w:sz w:val="22"/>
                <w:szCs w:val="22"/>
              </w:rPr>
            </w:pPr>
            <w:r w:rsidRPr="0035110E">
              <w:rPr>
                <w:rFonts w:cstheme="minorHAnsi"/>
                <w:bCs/>
                <w:sz w:val="22"/>
                <w:szCs w:val="22"/>
              </w:rPr>
              <w:t>Manifestation du TSB/MA</w:t>
            </w:r>
          </w:p>
        </w:tc>
        <w:tc>
          <w:tcPr>
            <w:tcW w:w="5046" w:type="dxa"/>
            <w:gridSpan w:val="3"/>
            <w:vMerge w:val="restart"/>
          </w:tcPr>
          <w:p w14:paraId="0DEC3B44" w14:textId="57B5FAD3" w:rsidR="00842B2C" w:rsidRPr="0035110E" w:rsidRDefault="00842B2C" w:rsidP="00F75EDF">
            <w:pPr>
              <w:tabs>
                <w:tab w:val="clear" w:pos="794"/>
                <w:tab w:val="clear" w:pos="1191"/>
                <w:tab w:val="clear" w:pos="1588"/>
                <w:tab w:val="clear" w:pos="1985"/>
                <w:tab w:val="left" w:pos="359"/>
              </w:tabs>
              <w:spacing w:before="0"/>
              <w:ind w:left="359" w:hanging="302"/>
              <w:rPr>
                <w:rFonts w:cstheme="minorHAnsi"/>
                <w:sz w:val="22"/>
                <w:szCs w:val="22"/>
              </w:rPr>
            </w:pPr>
            <w:bookmarkStart w:id="0" w:name="Addressee_F"/>
            <w:bookmarkEnd w:id="0"/>
            <w:r w:rsidRPr="0035110E">
              <w:rPr>
                <w:rFonts w:cstheme="minorHAnsi"/>
                <w:sz w:val="22"/>
                <w:szCs w:val="22"/>
              </w:rPr>
              <w:t>–</w:t>
            </w:r>
            <w:r w:rsidRPr="0035110E">
              <w:rPr>
                <w:rFonts w:cstheme="minorHAnsi"/>
                <w:sz w:val="22"/>
                <w:szCs w:val="22"/>
              </w:rPr>
              <w:tab/>
              <w:t xml:space="preserve">Aux Administrations des États Membres de </w:t>
            </w:r>
            <w:proofErr w:type="gramStart"/>
            <w:r w:rsidRPr="0035110E">
              <w:rPr>
                <w:rFonts w:cstheme="minorHAnsi"/>
                <w:sz w:val="22"/>
                <w:szCs w:val="22"/>
              </w:rPr>
              <w:t>l</w:t>
            </w:r>
            <w:r w:rsidR="00F75EDF" w:rsidRPr="0035110E">
              <w:rPr>
                <w:rFonts w:cstheme="minorHAnsi"/>
                <w:sz w:val="22"/>
                <w:szCs w:val="22"/>
              </w:rPr>
              <w:t>'</w:t>
            </w:r>
            <w:r w:rsidRPr="0035110E">
              <w:rPr>
                <w:rFonts w:cstheme="minorHAnsi"/>
                <w:sz w:val="22"/>
                <w:szCs w:val="22"/>
              </w:rPr>
              <w:t>Union;</w:t>
            </w:r>
            <w:proofErr w:type="gramEnd"/>
          </w:p>
          <w:p w14:paraId="3AAA67DC" w14:textId="510C1B23" w:rsidR="00842B2C" w:rsidRPr="0035110E" w:rsidRDefault="00842B2C" w:rsidP="00F75EDF">
            <w:pPr>
              <w:tabs>
                <w:tab w:val="clear" w:pos="794"/>
                <w:tab w:val="clear" w:pos="1191"/>
                <w:tab w:val="clear" w:pos="1588"/>
                <w:tab w:val="clear" w:pos="1985"/>
                <w:tab w:val="left" w:pos="359"/>
                <w:tab w:val="left" w:pos="496"/>
              </w:tabs>
              <w:spacing w:before="0"/>
              <w:ind w:left="359" w:hanging="302"/>
              <w:rPr>
                <w:rFonts w:cstheme="minorHAnsi"/>
                <w:sz w:val="22"/>
                <w:szCs w:val="22"/>
              </w:rPr>
            </w:pPr>
            <w:r w:rsidRPr="0035110E">
              <w:rPr>
                <w:rFonts w:cstheme="minorHAnsi"/>
                <w:sz w:val="22"/>
                <w:szCs w:val="22"/>
              </w:rPr>
              <w:t>–</w:t>
            </w:r>
            <w:r w:rsidRPr="0035110E">
              <w:rPr>
                <w:rFonts w:cstheme="minorHAnsi"/>
                <w:sz w:val="22"/>
                <w:szCs w:val="22"/>
              </w:rPr>
              <w:tab/>
              <w:t>Aux Membres du Secteur de l</w:t>
            </w:r>
            <w:r w:rsidR="00F75EDF" w:rsidRPr="0035110E">
              <w:rPr>
                <w:rFonts w:cstheme="minorHAnsi"/>
                <w:sz w:val="22"/>
                <w:szCs w:val="22"/>
              </w:rPr>
              <w:t>'</w:t>
            </w:r>
            <w:r w:rsidRPr="0035110E">
              <w:rPr>
                <w:rFonts w:cstheme="minorHAnsi"/>
                <w:sz w:val="22"/>
                <w:szCs w:val="22"/>
              </w:rPr>
              <w:t>UIT-</w:t>
            </w:r>
            <w:proofErr w:type="gramStart"/>
            <w:r w:rsidRPr="0035110E">
              <w:rPr>
                <w:rFonts w:cstheme="minorHAnsi"/>
                <w:sz w:val="22"/>
                <w:szCs w:val="22"/>
              </w:rPr>
              <w:t>T;</w:t>
            </w:r>
            <w:proofErr w:type="gramEnd"/>
          </w:p>
          <w:p w14:paraId="365F39B1" w14:textId="561716E1" w:rsidR="00842B2C" w:rsidRPr="0035110E" w:rsidRDefault="00842B2C" w:rsidP="00F75EDF">
            <w:pPr>
              <w:tabs>
                <w:tab w:val="clear" w:pos="794"/>
                <w:tab w:val="clear" w:pos="1191"/>
                <w:tab w:val="clear" w:pos="1588"/>
                <w:tab w:val="clear" w:pos="1985"/>
                <w:tab w:val="left" w:pos="359"/>
                <w:tab w:val="left" w:pos="496"/>
              </w:tabs>
              <w:spacing w:before="0"/>
              <w:ind w:left="359" w:hanging="302"/>
              <w:rPr>
                <w:rFonts w:cstheme="minorHAnsi"/>
                <w:sz w:val="22"/>
                <w:szCs w:val="22"/>
              </w:rPr>
            </w:pPr>
            <w:r w:rsidRPr="0035110E">
              <w:rPr>
                <w:rFonts w:cstheme="minorHAnsi"/>
                <w:sz w:val="22"/>
                <w:szCs w:val="22"/>
              </w:rPr>
              <w:t>–</w:t>
            </w:r>
            <w:r w:rsidRPr="0035110E">
              <w:rPr>
                <w:rFonts w:cstheme="minorHAnsi"/>
                <w:sz w:val="22"/>
                <w:szCs w:val="22"/>
              </w:rPr>
              <w:tab/>
              <w:t>Aux Associés de l</w:t>
            </w:r>
            <w:r w:rsidR="00F75EDF" w:rsidRPr="0035110E">
              <w:rPr>
                <w:rFonts w:cstheme="minorHAnsi"/>
                <w:sz w:val="22"/>
                <w:szCs w:val="22"/>
              </w:rPr>
              <w:t>'</w:t>
            </w:r>
            <w:r w:rsidRPr="0035110E">
              <w:rPr>
                <w:rFonts w:cstheme="minorHAnsi"/>
                <w:sz w:val="22"/>
                <w:szCs w:val="22"/>
              </w:rPr>
              <w:t>UIT-</w:t>
            </w:r>
            <w:proofErr w:type="gramStart"/>
            <w:r w:rsidRPr="0035110E">
              <w:rPr>
                <w:rFonts w:cstheme="minorHAnsi"/>
                <w:sz w:val="22"/>
                <w:szCs w:val="22"/>
              </w:rPr>
              <w:t>T;</w:t>
            </w:r>
            <w:proofErr w:type="gramEnd"/>
          </w:p>
          <w:p w14:paraId="4D496C57" w14:textId="7492942C" w:rsidR="00036F4F" w:rsidRPr="0035110E" w:rsidRDefault="00842B2C" w:rsidP="00F75EDF">
            <w:pPr>
              <w:tabs>
                <w:tab w:val="clear" w:pos="794"/>
                <w:tab w:val="clear" w:pos="1191"/>
                <w:tab w:val="clear" w:pos="1588"/>
                <w:tab w:val="clear" w:pos="1985"/>
                <w:tab w:val="left" w:pos="359"/>
              </w:tabs>
              <w:spacing w:before="0"/>
              <w:ind w:left="359" w:hanging="302"/>
              <w:rPr>
                <w:rFonts w:cstheme="minorHAnsi"/>
                <w:sz w:val="22"/>
                <w:szCs w:val="22"/>
              </w:rPr>
            </w:pPr>
            <w:r w:rsidRPr="0035110E">
              <w:rPr>
                <w:rFonts w:cstheme="minorHAnsi"/>
                <w:sz w:val="22"/>
                <w:szCs w:val="22"/>
              </w:rPr>
              <w:t>–</w:t>
            </w:r>
            <w:r w:rsidRPr="0035110E">
              <w:rPr>
                <w:rFonts w:cstheme="minorHAnsi"/>
                <w:sz w:val="22"/>
                <w:szCs w:val="22"/>
              </w:rPr>
              <w:tab/>
              <w:t>Aux Établissements universitaires participant aux travaux de l</w:t>
            </w:r>
            <w:r w:rsidR="00F75EDF" w:rsidRPr="0035110E">
              <w:rPr>
                <w:rFonts w:cstheme="minorHAnsi"/>
                <w:sz w:val="22"/>
                <w:szCs w:val="22"/>
              </w:rPr>
              <w:t>'</w:t>
            </w:r>
            <w:r w:rsidRPr="0035110E">
              <w:rPr>
                <w:rFonts w:cstheme="minorHAnsi"/>
                <w:sz w:val="22"/>
                <w:szCs w:val="22"/>
              </w:rPr>
              <w:t>UIT</w:t>
            </w:r>
          </w:p>
        </w:tc>
      </w:tr>
      <w:tr w:rsidR="00842B2C" w:rsidRPr="0035110E" w14:paraId="741E8397" w14:textId="77777777" w:rsidTr="00842B2C">
        <w:trPr>
          <w:gridBefore w:val="1"/>
          <w:wBefore w:w="8" w:type="dxa"/>
          <w:cantSplit/>
          <w:trHeight w:val="340"/>
        </w:trPr>
        <w:tc>
          <w:tcPr>
            <w:tcW w:w="1126" w:type="dxa"/>
          </w:tcPr>
          <w:p w14:paraId="2996C0BA" w14:textId="0909B8AF" w:rsidR="00842B2C" w:rsidRPr="0035110E" w:rsidRDefault="00842B2C" w:rsidP="00A5280F">
            <w:pPr>
              <w:tabs>
                <w:tab w:val="left" w:pos="4111"/>
              </w:tabs>
              <w:spacing w:before="10"/>
              <w:ind w:left="57"/>
              <w:rPr>
                <w:rFonts w:cstheme="minorHAnsi"/>
                <w:b/>
                <w:bCs/>
                <w:sz w:val="22"/>
                <w:szCs w:val="22"/>
              </w:rPr>
            </w:pPr>
            <w:proofErr w:type="gramStart"/>
            <w:r w:rsidRPr="0035110E">
              <w:rPr>
                <w:rFonts w:cstheme="minorHAnsi"/>
                <w:b/>
                <w:bCs/>
                <w:sz w:val="22"/>
                <w:szCs w:val="22"/>
              </w:rPr>
              <w:t>Contact:</w:t>
            </w:r>
            <w:proofErr w:type="gramEnd"/>
          </w:p>
        </w:tc>
        <w:tc>
          <w:tcPr>
            <w:tcW w:w="3751" w:type="dxa"/>
            <w:gridSpan w:val="3"/>
          </w:tcPr>
          <w:p w14:paraId="176C725E" w14:textId="6A2FE9F5" w:rsidR="00842B2C" w:rsidRPr="0035110E" w:rsidRDefault="00842B2C" w:rsidP="00842B2C">
            <w:pPr>
              <w:tabs>
                <w:tab w:val="left" w:pos="4111"/>
              </w:tabs>
              <w:spacing w:before="10"/>
              <w:ind w:left="57"/>
              <w:rPr>
                <w:rFonts w:cstheme="minorHAnsi"/>
                <w:b/>
                <w:sz w:val="22"/>
                <w:szCs w:val="22"/>
              </w:rPr>
            </w:pPr>
            <w:r w:rsidRPr="0035110E">
              <w:rPr>
                <w:rFonts w:cstheme="minorHAnsi"/>
                <w:b/>
                <w:sz w:val="22"/>
                <w:szCs w:val="22"/>
              </w:rPr>
              <w:t>Martin Adolph</w:t>
            </w:r>
          </w:p>
        </w:tc>
        <w:tc>
          <w:tcPr>
            <w:tcW w:w="5046" w:type="dxa"/>
            <w:gridSpan w:val="3"/>
            <w:vMerge/>
          </w:tcPr>
          <w:p w14:paraId="366C4EF9" w14:textId="77777777" w:rsidR="00842B2C" w:rsidRPr="0035110E" w:rsidRDefault="00842B2C" w:rsidP="00842B2C">
            <w:pPr>
              <w:tabs>
                <w:tab w:val="clear" w:pos="794"/>
                <w:tab w:val="clear" w:pos="1191"/>
                <w:tab w:val="clear" w:pos="1588"/>
                <w:tab w:val="clear" w:pos="1985"/>
                <w:tab w:val="left" w:pos="359"/>
              </w:tabs>
              <w:spacing w:before="0"/>
              <w:ind w:left="359" w:hanging="302"/>
              <w:rPr>
                <w:rFonts w:cstheme="minorHAnsi"/>
                <w:sz w:val="22"/>
                <w:szCs w:val="22"/>
              </w:rPr>
            </w:pPr>
          </w:p>
        </w:tc>
      </w:tr>
      <w:tr w:rsidR="00842B2C" w:rsidRPr="0035110E" w14:paraId="5E62D0CA" w14:textId="77777777" w:rsidTr="00842B2C">
        <w:trPr>
          <w:gridBefore w:val="1"/>
          <w:wBefore w:w="8" w:type="dxa"/>
          <w:cantSplit/>
        </w:trPr>
        <w:tc>
          <w:tcPr>
            <w:tcW w:w="1126" w:type="dxa"/>
          </w:tcPr>
          <w:p w14:paraId="4306652C" w14:textId="77777777" w:rsidR="00842B2C" w:rsidRPr="0035110E" w:rsidRDefault="00842B2C" w:rsidP="00842B2C">
            <w:pPr>
              <w:tabs>
                <w:tab w:val="left" w:pos="4111"/>
              </w:tabs>
              <w:spacing w:before="10"/>
              <w:ind w:left="57"/>
              <w:rPr>
                <w:rFonts w:cstheme="minorHAnsi"/>
                <w:b/>
                <w:bCs/>
                <w:sz w:val="22"/>
                <w:szCs w:val="22"/>
              </w:rPr>
            </w:pPr>
            <w:proofErr w:type="gramStart"/>
            <w:r w:rsidRPr="0035110E">
              <w:rPr>
                <w:rFonts w:cstheme="minorHAnsi"/>
                <w:b/>
                <w:bCs/>
                <w:sz w:val="22"/>
                <w:szCs w:val="22"/>
              </w:rPr>
              <w:t>Tél.:</w:t>
            </w:r>
            <w:proofErr w:type="gramEnd"/>
          </w:p>
        </w:tc>
        <w:tc>
          <w:tcPr>
            <w:tcW w:w="3751" w:type="dxa"/>
            <w:gridSpan w:val="3"/>
          </w:tcPr>
          <w:p w14:paraId="67641F3A" w14:textId="6615B8C7" w:rsidR="00842B2C" w:rsidRPr="0035110E" w:rsidRDefault="00842B2C" w:rsidP="00842B2C">
            <w:pPr>
              <w:tabs>
                <w:tab w:val="left" w:pos="4111"/>
              </w:tabs>
              <w:spacing w:before="0"/>
              <w:ind w:left="57"/>
              <w:rPr>
                <w:rFonts w:cstheme="minorHAnsi"/>
                <w:sz w:val="22"/>
                <w:szCs w:val="22"/>
              </w:rPr>
            </w:pPr>
            <w:r w:rsidRPr="0035110E">
              <w:rPr>
                <w:rFonts w:cstheme="minorHAnsi"/>
                <w:sz w:val="22"/>
                <w:szCs w:val="22"/>
              </w:rPr>
              <w:t>+41 22 730 6828</w:t>
            </w:r>
          </w:p>
        </w:tc>
        <w:tc>
          <w:tcPr>
            <w:tcW w:w="5046" w:type="dxa"/>
            <w:gridSpan w:val="3"/>
            <w:vMerge/>
          </w:tcPr>
          <w:p w14:paraId="070ED089" w14:textId="77777777" w:rsidR="00842B2C" w:rsidRPr="0035110E" w:rsidRDefault="00842B2C" w:rsidP="00842B2C">
            <w:pPr>
              <w:tabs>
                <w:tab w:val="left" w:pos="4111"/>
              </w:tabs>
              <w:spacing w:before="0"/>
              <w:rPr>
                <w:rFonts w:cstheme="minorHAnsi"/>
                <w:b/>
                <w:sz w:val="22"/>
                <w:szCs w:val="22"/>
              </w:rPr>
            </w:pPr>
          </w:p>
        </w:tc>
      </w:tr>
      <w:tr w:rsidR="00842B2C" w:rsidRPr="0035110E" w14:paraId="48A0D770" w14:textId="77777777" w:rsidTr="00842B2C">
        <w:trPr>
          <w:gridBefore w:val="1"/>
          <w:wBefore w:w="8" w:type="dxa"/>
          <w:cantSplit/>
        </w:trPr>
        <w:tc>
          <w:tcPr>
            <w:tcW w:w="1126" w:type="dxa"/>
          </w:tcPr>
          <w:p w14:paraId="0FF0B7FE" w14:textId="77777777" w:rsidR="00842B2C" w:rsidRPr="0035110E" w:rsidRDefault="00842B2C" w:rsidP="00842B2C">
            <w:pPr>
              <w:tabs>
                <w:tab w:val="left" w:pos="4111"/>
              </w:tabs>
              <w:spacing w:before="10"/>
              <w:ind w:left="57"/>
              <w:rPr>
                <w:rFonts w:cstheme="minorHAnsi"/>
                <w:b/>
                <w:bCs/>
                <w:sz w:val="22"/>
                <w:szCs w:val="22"/>
              </w:rPr>
            </w:pPr>
            <w:proofErr w:type="gramStart"/>
            <w:r w:rsidRPr="0035110E">
              <w:rPr>
                <w:rFonts w:cstheme="minorHAnsi"/>
                <w:b/>
                <w:bCs/>
                <w:sz w:val="22"/>
                <w:szCs w:val="22"/>
              </w:rPr>
              <w:t>Fax:</w:t>
            </w:r>
            <w:proofErr w:type="gramEnd"/>
          </w:p>
        </w:tc>
        <w:tc>
          <w:tcPr>
            <w:tcW w:w="3751" w:type="dxa"/>
            <w:gridSpan w:val="3"/>
          </w:tcPr>
          <w:p w14:paraId="20CF4040" w14:textId="48786D15" w:rsidR="00842B2C" w:rsidRPr="0035110E" w:rsidRDefault="00842B2C" w:rsidP="00842B2C">
            <w:pPr>
              <w:tabs>
                <w:tab w:val="left" w:pos="4111"/>
              </w:tabs>
              <w:spacing w:before="0"/>
              <w:ind w:left="57"/>
              <w:rPr>
                <w:rFonts w:cstheme="minorHAnsi"/>
                <w:sz w:val="22"/>
                <w:szCs w:val="22"/>
              </w:rPr>
            </w:pPr>
            <w:r w:rsidRPr="0035110E">
              <w:rPr>
                <w:rFonts w:cstheme="minorHAnsi"/>
                <w:sz w:val="22"/>
                <w:szCs w:val="22"/>
              </w:rPr>
              <w:t>+41 22 730 5853</w:t>
            </w:r>
          </w:p>
        </w:tc>
        <w:tc>
          <w:tcPr>
            <w:tcW w:w="5046" w:type="dxa"/>
            <w:gridSpan w:val="3"/>
            <w:vMerge/>
          </w:tcPr>
          <w:p w14:paraId="49E09AD6" w14:textId="77777777" w:rsidR="00842B2C" w:rsidRPr="0035110E" w:rsidRDefault="00842B2C" w:rsidP="00842B2C">
            <w:pPr>
              <w:tabs>
                <w:tab w:val="left" w:pos="4111"/>
              </w:tabs>
              <w:spacing w:before="0"/>
              <w:rPr>
                <w:rFonts w:cstheme="minorHAnsi"/>
                <w:b/>
                <w:sz w:val="22"/>
                <w:szCs w:val="22"/>
              </w:rPr>
            </w:pPr>
          </w:p>
        </w:tc>
      </w:tr>
      <w:tr w:rsidR="00517A03" w:rsidRPr="0035110E" w14:paraId="304B83ED" w14:textId="77777777" w:rsidTr="00842B2C">
        <w:trPr>
          <w:gridBefore w:val="1"/>
          <w:wBefore w:w="8" w:type="dxa"/>
          <w:cantSplit/>
        </w:trPr>
        <w:tc>
          <w:tcPr>
            <w:tcW w:w="1126" w:type="dxa"/>
          </w:tcPr>
          <w:p w14:paraId="5D75B967" w14:textId="77777777" w:rsidR="00517A03" w:rsidRPr="0035110E" w:rsidRDefault="00036F4F" w:rsidP="00A5280F">
            <w:pPr>
              <w:tabs>
                <w:tab w:val="left" w:pos="4111"/>
              </w:tabs>
              <w:spacing w:before="10"/>
              <w:ind w:left="57"/>
              <w:rPr>
                <w:rFonts w:cstheme="minorHAnsi"/>
                <w:b/>
                <w:bCs/>
                <w:sz w:val="22"/>
                <w:szCs w:val="22"/>
              </w:rPr>
            </w:pPr>
            <w:proofErr w:type="gramStart"/>
            <w:r w:rsidRPr="0035110E">
              <w:rPr>
                <w:rFonts w:cstheme="minorHAnsi"/>
                <w:b/>
                <w:bCs/>
                <w:sz w:val="22"/>
                <w:szCs w:val="22"/>
              </w:rPr>
              <w:t>E-mail:</w:t>
            </w:r>
            <w:proofErr w:type="gramEnd"/>
          </w:p>
        </w:tc>
        <w:tc>
          <w:tcPr>
            <w:tcW w:w="3751" w:type="dxa"/>
            <w:gridSpan w:val="3"/>
          </w:tcPr>
          <w:p w14:paraId="08569CD5" w14:textId="3006BC56" w:rsidR="00517A03" w:rsidRPr="0035110E" w:rsidRDefault="00B36725" w:rsidP="00A5280F">
            <w:pPr>
              <w:tabs>
                <w:tab w:val="left" w:pos="4111"/>
              </w:tabs>
              <w:spacing w:before="0"/>
              <w:ind w:left="57"/>
              <w:rPr>
                <w:rFonts w:cstheme="minorHAnsi"/>
                <w:sz w:val="22"/>
                <w:szCs w:val="22"/>
              </w:rPr>
            </w:pPr>
            <w:hyperlink r:id="rId9" w:history="1">
              <w:r w:rsidR="00842B2C" w:rsidRPr="0035110E">
                <w:rPr>
                  <w:rStyle w:val="Hyperlink"/>
                  <w:rFonts w:cstheme="minorHAnsi"/>
                  <w:sz w:val="22"/>
                  <w:szCs w:val="22"/>
                </w:rPr>
                <w:t>tsbevents@itu.int</w:t>
              </w:r>
            </w:hyperlink>
          </w:p>
        </w:tc>
        <w:tc>
          <w:tcPr>
            <w:tcW w:w="5046" w:type="dxa"/>
            <w:gridSpan w:val="3"/>
          </w:tcPr>
          <w:p w14:paraId="7DCB46E1" w14:textId="77777777" w:rsidR="00517A03" w:rsidRPr="0035110E" w:rsidRDefault="00517A03" w:rsidP="00A5280F">
            <w:pPr>
              <w:tabs>
                <w:tab w:val="left" w:pos="4111"/>
              </w:tabs>
              <w:spacing w:before="0"/>
              <w:rPr>
                <w:rFonts w:cstheme="minorHAnsi"/>
                <w:sz w:val="22"/>
                <w:szCs w:val="22"/>
              </w:rPr>
            </w:pPr>
            <w:proofErr w:type="gramStart"/>
            <w:r w:rsidRPr="0035110E">
              <w:rPr>
                <w:rFonts w:cstheme="minorHAnsi"/>
                <w:b/>
                <w:sz w:val="22"/>
                <w:szCs w:val="22"/>
              </w:rPr>
              <w:t>Copie</w:t>
            </w:r>
            <w:r w:rsidRPr="0035110E">
              <w:rPr>
                <w:rFonts w:cstheme="minorHAnsi"/>
                <w:sz w:val="22"/>
                <w:szCs w:val="22"/>
              </w:rPr>
              <w:t>:</w:t>
            </w:r>
            <w:proofErr w:type="gramEnd"/>
          </w:p>
          <w:p w14:paraId="7E473BC4" w14:textId="0341F904" w:rsidR="00517A03" w:rsidRPr="0035110E" w:rsidRDefault="00F75EDF" w:rsidP="00F75EDF">
            <w:pPr>
              <w:tabs>
                <w:tab w:val="clear" w:pos="794"/>
                <w:tab w:val="clear" w:pos="1191"/>
                <w:tab w:val="clear" w:pos="1588"/>
                <w:tab w:val="clear" w:pos="1985"/>
                <w:tab w:val="left" w:pos="359"/>
              </w:tabs>
              <w:spacing w:before="0"/>
              <w:ind w:left="359" w:hanging="302"/>
              <w:rPr>
                <w:rFonts w:cstheme="minorHAnsi"/>
                <w:sz w:val="22"/>
                <w:szCs w:val="22"/>
              </w:rPr>
            </w:pPr>
            <w:r w:rsidRPr="0035110E">
              <w:rPr>
                <w:rFonts w:cstheme="minorHAnsi"/>
                <w:sz w:val="22"/>
                <w:szCs w:val="22"/>
              </w:rPr>
              <w:t>–</w:t>
            </w:r>
            <w:r w:rsidRPr="0035110E">
              <w:rPr>
                <w:rFonts w:cstheme="minorHAnsi"/>
                <w:sz w:val="22"/>
                <w:szCs w:val="22"/>
              </w:rPr>
              <w:tab/>
            </w:r>
            <w:r w:rsidR="00517A03" w:rsidRPr="0035110E">
              <w:rPr>
                <w:rFonts w:cstheme="minorHAnsi"/>
                <w:sz w:val="22"/>
                <w:szCs w:val="22"/>
              </w:rPr>
              <w:t>Aux Président et Vice-Présidents de</w:t>
            </w:r>
            <w:r w:rsidRPr="0035110E">
              <w:rPr>
                <w:rFonts w:cstheme="minorHAnsi"/>
                <w:sz w:val="22"/>
                <w:szCs w:val="22"/>
              </w:rPr>
              <w:t>s c</w:t>
            </w:r>
            <w:r w:rsidR="00517A03" w:rsidRPr="0035110E">
              <w:rPr>
                <w:rFonts w:cstheme="minorHAnsi"/>
                <w:sz w:val="22"/>
                <w:szCs w:val="22"/>
              </w:rPr>
              <w:t>ommission</w:t>
            </w:r>
            <w:r w:rsidRPr="0035110E">
              <w:rPr>
                <w:rFonts w:cstheme="minorHAnsi"/>
                <w:sz w:val="22"/>
                <w:szCs w:val="22"/>
              </w:rPr>
              <w:t>s</w:t>
            </w:r>
            <w:r w:rsidR="00517A03" w:rsidRPr="0035110E">
              <w:rPr>
                <w:rFonts w:cstheme="minorHAnsi"/>
                <w:sz w:val="22"/>
                <w:szCs w:val="22"/>
              </w:rPr>
              <w:t xml:space="preserve"> </w:t>
            </w:r>
            <w:proofErr w:type="gramStart"/>
            <w:r w:rsidR="00517A03" w:rsidRPr="0035110E">
              <w:rPr>
                <w:rFonts w:cstheme="minorHAnsi"/>
                <w:sz w:val="22"/>
                <w:szCs w:val="22"/>
              </w:rPr>
              <w:t>d</w:t>
            </w:r>
            <w:r w:rsidRPr="0035110E">
              <w:rPr>
                <w:rFonts w:cstheme="minorHAnsi"/>
                <w:sz w:val="22"/>
                <w:szCs w:val="22"/>
              </w:rPr>
              <w:t>'</w:t>
            </w:r>
            <w:r w:rsidR="00517A03" w:rsidRPr="0035110E">
              <w:rPr>
                <w:rFonts w:cstheme="minorHAnsi"/>
                <w:sz w:val="22"/>
                <w:szCs w:val="22"/>
              </w:rPr>
              <w:t>études;</w:t>
            </w:r>
            <w:proofErr w:type="gramEnd"/>
          </w:p>
          <w:p w14:paraId="0DCCD5AD" w14:textId="7DC52613" w:rsidR="00517A03" w:rsidRPr="0035110E" w:rsidRDefault="00F75EDF" w:rsidP="00F75EDF">
            <w:pPr>
              <w:tabs>
                <w:tab w:val="clear" w:pos="794"/>
                <w:tab w:val="clear" w:pos="1191"/>
                <w:tab w:val="clear" w:pos="1588"/>
                <w:tab w:val="clear" w:pos="1985"/>
                <w:tab w:val="left" w:pos="359"/>
              </w:tabs>
              <w:spacing w:before="0"/>
              <w:ind w:left="359" w:hanging="302"/>
              <w:rPr>
                <w:rFonts w:cstheme="minorHAnsi"/>
                <w:sz w:val="22"/>
                <w:szCs w:val="22"/>
              </w:rPr>
            </w:pPr>
            <w:r w:rsidRPr="0035110E">
              <w:rPr>
                <w:rFonts w:cstheme="minorHAnsi"/>
                <w:sz w:val="22"/>
                <w:szCs w:val="22"/>
              </w:rPr>
              <w:t>–</w:t>
            </w:r>
            <w:r w:rsidRPr="0035110E">
              <w:rPr>
                <w:rFonts w:cstheme="minorHAnsi"/>
                <w:sz w:val="22"/>
                <w:szCs w:val="22"/>
              </w:rPr>
              <w:tab/>
              <w:t>À</w:t>
            </w:r>
            <w:r w:rsidR="00603470" w:rsidRPr="0035110E">
              <w:rPr>
                <w:rFonts w:cstheme="minorHAnsi"/>
                <w:sz w:val="22"/>
                <w:szCs w:val="22"/>
              </w:rPr>
              <w:t xml:space="preserve"> la Directrice </w:t>
            </w:r>
            <w:r w:rsidR="00517A03" w:rsidRPr="0035110E">
              <w:rPr>
                <w:rFonts w:cstheme="minorHAnsi"/>
                <w:sz w:val="22"/>
                <w:szCs w:val="22"/>
              </w:rPr>
              <w:t xml:space="preserve">du Bureau de développement des </w:t>
            </w:r>
            <w:proofErr w:type="gramStart"/>
            <w:r w:rsidR="00517A03" w:rsidRPr="0035110E">
              <w:rPr>
                <w:rFonts w:cstheme="minorHAnsi"/>
                <w:sz w:val="22"/>
                <w:szCs w:val="22"/>
              </w:rPr>
              <w:t>télécommunications;</w:t>
            </w:r>
            <w:proofErr w:type="gramEnd"/>
          </w:p>
          <w:p w14:paraId="430BD599" w14:textId="7109C6BE" w:rsidR="00517A03" w:rsidRPr="0035110E" w:rsidRDefault="00F75EDF" w:rsidP="00F75EDF">
            <w:pPr>
              <w:tabs>
                <w:tab w:val="clear" w:pos="794"/>
                <w:tab w:val="clear" w:pos="1191"/>
                <w:tab w:val="clear" w:pos="1588"/>
                <w:tab w:val="clear" w:pos="1985"/>
                <w:tab w:val="left" w:pos="359"/>
              </w:tabs>
              <w:spacing w:before="0"/>
              <w:ind w:left="359" w:hanging="302"/>
              <w:rPr>
                <w:rFonts w:cstheme="minorHAnsi"/>
                <w:sz w:val="22"/>
                <w:szCs w:val="22"/>
              </w:rPr>
            </w:pPr>
            <w:r w:rsidRPr="0035110E">
              <w:rPr>
                <w:rFonts w:cstheme="minorHAnsi"/>
                <w:sz w:val="22"/>
                <w:szCs w:val="22"/>
              </w:rPr>
              <w:t>–</w:t>
            </w:r>
            <w:r w:rsidRPr="0035110E">
              <w:rPr>
                <w:rFonts w:cstheme="minorHAnsi"/>
                <w:sz w:val="22"/>
                <w:szCs w:val="22"/>
              </w:rPr>
              <w:tab/>
            </w:r>
            <w:r w:rsidR="00517A03" w:rsidRPr="0035110E">
              <w:rPr>
                <w:rFonts w:cstheme="minorHAnsi"/>
                <w:sz w:val="22"/>
                <w:szCs w:val="22"/>
              </w:rPr>
              <w:t>Au Directeur du Bureau des</w:t>
            </w:r>
            <w:r w:rsidR="00517A03" w:rsidRPr="0035110E">
              <w:rPr>
                <w:rFonts w:cstheme="minorHAnsi"/>
                <w:sz w:val="22"/>
                <w:szCs w:val="22"/>
              </w:rPr>
              <w:br/>
            </w:r>
            <w:proofErr w:type="gramStart"/>
            <w:r w:rsidR="00517A03" w:rsidRPr="0035110E">
              <w:rPr>
                <w:rFonts w:cstheme="minorHAnsi"/>
                <w:sz w:val="22"/>
                <w:szCs w:val="22"/>
              </w:rPr>
              <w:t>radiocommunications</w:t>
            </w:r>
            <w:r w:rsidRPr="0035110E">
              <w:rPr>
                <w:rFonts w:cstheme="minorHAnsi"/>
                <w:sz w:val="22"/>
                <w:szCs w:val="22"/>
              </w:rPr>
              <w:t>;</w:t>
            </w:r>
            <w:proofErr w:type="gramEnd"/>
          </w:p>
          <w:p w14:paraId="062E10EA" w14:textId="74DA2304" w:rsidR="00F75EDF" w:rsidRPr="0035110E" w:rsidRDefault="00F75EDF" w:rsidP="00F75EDF">
            <w:pPr>
              <w:tabs>
                <w:tab w:val="clear" w:pos="794"/>
                <w:tab w:val="clear" w:pos="1191"/>
                <w:tab w:val="clear" w:pos="1588"/>
                <w:tab w:val="clear" w:pos="1985"/>
                <w:tab w:val="left" w:pos="359"/>
              </w:tabs>
              <w:spacing w:before="0"/>
              <w:ind w:left="359" w:hanging="302"/>
              <w:rPr>
                <w:rFonts w:cstheme="minorHAnsi"/>
                <w:sz w:val="22"/>
                <w:szCs w:val="22"/>
              </w:rPr>
            </w:pPr>
            <w:r w:rsidRPr="0035110E">
              <w:rPr>
                <w:rFonts w:cstheme="minorHAnsi"/>
                <w:sz w:val="22"/>
                <w:szCs w:val="22"/>
              </w:rPr>
              <w:t>–</w:t>
            </w:r>
            <w:r w:rsidRPr="0035110E">
              <w:rPr>
                <w:rFonts w:cstheme="minorHAnsi"/>
                <w:sz w:val="22"/>
                <w:szCs w:val="22"/>
              </w:rPr>
              <w:tab/>
              <w:t>Aux Directeurs des bureaux régionaux de l'UIT</w:t>
            </w:r>
          </w:p>
        </w:tc>
      </w:tr>
      <w:tr w:rsidR="00517A03" w:rsidRPr="0035110E" w14:paraId="2CFAC536" w14:textId="77777777" w:rsidTr="00842B2C">
        <w:trPr>
          <w:gridBefore w:val="1"/>
          <w:gridAfter w:val="1"/>
          <w:wBefore w:w="8" w:type="dxa"/>
          <w:wAfter w:w="8" w:type="dxa"/>
          <w:cantSplit/>
          <w:trHeight w:val="680"/>
        </w:trPr>
        <w:tc>
          <w:tcPr>
            <w:tcW w:w="1126" w:type="dxa"/>
          </w:tcPr>
          <w:p w14:paraId="5C10E74C" w14:textId="77777777" w:rsidR="00517A03" w:rsidRPr="0035110E" w:rsidRDefault="00517A03" w:rsidP="00AE129F">
            <w:pPr>
              <w:tabs>
                <w:tab w:val="left" w:pos="4111"/>
              </w:tabs>
              <w:ind w:left="57"/>
              <w:rPr>
                <w:rFonts w:cstheme="minorHAnsi"/>
                <w:b/>
                <w:bCs/>
                <w:sz w:val="22"/>
                <w:szCs w:val="22"/>
              </w:rPr>
            </w:pPr>
            <w:proofErr w:type="gramStart"/>
            <w:r w:rsidRPr="0035110E">
              <w:rPr>
                <w:rFonts w:cstheme="minorHAnsi"/>
                <w:b/>
                <w:bCs/>
                <w:sz w:val="22"/>
                <w:szCs w:val="22"/>
              </w:rPr>
              <w:t>Objet:</w:t>
            </w:r>
            <w:proofErr w:type="gramEnd"/>
          </w:p>
        </w:tc>
        <w:tc>
          <w:tcPr>
            <w:tcW w:w="8789" w:type="dxa"/>
            <w:gridSpan w:val="5"/>
          </w:tcPr>
          <w:p w14:paraId="0F864466" w14:textId="6CCC6F5A" w:rsidR="00517A03" w:rsidRPr="0035110E" w:rsidRDefault="00F75EDF" w:rsidP="00AE129F">
            <w:pPr>
              <w:tabs>
                <w:tab w:val="left" w:pos="4111"/>
              </w:tabs>
              <w:ind w:left="57"/>
              <w:rPr>
                <w:rFonts w:cstheme="minorHAnsi"/>
                <w:b/>
                <w:bCs/>
                <w:sz w:val="22"/>
                <w:szCs w:val="22"/>
              </w:rPr>
            </w:pPr>
            <w:r w:rsidRPr="0035110E">
              <w:rPr>
                <w:rFonts w:cstheme="minorHAnsi"/>
                <w:b/>
                <w:bCs/>
                <w:sz w:val="22"/>
                <w:szCs w:val="22"/>
              </w:rPr>
              <w:t>Atelier de l'UIT sur le thème "Qualité de service et qualité d'expérience des services financiers numériques" (Manifestation entièrement virtuelle, 12 mai 2022)</w:t>
            </w:r>
          </w:p>
        </w:tc>
      </w:tr>
    </w:tbl>
    <w:p w14:paraId="2B6C7F63" w14:textId="77777777" w:rsidR="00517A03" w:rsidRPr="0035110E" w:rsidRDefault="00517A03" w:rsidP="00904C39">
      <w:pPr>
        <w:spacing w:before="360"/>
        <w:rPr>
          <w:rFonts w:cstheme="minorHAnsi"/>
          <w:sz w:val="22"/>
          <w:szCs w:val="22"/>
        </w:rPr>
      </w:pPr>
      <w:bookmarkStart w:id="1" w:name="StartTyping_F"/>
      <w:bookmarkEnd w:id="1"/>
      <w:r w:rsidRPr="0035110E">
        <w:rPr>
          <w:rFonts w:cstheme="minorHAnsi"/>
          <w:sz w:val="22"/>
          <w:szCs w:val="22"/>
        </w:rPr>
        <w:t>Madame, Monsieur,</w:t>
      </w:r>
    </w:p>
    <w:p w14:paraId="54D99919" w14:textId="5197CD6E" w:rsidR="00F75EDF" w:rsidRPr="0035110E" w:rsidRDefault="00F75EDF" w:rsidP="00F75EDF">
      <w:pPr>
        <w:rPr>
          <w:rFonts w:cstheme="minorHAnsi"/>
          <w:bCs/>
          <w:sz w:val="22"/>
          <w:szCs w:val="22"/>
        </w:rPr>
      </w:pPr>
      <w:r w:rsidRPr="0035110E">
        <w:rPr>
          <w:rFonts w:cstheme="minorHAnsi"/>
          <w:bCs/>
          <w:sz w:val="22"/>
          <w:szCs w:val="22"/>
        </w:rPr>
        <w:t>1</w:t>
      </w:r>
      <w:r w:rsidRPr="0035110E">
        <w:rPr>
          <w:rFonts w:cstheme="minorHAnsi"/>
          <w:bCs/>
          <w:sz w:val="22"/>
          <w:szCs w:val="22"/>
        </w:rPr>
        <w:tab/>
        <w:t xml:space="preserve">J'ai l'honneur de vous informer que l'Union internationale des télécommunications (UIT) organise un atelier virtuel sur le thème </w:t>
      </w:r>
      <w:r w:rsidRPr="0035110E">
        <w:rPr>
          <w:rFonts w:cstheme="minorHAnsi"/>
          <w:b/>
          <w:sz w:val="22"/>
          <w:szCs w:val="22"/>
        </w:rPr>
        <w:t>"Qualité de service et qualité d'expérience des services financiers numériques"</w:t>
      </w:r>
      <w:r w:rsidRPr="0035110E">
        <w:rPr>
          <w:rFonts w:cstheme="minorHAnsi"/>
          <w:bCs/>
          <w:sz w:val="22"/>
          <w:szCs w:val="22"/>
        </w:rPr>
        <w:t xml:space="preserve">, qui se tiendra le </w:t>
      </w:r>
      <w:r w:rsidRPr="0035110E">
        <w:rPr>
          <w:rFonts w:cstheme="minorHAnsi"/>
          <w:b/>
          <w:sz w:val="22"/>
          <w:szCs w:val="22"/>
        </w:rPr>
        <w:t>12 mai 2022 de 14 heures à 17 heures, heure de Genève (UTC+2)</w:t>
      </w:r>
      <w:r w:rsidRPr="0035110E">
        <w:rPr>
          <w:rFonts w:cstheme="minorHAnsi"/>
          <w:bCs/>
          <w:sz w:val="22"/>
          <w:szCs w:val="22"/>
        </w:rPr>
        <w:t>.</w:t>
      </w:r>
    </w:p>
    <w:p w14:paraId="3AD32814" w14:textId="47B0E49B" w:rsidR="00F75EDF" w:rsidRPr="0035110E" w:rsidRDefault="00F75EDF" w:rsidP="00F75EDF">
      <w:pPr>
        <w:rPr>
          <w:rFonts w:cstheme="minorHAnsi"/>
          <w:bCs/>
          <w:sz w:val="22"/>
          <w:szCs w:val="22"/>
        </w:rPr>
      </w:pPr>
      <w:r w:rsidRPr="0035110E">
        <w:rPr>
          <w:rFonts w:cstheme="minorHAnsi"/>
          <w:bCs/>
          <w:sz w:val="22"/>
          <w:szCs w:val="22"/>
        </w:rPr>
        <w:t>2</w:t>
      </w:r>
      <w:r w:rsidRPr="0035110E">
        <w:rPr>
          <w:rFonts w:cstheme="minorHAnsi"/>
          <w:bCs/>
          <w:sz w:val="22"/>
          <w:szCs w:val="22"/>
        </w:rPr>
        <w:tab/>
        <w:t>Les services financiers numériques (DFS), en particulier ceux qui s'appuient sur les réseaux mobiles, sont devenus un service essentiel dans la société numérique en pleine évolution. Il est nécessaire de définir des méthodes de test appropriées ainsi qu'un ensemble d'outils de mesure de la qualité pour évaluer l'expérience utilisateur et la qualité de service, afin d'appuyer les efforts en vue de l'utilisation à plus grande échelle des services financiers numériques et de fournir des orientations aux autorités de régulation sur la protection des consommateurs.</w:t>
      </w:r>
    </w:p>
    <w:p w14:paraId="51B5527E" w14:textId="73007DB4" w:rsidR="00F75EDF" w:rsidRPr="0035110E" w:rsidRDefault="00F75EDF" w:rsidP="00F75EDF">
      <w:pPr>
        <w:rPr>
          <w:rFonts w:cstheme="minorHAnsi"/>
          <w:bCs/>
          <w:sz w:val="22"/>
          <w:szCs w:val="22"/>
        </w:rPr>
      </w:pPr>
      <w:r w:rsidRPr="0035110E">
        <w:rPr>
          <w:rFonts w:cstheme="minorHAnsi"/>
          <w:bCs/>
          <w:sz w:val="22"/>
          <w:szCs w:val="22"/>
        </w:rPr>
        <w:t>3</w:t>
      </w:r>
      <w:r w:rsidRPr="0035110E">
        <w:rPr>
          <w:rFonts w:cstheme="minorHAnsi"/>
          <w:bCs/>
          <w:sz w:val="22"/>
          <w:szCs w:val="22"/>
        </w:rPr>
        <w:tab/>
        <w:t xml:space="preserve">Cet atelier, organisé en application des Résolutions 89 </w:t>
      </w:r>
      <w:r w:rsidR="00904C39" w:rsidRPr="0035110E">
        <w:rPr>
          <w:rFonts w:cstheme="minorHAnsi"/>
          <w:bCs/>
          <w:sz w:val="22"/>
          <w:szCs w:val="22"/>
        </w:rPr>
        <w:t>"</w:t>
      </w:r>
      <w:r w:rsidRPr="0035110E">
        <w:rPr>
          <w:rFonts w:cstheme="minorHAnsi"/>
          <w:bCs/>
          <w:sz w:val="22"/>
          <w:szCs w:val="22"/>
        </w:rPr>
        <w:t>Promouvoir l'utilisation des technologies de l'information et de la communication pour réduire les disparités en matière d'inclusion financièr</w:t>
      </w:r>
      <w:r w:rsidR="00904C39" w:rsidRPr="0035110E">
        <w:rPr>
          <w:rFonts w:cstheme="minorHAnsi"/>
          <w:bCs/>
          <w:sz w:val="22"/>
          <w:szCs w:val="22"/>
        </w:rPr>
        <w:t>e"</w:t>
      </w:r>
      <w:r w:rsidRPr="0035110E">
        <w:rPr>
          <w:rFonts w:cstheme="minorHAnsi"/>
          <w:bCs/>
          <w:sz w:val="22"/>
          <w:szCs w:val="22"/>
        </w:rPr>
        <w:t xml:space="preserve"> et 95 </w:t>
      </w:r>
      <w:r w:rsidR="00904C39" w:rsidRPr="0035110E">
        <w:rPr>
          <w:rFonts w:cstheme="minorHAnsi"/>
          <w:bCs/>
          <w:sz w:val="22"/>
          <w:szCs w:val="22"/>
        </w:rPr>
        <w:t>"</w:t>
      </w:r>
      <w:r w:rsidRPr="0035110E">
        <w:rPr>
          <w:rFonts w:cstheme="minorHAnsi"/>
          <w:bCs/>
          <w:sz w:val="22"/>
          <w:szCs w:val="22"/>
        </w:rPr>
        <w:t>Initiatives prises par le Secteur de la normalisation des télécommunications de l'UIT pour mieux faire connaître les bonnes pratiques et les politiques relatives à la qualité de service</w:t>
      </w:r>
      <w:r w:rsidR="00904C39" w:rsidRPr="0035110E">
        <w:rPr>
          <w:rFonts w:cstheme="minorHAnsi"/>
          <w:bCs/>
          <w:sz w:val="22"/>
          <w:szCs w:val="22"/>
        </w:rPr>
        <w:t xml:space="preserve">" </w:t>
      </w:r>
      <w:r w:rsidRPr="0035110E">
        <w:rPr>
          <w:rFonts w:cstheme="minorHAnsi"/>
          <w:bCs/>
          <w:sz w:val="22"/>
          <w:szCs w:val="22"/>
        </w:rPr>
        <w:t xml:space="preserve">de l'AMNT-20, a pour </w:t>
      </w:r>
      <w:proofErr w:type="gramStart"/>
      <w:r w:rsidRPr="0035110E">
        <w:rPr>
          <w:rFonts w:cstheme="minorHAnsi"/>
          <w:bCs/>
          <w:sz w:val="22"/>
          <w:szCs w:val="22"/>
        </w:rPr>
        <w:t>objectif:</w:t>
      </w:r>
      <w:proofErr w:type="gramEnd"/>
    </w:p>
    <w:p w14:paraId="342A93B3" w14:textId="39427731" w:rsidR="00F75EDF" w:rsidRPr="0035110E" w:rsidRDefault="00F75EDF" w:rsidP="00F75EDF">
      <w:pPr>
        <w:pStyle w:val="enumlev1"/>
        <w:rPr>
          <w:rFonts w:cstheme="minorHAnsi"/>
          <w:sz w:val="22"/>
          <w:szCs w:val="22"/>
        </w:rPr>
      </w:pPr>
      <w:r w:rsidRPr="0035110E">
        <w:rPr>
          <w:rFonts w:cstheme="minorHAnsi"/>
          <w:sz w:val="22"/>
          <w:szCs w:val="22"/>
        </w:rPr>
        <w:t>–</w:t>
      </w:r>
      <w:r w:rsidRPr="0035110E">
        <w:rPr>
          <w:rFonts w:cstheme="minorHAnsi"/>
          <w:sz w:val="22"/>
          <w:szCs w:val="22"/>
        </w:rPr>
        <w:tab/>
        <w:t xml:space="preserve">de présenter les travaux de la Commission d'études 12 de l'UIT-T ainsi que les normes disponibles en ce qui concerne la réalisation d'évaluations de la qualité des services </w:t>
      </w:r>
      <w:proofErr w:type="gramStart"/>
      <w:r w:rsidRPr="0035110E">
        <w:rPr>
          <w:rFonts w:cstheme="minorHAnsi"/>
          <w:sz w:val="22"/>
          <w:szCs w:val="22"/>
        </w:rPr>
        <w:t>DFS;</w:t>
      </w:r>
      <w:proofErr w:type="gramEnd"/>
    </w:p>
    <w:p w14:paraId="60711164" w14:textId="59776E62" w:rsidR="00F75EDF" w:rsidRPr="0035110E" w:rsidRDefault="00F75EDF" w:rsidP="00F75EDF">
      <w:pPr>
        <w:pStyle w:val="enumlev1"/>
        <w:rPr>
          <w:rFonts w:cstheme="minorHAnsi"/>
          <w:sz w:val="22"/>
          <w:szCs w:val="22"/>
        </w:rPr>
      </w:pPr>
      <w:r w:rsidRPr="0035110E">
        <w:rPr>
          <w:rFonts w:cstheme="minorHAnsi"/>
          <w:sz w:val="22"/>
          <w:szCs w:val="22"/>
        </w:rPr>
        <w:t>–</w:t>
      </w:r>
      <w:r w:rsidRPr="0035110E">
        <w:rPr>
          <w:rFonts w:cstheme="minorHAnsi"/>
          <w:sz w:val="22"/>
          <w:szCs w:val="22"/>
        </w:rPr>
        <w:tab/>
        <w:t xml:space="preserve">de fournir un cadre aux acteurs de la communauté des services DFS, afin qu'ils puissent échanger leurs données d'expérience et leurs vues sur l'évaluation de la qualité des services </w:t>
      </w:r>
      <w:proofErr w:type="gramStart"/>
      <w:r w:rsidRPr="0035110E">
        <w:rPr>
          <w:rFonts w:cstheme="minorHAnsi"/>
          <w:sz w:val="22"/>
          <w:szCs w:val="22"/>
        </w:rPr>
        <w:t>DFS;</w:t>
      </w:r>
      <w:proofErr w:type="gramEnd"/>
    </w:p>
    <w:p w14:paraId="6CB52196" w14:textId="0BA2F35C" w:rsidR="00F75EDF" w:rsidRPr="0035110E" w:rsidRDefault="00F75EDF" w:rsidP="00F75EDF">
      <w:pPr>
        <w:pStyle w:val="enumlev1"/>
        <w:rPr>
          <w:rFonts w:cstheme="minorHAnsi"/>
          <w:sz w:val="22"/>
          <w:szCs w:val="22"/>
        </w:rPr>
      </w:pPr>
      <w:r w:rsidRPr="0035110E">
        <w:rPr>
          <w:rFonts w:cstheme="minorHAnsi"/>
          <w:sz w:val="22"/>
          <w:szCs w:val="22"/>
        </w:rPr>
        <w:t>–</w:t>
      </w:r>
      <w:r w:rsidRPr="0035110E">
        <w:rPr>
          <w:rFonts w:cstheme="minorHAnsi"/>
          <w:sz w:val="22"/>
          <w:szCs w:val="22"/>
        </w:rPr>
        <w:tab/>
        <w:t>d'identifier les exigences et les problèmes liés à la réalisation d'évaluations de la qualité des services DFS ainsi que le rôle des normes à cet égard.</w:t>
      </w:r>
    </w:p>
    <w:p w14:paraId="7BD665C9" w14:textId="57A7105C" w:rsidR="00F75EDF" w:rsidRPr="0035110E" w:rsidRDefault="00F75EDF" w:rsidP="00F75EDF">
      <w:pPr>
        <w:rPr>
          <w:rFonts w:cstheme="minorHAnsi"/>
          <w:bCs/>
          <w:sz w:val="22"/>
          <w:szCs w:val="22"/>
        </w:rPr>
      </w:pPr>
      <w:r w:rsidRPr="0035110E">
        <w:rPr>
          <w:rFonts w:cstheme="minorHAnsi"/>
          <w:bCs/>
          <w:sz w:val="22"/>
          <w:szCs w:val="22"/>
        </w:rPr>
        <w:t>4</w:t>
      </w:r>
      <w:r w:rsidRPr="0035110E">
        <w:rPr>
          <w:rFonts w:cstheme="minorHAnsi"/>
          <w:bCs/>
          <w:sz w:val="22"/>
          <w:szCs w:val="22"/>
        </w:rPr>
        <w:tab/>
        <w:t>L'atelier s'adresse aux représentants des autorités de régulation des télécommunications et des services financiers, aux décideurs, aux fournisseurs de services financiers numériques, aux opérateurs de réseaux mobiles, aux fournisseurs et aux autres parties prenantes s'occupant de l'évaluation de la qualité des services financiers numériques.</w:t>
      </w:r>
    </w:p>
    <w:p w14:paraId="6B0BB83E" w14:textId="43517892" w:rsidR="00F75EDF" w:rsidRPr="0035110E" w:rsidRDefault="00F75EDF" w:rsidP="00F75EDF">
      <w:pPr>
        <w:rPr>
          <w:rFonts w:cstheme="minorHAnsi"/>
          <w:bCs/>
          <w:sz w:val="22"/>
          <w:szCs w:val="22"/>
        </w:rPr>
      </w:pPr>
      <w:r w:rsidRPr="0035110E">
        <w:rPr>
          <w:rFonts w:cstheme="minorHAnsi"/>
          <w:bCs/>
          <w:sz w:val="22"/>
          <w:szCs w:val="22"/>
        </w:rPr>
        <w:t>5</w:t>
      </w:r>
      <w:r w:rsidRPr="0035110E">
        <w:rPr>
          <w:rFonts w:cstheme="minorHAnsi"/>
          <w:bCs/>
          <w:sz w:val="22"/>
          <w:szCs w:val="22"/>
        </w:rPr>
        <w:tab/>
        <w:t xml:space="preserve">Toutes les informations utiles concernant l'atelier (projet de programme, intervenants, lien pour l'inscription, modalités de connexion à distance) seront communiquées sur la page web de la manifestation, </w:t>
      </w:r>
      <w:r w:rsidRPr="0035110E">
        <w:rPr>
          <w:rFonts w:cstheme="minorHAnsi"/>
          <w:bCs/>
          <w:sz w:val="22"/>
          <w:szCs w:val="22"/>
        </w:rPr>
        <w:lastRenderedPageBreak/>
        <w:t>à l'adresse</w:t>
      </w:r>
      <w:r w:rsidRPr="0035110E">
        <w:rPr>
          <w:rFonts w:cstheme="minorHAnsi"/>
          <w:sz w:val="22"/>
          <w:szCs w:val="22"/>
        </w:rPr>
        <w:t xml:space="preserve"> </w:t>
      </w:r>
      <w:r w:rsidR="00BE3B3F" w:rsidRPr="0035110E">
        <w:rPr>
          <w:rFonts w:cstheme="minorHAnsi"/>
          <w:sz w:val="22"/>
          <w:szCs w:val="22"/>
        </w:rPr>
        <w:br/>
      </w:r>
      <w:hyperlink r:id="rId10" w:history="1">
        <w:r w:rsidR="00BE3B3F" w:rsidRPr="0035110E">
          <w:rPr>
            <w:rStyle w:val="Hyperlink"/>
            <w:rFonts w:cstheme="minorHAnsi"/>
            <w:sz w:val="22"/>
            <w:szCs w:val="22"/>
          </w:rPr>
          <w:t>https://www.itu.int/en/ITU-T/Workshops-and-Seminars/2022/0512/Pages/default.aspx</w:t>
        </w:r>
      </w:hyperlink>
      <w:r w:rsidRPr="0035110E">
        <w:rPr>
          <w:rFonts w:cstheme="minorHAnsi"/>
          <w:bCs/>
          <w:sz w:val="22"/>
          <w:szCs w:val="22"/>
        </w:rPr>
        <w:t>.</w:t>
      </w:r>
    </w:p>
    <w:p w14:paraId="3BA815D7" w14:textId="77777777" w:rsidR="00F75EDF" w:rsidRPr="0035110E" w:rsidRDefault="00F75EDF" w:rsidP="00F75EDF">
      <w:pPr>
        <w:rPr>
          <w:rFonts w:cstheme="minorHAnsi"/>
          <w:bCs/>
          <w:sz w:val="22"/>
          <w:szCs w:val="22"/>
        </w:rPr>
      </w:pPr>
      <w:r w:rsidRPr="0035110E">
        <w:rPr>
          <w:rFonts w:cstheme="minorHAnsi"/>
          <w:bCs/>
          <w:sz w:val="22"/>
          <w:szCs w:val="22"/>
        </w:rPr>
        <w:t>Cette page web sera actualisée périodiquement, à mesure que parviendront des informations supplémentaires. Les participants sont priés de consulter régulièrement la page web pour prendre connaissance des dernières informations.</w:t>
      </w:r>
    </w:p>
    <w:p w14:paraId="3A5AA190" w14:textId="4B4FF06A" w:rsidR="00F75EDF" w:rsidRPr="0035110E" w:rsidRDefault="00F75EDF" w:rsidP="00F75EDF">
      <w:pPr>
        <w:rPr>
          <w:rFonts w:cstheme="minorHAnsi"/>
          <w:bCs/>
          <w:sz w:val="22"/>
          <w:szCs w:val="22"/>
        </w:rPr>
      </w:pPr>
      <w:r w:rsidRPr="0035110E">
        <w:rPr>
          <w:rFonts w:cstheme="minorHAnsi"/>
          <w:bCs/>
          <w:sz w:val="22"/>
          <w:szCs w:val="22"/>
        </w:rPr>
        <w:t>6</w:t>
      </w:r>
      <w:r w:rsidRPr="0035110E">
        <w:rPr>
          <w:rFonts w:cstheme="minorHAnsi"/>
          <w:bCs/>
          <w:sz w:val="22"/>
          <w:szCs w:val="22"/>
        </w:rPr>
        <w:tab/>
        <w:t>Veuillez noter que l'inscription à l'atelier est obligatoire.</w:t>
      </w:r>
    </w:p>
    <w:p w14:paraId="7C5FB97A" w14:textId="533163CB" w:rsidR="00036F4F" w:rsidRPr="0035110E" w:rsidRDefault="00F75EDF" w:rsidP="00F75EDF">
      <w:pPr>
        <w:rPr>
          <w:rFonts w:cstheme="minorHAnsi"/>
          <w:bCs/>
          <w:sz w:val="22"/>
          <w:szCs w:val="22"/>
        </w:rPr>
      </w:pPr>
      <w:r w:rsidRPr="0035110E">
        <w:rPr>
          <w:rFonts w:cstheme="minorHAnsi"/>
          <w:bCs/>
          <w:sz w:val="22"/>
          <w:szCs w:val="22"/>
        </w:rPr>
        <w:t>7</w:t>
      </w:r>
      <w:r w:rsidRPr="0035110E">
        <w:rPr>
          <w:rFonts w:cstheme="minorHAnsi"/>
          <w:bCs/>
          <w:sz w:val="22"/>
          <w:szCs w:val="22"/>
        </w:rPr>
        <w:tab/>
        <w:t>La participation est gratuite et ouverte à toutes les parties prenantes intéressées, notamment aux États Membres, aux Membres de Secteur et aux Associés de l'UIT ainsi qu'aux établissements universitaires participant aux travaux de l'UIT, ainsi qu'à toute personne issue d'un pays Membre de l'UIT qui souhaite contribuer aux travaux.</w:t>
      </w:r>
    </w:p>
    <w:p w14:paraId="706D5792" w14:textId="34AB20FA" w:rsidR="00BD6ECF" w:rsidRPr="0035110E" w:rsidRDefault="00517A03" w:rsidP="00F75EDF">
      <w:pPr>
        <w:spacing w:after="120"/>
        <w:rPr>
          <w:rFonts w:cstheme="minorHAnsi"/>
          <w:sz w:val="22"/>
          <w:szCs w:val="22"/>
        </w:rPr>
      </w:pPr>
      <w:r w:rsidRPr="0035110E">
        <w:rPr>
          <w:rFonts w:cstheme="minorHAnsi"/>
          <w:sz w:val="22"/>
          <w:szCs w:val="22"/>
        </w:rPr>
        <w:t>Veuillez agréer, Madame, Monsieur, l</w:t>
      </w:r>
      <w:r w:rsidR="00F75EDF" w:rsidRPr="0035110E">
        <w:rPr>
          <w:rFonts w:cstheme="minorHAnsi"/>
          <w:sz w:val="22"/>
          <w:szCs w:val="22"/>
        </w:rPr>
        <w:t>'</w:t>
      </w:r>
      <w:r w:rsidRPr="0035110E">
        <w:rPr>
          <w:rFonts w:cstheme="minorHAnsi"/>
          <w:sz w:val="22"/>
          <w:szCs w:val="22"/>
        </w:rPr>
        <w:t>assurance de ma haute considération.</w:t>
      </w:r>
    </w:p>
    <w:p w14:paraId="08C6D01B" w14:textId="241CE44C" w:rsidR="00517A03" w:rsidRPr="0035110E" w:rsidRDefault="00B36725" w:rsidP="006C3076">
      <w:pPr>
        <w:keepNext/>
        <w:keepLines/>
        <w:spacing w:before="960"/>
        <w:ind w:right="-284"/>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34C2D632" wp14:editId="1BBEC1A5">
            <wp:simplePos x="0" y="0"/>
            <wp:positionH relativeFrom="column">
              <wp:posOffset>635</wp:posOffset>
            </wp:positionH>
            <wp:positionV relativeFrom="paragraph">
              <wp:posOffset>39370</wp:posOffset>
            </wp:positionV>
            <wp:extent cx="495299" cy="371475"/>
            <wp:effectExtent l="0" t="0" r="63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95934" cy="371951"/>
                    </a:xfrm>
                    <a:prstGeom prst="rect">
                      <a:avLst/>
                    </a:prstGeom>
                  </pic:spPr>
                </pic:pic>
              </a:graphicData>
            </a:graphic>
            <wp14:sizeRelH relativeFrom="margin">
              <wp14:pctWidth>0</wp14:pctWidth>
            </wp14:sizeRelH>
            <wp14:sizeRelV relativeFrom="margin">
              <wp14:pctHeight>0</wp14:pctHeight>
            </wp14:sizeRelV>
          </wp:anchor>
        </w:drawing>
      </w:r>
      <w:r w:rsidR="00036F4F" w:rsidRPr="0035110E">
        <w:rPr>
          <w:rFonts w:cstheme="minorHAnsi"/>
          <w:sz w:val="22"/>
          <w:szCs w:val="22"/>
        </w:rPr>
        <w:t>Chaesub Lee</w:t>
      </w:r>
      <w:r w:rsidR="00036F4F" w:rsidRPr="0035110E">
        <w:rPr>
          <w:rFonts w:cstheme="minorHAnsi"/>
          <w:sz w:val="22"/>
          <w:szCs w:val="22"/>
        </w:rPr>
        <w:br/>
        <w:t xml:space="preserve">Directeur du Bureau de la normalisation </w:t>
      </w:r>
      <w:r w:rsidR="00036F4F" w:rsidRPr="0035110E">
        <w:rPr>
          <w:rFonts w:cstheme="minorHAnsi"/>
          <w:sz w:val="22"/>
          <w:szCs w:val="22"/>
        </w:rPr>
        <w:br/>
        <w:t>des télécommunications</w:t>
      </w:r>
      <w:r w:rsidR="00036F4F" w:rsidRPr="0035110E">
        <w:rPr>
          <w:rFonts w:cstheme="minorHAnsi"/>
          <w:b/>
          <w:sz w:val="22"/>
          <w:szCs w:val="22"/>
        </w:rPr>
        <w:t xml:space="preserve"> </w:t>
      </w:r>
    </w:p>
    <w:sectPr w:rsidR="00517A03" w:rsidRPr="0035110E" w:rsidSect="00A15179">
      <w:head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D47F" w14:textId="77777777" w:rsidR="00172CE8" w:rsidRDefault="00172CE8">
      <w:r>
        <w:separator/>
      </w:r>
    </w:p>
  </w:endnote>
  <w:endnote w:type="continuationSeparator" w:id="0">
    <w:p w14:paraId="2F17A838" w14:textId="77777777" w:rsidR="00172CE8" w:rsidRDefault="0017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1DFA" w14:textId="6E48956E"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E1DD" w14:textId="77777777" w:rsidR="00172CE8" w:rsidRDefault="00172CE8">
      <w:r>
        <w:t>____________________</w:t>
      </w:r>
    </w:p>
  </w:footnote>
  <w:footnote w:type="continuationSeparator" w:id="0">
    <w:p w14:paraId="40B39DB6" w14:textId="77777777" w:rsidR="00172CE8" w:rsidRDefault="00172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8A0E" w14:textId="6F79A1B0" w:rsidR="00F75EDF" w:rsidRPr="00697BC1" w:rsidRDefault="00B36725"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F75EDF">
      <w:rPr>
        <w:noProof/>
        <w:sz w:val="18"/>
        <w:szCs w:val="16"/>
      </w:rPr>
      <w:br/>
      <w:t xml:space="preserve">Circulaire TSB </w:t>
    </w:r>
    <w:r w:rsidR="00BE3B3F">
      <w:rPr>
        <w:noProof/>
        <w:sz w:val="18"/>
        <w:szCs w:val="16"/>
      </w:rPr>
      <w:t>00</w:t>
    </w:r>
    <w:r w:rsidR="00F75EDF">
      <w:rPr>
        <w:noProof/>
        <w:sz w:val="18"/>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9607772">
    <w:abstractNumId w:val="1"/>
  </w:num>
  <w:num w:numId="2" w16cid:durableId="1514685147">
    <w:abstractNumId w:val="3"/>
  </w:num>
  <w:num w:numId="3" w16cid:durableId="1530332193">
    <w:abstractNumId w:val="2"/>
  </w:num>
  <w:num w:numId="4" w16cid:durableId="15738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E8"/>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2CE8"/>
    <w:rsid w:val="00173738"/>
    <w:rsid w:val="001B79A3"/>
    <w:rsid w:val="002152A3"/>
    <w:rsid w:val="002E395D"/>
    <w:rsid w:val="003131F0"/>
    <w:rsid w:val="00333A80"/>
    <w:rsid w:val="00341117"/>
    <w:rsid w:val="0035110E"/>
    <w:rsid w:val="00364E95"/>
    <w:rsid w:val="00372875"/>
    <w:rsid w:val="003B1E80"/>
    <w:rsid w:val="003B66E8"/>
    <w:rsid w:val="003E66AD"/>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3076"/>
    <w:rsid w:val="006C5A91"/>
    <w:rsid w:val="00716BBC"/>
    <w:rsid w:val="007321BC"/>
    <w:rsid w:val="00760063"/>
    <w:rsid w:val="00775E4B"/>
    <w:rsid w:val="0079553B"/>
    <w:rsid w:val="00795679"/>
    <w:rsid w:val="007A40FE"/>
    <w:rsid w:val="00810105"/>
    <w:rsid w:val="008157E0"/>
    <w:rsid w:val="00842B2C"/>
    <w:rsid w:val="00850477"/>
    <w:rsid w:val="00854E1D"/>
    <w:rsid w:val="00887FA6"/>
    <w:rsid w:val="008C4397"/>
    <w:rsid w:val="008C465A"/>
    <w:rsid w:val="008F2C9B"/>
    <w:rsid w:val="00904C39"/>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E129F"/>
    <w:rsid w:val="00AF08A4"/>
    <w:rsid w:val="00B27B41"/>
    <w:rsid w:val="00B36725"/>
    <w:rsid w:val="00B42659"/>
    <w:rsid w:val="00B4536A"/>
    <w:rsid w:val="00B8573E"/>
    <w:rsid w:val="00BB24C0"/>
    <w:rsid w:val="00BD6ECF"/>
    <w:rsid w:val="00BE3B3F"/>
    <w:rsid w:val="00C26F2E"/>
    <w:rsid w:val="00C302E3"/>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74BD5"/>
    <w:rsid w:val="00ED6A7A"/>
    <w:rsid w:val="00EE4C36"/>
    <w:rsid w:val="00F346CE"/>
    <w:rsid w:val="00F34F98"/>
    <w:rsid w:val="00F40540"/>
    <w:rsid w:val="00F67402"/>
    <w:rsid w:val="00F75EDF"/>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9078D"/>
  <w15:docId w15:val="{B55E7B52-A282-4B31-BF1B-AFAC0B61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842B2C"/>
    <w:rPr>
      <w:color w:val="800080" w:themeColor="followedHyperlink"/>
      <w:u w:val="single"/>
    </w:rPr>
  </w:style>
  <w:style w:type="character" w:styleId="UnresolvedMention">
    <w:name w:val="Unresolved Mention"/>
    <w:basedOn w:val="DefaultParagraphFont"/>
    <w:uiPriority w:val="99"/>
    <w:semiHidden/>
    <w:unhideWhenUsed/>
    <w:rsid w:val="00842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22/0512/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33</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4256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9</cp:revision>
  <cp:lastPrinted>2022-04-07T13:33:00Z</cp:lastPrinted>
  <dcterms:created xsi:type="dcterms:W3CDTF">2022-04-04T05:36:00Z</dcterms:created>
  <dcterms:modified xsi:type="dcterms:W3CDTF">2022-04-07T13:33:00Z</dcterms:modified>
</cp:coreProperties>
</file>