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756020" w14:paraId="5AA2FC73" w14:textId="77777777" w:rsidTr="007802EF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12561786" w14:textId="77777777" w:rsidR="00036F4F" w:rsidRPr="00756020" w:rsidRDefault="00036F4F" w:rsidP="00D143F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56020">
              <w:rPr>
                <w:noProof/>
                <w:lang w:val="en-US"/>
              </w:rPr>
              <w:drawing>
                <wp:inline distT="0" distB="0" distL="0" distR="0" wp14:anchorId="223581EE" wp14:editId="79C6426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0BD11D9D" w14:textId="77777777" w:rsidR="00036F4F" w:rsidRPr="00756020" w:rsidRDefault="00036F4F" w:rsidP="00D143F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5602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069D0C5" w14:textId="77777777" w:rsidR="00036F4F" w:rsidRPr="00756020" w:rsidRDefault="00036F4F" w:rsidP="00D143F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5602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56020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267B135F" w14:textId="77777777" w:rsidR="00036F4F" w:rsidRPr="00756020" w:rsidRDefault="00036F4F" w:rsidP="00D143F9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1541F8" w14:paraId="2C0A42BF" w14:textId="77777777" w:rsidTr="001541F8">
        <w:trPr>
          <w:gridBefore w:val="1"/>
          <w:wBefore w:w="8" w:type="dxa"/>
          <w:cantSplit/>
          <w:trHeight w:val="853"/>
          <w:jc w:val="center"/>
        </w:trPr>
        <w:tc>
          <w:tcPr>
            <w:tcW w:w="1977" w:type="dxa"/>
            <w:gridSpan w:val="3"/>
          </w:tcPr>
          <w:p w14:paraId="39BBB8EB" w14:textId="77777777" w:rsidR="00036F4F" w:rsidRPr="001541F8" w:rsidRDefault="00036F4F" w:rsidP="00D143F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71B1F3D9" w14:textId="77777777" w:rsidR="00036F4F" w:rsidRPr="001541F8" w:rsidRDefault="00036F4F" w:rsidP="00D143F9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52E4BBED" w14:textId="57EFD761" w:rsidR="00036F4F" w:rsidRPr="001541F8" w:rsidRDefault="00036F4F" w:rsidP="00D143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Genève, le</w:t>
            </w:r>
            <w:r w:rsidR="00CC4DEF" w:rsidRPr="001541F8">
              <w:rPr>
                <w:sz w:val="22"/>
                <w:szCs w:val="22"/>
              </w:rPr>
              <w:t xml:space="preserve"> 23 mai 2022</w:t>
            </w:r>
          </w:p>
        </w:tc>
      </w:tr>
      <w:tr w:rsidR="00036F4F" w:rsidRPr="001541F8" w14:paraId="2C32AFA1" w14:textId="77777777" w:rsidTr="007802EF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20AF7673" w14:textId="77777777" w:rsidR="00036F4F" w:rsidRPr="001541F8" w:rsidRDefault="00036F4F" w:rsidP="00D143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1541F8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  <w:p w14:paraId="065FE42F" w14:textId="77777777" w:rsidR="00036F4F" w:rsidRPr="001541F8" w:rsidRDefault="00036F4F" w:rsidP="00D143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14:paraId="27C1A0B7" w14:textId="1C1709E2" w:rsidR="00036F4F" w:rsidRPr="001541F8" w:rsidRDefault="00036F4F" w:rsidP="00D143F9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1541F8">
              <w:rPr>
                <w:b/>
                <w:sz w:val="22"/>
                <w:szCs w:val="22"/>
              </w:rPr>
              <w:t xml:space="preserve">Circulaire TSB </w:t>
            </w:r>
            <w:r w:rsidR="00CC4DEF" w:rsidRPr="001541F8">
              <w:rPr>
                <w:b/>
                <w:sz w:val="22"/>
                <w:szCs w:val="22"/>
              </w:rPr>
              <w:t>17</w:t>
            </w:r>
          </w:p>
          <w:p w14:paraId="4A3F4474" w14:textId="7E0660DC" w:rsidR="00036F4F" w:rsidRPr="001541F8" w:rsidRDefault="00CC4DEF" w:rsidP="00D143F9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CE 17/XY</w:t>
            </w:r>
          </w:p>
        </w:tc>
        <w:tc>
          <w:tcPr>
            <w:tcW w:w="5046" w:type="dxa"/>
            <w:gridSpan w:val="3"/>
            <w:vMerge w:val="restart"/>
          </w:tcPr>
          <w:p w14:paraId="054D223C" w14:textId="77777777" w:rsidR="00036F4F" w:rsidRDefault="00B76D65" w:rsidP="00D143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F"/>
            <w:bookmarkEnd w:id="0"/>
            <w:r w:rsidRPr="001541F8">
              <w:rPr>
                <w:sz w:val="22"/>
                <w:szCs w:val="22"/>
              </w:rPr>
              <w:t>–</w:t>
            </w:r>
            <w:r w:rsidR="007802EF" w:rsidRPr="001541F8">
              <w:rPr>
                <w:sz w:val="22"/>
                <w:szCs w:val="22"/>
              </w:rPr>
              <w:tab/>
              <w:t>Aux A</w:t>
            </w:r>
            <w:r w:rsidR="00036F4F" w:rsidRPr="001541F8">
              <w:rPr>
                <w:sz w:val="22"/>
                <w:szCs w:val="22"/>
              </w:rPr>
              <w:t xml:space="preserve">dministrations des </w:t>
            </w:r>
            <w:r w:rsidR="00E62A71" w:rsidRPr="001541F8">
              <w:rPr>
                <w:sz w:val="22"/>
                <w:szCs w:val="22"/>
              </w:rPr>
              <w:t>É</w:t>
            </w:r>
            <w:r w:rsidR="00036F4F" w:rsidRPr="001541F8">
              <w:rPr>
                <w:sz w:val="22"/>
                <w:szCs w:val="22"/>
              </w:rPr>
              <w:t>tats Membres de l</w:t>
            </w:r>
            <w:r w:rsidR="00D42595" w:rsidRPr="001541F8">
              <w:rPr>
                <w:sz w:val="22"/>
                <w:szCs w:val="22"/>
              </w:rPr>
              <w:t>'</w:t>
            </w:r>
            <w:r w:rsidR="00036F4F" w:rsidRPr="001541F8">
              <w:rPr>
                <w:sz w:val="22"/>
                <w:szCs w:val="22"/>
              </w:rPr>
              <w:t>Union</w:t>
            </w:r>
          </w:p>
          <w:p w14:paraId="7B271948" w14:textId="77777777" w:rsidR="001541F8" w:rsidRPr="001541F8" w:rsidRDefault="001541F8" w:rsidP="001541F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1541F8">
              <w:rPr>
                <w:b/>
                <w:sz w:val="22"/>
                <w:szCs w:val="22"/>
              </w:rPr>
              <w:t>Copie</w:t>
            </w:r>
            <w:r w:rsidRPr="001541F8">
              <w:rPr>
                <w:sz w:val="22"/>
                <w:szCs w:val="22"/>
              </w:rPr>
              <w:t>:</w:t>
            </w:r>
            <w:proofErr w:type="gramEnd"/>
          </w:p>
          <w:p w14:paraId="2601D5EB" w14:textId="77777777" w:rsidR="001541F8" w:rsidRPr="001541F8" w:rsidRDefault="001541F8" w:rsidP="001541F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–</w:t>
            </w:r>
            <w:r w:rsidRPr="001541F8">
              <w:rPr>
                <w:sz w:val="22"/>
                <w:szCs w:val="22"/>
              </w:rPr>
              <w:tab/>
              <w:t>Aux Membres du Secteur UIT-</w:t>
            </w:r>
            <w:proofErr w:type="gramStart"/>
            <w:r w:rsidRPr="001541F8">
              <w:rPr>
                <w:sz w:val="22"/>
                <w:szCs w:val="22"/>
              </w:rPr>
              <w:t>T;</w:t>
            </w:r>
            <w:proofErr w:type="gramEnd"/>
          </w:p>
          <w:p w14:paraId="2F786E77" w14:textId="77777777" w:rsidR="001541F8" w:rsidRPr="001541F8" w:rsidRDefault="001541F8" w:rsidP="001541F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–</w:t>
            </w:r>
            <w:r w:rsidRPr="001541F8">
              <w:rPr>
                <w:sz w:val="22"/>
                <w:szCs w:val="22"/>
              </w:rPr>
              <w:tab/>
              <w:t xml:space="preserve">Aux Associés de l'UIT-T participant aux travaux de la Commission d'études </w:t>
            </w:r>
            <w:proofErr w:type="gramStart"/>
            <w:r w:rsidRPr="001541F8">
              <w:rPr>
                <w:sz w:val="22"/>
                <w:szCs w:val="22"/>
              </w:rPr>
              <w:t>17;</w:t>
            </w:r>
            <w:proofErr w:type="gramEnd"/>
          </w:p>
          <w:p w14:paraId="3A3299C2" w14:textId="77777777" w:rsidR="001541F8" w:rsidRPr="001541F8" w:rsidRDefault="001541F8" w:rsidP="001541F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–</w:t>
            </w:r>
            <w:r w:rsidRPr="001541F8">
              <w:rPr>
                <w:sz w:val="22"/>
                <w:szCs w:val="22"/>
              </w:rPr>
              <w:tab/>
              <w:t xml:space="preserve">Aux établissements universitaires participant aux travaux de </w:t>
            </w:r>
            <w:proofErr w:type="gramStart"/>
            <w:r w:rsidRPr="001541F8">
              <w:rPr>
                <w:sz w:val="22"/>
                <w:szCs w:val="22"/>
              </w:rPr>
              <w:t>l'UIT;</w:t>
            </w:r>
            <w:proofErr w:type="gramEnd"/>
          </w:p>
          <w:p w14:paraId="424168BD" w14:textId="77777777" w:rsidR="001541F8" w:rsidRPr="001541F8" w:rsidRDefault="001541F8" w:rsidP="001541F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–</w:t>
            </w:r>
            <w:r w:rsidRPr="001541F8">
              <w:rPr>
                <w:sz w:val="22"/>
                <w:szCs w:val="22"/>
              </w:rPr>
              <w:tab/>
              <w:t>Aux Président et Vice-Présidents de la Commission d'études 17 de l'UIT</w:t>
            </w:r>
            <w:r w:rsidRPr="001541F8">
              <w:rPr>
                <w:sz w:val="22"/>
                <w:szCs w:val="22"/>
              </w:rPr>
              <w:noBreakHyphen/>
            </w:r>
            <w:proofErr w:type="gramStart"/>
            <w:r w:rsidRPr="001541F8">
              <w:rPr>
                <w:sz w:val="22"/>
                <w:szCs w:val="22"/>
              </w:rPr>
              <w:t>T;</w:t>
            </w:r>
            <w:proofErr w:type="gramEnd"/>
          </w:p>
          <w:p w14:paraId="625BFC84" w14:textId="77777777" w:rsidR="001541F8" w:rsidRPr="001541F8" w:rsidRDefault="001541F8" w:rsidP="001541F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–</w:t>
            </w:r>
            <w:r w:rsidRPr="001541F8">
              <w:rPr>
                <w:sz w:val="22"/>
                <w:szCs w:val="22"/>
              </w:rPr>
              <w:tab/>
              <w:t>À la Directrice du Bureau de développement des </w:t>
            </w:r>
            <w:proofErr w:type="gramStart"/>
            <w:r w:rsidRPr="001541F8">
              <w:rPr>
                <w:sz w:val="22"/>
                <w:szCs w:val="22"/>
              </w:rPr>
              <w:t>télécommunications;</w:t>
            </w:r>
            <w:proofErr w:type="gramEnd"/>
          </w:p>
          <w:p w14:paraId="2D0176AE" w14:textId="7DF33655" w:rsidR="001541F8" w:rsidRPr="001541F8" w:rsidRDefault="001541F8" w:rsidP="001541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–</w:t>
            </w:r>
            <w:r w:rsidRPr="001541F8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CC4DEF" w:rsidRPr="001541F8" w14:paraId="4BAA6642" w14:textId="77777777" w:rsidTr="007802EF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F8872BB" w14:textId="77777777" w:rsidR="00CC4DEF" w:rsidRPr="001541F8" w:rsidRDefault="00CC4DEF" w:rsidP="00D143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1541F8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751" w:type="dxa"/>
            <w:gridSpan w:val="3"/>
          </w:tcPr>
          <w:p w14:paraId="20A62F1A" w14:textId="3519B057" w:rsidR="00CC4DEF" w:rsidRPr="001541F8" w:rsidRDefault="00CC4DEF" w:rsidP="00D143F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+41 22 730 6206</w:t>
            </w:r>
          </w:p>
        </w:tc>
        <w:tc>
          <w:tcPr>
            <w:tcW w:w="5046" w:type="dxa"/>
            <w:gridSpan w:val="3"/>
            <w:vMerge/>
          </w:tcPr>
          <w:p w14:paraId="2269B0A5" w14:textId="77777777" w:rsidR="00CC4DEF" w:rsidRPr="001541F8" w:rsidRDefault="00CC4DEF" w:rsidP="00D143F9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C4DEF" w:rsidRPr="001541F8" w14:paraId="6B03E598" w14:textId="77777777" w:rsidTr="001541F8">
        <w:trPr>
          <w:gridBefore w:val="1"/>
          <w:wBefore w:w="8" w:type="dxa"/>
          <w:cantSplit/>
          <w:trHeight w:val="2771"/>
          <w:jc w:val="center"/>
        </w:trPr>
        <w:tc>
          <w:tcPr>
            <w:tcW w:w="1126" w:type="dxa"/>
          </w:tcPr>
          <w:p w14:paraId="2B6826C5" w14:textId="77777777" w:rsidR="00CC4DEF" w:rsidRDefault="00CC4DEF" w:rsidP="00D143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1541F8">
              <w:rPr>
                <w:b/>
                <w:bCs/>
                <w:sz w:val="22"/>
                <w:szCs w:val="22"/>
              </w:rPr>
              <w:t>Télécopie:</w:t>
            </w:r>
            <w:proofErr w:type="gramEnd"/>
          </w:p>
          <w:p w14:paraId="6321D448" w14:textId="55A4107B" w:rsidR="001541F8" w:rsidRPr="001541F8" w:rsidRDefault="001541F8" w:rsidP="00D143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1541F8">
              <w:rPr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751" w:type="dxa"/>
            <w:gridSpan w:val="3"/>
          </w:tcPr>
          <w:p w14:paraId="1FE669FF" w14:textId="77777777" w:rsidR="00CC4DEF" w:rsidRDefault="00CC4DEF" w:rsidP="00D143F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1541F8">
              <w:rPr>
                <w:sz w:val="22"/>
                <w:szCs w:val="22"/>
              </w:rPr>
              <w:t>+41 22 730 5853</w:t>
            </w:r>
          </w:p>
          <w:p w14:paraId="23D9B3FC" w14:textId="657D1C39" w:rsidR="001541F8" w:rsidRPr="001541F8" w:rsidRDefault="001541F8" w:rsidP="00D143F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Pr="001541F8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046" w:type="dxa"/>
            <w:gridSpan w:val="3"/>
            <w:vMerge/>
          </w:tcPr>
          <w:p w14:paraId="71DA9E9D" w14:textId="77777777" w:rsidR="00CC4DEF" w:rsidRPr="001541F8" w:rsidRDefault="00CC4DEF" w:rsidP="00D143F9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1541F8" w14:paraId="4A09E6B3" w14:textId="77777777" w:rsidTr="001541F8">
        <w:trPr>
          <w:gridBefore w:val="1"/>
          <w:gridAfter w:val="1"/>
          <w:wBefore w:w="8" w:type="dxa"/>
          <w:wAfter w:w="8" w:type="dxa"/>
          <w:cantSplit/>
          <w:trHeight w:val="1280"/>
          <w:jc w:val="center"/>
        </w:trPr>
        <w:tc>
          <w:tcPr>
            <w:tcW w:w="1126" w:type="dxa"/>
          </w:tcPr>
          <w:p w14:paraId="65F39FC4" w14:textId="77777777" w:rsidR="00517A03" w:rsidRPr="001541F8" w:rsidRDefault="00517A03" w:rsidP="00D143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1541F8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4E450CD3" w14:textId="75B971F0" w:rsidR="00517A03" w:rsidRPr="001541F8" w:rsidRDefault="00CC4DEF" w:rsidP="00D143F9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</w:rPr>
            </w:pPr>
            <w:r w:rsidRPr="001541F8">
              <w:rPr>
                <w:b/>
                <w:bCs/>
                <w:sz w:val="22"/>
                <w:szCs w:val="22"/>
              </w:rPr>
              <w:t>Consultation des États Membres au sujet des textes déterminés des projets de nouvelles Recommandations UIT-T X.1352 (</w:t>
            </w:r>
            <w:proofErr w:type="gramStart"/>
            <w:r w:rsidRPr="001541F8">
              <w:rPr>
                <w:b/>
                <w:bCs/>
                <w:sz w:val="22"/>
                <w:szCs w:val="22"/>
              </w:rPr>
              <w:t>X.iotsec</w:t>
            </w:r>
            <w:proofErr w:type="gramEnd"/>
            <w:r w:rsidRPr="001541F8">
              <w:rPr>
                <w:b/>
                <w:bCs/>
                <w:sz w:val="22"/>
                <w:szCs w:val="22"/>
              </w:rPr>
              <w:t>-4), X.1813 (X.5Gsec-vs) et X.1814 (X.5Gsec-guide), qu</w:t>
            </w:r>
            <w:r w:rsidR="00D42595" w:rsidRPr="001541F8">
              <w:rPr>
                <w:b/>
                <w:bCs/>
                <w:sz w:val="22"/>
                <w:szCs w:val="22"/>
              </w:rPr>
              <w:t>'</w:t>
            </w:r>
            <w:r w:rsidRPr="001541F8">
              <w:rPr>
                <w:b/>
                <w:bCs/>
                <w:sz w:val="22"/>
                <w:szCs w:val="22"/>
              </w:rPr>
              <w:t>il est proposé d</w:t>
            </w:r>
            <w:r w:rsidR="00D42595" w:rsidRPr="001541F8">
              <w:rPr>
                <w:b/>
                <w:bCs/>
                <w:sz w:val="22"/>
                <w:szCs w:val="22"/>
              </w:rPr>
              <w:t>'</w:t>
            </w:r>
            <w:r w:rsidRPr="001541F8">
              <w:rPr>
                <w:b/>
                <w:bCs/>
                <w:sz w:val="22"/>
                <w:szCs w:val="22"/>
              </w:rPr>
              <w:t>approuver à la séance plénière de la Commission d</w:t>
            </w:r>
            <w:r w:rsidR="00D42595" w:rsidRPr="001541F8">
              <w:rPr>
                <w:b/>
                <w:bCs/>
                <w:sz w:val="22"/>
                <w:szCs w:val="22"/>
              </w:rPr>
              <w:t>'</w:t>
            </w:r>
            <w:r w:rsidRPr="001541F8">
              <w:rPr>
                <w:b/>
                <w:bCs/>
                <w:sz w:val="22"/>
                <w:szCs w:val="22"/>
              </w:rPr>
              <w:t>études 17 de l</w:t>
            </w:r>
            <w:r w:rsidR="00D42595" w:rsidRPr="001541F8">
              <w:rPr>
                <w:b/>
                <w:bCs/>
                <w:sz w:val="22"/>
                <w:szCs w:val="22"/>
              </w:rPr>
              <w:t>'</w:t>
            </w:r>
            <w:r w:rsidRPr="001541F8">
              <w:rPr>
                <w:b/>
                <w:bCs/>
                <w:sz w:val="22"/>
                <w:szCs w:val="22"/>
              </w:rPr>
              <w:t>UIT-T (Genève, 23 août – 2 septembre 2022)</w:t>
            </w:r>
          </w:p>
        </w:tc>
      </w:tr>
    </w:tbl>
    <w:p w14:paraId="78E43804" w14:textId="77777777" w:rsidR="00517A03" w:rsidRPr="001541F8" w:rsidRDefault="00517A03" w:rsidP="00D143F9">
      <w:pPr>
        <w:rPr>
          <w:sz w:val="22"/>
          <w:szCs w:val="22"/>
        </w:rPr>
      </w:pPr>
      <w:bookmarkStart w:id="1" w:name="StartTyping_F"/>
      <w:bookmarkEnd w:id="1"/>
      <w:r w:rsidRPr="001541F8">
        <w:rPr>
          <w:sz w:val="22"/>
          <w:szCs w:val="22"/>
        </w:rPr>
        <w:t>Madame, Monsieur,</w:t>
      </w:r>
    </w:p>
    <w:p w14:paraId="16B411B4" w14:textId="0333A295" w:rsidR="00CC4DEF" w:rsidRPr="001541F8" w:rsidRDefault="00CC4DEF" w:rsidP="00D143F9">
      <w:pPr>
        <w:rPr>
          <w:bCs/>
          <w:sz w:val="22"/>
          <w:szCs w:val="22"/>
        </w:rPr>
      </w:pPr>
      <w:r w:rsidRPr="001541F8">
        <w:rPr>
          <w:bCs/>
          <w:sz w:val="22"/>
          <w:szCs w:val="22"/>
        </w:rPr>
        <w:t>1</w:t>
      </w:r>
      <w:r w:rsidRPr="001541F8">
        <w:rPr>
          <w:bCs/>
          <w:sz w:val="22"/>
          <w:szCs w:val="22"/>
        </w:rPr>
        <w:tab/>
        <w:t>La Commission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études 17 de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UIT-T (Sécurité) a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intention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appliquer la procédure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 xml:space="preserve">approbation traditionnelle énoncée </w:t>
      </w:r>
      <w:r w:rsidR="004C2619" w:rsidRPr="001541F8">
        <w:rPr>
          <w:bCs/>
          <w:sz w:val="22"/>
          <w:szCs w:val="22"/>
        </w:rPr>
        <w:t>dans</w:t>
      </w:r>
      <w:r w:rsidR="00D42595" w:rsidRPr="001541F8">
        <w:rPr>
          <w:bCs/>
          <w:sz w:val="22"/>
          <w:szCs w:val="22"/>
        </w:rPr>
        <w:t xml:space="preserve"> </w:t>
      </w:r>
      <w:r w:rsidRPr="001541F8">
        <w:rPr>
          <w:bCs/>
          <w:sz w:val="22"/>
          <w:szCs w:val="22"/>
        </w:rPr>
        <w:t>la section 9 de la Résolution 1 (Rév. Genève, 2022) de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AMNT</w:t>
      </w:r>
      <w:r w:rsidR="004C2619" w:rsidRPr="001541F8">
        <w:rPr>
          <w:bCs/>
          <w:sz w:val="22"/>
          <w:szCs w:val="22"/>
        </w:rPr>
        <w:t xml:space="preserve">, en vue de </w:t>
      </w:r>
      <w:r w:rsidRPr="001541F8">
        <w:rPr>
          <w:bCs/>
          <w:sz w:val="22"/>
          <w:szCs w:val="22"/>
        </w:rPr>
        <w:t>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 xml:space="preserve">approbation des projets de Recommandations mentionnés ci-dessus à sa prochaine réunion, qui se tiendra </w:t>
      </w:r>
      <w:r w:rsidR="006B0EFF" w:rsidRPr="001541F8">
        <w:rPr>
          <w:bCs/>
          <w:sz w:val="22"/>
          <w:szCs w:val="22"/>
        </w:rPr>
        <w:t xml:space="preserve">à Genève </w:t>
      </w:r>
      <w:r w:rsidR="000B07C8" w:rsidRPr="001541F8">
        <w:rPr>
          <w:bCs/>
          <w:sz w:val="22"/>
          <w:szCs w:val="22"/>
        </w:rPr>
        <w:t>du 23 août au 2 septembre</w:t>
      </w:r>
      <w:r w:rsidRPr="001541F8">
        <w:rPr>
          <w:bCs/>
          <w:sz w:val="22"/>
          <w:szCs w:val="22"/>
        </w:rPr>
        <w:t> 2022.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ordre du jour ainsi que tous les renseignements pertinents concernant la réunion de la Commission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études 17 de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 xml:space="preserve">UIT-T seront disponibles dans la Lettre collective </w:t>
      </w:r>
      <w:hyperlink r:id="rId10" w:history="1">
        <w:r w:rsidRPr="001541F8">
          <w:rPr>
            <w:rStyle w:val="Hyperlink"/>
            <w:bCs/>
            <w:sz w:val="22"/>
            <w:szCs w:val="22"/>
          </w:rPr>
          <w:t>2/17</w:t>
        </w:r>
      </w:hyperlink>
      <w:r w:rsidRPr="001541F8">
        <w:rPr>
          <w:bCs/>
          <w:sz w:val="22"/>
          <w:szCs w:val="22"/>
        </w:rPr>
        <w:t>.</w:t>
      </w:r>
    </w:p>
    <w:p w14:paraId="1517D4C6" w14:textId="523AAFB2" w:rsidR="00CC4DEF" w:rsidRPr="001541F8" w:rsidRDefault="00CC4DEF" w:rsidP="00D143F9">
      <w:pPr>
        <w:rPr>
          <w:bCs/>
          <w:sz w:val="22"/>
          <w:szCs w:val="22"/>
        </w:rPr>
      </w:pPr>
      <w:r w:rsidRPr="001541F8">
        <w:rPr>
          <w:bCs/>
          <w:sz w:val="22"/>
          <w:szCs w:val="22"/>
        </w:rPr>
        <w:t>2</w:t>
      </w:r>
      <w:r w:rsidRPr="001541F8">
        <w:rPr>
          <w:bCs/>
          <w:sz w:val="22"/>
          <w:szCs w:val="22"/>
        </w:rPr>
        <w:tab/>
        <w:t>Vous trouverez dans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/>
          <w:bCs/>
          <w:sz w:val="22"/>
          <w:szCs w:val="22"/>
        </w:rPr>
        <w:t>Annexe 1</w:t>
      </w:r>
      <w:r w:rsidRPr="001541F8">
        <w:rPr>
          <w:bCs/>
          <w:sz w:val="22"/>
          <w:szCs w:val="22"/>
        </w:rPr>
        <w:t xml:space="preserve"> le titre, le résumé et la localisation des projets de Recommandations UIT</w:t>
      </w:r>
      <w:r w:rsidRPr="001541F8">
        <w:rPr>
          <w:bCs/>
          <w:sz w:val="22"/>
          <w:szCs w:val="22"/>
        </w:rPr>
        <w:noBreakHyphen/>
        <w:t>T qu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il est proposé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approuver.</w:t>
      </w:r>
    </w:p>
    <w:p w14:paraId="4E4A741D" w14:textId="4A66FE61" w:rsidR="00CC4DEF" w:rsidRPr="001541F8" w:rsidRDefault="00CC4DEF" w:rsidP="00D143F9">
      <w:pPr>
        <w:rPr>
          <w:bCs/>
          <w:sz w:val="22"/>
          <w:szCs w:val="22"/>
        </w:rPr>
      </w:pPr>
      <w:r w:rsidRPr="001541F8">
        <w:rPr>
          <w:bCs/>
          <w:sz w:val="22"/>
          <w:szCs w:val="22"/>
        </w:rPr>
        <w:t>NOTE 1 DU TSB – Aucun document de justification UIT-T A.5 n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 été élaboré pour ces projets de textes déterminés.</w:t>
      </w:r>
    </w:p>
    <w:p w14:paraId="1955619E" w14:textId="1C8F4D4F" w:rsidR="00CC4DEF" w:rsidRPr="001541F8" w:rsidRDefault="00CC4DEF" w:rsidP="00D143F9">
      <w:pPr>
        <w:rPr>
          <w:bCs/>
          <w:sz w:val="22"/>
          <w:szCs w:val="22"/>
        </w:rPr>
      </w:pPr>
      <w:r w:rsidRPr="001541F8">
        <w:rPr>
          <w:bCs/>
          <w:sz w:val="22"/>
          <w:szCs w:val="22"/>
        </w:rPr>
        <w:t>NOTE 2 DU TSB – À la date de la présente Circulaire, le TSB n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avait reçu aucune déclaration concernant les droits de propriété intellectuelle relative à ces projets de textes. Pour obtenir des renseignements actualisés, les membres sont invités à consulter la base de données relative aux droits de propriété intellectuelle à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 xml:space="preserve">adresse </w:t>
      </w:r>
      <w:hyperlink r:id="rId11" w:history="1">
        <w:r w:rsidRPr="001541F8">
          <w:rPr>
            <w:rStyle w:val="Hyperlink"/>
            <w:bCs/>
            <w:sz w:val="22"/>
            <w:szCs w:val="22"/>
          </w:rPr>
          <w:t>www.itu.int/ipr/</w:t>
        </w:r>
      </w:hyperlink>
      <w:r w:rsidRPr="001541F8">
        <w:rPr>
          <w:bCs/>
          <w:sz w:val="22"/>
          <w:szCs w:val="22"/>
        </w:rPr>
        <w:t>.</w:t>
      </w:r>
    </w:p>
    <w:p w14:paraId="297C49DA" w14:textId="4603AA71" w:rsidR="001541F8" w:rsidRDefault="00CC4DEF" w:rsidP="00D143F9">
      <w:pPr>
        <w:rPr>
          <w:bCs/>
          <w:sz w:val="22"/>
          <w:szCs w:val="22"/>
        </w:rPr>
      </w:pPr>
      <w:r w:rsidRPr="001541F8">
        <w:rPr>
          <w:bCs/>
          <w:sz w:val="22"/>
          <w:szCs w:val="22"/>
        </w:rPr>
        <w:t>3</w:t>
      </w:r>
      <w:r w:rsidRPr="001541F8">
        <w:rPr>
          <w:bCs/>
          <w:sz w:val="22"/>
          <w:szCs w:val="22"/>
        </w:rPr>
        <w:tab/>
        <w:t>La présente Circulaire a pour objet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engager le processus de consultation formelle des États Membres de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UIT, qui devront indiquer si ces textes peuvent être examinés en vue de leur approbation à la prochaine réunion, conformément au paragraphe 9.4 de la Résolution 1. Les États Membres sont priés de remplir le formulaire de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/>
          <w:bCs/>
          <w:sz w:val="22"/>
          <w:szCs w:val="22"/>
        </w:rPr>
        <w:t>Annexe 2</w:t>
      </w:r>
      <w:r w:rsidRPr="001541F8">
        <w:rPr>
          <w:bCs/>
          <w:sz w:val="22"/>
          <w:szCs w:val="22"/>
        </w:rPr>
        <w:t xml:space="preserve"> et de le renvoyer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ici au </w:t>
      </w:r>
      <w:r w:rsidRPr="001541F8">
        <w:rPr>
          <w:b/>
          <w:bCs/>
          <w:sz w:val="22"/>
          <w:szCs w:val="22"/>
        </w:rPr>
        <w:t>11 août 2022</w:t>
      </w:r>
      <w:r w:rsidRPr="001541F8">
        <w:rPr>
          <w:bCs/>
          <w:sz w:val="22"/>
          <w:szCs w:val="22"/>
        </w:rPr>
        <w:t xml:space="preserve"> à 23 h 59 (UTC).</w:t>
      </w:r>
    </w:p>
    <w:p w14:paraId="15AE90F6" w14:textId="77777777" w:rsidR="001541F8" w:rsidRDefault="0015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2029E9F8" w14:textId="28E794C7" w:rsidR="00CC4DEF" w:rsidRPr="001541F8" w:rsidRDefault="00CC4DEF" w:rsidP="00D143F9">
      <w:pPr>
        <w:rPr>
          <w:bCs/>
          <w:sz w:val="22"/>
          <w:szCs w:val="22"/>
        </w:rPr>
      </w:pPr>
      <w:r w:rsidRPr="001541F8">
        <w:rPr>
          <w:bCs/>
          <w:sz w:val="22"/>
          <w:szCs w:val="22"/>
        </w:rPr>
        <w:lastRenderedPageBreak/>
        <w:t>4</w:t>
      </w:r>
      <w:r w:rsidRPr="001541F8">
        <w:rPr>
          <w:bCs/>
          <w:sz w:val="22"/>
          <w:szCs w:val="22"/>
        </w:rPr>
        <w:tab/>
        <w:t>Si au moins 70% des réponses des États Membres sont en faveur de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examen, aux fins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approbation, de ces textes, une séance plénière sera consacrée à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application de la procédure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approbation. Les États Membres qui n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autorisent pas la commission d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études à procéder ainsi doivent informer le Directeur du TSB des motifs de cette décision et lui faire part des éventuelles modifications qui permettraient la poursuite des travaux.</w:t>
      </w:r>
    </w:p>
    <w:p w14:paraId="0301844C" w14:textId="4A84CA04" w:rsidR="00CC4DEF" w:rsidRPr="001541F8" w:rsidRDefault="00CC4DEF" w:rsidP="00D143F9">
      <w:pPr>
        <w:rPr>
          <w:bCs/>
          <w:sz w:val="22"/>
          <w:szCs w:val="22"/>
        </w:rPr>
      </w:pPr>
      <w:r w:rsidRPr="001541F8">
        <w:rPr>
          <w:bCs/>
          <w:sz w:val="22"/>
          <w:szCs w:val="22"/>
        </w:rPr>
        <w:t>Veuillez agréer, Madame, Monsieur, l</w:t>
      </w:r>
      <w:r w:rsidR="00D42595" w:rsidRPr="001541F8">
        <w:rPr>
          <w:bCs/>
          <w:sz w:val="22"/>
          <w:szCs w:val="22"/>
        </w:rPr>
        <w:t>'</w:t>
      </w:r>
      <w:r w:rsidRPr="001541F8">
        <w:rPr>
          <w:bCs/>
          <w:sz w:val="22"/>
          <w:szCs w:val="22"/>
        </w:rPr>
        <w:t>assurance de ma considération distinguée.</w:t>
      </w:r>
    </w:p>
    <w:p w14:paraId="05978E2A" w14:textId="6346D750" w:rsidR="00517A03" w:rsidRPr="001541F8" w:rsidRDefault="004353C6" w:rsidP="001541F8">
      <w:pPr>
        <w:keepNext/>
        <w:keepLines/>
        <w:spacing w:before="960"/>
        <w:ind w:right="-284"/>
        <w:rPr>
          <w:b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C00B79" wp14:editId="441C21F7">
            <wp:simplePos x="0" y="0"/>
            <wp:positionH relativeFrom="column">
              <wp:posOffset>635</wp:posOffset>
            </wp:positionH>
            <wp:positionV relativeFrom="paragraph">
              <wp:posOffset>111125</wp:posOffset>
            </wp:positionV>
            <wp:extent cx="503555" cy="377667"/>
            <wp:effectExtent l="0" t="0" r="0" b="381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70" cy="38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1541F8">
        <w:rPr>
          <w:sz w:val="22"/>
          <w:szCs w:val="22"/>
        </w:rPr>
        <w:t>Chaesub Lee</w:t>
      </w:r>
      <w:r w:rsidR="00036F4F" w:rsidRPr="001541F8">
        <w:rPr>
          <w:sz w:val="22"/>
          <w:szCs w:val="22"/>
        </w:rPr>
        <w:br/>
        <w:t>Directeur du Bureau de la normalisation</w:t>
      </w:r>
      <w:r w:rsidR="00036F4F" w:rsidRPr="001541F8">
        <w:rPr>
          <w:sz w:val="22"/>
          <w:szCs w:val="22"/>
        </w:rPr>
        <w:br/>
        <w:t>des télécommunications</w:t>
      </w:r>
    </w:p>
    <w:p w14:paraId="0F3ACB43" w14:textId="3B085DBA" w:rsidR="00CC4DEF" w:rsidRDefault="00CC4DEF" w:rsidP="001541F8">
      <w:pPr>
        <w:spacing w:before="240"/>
        <w:rPr>
          <w:bCs/>
          <w:sz w:val="22"/>
          <w:szCs w:val="22"/>
        </w:rPr>
      </w:pPr>
      <w:proofErr w:type="gramStart"/>
      <w:r w:rsidRPr="001541F8">
        <w:rPr>
          <w:b/>
          <w:sz w:val="22"/>
          <w:szCs w:val="22"/>
        </w:rPr>
        <w:t>Annexes</w:t>
      </w:r>
      <w:r w:rsidRPr="001541F8">
        <w:rPr>
          <w:sz w:val="22"/>
          <w:szCs w:val="22"/>
        </w:rPr>
        <w:t>:</w:t>
      </w:r>
      <w:proofErr w:type="gramEnd"/>
      <w:r w:rsidRPr="001541F8">
        <w:rPr>
          <w:bCs/>
          <w:sz w:val="22"/>
          <w:szCs w:val="22"/>
        </w:rPr>
        <w:t xml:space="preserve"> 2</w:t>
      </w:r>
    </w:p>
    <w:p w14:paraId="4B008555" w14:textId="568657D2" w:rsidR="001541F8" w:rsidRPr="001541F8" w:rsidRDefault="001541F8" w:rsidP="001541F8">
      <w:pPr>
        <w:spacing w:before="240"/>
        <w:rPr>
          <w:bCs/>
          <w:sz w:val="22"/>
          <w:szCs w:val="22"/>
        </w:rPr>
      </w:pPr>
    </w:p>
    <w:p w14:paraId="5D948DAC" w14:textId="77777777" w:rsidR="00CC4DEF" w:rsidRPr="00756020" w:rsidRDefault="00CC4DEF" w:rsidP="00D143F9">
      <w:pPr>
        <w:rPr>
          <w:bCs/>
        </w:rPr>
      </w:pPr>
      <w:r w:rsidRPr="00756020">
        <w:rPr>
          <w:bCs/>
        </w:rPr>
        <w:br w:type="page"/>
      </w:r>
    </w:p>
    <w:p w14:paraId="63DC3B70" w14:textId="3C3E6139" w:rsidR="00243453" w:rsidRPr="00756020" w:rsidRDefault="00243453" w:rsidP="00D143F9">
      <w:pPr>
        <w:pStyle w:val="Annextitle0"/>
        <w:rPr>
          <w:lang w:val="fr-FR"/>
        </w:rPr>
      </w:pPr>
      <w:r w:rsidRPr="00756020">
        <w:rPr>
          <w:lang w:val="fr-FR"/>
        </w:rPr>
        <w:lastRenderedPageBreak/>
        <w:t>Annexe 1</w:t>
      </w:r>
      <w:r w:rsidRPr="00756020">
        <w:rPr>
          <w:lang w:val="fr-FR"/>
        </w:rPr>
        <w:br/>
      </w:r>
      <w:r w:rsidRPr="00756020">
        <w:rPr>
          <w:lang w:val="fr-FR"/>
        </w:rPr>
        <w:br/>
        <w:t>Résumé et localisation des textes déterminés des projets de nouvelles Recommandations UIT-T X.1352 (</w:t>
      </w:r>
      <w:proofErr w:type="gramStart"/>
      <w:r w:rsidRPr="00756020">
        <w:rPr>
          <w:lang w:val="fr-FR"/>
        </w:rPr>
        <w:t>X.iotsec</w:t>
      </w:r>
      <w:proofErr w:type="gramEnd"/>
      <w:r w:rsidRPr="00756020">
        <w:rPr>
          <w:lang w:val="fr-FR"/>
        </w:rPr>
        <w:t xml:space="preserve">-4), X.1813 (X.5Gsec-vs) </w:t>
      </w:r>
      <w:r w:rsidR="00756020" w:rsidRPr="00756020">
        <w:rPr>
          <w:lang w:val="fr-FR"/>
        </w:rPr>
        <w:br/>
      </w:r>
      <w:r w:rsidRPr="00756020">
        <w:rPr>
          <w:lang w:val="fr-FR"/>
        </w:rPr>
        <w:t>et X.1814 (X.5Gsec-guide)</w:t>
      </w:r>
    </w:p>
    <w:p w14:paraId="12E12144" w14:textId="63801160" w:rsidR="00243453" w:rsidRPr="00756020" w:rsidRDefault="00243453" w:rsidP="00D143F9">
      <w:pPr>
        <w:pStyle w:val="Heading1"/>
      </w:pPr>
      <w:r w:rsidRPr="00756020">
        <w:t>1</w:t>
      </w:r>
      <w:r w:rsidRPr="00756020">
        <w:tab/>
        <w:t>Projet de nouvelle Recommandation UIT-T X.1352 (</w:t>
      </w:r>
      <w:proofErr w:type="gramStart"/>
      <w:r w:rsidRPr="00756020">
        <w:t>X.iotsec</w:t>
      </w:r>
      <w:proofErr w:type="gramEnd"/>
      <w:r w:rsidRPr="00756020">
        <w:t>-4) [</w:t>
      </w:r>
      <w:hyperlink r:id="rId13" w:history="1">
        <w:r w:rsidRPr="00756020">
          <w:rPr>
            <w:rStyle w:val="Hyperlink"/>
            <w:bCs/>
          </w:rPr>
          <w:t>R9</w:t>
        </w:r>
      </w:hyperlink>
      <w:r w:rsidRPr="00756020">
        <w:t>]</w:t>
      </w:r>
    </w:p>
    <w:p w14:paraId="604FAB31" w14:textId="0AC5A181" w:rsidR="002D2124" w:rsidRPr="00756020" w:rsidRDefault="002D2124" w:rsidP="00D143F9">
      <w:r w:rsidRPr="00756020">
        <w:t xml:space="preserve">Exigences de sécurité applicables aux dispositifs et </w:t>
      </w:r>
      <w:r w:rsidR="0099038B" w:rsidRPr="00756020">
        <w:t>aux passerelles de l</w:t>
      </w:r>
      <w:r w:rsidR="00D42595" w:rsidRPr="00756020">
        <w:t>'</w:t>
      </w:r>
      <w:r w:rsidR="0099038B" w:rsidRPr="00756020">
        <w:t>Internet des objets (IoT)</w:t>
      </w:r>
    </w:p>
    <w:p w14:paraId="7EF7D7E8" w14:textId="77777777" w:rsidR="00243453" w:rsidRPr="00756020" w:rsidRDefault="00243453" w:rsidP="00D143F9">
      <w:pPr>
        <w:pStyle w:val="headingb"/>
      </w:pPr>
      <w:r w:rsidRPr="00756020">
        <w:t>Résumé</w:t>
      </w:r>
    </w:p>
    <w:p w14:paraId="013B775C" w14:textId="5440D686" w:rsidR="00E926DB" w:rsidRPr="00756020" w:rsidRDefault="00E926DB" w:rsidP="00D143F9">
      <w:r w:rsidRPr="00756020">
        <w:t xml:space="preserve">Cette Recommandation définit </w:t>
      </w:r>
      <w:r w:rsidR="00385D24" w:rsidRPr="00756020">
        <w:t>d</w:t>
      </w:r>
      <w:r w:rsidR="00A67D97" w:rsidRPr="00756020">
        <w:t xml:space="preserve">es exigences </w:t>
      </w:r>
      <w:r w:rsidR="00861EF2" w:rsidRPr="00756020">
        <w:t>détaillées concernant les</w:t>
      </w:r>
      <w:r w:rsidR="00A67D97" w:rsidRPr="00756020">
        <w:t xml:space="preserve"> cinq dimensions de sécurité applicables aux dispositifs et aux passerelles de l</w:t>
      </w:r>
      <w:r w:rsidR="00D42595" w:rsidRPr="00756020">
        <w:t>'</w:t>
      </w:r>
      <w:r w:rsidR="00A67D97" w:rsidRPr="00756020">
        <w:t>Internet des objets (IoT</w:t>
      </w:r>
      <w:proofErr w:type="gramStart"/>
      <w:r w:rsidR="00A67D97" w:rsidRPr="00756020">
        <w:t>)</w:t>
      </w:r>
      <w:r w:rsidR="00632A5B" w:rsidRPr="00756020">
        <w:t>:</w:t>
      </w:r>
      <w:proofErr w:type="gramEnd"/>
      <w:r w:rsidR="00632A5B" w:rsidRPr="00756020">
        <w:t xml:space="preserve"> </w:t>
      </w:r>
      <w:r w:rsidR="0065477B" w:rsidRPr="00756020">
        <w:t>authentification, cryptographi</w:t>
      </w:r>
      <w:r w:rsidR="00AF6D06" w:rsidRPr="00756020">
        <w:t>e, sécurité des données, sécurité de la plate-forme du dispositif et sécurité physique.</w:t>
      </w:r>
      <w:r w:rsidR="00B771EF" w:rsidRPr="00756020">
        <w:t xml:space="preserve"> Ces exigences de sécurité </w:t>
      </w:r>
      <w:r w:rsidR="00C044D6" w:rsidRPr="00756020">
        <w:t>reposent sur le modèle de référence de l</w:t>
      </w:r>
      <w:r w:rsidR="00D42595" w:rsidRPr="00756020">
        <w:t>'</w:t>
      </w:r>
      <w:r w:rsidR="00C044D6" w:rsidRPr="00756020">
        <w:t>IoT</w:t>
      </w:r>
      <w:r w:rsidR="008338DD" w:rsidRPr="00756020">
        <w:t xml:space="preserve"> défini dans la [Recommandation UIT-T Y.4100] et sur le cadre de sécurité de l</w:t>
      </w:r>
      <w:r w:rsidR="00D42595" w:rsidRPr="00756020">
        <w:t>'</w:t>
      </w:r>
      <w:r w:rsidR="008338DD" w:rsidRPr="00756020">
        <w:t xml:space="preserve">IoT </w:t>
      </w:r>
      <w:r w:rsidR="00AD6E9B" w:rsidRPr="00756020">
        <w:t>décrit</w:t>
      </w:r>
      <w:r w:rsidR="008338DD" w:rsidRPr="00756020">
        <w:t xml:space="preserve"> dans la [Recommandation UIT-T X.1361].</w:t>
      </w:r>
    </w:p>
    <w:p w14:paraId="24719A8E" w14:textId="3C9565A6" w:rsidR="00243453" w:rsidRPr="00756020" w:rsidRDefault="00243453" w:rsidP="00D143F9">
      <w:pPr>
        <w:pStyle w:val="Heading1"/>
      </w:pPr>
      <w:r w:rsidRPr="00756020">
        <w:t>2</w:t>
      </w:r>
      <w:r w:rsidRPr="00756020">
        <w:tab/>
        <w:t>Projet de nouvelle Recommandation X.1813 (X.5Gsec-vs) [</w:t>
      </w:r>
      <w:hyperlink r:id="rId14" w:history="1">
        <w:r w:rsidRPr="00756020">
          <w:rPr>
            <w:rStyle w:val="Hyperlink"/>
          </w:rPr>
          <w:t>R7</w:t>
        </w:r>
      </w:hyperlink>
      <w:r w:rsidRPr="00756020">
        <w:t>]</w:t>
      </w:r>
    </w:p>
    <w:p w14:paraId="4CFB38F9" w14:textId="3C124267" w:rsidR="00004D37" w:rsidRPr="00756020" w:rsidRDefault="00004D37" w:rsidP="00D143F9">
      <w:r w:rsidRPr="00756020">
        <w:t>Exigences de sécurité applicables à l</w:t>
      </w:r>
      <w:r w:rsidR="00D42595" w:rsidRPr="00756020">
        <w:t>'</w:t>
      </w:r>
      <w:r w:rsidRPr="00756020">
        <w:t xml:space="preserve">exploitation </w:t>
      </w:r>
      <w:r w:rsidR="00FE3527" w:rsidRPr="00756020">
        <w:t xml:space="preserve">des services verticaux </w:t>
      </w:r>
      <w:r w:rsidR="00217C7B" w:rsidRPr="00756020">
        <w:t xml:space="preserve">prenant en charge </w:t>
      </w:r>
      <w:r w:rsidR="009A5469" w:rsidRPr="00756020">
        <w:t>les communications ultra</w:t>
      </w:r>
      <w:r w:rsidR="004C2619" w:rsidRPr="00756020">
        <w:t>-</w:t>
      </w:r>
      <w:r w:rsidR="009A5469" w:rsidRPr="00756020">
        <w:t xml:space="preserve">fiables </w:t>
      </w:r>
      <w:r w:rsidR="004C2619" w:rsidRPr="00756020">
        <w:t>à</w:t>
      </w:r>
      <w:r w:rsidR="009A5469" w:rsidRPr="00756020">
        <w:t xml:space="preserve"> faible temps de latence (URLLC) dans les réseaux IMT-2020 privés</w:t>
      </w:r>
    </w:p>
    <w:p w14:paraId="64C0E2A5" w14:textId="77777777" w:rsidR="00243453" w:rsidRPr="00756020" w:rsidRDefault="00243453" w:rsidP="00D143F9">
      <w:pPr>
        <w:pStyle w:val="headingb"/>
      </w:pPr>
      <w:r w:rsidRPr="00756020">
        <w:t>Résumé</w:t>
      </w:r>
    </w:p>
    <w:p w14:paraId="3490B531" w14:textId="06087552" w:rsidR="006910B2" w:rsidRPr="00756020" w:rsidRDefault="006910B2" w:rsidP="00D143F9">
      <w:pPr>
        <w:rPr>
          <w:szCs w:val="24"/>
        </w:rPr>
      </w:pPr>
      <w:r w:rsidRPr="00756020">
        <w:rPr>
          <w:szCs w:val="24"/>
        </w:rPr>
        <w:t xml:space="preserve">Un réseau IMT-2020 privé, également considéré comme un réseau IMT-2020 non public (NPN), </w:t>
      </w:r>
      <w:r w:rsidR="00C947E8" w:rsidRPr="00756020">
        <w:rPr>
          <w:szCs w:val="24"/>
        </w:rPr>
        <w:t xml:space="preserve">est destiné à </w:t>
      </w:r>
      <w:r w:rsidR="0032690A" w:rsidRPr="00756020">
        <w:rPr>
          <w:szCs w:val="24"/>
        </w:rPr>
        <w:t>être réservé à l</w:t>
      </w:r>
      <w:r w:rsidR="00D42595" w:rsidRPr="00756020">
        <w:rPr>
          <w:szCs w:val="24"/>
        </w:rPr>
        <w:t>'</w:t>
      </w:r>
      <w:r w:rsidR="0032690A" w:rsidRPr="00756020">
        <w:rPr>
          <w:szCs w:val="24"/>
        </w:rPr>
        <w:t>usage d</w:t>
      </w:r>
      <w:r w:rsidR="00D42595" w:rsidRPr="00756020">
        <w:rPr>
          <w:szCs w:val="24"/>
        </w:rPr>
        <w:t>'</w:t>
      </w:r>
      <w:r w:rsidR="00C947E8" w:rsidRPr="00756020">
        <w:rPr>
          <w:szCs w:val="24"/>
        </w:rPr>
        <w:t>une entité privée</w:t>
      </w:r>
      <w:r w:rsidR="004D2604" w:rsidRPr="00756020">
        <w:rPr>
          <w:szCs w:val="24"/>
        </w:rPr>
        <w:t xml:space="preserve">, par exemple une entreprise, et peut être déployé </w:t>
      </w:r>
      <w:r w:rsidR="00E97C11" w:rsidRPr="00756020">
        <w:rPr>
          <w:szCs w:val="24"/>
        </w:rPr>
        <w:t xml:space="preserve">dans diverses configurations, </w:t>
      </w:r>
      <w:r w:rsidR="0032690A" w:rsidRPr="00756020">
        <w:rPr>
          <w:szCs w:val="24"/>
        </w:rPr>
        <w:t>au moyen</w:t>
      </w:r>
      <w:r w:rsidR="00E97C11" w:rsidRPr="00756020">
        <w:rPr>
          <w:szCs w:val="24"/>
        </w:rPr>
        <w:t xml:space="preserve"> d</w:t>
      </w:r>
      <w:r w:rsidR="00D42595" w:rsidRPr="00756020">
        <w:rPr>
          <w:szCs w:val="24"/>
        </w:rPr>
        <w:t>'</w:t>
      </w:r>
      <w:r w:rsidR="008217B7" w:rsidRPr="00756020">
        <w:rPr>
          <w:szCs w:val="24"/>
        </w:rPr>
        <w:t>éléments</w:t>
      </w:r>
      <w:r w:rsidR="00D42595" w:rsidRPr="00756020">
        <w:rPr>
          <w:szCs w:val="24"/>
        </w:rPr>
        <w:t xml:space="preserve"> </w:t>
      </w:r>
      <w:r w:rsidR="008217B7" w:rsidRPr="00756020">
        <w:rPr>
          <w:szCs w:val="24"/>
        </w:rPr>
        <w:t>virtuels</w:t>
      </w:r>
      <w:r w:rsidR="00D42595" w:rsidRPr="00756020">
        <w:rPr>
          <w:szCs w:val="24"/>
        </w:rPr>
        <w:t xml:space="preserve"> </w:t>
      </w:r>
      <w:r w:rsidR="0032690A" w:rsidRPr="00756020">
        <w:rPr>
          <w:szCs w:val="24"/>
        </w:rPr>
        <w:t xml:space="preserve">et </w:t>
      </w:r>
      <w:r w:rsidR="008217B7" w:rsidRPr="00756020">
        <w:rPr>
          <w:szCs w:val="24"/>
        </w:rPr>
        <w:t xml:space="preserve">physiques. </w:t>
      </w:r>
      <w:r w:rsidR="00CC7645" w:rsidRPr="00756020">
        <w:rPr>
          <w:szCs w:val="24"/>
        </w:rPr>
        <w:t xml:space="preserve">Il </w:t>
      </w:r>
      <w:r w:rsidR="0032690A" w:rsidRPr="00756020">
        <w:rPr>
          <w:szCs w:val="24"/>
        </w:rPr>
        <w:t>présentera</w:t>
      </w:r>
      <w:r w:rsidR="00D42595" w:rsidRPr="00756020">
        <w:rPr>
          <w:szCs w:val="24"/>
        </w:rPr>
        <w:t xml:space="preserve"> </w:t>
      </w:r>
      <w:r w:rsidR="00AB0AFA" w:rsidRPr="00756020">
        <w:rPr>
          <w:szCs w:val="24"/>
        </w:rPr>
        <w:t xml:space="preserve">un </w:t>
      </w:r>
      <w:r w:rsidR="0032690A" w:rsidRPr="00756020">
        <w:rPr>
          <w:szCs w:val="24"/>
        </w:rPr>
        <w:t xml:space="preserve">débit </w:t>
      </w:r>
      <w:r w:rsidR="00AB0AFA" w:rsidRPr="00756020">
        <w:rPr>
          <w:szCs w:val="24"/>
        </w:rPr>
        <w:t>élevé</w:t>
      </w:r>
      <w:r w:rsidR="00D42595" w:rsidRPr="00756020">
        <w:rPr>
          <w:szCs w:val="24"/>
        </w:rPr>
        <w:t xml:space="preserve"> </w:t>
      </w:r>
      <w:r w:rsidR="00CF5FA6" w:rsidRPr="00756020">
        <w:rPr>
          <w:szCs w:val="24"/>
        </w:rPr>
        <w:t>et un</w:t>
      </w:r>
      <w:r w:rsidR="00CC7645" w:rsidRPr="00756020">
        <w:rPr>
          <w:szCs w:val="24"/>
        </w:rPr>
        <w:t xml:space="preserve"> faible temps de latence et </w:t>
      </w:r>
      <w:r w:rsidR="00AB0AFA" w:rsidRPr="00756020">
        <w:rPr>
          <w:szCs w:val="24"/>
        </w:rPr>
        <w:t xml:space="preserve">offrira </w:t>
      </w:r>
      <w:r w:rsidR="00CC7645" w:rsidRPr="00756020">
        <w:rPr>
          <w:szCs w:val="24"/>
        </w:rPr>
        <w:t>d</w:t>
      </w:r>
      <w:r w:rsidR="00D42595" w:rsidRPr="00756020">
        <w:rPr>
          <w:szCs w:val="24"/>
        </w:rPr>
        <w:t>'</w:t>
      </w:r>
      <w:r w:rsidR="00CC7645" w:rsidRPr="00756020">
        <w:rPr>
          <w:szCs w:val="24"/>
        </w:rPr>
        <w:t xml:space="preserve">autres avantages </w:t>
      </w:r>
      <w:r w:rsidR="007E0766" w:rsidRPr="00756020">
        <w:rPr>
          <w:szCs w:val="24"/>
        </w:rPr>
        <w:t>des</w:t>
      </w:r>
      <w:r w:rsidR="00763346" w:rsidRPr="00756020">
        <w:rPr>
          <w:szCs w:val="24"/>
        </w:rPr>
        <w:t xml:space="preserve"> IMT-2020</w:t>
      </w:r>
      <w:r w:rsidR="00D42595" w:rsidRPr="00756020">
        <w:rPr>
          <w:szCs w:val="24"/>
        </w:rPr>
        <w:t xml:space="preserve"> </w:t>
      </w:r>
      <w:r w:rsidR="00116E39" w:rsidRPr="00756020">
        <w:rPr>
          <w:szCs w:val="24"/>
        </w:rPr>
        <w:t xml:space="preserve">pour </w:t>
      </w:r>
      <w:r w:rsidR="007E0766" w:rsidRPr="00756020">
        <w:rPr>
          <w:szCs w:val="24"/>
        </w:rPr>
        <w:t>permettre</w:t>
      </w:r>
      <w:r w:rsidR="00D42595" w:rsidRPr="00756020">
        <w:rPr>
          <w:szCs w:val="24"/>
        </w:rPr>
        <w:t xml:space="preserve"> </w:t>
      </w:r>
      <w:r w:rsidR="00116E39" w:rsidRPr="00756020">
        <w:rPr>
          <w:szCs w:val="24"/>
        </w:rPr>
        <w:t xml:space="preserve">les applications de </w:t>
      </w:r>
      <w:r w:rsidR="002A1A9B" w:rsidRPr="00756020">
        <w:rPr>
          <w:szCs w:val="24"/>
        </w:rPr>
        <w:t>prochaine</w:t>
      </w:r>
      <w:r w:rsidR="00116E39" w:rsidRPr="00756020">
        <w:rPr>
          <w:szCs w:val="24"/>
        </w:rPr>
        <w:t xml:space="preserve"> génération.</w:t>
      </w:r>
    </w:p>
    <w:p w14:paraId="29748C4F" w14:textId="669FF6F1" w:rsidR="00094594" w:rsidRPr="00756020" w:rsidRDefault="007E0766" w:rsidP="00D143F9">
      <w:pPr>
        <w:rPr>
          <w:szCs w:val="24"/>
        </w:rPr>
      </w:pPr>
      <w:r w:rsidRPr="00756020">
        <w:rPr>
          <w:szCs w:val="24"/>
        </w:rPr>
        <w:t>Pour les</w:t>
      </w:r>
      <w:r w:rsidR="00094594" w:rsidRPr="00756020">
        <w:rPr>
          <w:szCs w:val="24"/>
        </w:rPr>
        <w:t xml:space="preserve"> services verticaux </w:t>
      </w:r>
      <w:r w:rsidRPr="00756020">
        <w:rPr>
          <w:szCs w:val="24"/>
        </w:rPr>
        <w:t xml:space="preserve">fournis </w:t>
      </w:r>
      <w:r w:rsidR="00497F0F" w:rsidRPr="00756020">
        <w:rPr>
          <w:szCs w:val="24"/>
        </w:rPr>
        <w:t>dans</w:t>
      </w:r>
      <w:r w:rsidR="00094594" w:rsidRPr="00756020">
        <w:rPr>
          <w:szCs w:val="24"/>
        </w:rPr>
        <w:t xml:space="preserve"> les usines intelligentes et les villes intelligentes </w:t>
      </w:r>
      <w:r w:rsidRPr="00756020">
        <w:rPr>
          <w:szCs w:val="24"/>
        </w:rPr>
        <w:t xml:space="preserve">qui </w:t>
      </w:r>
      <w:r w:rsidR="00497F0F" w:rsidRPr="00756020">
        <w:rPr>
          <w:szCs w:val="24"/>
        </w:rPr>
        <w:t>utilis</w:t>
      </w:r>
      <w:r w:rsidRPr="00756020">
        <w:rPr>
          <w:szCs w:val="24"/>
        </w:rPr>
        <w:t>e</w:t>
      </w:r>
      <w:r w:rsidR="00497F0F" w:rsidRPr="00756020">
        <w:rPr>
          <w:szCs w:val="24"/>
        </w:rPr>
        <w:t>nt</w:t>
      </w:r>
      <w:r w:rsidR="001C73DC" w:rsidRPr="00756020">
        <w:rPr>
          <w:szCs w:val="24"/>
        </w:rPr>
        <w:t xml:space="preserve"> un réseau IMT-2020 privé, de nombreux dispositifs de l</w:t>
      </w:r>
      <w:r w:rsidR="00D42595" w:rsidRPr="00756020">
        <w:rPr>
          <w:szCs w:val="24"/>
        </w:rPr>
        <w:t>'</w:t>
      </w:r>
      <w:r w:rsidR="001C73DC" w:rsidRPr="00756020">
        <w:rPr>
          <w:szCs w:val="24"/>
        </w:rPr>
        <w:t xml:space="preserve">Internet des objets (IoT) </w:t>
      </w:r>
      <w:r w:rsidR="000C2735" w:rsidRPr="00756020">
        <w:rPr>
          <w:szCs w:val="24"/>
        </w:rPr>
        <w:t xml:space="preserve">utilisent des communications </w:t>
      </w:r>
      <w:r w:rsidR="00F05287" w:rsidRPr="00756020">
        <w:rPr>
          <w:szCs w:val="24"/>
        </w:rPr>
        <w:t>massives de type machine (</w:t>
      </w:r>
      <w:proofErr w:type="spellStart"/>
      <w:r w:rsidR="00F05287" w:rsidRPr="00756020">
        <w:rPr>
          <w:szCs w:val="24"/>
        </w:rPr>
        <w:t>mMTC</w:t>
      </w:r>
      <w:proofErr w:type="spellEnd"/>
      <w:r w:rsidR="00F05287" w:rsidRPr="00756020">
        <w:rPr>
          <w:szCs w:val="24"/>
        </w:rPr>
        <w:t>) et des communications ultra</w:t>
      </w:r>
      <w:r w:rsidRPr="00756020">
        <w:rPr>
          <w:szCs w:val="24"/>
        </w:rPr>
        <w:t>-</w:t>
      </w:r>
      <w:r w:rsidR="00F05287" w:rsidRPr="00756020">
        <w:rPr>
          <w:szCs w:val="24"/>
        </w:rPr>
        <w:t xml:space="preserve">fiables présentant un faible temps de latence (URLLC). </w:t>
      </w:r>
      <w:r w:rsidR="00811227" w:rsidRPr="00756020">
        <w:rPr>
          <w:szCs w:val="24"/>
        </w:rPr>
        <w:t xml:space="preserve">Ces communications </w:t>
      </w:r>
      <w:r w:rsidR="00A857CF" w:rsidRPr="00756020">
        <w:rPr>
          <w:szCs w:val="24"/>
        </w:rPr>
        <w:t xml:space="preserve">peuvent être </w:t>
      </w:r>
      <w:r w:rsidR="008E7702" w:rsidRPr="00756020">
        <w:rPr>
          <w:szCs w:val="24"/>
        </w:rPr>
        <w:t>exposées</w:t>
      </w:r>
      <w:r w:rsidR="00A857CF" w:rsidRPr="00756020">
        <w:rPr>
          <w:szCs w:val="24"/>
        </w:rPr>
        <w:t xml:space="preserve"> à des menaces de sécurité et aux risques </w:t>
      </w:r>
      <w:r w:rsidR="00AD08E7" w:rsidRPr="00756020">
        <w:rPr>
          <w:szCs w:val="24"/>
        </w:rPr>
        <w:t>qui leur</w:t>
      </w:r>
      <w:r w:rsidR="00524391" w:rsidRPr="00756020">
        <w:rPr>
          <w:szCs w:val="24"/>
        </w:rPr>
        <w:t xml:space="preserve"> sont </w:t>
      </w:r>
      <w:r w:rsidR="005035EE" w:rsidRPr="00756020">
        <w:rPr>
          <w:szCs w:val="24"/>
        </w:rPr>
        <w:t>associés</w:t>
      </w:r>
      <w:r w:rsidR="00A857CF" w:rsidRPr="00756020">
        <w:rPr>
          <w:szCs w:val="24"/>
        </w:rPr>
        <w:t>.</w:t>
      </w:r>
      <w:r w:rsidR="005035EE" w:rsidRPr="00756020">
        <w:rPr>
          <w:szCs w:val="24"/>
        </w:rPr>
        <w:t xml:space="preserve"> </w:t>
      </w:r>
      <w:r w:rsidR="00EB28E1" w:rsidRPr="00756020">
        <w:rPr>
          <w:szCs w:val="24"/>
        </w:rPr>
        <w:t xml:space="preserve">En outre, ces menaces peuvent </w:t>
      </w:r>
      <w:r w:rsidR="00DD5D40" w:rsidRPr="00756020">
        <w:rPr>
          <w:szCs w:val="24"/>
        </w:rPr>
        <w:t>nuire à la stabilité de l</w:t>
      </w:r>
      <w:r w:rsidR="00D42595" w:rsidRPr="00756020">
        <w:rPr>
          <w:szCs w:val="24"/>
        </w:rPr>
        <w:t>'</w:t>
      </w:r>
      <w:r w:rsidR="00DD5D40" w:rsidRPr="00756020">
        <w:rPr>
          <w:szCs w:val="24"/>
        </w:rPr>
        <w:t>exploitation des services verticaux prenant en c</w:t>
      </w:r>
      <w:r w:rsidR="004845B1" w:rsidRPr="00756020">
        <w:rPr>
          <w:szCs w:val="24"/>
        </w:rPr>
        <w:t xml:space="preserve">harge les communications URLLC. Cette stabilité ne peut être garantie </w:t>
      </w:r>
      <w:r w:rsidR="00C20DFB" w:rsidRPr="00756020">
        <w:rPr>
          <w:szCs w:val="24"/>
        </w:rPr>
        <w:t xml:space="preserve">lorsque la qualité de fonctionnement des services verticaux </w:t>
      </w:r>
      <w:r w:rsidR="000E13BB" w:rsidRPr="00756020">
        <w:rPr>
          <w:szCs w:val="24"/>
        </w:rPr>
        <w:t xml:space="preserve">est détériorée </w:t>
      </w:r>
      <w:r w:rsidRPr="00756020">
        <w:rPr>
          <w:szCs w:val="24"/>
        </w:rPr>
        <w:t>en raison</w:t>
      </w:r>
      <w:r w:rsidR="007305C2" w:rsidRPr="00756020">
        <w:rPr>
          <w:szCs w:val="24"/>
        </w:rPr>
        <w:t xml:space="preserve"> de ces risques.</w:t>
      </w:r>
    </w:p>
    <w:p w14:paraId="0CD537C8" w14:textId="0490D678" w:rsidR="000F5EF8" w:rsidRPr="00756020" w:rsidRDefault="000F5EF8" w:rsidP="00D143F9">
      <w:r w:rsidRPr="00756020">
        <w:rPr>
          <w:szCs w:val="24"/>
        </w:rPr>
        <w:t xml:space="preserve">Cette Recommandation </w:t>
      </w:r>
      <w:r w:rsidR="00C05017" w:rsidRPr="00756020">
        <w:rPr>
          <w:szCs w:val="24"/>
        </w:rPr>
        <w:t>définit les exigences de sécurité applicables à l</w:t>
      </w:r>
      <w:r w:rsidR="00D42595" w:rsidRPr="00756020">
        <w:rPr>
          <w:szCs w:val="24"/>
        </w:rPr>
        <w:t>'</w:t>
      </w:r>
      <w:r w:rsidR="00C05017" w:rsidRPr="00756020">
        <w:rPr>
          <w:szCs w:val="24"/>
        </w:rPr>
        <w:t>exploitation des services verticaux prenant en charge les communications URLLC dans les réseaux IMT-2020 privés.</w:t>
      </w:r>
      <w:r w:rsidR="00AE7AFB" w:rsidRPr="00756020">
        <w:rPr>
          <w:szCs w:val="24"/>
        </w:rPr>
        <w:t xml:space="preserve"> </w:t>
      </w:r>
      <w:r w:rsidR="008C1D1C" w:rsidRPr="00756020">
        <w:rPr>
          <w:szCs w:val="24"/>
        </w:rPr>
        <w:t>Elle rec</w:t>
      </w:r>
      <w:r w:rsidR="007030F5" w:rsidRPr="00756020">
        <w:rPr>
          <w:szCs w:val="24"/>
        </w:rPr>
        <w:t xml:space="preserve">ense les menaces et les risques qui apparaissent lors de la fourniture de services verticaux prenant en charge les communications URLLC dans les réseaux IMT-2020 privés et décrit </w:t>
      </w:r>
      <w:r w:rsidR="00797B02" w:rsidRPr="00756020">
        <w:rPr>
          <w:szCs w:val="24"/>
        </w:rPr>
        <w:t xml:space="preserve">des scénarios </w:t>
      </w:r>
      <w:r w:rsidR="007E0766" w:rsidRPr="00756020">
        <w:rPr>
          <w:szCs w:val="24"/>
        </w:rPr>
        <w:t>de</w:t>
      </w:r>
      <w:r w:rsidR="002C7B8B" w:rsidRPr="00756020">
        <w:rPr>
          <w:szCs w:val="24"/>
        </w:rPr>
        <w:t xml:space="preserve"> déploiement de la sécurité </w:t>
      </w:r>
      <w:r w:rsidR="004C60D7" w:rsidRPr="00756020">
        <w:rPr>
          <w:szCs w:val="24"/>
        </w:rPr>
        <w:t>des réseaux IMT-2020 privés, pour l</w:t>
      </w:r>
      <w:r w:rsidR="00D42595" w:rsidRPr="00756020">
        <w:rPr>
          <w:szCs w:val="24"/>
        </w:rPr>
        <w:t>'</w:t>
      </w:r>
      <w:r w:rsidR="004C60D7" w:rsidRPr="00756020">
        <w:rPr>
          <w:szCs w:val="24"/>
        </w:rPr>
        <w:t xml:space="preserve">exploitation des services verticaux prenant en charge les communications URLLC. </w:t>
      </w:r>
      <w:r w:rsidR="003709CF" w:rsidRPr="00756020">
        <w:rPr>
          <w:szCs w:val="24"/>
        </w:rPr>
        <w:t xml:space="preserve">La surveillance </w:t>
      </w:r>
      <w:r w:rsidR="007E0766" w:rsidRPr="00756020">
        <w:rPr>
          <w:szCs w:val="24"/>
        </w:rPr>
        <w:t>des contenus</w:t>
      </w:r>
      <w:r w:rsidR="003709CF" w:rsidRPr="00756020">
        <w:rPr>
          <w:szCs w:val="24"/>
        </w:rPr>
        <w:t xml:space="preserve"> des communications </w:t>
      </w:r>
      <w:r w:rsidR="00886BD2" w:rsidRPr="00756020">
        <w:rPr>
          <w:szCs w:val="24"/>
        </w:rPr>
        <w:t>n</w:t>
      </w:r>
      <w:r w:rsidR="00D42595" w:rsidRPr="00756020">
        <w:rPr>
          <w:szCs w:val="24"/>
        </w:rPr>
        <w:t>'</w:t>
      </w:r>
      <w:r w:rsidR="00886BD2" w:rsidRPr="00756020">
        <w:rPr>
          <w:szCs w:val="24"/>
        </w:rPr>
        <w:t>entre pas dans le cadre de cette Recommandation.</w:t>
      </w:r>
    </w:p>
    <w:p w14:paraId="426E233B" w14:textId="57A3B1F8" w:rsidR="00E4289B" w:rsidRPr="00756020" w:rsidRDefault="00E4289B" w:rsidP="00756020">
      <w:pPr>
        <w:pStyle w:val="Heading1"/>
      </w:pPr>
      <w:r w:rsidRPr="00756020">
        <w:lastRenderedPageBreak/>
        <w:t>3</w:t>
      </w:r>
      <w:r w:rsidRPr="00756020">
        <w:tab/>
      </w:r>
      <w:r w:rsidR="00F24236" w:rsidRPr="00756020">
        <w:t>Projet de nouvelle Recommandation</w:t>
      </w:r>
      <w:r w:rsidRPr="00756020">
        <w:t xml:space="preserve"> X.1814 (X.5Gsec-guide) [</w:t>
      </w:r>
      <w:hyperlink r:id="rId15" w:history="1">
        <w:r w:rsidR="00E62A71" w:rsidRPr="00756020">
          <w:rPr>
            <w:rStyle w:val="Hyperlink"/>
          </w:rPr>
          <w:t>R8</w:t>
        </w:r>
      </w:hyperlink>
      <w:r w:rsidRPr="00756020">
        <w:t>]</w:t>
      </w:r>
    </w:p>
    <w:p w14:paraId="555F8574" w14:textId="3F668BF4" w:rsidR="003451A4" w:rsidRPr="00756020" w:rsidRDefault="003451A4" w:rsidP="00756020">
      <w:pPr>
        <w:keepNext/>
        <w:keepLines/>
        <w:rPr>
          <w:szCs w:val="24"/>
        </w:rPr>
      </w:pPr>
      <w:r w:rsidRPr="00756020">
        <w:rPr>
          <w:szCs w:val="24"/>
        </w:rPr>
        <w:t>Lignes directrices relatives à la sécurité des systèmes de communication IMT-2020</w:t>
      </w:r>
    </w:p>
    <w:p w14:paraId="460723CE" w14:textId="77777777" w:rsidR="00243453" w:rsidRPr="00756020" w:rsidRDefault="00243453" w:rsidP="00756020">
      <w:pPr>
        <w:pStyle w:val="headingb"/>
      </w:pPr>
      <w:r w:rsidRPr="00756020">
        <w:t>Résumé</w:t>
      </w:r>
    </w:p>
    <w:p w14:paraId="4B030413" w14:textId="2FE548B9" w:rsidR="00702159" w:rsidRPr="00756020" w:rsidRDefault="00702159" w:rsidP="00756020">
      <w:pPr>
        <w:keepNext/>
        <w:keepLines/>
        <w:rPr>
          <w:szCs w:val="24"/>
        </w:rPr>
      </w:pPr>
      <w:r w:rsidRPr="00756020">
        <w:rPr>
          <w:szCs w:val="24"/>
        </w:rPr>
        <w:t xml:space="preserve">Les dispositifs </w:t>
      </w:r>
      <w:r w:rsidR="00C459DB" w:rsidRPr="00756020">
        <w:rPr>
          <w:sz w:val="22"/>
          <w:szCs w:val="22"/>
        </w:rPr>
        <w:t xml:space="preserve">IoT </w:t>
      </w:r>
      <w:r w:rsidRPr="00756020">
        <w:rPr>
          <w:szCs w:val="24"/>
        </w:rPr>
        <w:t>connectés</w:t>
      </w:r>
      <w:r w:rsidR="00D42595" w:rsidRPr="00756020">
        <w:rPr>
          <w:szCs w:val="24"/>
        </w:rPr>
        <w:t xml:space="preserve"> </w:t>
      </w:r>
      <w:r w:rsidRPr="00756020">
        <w:rPr>
          <w:szCs w:val="24"/>
        </w:rPr>
        <w:t xml:space="preserve">et les applications mobiles </w:t>
      </w:r>
      <w:r w:rsidR="00951B63" w:rsidRPr="00756020">
        <w:rPr>
          <w:szCs w:val="24"/>
        </w:rPr>
        <w:t xml:space="preserve">nécessitent un accès au réseau </w:t>
      </w:r>
      <w:r w:rsidR="004F7675" w:rsidRPr="00756020">
        <w:rPr>
          <w:szCs w:val="24"/>
        </w:rPr>
        <w:t>hertzien</w:t>
      </w:r>
      <w:r w:rsidR="00C10313" w:rsidRPr="00756020">
        <w:rPr>
          <w:szCs w:val="24"/>
        </w:rPr>
        <w:t xml:space="preserve"> résilient, sûr et</w:t>
      </w:r>
      <w:r w:rsidR="00D42595" w:rsidRPr="00756020">
        <w:rPr>
          <w:szCs w:val="24"/>
        </w:rPr>
        <w:t xml:space="preserve"> </w:t>
      </w:r>
      <w:r w:rsidR="00ED73DC" w:rsidRPr="00756020">
        <w:rPr>
          <w:szCs w:val="24"/>
        </w:rPr>
        <w:t>à</w:t>
      </w:r>
      <w:r w:rsidR="009E604A" w:rsidRPr="00756020">
        <w:rPr>
          <w:szCs w:val="24"/>
        </w:rPr>
        <w:t xml:space="preserve"> </w:t>
      </w:r>
      <w:r w:rsidR="00C459DB" w:rsidRPr="00756020">
        <w:rPr>
          <w:szCs w:val="24"/>
        </w:rPr>
        <w:t xml:space="preserve">même de </w:t>
      </w:r>
      <w:r w:rsidR="009E604A" w:rsidRPr="00756020">
        <w:rPr>
          <w:szCs w:val="24"/>
        </w:rPr>
        <w:t xml:space="preserve">protéger </w:t>
      </w:r>
      <w:r w:rsidR="004D1D6C" w:rsidRPr="00756020">
        <w:rPr>
          <w:szCs w:val="24"/>
        </w:rPr>
        <w:t xml:space="preserve">la vie privée des utilisateurs. </w:t>
      </w:r>
      <w:r w:rsidR="0086345C" w:rsidRPr="00756020">
        <w:rPr>
          <w:szCs w:val="24"/>
        </w:rPr>
        <w:t>Les</w:t>
      </w:r>
      <w:r w:rsidR="00632A30" w:rsidRPr="00756020">
        <w:rPr>
          <w:szCs w:val="24"/>
        </w:rPr>
        <w:t xml:space="preserve"> systèmes de communication IMT-2020 </w:t>
      </w:r>
      <w:r w:rsidR="00466763" w:rsidRPr="00756020">
        <w:rPr>
          <w:szCs w:val="24"/>
        </w:rPr>
        <w:t>devrai</w:t>
      </w:r>
      <w:r w:rsidR="0086345C" w:rsidRPr="00756020">
        <w:rPr>
          <w:szCs w:val="24"/>
        </w:rPr>
        <w:t>en</w:t>
      </w:r>
      <w:r w:rsidR="00466763" w:rsidRPr="00756020">
        <w:rPr>
          <w:szCs w:val="24"/>
        </w:rPr>
        <w:t xml:space="preserve">t </w:t>
      </w:r>
      <w:r w:rsidR="0086345C" w:rsidRPr="00756020">
        <w:rPr>
          <w:szCs w:val="24"/>
        </w:rPr>
        <w:t xml:space="preserve">être conçus de manière à </w:t>
      </w:r>
      <w:r w:rsidR="00BC236B" w:rsidRPr="00756020">
        <w:rPr>
          <w:szCs w:val="24"/>
        </w:rPr>
        <w:t>répondre à ces</w:t>
      </w:r>
      <w:r w:rsidR="00AB4842" w:rsidRPr="00756020">
        <w:rPr>
          <w:szCs w:val="24"/>
        </w:rPr>
        <w:t xml:space="preserve"> exigences </w:t>
      </w:r>
      <w:r w:rsidR="00BC236B" w:rsidRPr="00756020">
        <w:rPr>
          <w:szCs w:val="24"/>
        </w:rPr>
        <w:t xml:space="preserve">de haut niveau. </w:t>
      </w:r>
      <w:r w:rsidR="00751903" w:rsidRPr="00756020">
        <w:rPr>
          <w:szCs w:val="24"/>
        </w:rPr>
        <w:t>Il est nécessaire de définir un cadre de sécurité pour les systèmes de communication IMT-2020</w:t>
      </w:r>
      <w:r w:rsidR="003A1B6E" w:rsidRPr="00756020">
        <w:rPr>
          <w:szCs w:val="24"/>
        </w:rPr>
        <w:t xml:space="preserve">, qui pourrait servir de base </w:t>
      </w:r>
      <w:r w:rsidR="009D24EC" w:rsidRPr="00756020">
        <w:rPr>
          <w:szCs w:val="24"/>
        </w:rPr>
        <w:t>à</w:t>
      </w:r>
      <w:r w:rsidR="003A1B6E" w:rsidRPr="00756020">
        <w:rPr>
          <w:szCs w:val="24"/>
        </w:rPr>
        <w:t xml:space="preserve"> l</w:t>
      </w:r>
      <w:r w:rsidR="00D42595" w:rsidRPr="00756020">
        <w:rPr>
          <w:szCs w:val="24"/>
        </w:rPr>
        <w:t>'</w:t>
      </w:r>
      <w:r w:rsidR="003A1B6E" w:rsidRPr="00756020">
        <w:rPr>
          <w:szCs w:val="24"/>
        </w:rPr>
        <w:t xml:space="preserve">élaboration de </w:t>
      </w:r>
      <w:r w:rsidR="006341B7" w:rsidRPr="00756020">
        <w:rPr>
          <w:szCs w:val="24"/>
        </w:rPr>
        <w:t xml:space="preserve">nouvelles Recommandations techniques détaillées sur les </w:t>
      </w:r>
      <w:r w:rsidR="0086345C" w:rsidRPr="00756020">
        <w:rPr>
          <w:szCs w:val="24"/>
        </w:rPr>
        <w:t>questions de</w:t>
      </w:r>
      <w:r w:rsidR="00D42595" w:rsidRPr="00756020">
        <w:rPr>
          <w:szCs w:val="24"/>
        </w:rPr>
        <w:t xml:space="preserve"> </w:t>
      </w:r>
      <w:r w:rsidR="006341B7" w:rsidRPr="00756020">
        <w:rPr>
          <w:szCs w:val="24"/>
        </w:rPr>
        <w:t>sécurité des IMT-2020.</w:t>
      </w:r>
    </w:p>
    <w:p w14:paraId="0C369871" w14:textId="0D896BFC" w:rsidR="007C2667" w:rsidRPr="00756020" w:rsidRDefault="007C2667" w:rsidP="00D143F9">
      <w:r w:rsidRPr="00756020">
        <w:rPr>
          <w:szCs w:val="24"/>
        </w:rPr>
        <w:t xml:space="preserve">Cette Recommandation identifie tous les éléments </w:t>
      </w:r>
      <w:r w:rsidR="007E18C1" w:rsidRPr="00756020">
        <w:rPr>
          <w:szCs w:val="24"/>
        </w:rPr>
        <w:t xml:space="preserve">relatifs à la sécurité des systèmes de communication IMT-2020 et définit des lignes directrices </w:t>
      </w:r>
      <w:r w:rsidR="00660939" w:rsidRPr="00756020">
        <w:rPr>
          <w:szCs w:val="24"/>
        </w:rPr>
        <w:t xml:space="preserve">sur la sécurité des systèmes de communication IMT-2020. </w:t>
      </w:r>
      <w:r w:rsidR="000706DD" w:rsidRPr="00756020">
        <w:rPr>
          <w:szCs w:val="24"/>
        </w:rPr>
        <w:t xml:space="preserve">Elle </w:t>
      </w:r>
      <w:r w:rsidR="007F25B8" w:rsidRPr="00756020">
        <w:rPr>
          <w:szCs w:val="24"/>
        </w:rPr>
        <w:t xml:space="preserve">décrit une architecture générique des IMT-2020 </w:t>
      </w:r>
      <w:r w:rsidR="009E2058" w:rsidRPr="00756020">
        <w:rPr>
          <w:szCs w:val="24"/>
        </w:rPr>
        <w:t xml:space="preserve">et </w:t>
      </w:r>
      <w:r w:rsidR="00AB5AD7" w:rsidRPr="00756020">
        <w:rPr>
          <w:szCs w:val="24"/>
        </w:rPr>
        <w:t>les</w:t>
      </w:r>
      <w:r w:rsidR="009E2058" w:rsidRPr="00756020">
        <w:rPr>
          <w:szCs w:val="24"/>
        </w:rPr>
        <w:t xml:space="preserve"> d</w:t>
      </w:r>
      <w:r w:rsidR="009348FF" w:rsidRPr="00756020">
        <w:rPr>
          <w:szCs w:val="24"/>
        </w:rPr>
        <w:t>omaines</w:t>
      </w:r>
      <w:r w:rsidR="00D42595" w:rsidRPr="00756020">
        <w:rPr>
          <w:szCs w:val="24"/>
        </w:rPr>
        <w:t xml:space="preserve"> </w:t>
      </w:r>
      <w:r w:rsidR="0086345C" w:rsidRPr="00756020">
        <w:rPr>
          <w:szCs w:val="24"/>
        </w:rPr>
        <w:t>correspondants</w:t>
      </w:r>
      <w:r w:rsidR="009348FF" w:rsidRPr="00756020">
        <w:rPr>
          <w:szCs w:val="24"/>
        </w:rPr>
        <w:t>,</w:t>
      </w:r>
      <w:r w:rsidR="00D42595" w:rsidRPr="00756020">
        <w:rPr>
          <w:szCs w:val="24"/>
        </w:rPr>
        <w:t xml:space="preserve"> </w:t>
      </w:r>
      <w:r w:rsidR="0086345C" w:rsidRPr="00756020">
        <w:rPr>
          <w:szCs w:val="24"/>
        </w:rPr>
        <w:t>recense</w:t>
      </w:r>
      <w:r w:rsidR="009348FF" w:rsidRPr="00756020">
        <w:rPr>
          <w:szCs w:val="24"/>
        </w:rPr>
        <w:t xml:space="preserve"> les menaces qui pèsent sur </w:t>
      </w:r>
      <w:r w:rsidR="0061359E" w:rsidRPr="00756020">
        <w:rPr>
          <w:szCs w:val="24"/>
        </w:rPr>
        <w:t xml:space="preserve">chacun des éléments et </w:t>
      </w:r>
      <w:r w:rsidR="0086345C" w:rsidRPr="00756020">
        <w:rPr>
          <w:szCs w:val="24"/>
        </w:rPr>
        <w:t>des fournit</w:t>
      </w:r>
      <w:r w:rsidR="00D42595" w:rsidRPr="00756020">
        <w:rPr>
          <w:szCs w:val="24"/>
        </w:rPr>
        <w:t xml:space="preserve"> </w:t>
      </w:r>
      <w:r w:rsidR="0061359E" w:rsidRPr="00756020">
        <w:rPr>
          <w:szCs w:val="24"/>
        </w:rPr>
        <w:t>capacités</w:t>
      </w:r>
      <w:r w:rsidR="00D42595" w:rsidRPr="00756020">
        <w:rPr>
          <w:szCs w:val="24"/>
        </w:rPr>
        <w:t xml:space="preserve"> </w:t>
      </w:r>
      <w:r w:rsidR="0061359E" w:rsidRPr="00756020">
        <w:rPr>
          <w:szCs w:val="24"/>
        </w:rPr>
        <w:t>de sécurité</w:t>
      </w:r>
      <w:r w:rsidR="0086345C" w:rsidRPr="00756020">
        <w:rPr>
          <w:szCs w:val="24"/>
        </w:rPr>
        <w:t xml:space="preserve"> pour chacun d</w:t>
      </w:r>
      <w:r w:rsidR="00D42595" w:rsidRPr="00756020">
        <w:rPr>
          <w:szCs w:val="24"/>
        </w:rPr>
        <w:t>'</w:t>
      </w:r>
      <w:r w:rsidR="0086345C" w:rsidRPr="00756020">
        <w:rPr>
          <w:szCs w:val="24"/>
        </w:rPr>
        <w:t>eux</w:t>
      </w:r>
      <w:r w:rsidR="0061359E" w:rsidRPr="00756020">
        <w:rPr>
          <w:szCs w:val="24"/>
        </w:rPr>
        <w:t xml:space="preserve">, en </w:t>
      </w:r>
      <w:r w:rsidR="00E6246A" w:rsidRPr="00756020">
        <w:rPr>
          <w:szCs w:val="24"/>
        </w:rPr>
        <w:t xml:space="preserve">tenant compte </w:t>
      </w:r>
      <w:r w:rsidR="0086345C" w:rsidRPr="00756020">
        <w:rPr>
          <w:szCs w:val="24"/>
        </w:rPr>
        <w:t xml:space="preserve">de la spécificité </w:t>
      </w:r>
      <w:r w:rsidR="00D83CE4" w:rsidRPr="00756020">
        <w:rPr>
          <w:szCs w:val="24"/>
        </w:rPr>
        <w:t>des</w:t>
      </w:r>
      <w:r w:rsidR="00D42595" w:rsidRPr="00756020">
        <w:rPr>
          <w:szCs w:val="24"/>
        </w:rPr>
        <w:t xml:space="preserve"> </w:t>
      </w:r>
      <w:r w:rsidR="0086345C" w:rsidRPr="00756020">
        <w:rPr>
          <w:szCs w:val="24"/>
        </w:rPr>
        <w:t>fonctions</w:t>
      </w:r>
      <w:r w:rsidR="00D83CE4" w:rsidRPr="00756020">
        <w:rPr>
          <w:szCs w:val="24"/>
        </w:rPr>
        <w:t xml:space="preserve"> d</w:t>
      </w:r>
      <w:r w:rsidR="0086345C" w:rsidRPr="00756020">
        <w:rPr>
          <w:szCs w:val="24"/>
        </w:rPr>
        <w:t>u</w:t>
      </w:r>
      <w:r w:rsidR="00D83CE4" w:rsidRPr="00756020">
        <w:rPr>
          <w:szCs w:val="24"/>
        </w:rPr>
        <w:t xml:space="preserve"> réseau.</w:t>
      </w:r>
      <w:r w:rsidR="005D2114" w:rsidRPr="00756020">
        <w:rPr>
          <w:szCs w:val="24"/>
        </w:rPr>
        <w:t xml:space="preserve"> </w:t>
      </w:r>
      <w:r w:rsidR="00F21B21" w:rsidRPr="00756020">
        <w:rPr>
          <w:szCs w:val="24"/>
        </w:rPr>
        <w:t xml:space="preserve">Cette Recommandation est </w:t>
      </w:r>
      <w:r w:rsidR="0086345C" w:rsidRPr="00756020">
        <w:rPr>
          <w:szCs w:val="24"/>
        </w:rPr>
        <w:t xml:space="preserve">fondée </w:t>
      </w:r>
      <w:r w:rsidR="00F21B21" w:rsidRPr="00756020">
        <w:rPr>
          <w:szCs w:val="24"/>
        </w:rPr>
        <w:t>sur l</w:t>
      </w:r>
      <w:r w:rsidR="00D42595" w:rsidRPr="00756020">
        <w:rPr>
          <w:szCs w:val="24"/>
        </w:rPr>
        <w:t>'</w:t>
      </w:r>
      <w:r w:rsidR="00F21B21" w:rsidRPr="00756020">
        <w:rPr>
          <w:szCs w:val="24"/>
        </w:rPr>
        <w:t>architecture de sécurité de la 5G</w:t>
      </w:r>
      <w:r w:rsidR="00D42595" w:rsidRPr="00756020">
        <w:rPr>
          <w:szCs w:val="24"/>
        </w:rPr>
        <w:t xml:space="preserve"> </w:t>
      </w:r>
      <w:r w:rsidR="00E178B1" w:rsidRPr="00756020">
        <w:rPr>
          <w:szCs w:val="24"/>
        </w:rPr>
        <w:t>élaborée par le 3GPP.</w:t>
      </w:r>
    </w:p>
    <w:p w14:paraId="7D5F5895" w14:textId="77777777" w:rsidR="00243453" w:rsidRPr="00756020" w:rsidRDefault="00243453" w:rsidP="00D143F9">
      <w:r w:rsidRPr="00756020">
        <w:br w:type="page"/>
      </w:r>
    </w:p>
    <w:p w14:paraId="4DD650FA" w14:textId="733496D9" w:rsidR="00243453" w:rsidRPr="00756020" w:rsidRDefault="00243453" w:rsidP="00D143F9">
      <w:pPr>
        <w:pStyle w:val="Annextitle0"/>
        <w:rPr>
          <w:lang w:val="fr-FR"/>
        </w:rPr>
      </w:pPr>
      <w:r w:rsidRPr="00756020">
        <w:rPr>
          <w:lang w:val="fr-FR"/>
        </w:rPr>
        <w:lastRenderedPageBreak/>
        <w:t>Annexe 2</w:t>
      </w:r>
      <w:r w:rsidRPr="00756020">
        <w:rPr>
          <w:lang w:val="fr-FR"/>
        </w:rPr>
        <w:br/>
      </w:r>
      <w:r w:rsidRPr="00756020">
        <w:rPr>
          <w:lang w:val="fr-FR"/>
        </w:rPr>
        <w:br/>
      </w:r>
      <w:proofErr w:type="gramStart"/>
      <w:r w:rsidRPr="00756020">
        <w:rPr>
          <w:lang w:val="fr-FR"/>
        </w:rPr>
        <w:t>Objet:</w:t>
      </w:r>
      <w:proofErr w:type="gramEnd"/>
      <w:r w:rsidRPr="00756020">
        <w:rPr>
          <w:lang w:val="fr-FR"/>
        </w:rPr>
        <w:t xml:space="preserve"> Réponse des États Membres à la Circulaire TSB </w:t>
      </w:r>
      <w:r w:rsidR="00094327" w:rsidRPr="00756020">
        <w:rPr>
          <w:lang w:val="fr-FR"/>
        </w:rPr>
        <w:t>17</w:t>
      </w:r>
      <w:r w:rsidRPr="00756020">
        <w:rPr>
          <w:lang w:val="fr-FR"/>
        </w:rPr>
        <w:t>:</w:t>
      </w:r>
      <w:r w:rsidRPr="00756020">
        <w:rPr>
          <w:lang w:val="fr-FR"/>
        </w:rPr>
        <w:br/>
        <w:t xml:space="preserve">Consultation au sujet des textes déterminés des projets de </w:t>
      </w:r>
      <w:r w:rsidR="00756020" w:rsidRPr="00756020">
        <w:rPr>
          <w:lang w:val="fr-FR"/>
        </w:rPr>
        <w:br/>
      </w:r>
      <w:r w:rsidRPr="00756020">
        <w:rPr>
          <w:lang w:val="fr-FR"/>
        </w:rPr>
        <w:t xml:space="preserve">nouvelles Recommandations UIT-T </w:t>
      </w:r>
      <w:r w:rsidR="00327099" w:rsidRPr="00756020">
        <w:rPr>
          <w:lang w:val="fr-FR"/>
        </w:rPr>
        <w:t>X.1352 (X.iotsec</w:t>
      </w:r>
      <w:r w:rsidR="00327099" w:rsidRPr="00756020">
        <w:rPr>
          <w:lang w:val="fr-FR"/>
        </w:rPr>
        <w:noBreakHyphen/>
        <w:t xml:space="preserve">4), </w:t>
      </w:r>
      <w:r w:rsidR="00756020" w:rsidRPr="00756020">
        <w:rPr>
          <w:lang w:val="fr-FR"/>
        </w:rPr>
        <w:br/>
      </w:r>
      <w:r w:rsidR="00327099" w:rsidRPr="00756020">
        <w:rPr>
          <w:lang w:val="fr-FR"/>
        </w:rPr>
        <w:t xml:space="preserve">X.1813 (X.5Gsec-vs) </w:t>
      </w:r>
      <w:r w:rsidR="00761601" w:rsidRPr="00756020">
        <w:rPr>
          <w:lang w:val="fr-FR"/>
        </w:rPr>
        <w:t xml:space="preserve">et </w:t>
      </w:r>
      <w:r w:rsidR="00327099" w:rsidRPr="00756020">
        <w:rPr>
          <w:lang w:val="fr-FR"/>
        </w:rPr>
        <w:t>X.1814 (X.5Gsec-guide)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2976"/>
      </w:tblGrid>
      <w:tr w:rsidR="00243453" w:rsidRPr="00756020" w14:paraId="66D563B5" w14:textId="77777777" w:rsidTr="0079092C">
        <w:tc>
          <w:tcPr>
            <w:tcW w:w="1276" w:type="dxa"/>
            <w:shd w:val="clear" w:color="auto" w:fill="auto"/>
          </w:tcPr>
          <w:p w14:paraId="31ED629C" w14:textId="77777777" w:rsidR="00243453" w:rsidRPr="00756020" w:rsidRDefault="00243453" w:rsidP="00756020">
            <w:pPr>
              <w:jc w:val="right"/>
            </w:pPr>
            <w:proofErr w:type="gramStart"/>
            <w:r w:rsidRPr="00756020">
              <w:rPr>
                <w:b/>
                <w:bCs/>
              </w:rPr>
              <w:t>Au</w:t>
            </w:r>
            <w:r w:rsidRPr="00756020">
              <w:t>: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7AECC1B3" w14:textId="77777777" w:rsidR="00243453" w:rsidRPr="00756020" w:rsidRDefault="00243453" w:rsidP="00756020">
            <w:pPr>
              <w:rPr>
                <w:bCs/>
              </w:rPr>
            </w:pPr>
            <w:r w:rsidRPr="00756020">
              <w:rPr>
                <w:bCs/>
              </w:rPr>
              <w:t>Directeur du Bureau de la normalisation des télécommunications</w:t>
            </w:r>
          </w:p>
          <w:p w14:paraId="67CFF7B8" w14:textId="77777777" w:rsidR="00243453" w:rsidRPr="00756020" w:rsidRDefault="00243453" w:rsidP="00756020">
            <w:pPr>
              <w:spacing w:before="0"/>
              <w:rPr>
                <w:bCs/>
              </w:rPr>
            </w:pPr>
            <w:r w:rsidRPr="00756020">
              <w:rPr>
                <w:bCs/>
              </w:rPr>
              <w:t xml:space="preserve">Union internationale des </w:t>
            </w:r>
            <w:r w:rsidRPr="00756020">
              <w:rPr>
                <w:bCs/>
              </w:rPr>
              <w:br/>
              <w:t>télécommunications</w:t>
            </w:r>
          </w:p>
          <w:p w14:paraId="305F4C40" w14:textId="77777777" w:rsidR="00243453" w:rsidRPr="00756020" w:rsidRDefault="00243453" w:rsidP="00756020">
            <w:pPr>
              <w:spacing w:before="0"/>
              <w:rPr>
                <w:bCs/>
              </w:rPr>
            </w:pPr>
            <w:r w:rsidRPr="00756020">
              <w:rPr>
                <w:bCs/>
              </w:rPr>
              <w:t>Place des Nations</w:t>
            </w:r>
          </w:p>
          <w:p w14:paraId="52FCF722" w14:textId="77777777" w:rsidR="00243453" w:rsidRPr="00756020" w:rsidRDefault="00243453" w:rsidP="00756020">
            <w:pPr>
              <w:spacing w:before="0" w:after="120"/>
            </w:pPr>
            <w:r w:rsidRPr="00756020">
              <w:rPr>
                <w:bCs/>
              </w:rPr>
              <w:t>CH-1211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DA1C2EB" w14:textId="77777777" w:rsidR="00243453" w:rsidRPr="00756020" w:rsidRDefault="00243453" w:rsidP="00756020">
            <w:pPr>
              <w:jc w:val="right"/>
            </w:pPr>
            <w:proofErr w:type="gramStart"/>
            <w:r w:rsidRPr="00756020">
              <w:rPr>
                <w:b/>
                <w:bCs/>
              </w:rPr>
              <w:t>De</w:t>
            </w:r>
            <w:r w:rsidRPr="00756020">
              <w:rPr>
                <w:bCs/>
              </w:rPr>
              <w:t>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51BF9CF8" w14:textId="77777777" w:rsidR="00243453" w:rsidRPr="00756020" w:rsidRDefault="00243453" w:rsidP="00756020">
            <w:pPr>
              <w:rPr>
                <w:bCs/>
                <w:highlight w:val="green"/>
              </w:rPr>
            </w:pPr>
            <w:r w:rsidRPr="00756020">
              <w:rPr>
                <w:bCs/>
                <w:highlight w:val="green"/>
              </w:rPr>
              <w:t>[Nom]</w:t>
            </w:r>
          </w:p>
          <w:p w14:paraId="3EF5A9A4" w14:textId="77777777" w:rsidR="00243453" w:rsidRPr="00756020" w:rsidRDefault="00243453" w:rsidP="00756020">
            <w:pPr>
              <w:spacing w:before="0"/>
              <w:rPr>
                <w:bCs/>
                <w:highlight w:val="green"/>
              </w:rPr>
            </w:pPr>
            <w:r w:rsidRPr="00756020">
              <w:rPr>
                <w:bCs/>
                <w:highlight w:val="green"/>
              </w:rPr>
              <w:t>[Rôle/titre officiel]</w:t>
            </w:r>
          </w:p>
          <w:p w14:paraId="7179C05B" w14:textId="77777777" w:rsidR="00243453" w:rsidRPr="00756020" w:rsidRDefault="00243453" w:rsidP="00756020">
            <w:pPr>
              <w:spacing w:before="0"/>
            </w:pPr>
            <w:r w:rsidRPr="00756020">
              <w:rPr>
                <w:bCs/>
                <w:highlight w:val="green"/>
              </w:rPr>
              <w:t>[Adresse]</w:t>
            </w:r>
          </w:p>
        </w:tc>
      </w:tr>
      <w:tr w:rsidR="00243453" w:rsidRPr="00756020" w14:paraId="795E76D6" w14:textId="77777777" w:rsidTr="0079092C">
        <w:trPr>
          <w:trHeight w:val="770"/>
        </w:trPr>
        <w:tc>
          <w:tcPr>
            <w:tcW w:w="1276" w:type="dxa"/>
            <w:shd w:val="clear" w:color="auto" w:fill="auto"/>
          </w:tcPr>
          <w:p w14:paraId="235F1250" w14:textId="77777777" w:rsidR="00243453" w:rsidRPr="00756020" w:rsidRDefault="00243453" w:rsidP="00756020">
            <w:pPr>
              <w:jc w:val="right"/>
            </w:pPr>
            <w:proofErr w:type="gramStart"/>
            <w:r w:rsidRPr="00756020">
              <w:rPr>
                <w:b/>
                <w:bCs/>
              </w:rPr>
              <w:t>Télécopie</w:t>
            </w:r>
            <w:r w:rsidRPr="00756020">
              <w:rPr>
                <w:bCs/>
              </w:rPr>
              <w:t>:</w:t>
            </w:r>
            <w:proofErr w:type="gramEnd"/>
            <w:r w:rsidRPr="00756020">
              <w:rPr>
                <w:bCs/>
              </w:rPr>
              <w:br/>
            </w:r>
            <w:r w:rsidRPr="00756020">
              <w:rPr>
                <w:b/>
                <w:bCs/>
              </w:rPr>
              <w:t>Courriel</w:t>
            </w:r>
            <w:r w:rsidRPr="00756020">
              <w:rPr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114E4EB2" w14:textId="77777777" w:rsidR="00243453" w:rsidRPr="00756020" w:rsidRDefault="00243453" w:rsidP="00756020">
            <w:r w:rsidRPr="00756020">
              <w:rPr>
                <w:bCs/>
              </w:rPr>
              <w:t>+41 22 730 5853</w:t>
            </w:r>
            <w:r w:rsidRPr="00756020">
              <w:rPr>
                <w:bCs/>
              </w:rPr>
              <w:br/>
            </w:r>
            <w:hyperlink r:id="rId16" w:history="1">
              <w:r w:rsidRPr="00756020">
                <w:rPr>
                  <w:rStyle w:val="Hyperlink"/>
                  <w:bCs/>
                </w:rPr>
                <w:t>tsbdir@itu.int</w:t>
              </w:r>
            </w:hyperlink>
            <w:r w:rsidRPr="00756020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42DCF05" w14:textId="77777777" w:rsidR="00243453" w:rsidRPr="00756020" w:rsidRDefault="00243453" w:rsidP="00756020">
            <w:pPr>
              <w:jc w:val="right"/>
            </w:pPr>
            <w:proofErr w:type="gramStart"/>
            <w:r w:rsidRPr="00756020">
              <w:rPr>
                <w:b/>
                <w:bCs/>
              </w:rPr>
              <w:t>Télécopie</w:t>
            </w:r>
            <w:r w:rsidRPr="00756020">
              <w:t>:</w:t>
            </w:r>
            <w:proofErr w:type="gramEnd"/>
            <w:r w:rsidRPr="00756020">
              <w:rPr>
                <w:b/>
                <w:bCs/>
              </w:rPr>
              <w:br/>
              <w:t>Courriel</w:t>
            </w:r>
            <w:r w:rsidRPr="00756020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6C6BA9D0" w14:textId="77777777" w:rsidR="00243453" w:rsidRPr="00756020" w:rsidRDefault="00243453" w:rsidP="00756020"/>
        </w:tc>
      </w:tr>
      <w:tr w:rsidR="00243453" w:rsidRPr="00756020" w14:paraId="0526A468" w14:textId="77777777" w:rsidTr="0079092C">
        <w:trPr>
          <w:trHeight w:val="543"/>
        </w:trPr>
        <w:tc>
          <w:tcPr>
            <w:tcW w:w="1276" w:type="dxa"/>
            <w:shd w:val="clear" w:color="auto" w:fill="auto"/>
          </w:tcPr>
          <w:p w14:paraId="3801EDB3" w14:textId="77777777" w:rsidR="00243453" w:rsidRPr="00756020" w:rsidRDefault="00243453" w:rsidP="00756020">
            <w:pPr>
              <w:jc w:val="right"/>
              <w:rPr>
                <w:b/>
                <w:bCs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3D08AC8B" w14:textId="77777777" w:rsidR="00243453" w:rsidRPr="00756020" w:rsidRDefault="00243453" w:rsidP="00756020">
            <w:pPr>
              <w:rPr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0D01309" w14:textId="77777777" w:rsidR="00243453" w:rsidRPr="00756020" w:rsidRDefault="00243453" w:rsidP="00756020">
            <w:pPr>
              <w:jc w:val="right"/>
              <w:rPr>
                <w:b/>
                <w:bCs/>
              </w:rPr>
            </w:pPr>
            <w:proofErr w:type="gramStart"/>
            <w:r w:rsidRPr="00756020">
              <w:rPr>
                <w:b/>
                <w:bCs/>
              </w:rPr>
              <w:t>Date: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1976FF23" w14:textId="77777777" w:rsidR="00243453" w:rsidRPr="00756020" w:rsidRDefault="00243453" w:rsidP="00756020">
            <w:r w:rsidRPr="00756020">
              <w:rPr>
                <w:highlight w:val="green"/>
              </w:rPr>
              <w:t>[Lieu,] [Date]</w:t>
            </w:r>
          </w:p>
        </w:tc>
      </w:tr>
    </w:tbl>
    <w:p w14:paraId="367DD038" w14:textId="77777777" w:rsidR="00243453" w:rsidRPr="00756020" w:rsidRDefault="00243453" w:rsidP="007802EF">
      <w:pPr>
        <w:spacing w:before="240"/>
      </w:pPr>
      <w:r w:rsidRPr="00756020">
        <w:t>Madame, Monsieur,</w:t>
      </w:r>
    </w:p>
    <w:p w14:paraId="13A9D527" w14:textId="57B862FE" w:rsidR="00243453" w:rsidRPr="00756020" w:rsidRDefault="00243453" w:rsidP="00756020">
      <w:pPr>
        <w:spacing w:after="240"/>
      </w:pPr>
      <w:r w:rsidRPr="00756020">
        <w:t xml:space="preserve">Dans le cadre de la consultation des États Membres au sujet des projets de textes déterminés dont il est question dans la Circulaire TSB </w:t>
      </w:r>
      <w:r w:rsidR="00327099" w:rsidRPr="00756020">
        <w:t>17</w:t>
      </w:r>
      <w:r w:rsidRPr="00756020">
        <w:t>, je souhaite vous faire connaître par la présente</w:t>
      </w:r>
      <w:r w:rsidR="00D42595" w:rsidRPr="00756020">
        <w:t xml:space="preserve"> </w:t>
      </w:r>
      <w:r w:rsidR="0086345C" w:rsidRPr="00756020">
        <w:t>le point de vue</w:t>
      </w:r>
      <w:r w:rsidR="00D42595" w:rsidRPr="00756020">
        <w:t xml:space="preserve"> </w:t>
      </w:r>
      <w:r w:rsidRPr="00756020">
        <w:t>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503"/>
      </w:tblGrid>
      <w:tr w:rsidR="00243453" w:rsidRPr="00756020" w14:paraId="39091D87" w14:textId="77777777" w:rsidTr="0079092C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756306B7" w14:textId="77777777" w:rsidR="00243453" w:rsidRPr="00756020" w:rsidRDefault="00243453" w:rsidP="00D143F9">
            <w:pPr>
              <w:rPr>
                <w:b/>
                <w:bCs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73059A9B" w14:textId="57B16F99" w:rsidR="00243453" w:rsidRPr="00756020" w:rsidRDefault="00243453" w:rsidP="00D143F9">
            <w:pPr>
              <w:pStyle w:val="TableHead"/>
            </w:pPr>
            <w:r w:rsidRPr="00756020">
              <w:t>Cochez l</w:t>
            </w:r>
            <w:r w:rsidR="00D42595" w:rsidRPr="00756020">
              <w:t>'</w:t>
            </w:r>
            <w:r w:rsidRPr="00756020">
              <w:t>une des deux cases pour chaque texte</w:t>
            </w:r>
          </w:p>
        </w:tc>
      </w:tr>
      <w:tr w:rsidR="00243453" w:rsidRPr="00756020" w14:paraId="6250FBD3" w14:textId="77777777" w:rsidTr="0079092C">
        <w:trPr>
          <w:trHeight w:val="748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2DBE8934" w14:textId="473205CF" w:rsidR="00243453" w:rsidRPr="00756020" w:rsidRDefault="00243453" w:rsidP="00D143F9">
            <w:pPr>
              <w:pStyle w:val="TableHead"/>
            </w:pPr>
            <w:r w:rsidRPr="00756020">
              <w:t>Projet de nouvelle Recommandation UIT-T X.</w:t>
            </w:r>
            <w:r w:rsidR="00327099" w:rsidRPr="00756020">
              <w:t>1352</w:t>
            </w:r>
            <w:r w:rsidRPr="00756020">
              <w:rPr>
                <w:bCs/>
              </w:rPr>
              <w:t xml:space="preserve"> (</w:t>
            </w:r>
            <w:proofErr w:type="gramStart"/>
            <w:r w:rsidR="00327099" w:rsidRPr="00756020">
              <w:rPr>
                <w:bCs/>
              </w:rPr>
              <w:t>X.iotsec</w:t>
            </w:r>
            <w:proofErr w:type="gramEnd"/>
            <w:r w:rsidR="00327099" w:rsidRPr="00756020">
              <w:rPr>
                <w:bCs/>
              </w:rPr>
              <w:t>-4</w:t>
            </w:r>
            <w:r w:rsidRPr="00756020">
              <w:rPr>
                <w:bCs/>
              </w:rPr>
              <w:t>)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01A25C79" w14:textId="2598D67C" w:rsidR="00243453" w:rsidRPr="00756020" w:rsidRDefault="00243453" w:rsidP="00D143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7560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020">
              <w:instrText xml:space="preserve"> FORMCHECKBOX </w:instrText>
            </w:r>
            <w:r w:rsidR="004353C6">
              <w:fldChar w:fldCharType="separate"/>
            </w:r>
            <w:r w:rsidRPr="00756020">
              <w:fldChar w:fldCharType="end"/>
            </w:r>
            <w:r w:rsidRPr="00756020">
              <w:tab/>
            </w:r>
            <w:proofErr w:type="gramStart"/>
            <w:r w:rsidRPr="00756020">
              <w:rPr>
                <w:b/>
                <w:bCs/>
              </w:rPr>
              <w:t>autorise</w:t>
            </w:r>
            <w:proofErr w:type="gramEnd"/>
            <w:r w:rsidRPr="00756020">
              <w:t xml:space="preserve"> la Commission d</w:t>
            </w:r>
            <w:r w:rsidR="00D42595" w:rsidRPr="00756020">
              <w:t>'</w:t>
            </w:r>
            <w:r w:rsidRPr="00756020">
              <w:t>études 17 à procéder à l</w:t>
            </w:r>
            <w:r w:rsidR="00D42595" w:rsidRPr="00756020">
              <w:t>'</w:t>
            </w:r>
            <w:r w:rsidRPr="00756020">
              <w:t>examen de ce document en vue de son approbation (dans ce cas, sélectionnez l</w:t>
            </w:r>
            <w:r w:rsidR="00D42595" w:rsidRPr="00756020">
              <w:t>'</w:t>
            </w:r>
            <w:r w:rsidRPr="00756020">
              <w:t>une des deux options ⃝):</w:t>
            </w:r>
          </w:p>
          <w:p w14:paraId="4CC2337F" w14:textId="77777777" w:rsidR="00243453" w:rsidRPr="00756020" w:rsidRDefault="00243453" w:rsidP="00D143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56020">
              <w:tab/>
              <w:t>⃝</w:t>
            </w:r>
            <w:r w:rsidRPr="00756020">
              <w:tab/>
              <w:t>Pas de commentaire ou de proposition de modification</w:t>
            </w:r>
          </w:p>
          <w:p w14:paraId="513E690D" w14:textId="77777777" w:rsidR="00243453" w:rsidRPr="00756020" w:rsidRDefault="00243453" w:rsidP="00D143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756020">
              <w:tab/>
              <w:t>⃝</w:t>
            </w:r>
            <w:r w:rsidRPr="00756020">
              <w:tab/>
              <w:t xml:space="preserve">Des commentaires ou propositions de modification sont joints à </w:t>
            </w:r>
            <w:r w:rsidRPr="00756020">
              <w:tab/>
              <w:t>la présente</w:t>
            </w:r>
          </w:p>
        </w:tc>
      </w:tr>
      <w:tr w:rsidR="00243453" w:rsidRPr="00756020" w14:paraId="1C015F32" w14:textId="77777777" w:rsidTr="0079092C">
        <w:trPr>
          <w:trHeight w:val="748"/>
        </w:trPr>
        <w:tc>
          <w:tcPr>
            <w:tcW w:w="2137" w:type="dxa"/>
            <w:vMerge/>
            <w:shd w:val="clear" w:color="auto" w:fill="auto"/>
            <w:vAlign w:val="center"/>
          </w:tcPr>
          <w:p w14:paraId="57D9C144" w14:textId="77777777" w:rsidR="00243453" w:rsidRPr="00756020" w:rsidRDefault="00243453" w:rsidP="00D143F9">
            <w:pPr>
              <w:rPr>
                <w:b/>
              </w:rPr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57D831F5" w14:textId="73A71316" w:rsidR="00243453" w:rsidRPr="00756020" w:rsidRDefault="00243453" w:rsidP="00D143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7560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020">
              <w:instrText xml:space="preserve"> FORMCHECKBOX </w:instrText>
            </w:r>
            <w:r w:rsidR="004353C6">
              <w:fldChar w:fldCharType="separate"/>
            </w:r>
            <w:r w:rsidRPr="00756020">
              <w:fldChar w:fldCharType="end"/>
            </w:r>
            <w:r w:rsidRPr="00756020">
              <w:tab/>
            </w:r>
            <w:proofErr w:type="gramStart"/>
            <w:r w:rsidRPr="00756020">
              <w:rPr>
                <w:b/>
                <w:bCs/>
              </w:rPr>
              <w:t>n</w:t>
            </w:r>
            <w:r w:rsidR="00D42595" w:rsidRPr="00756020">
              <w:rPr>
                <w:b/>
                <w:bCs/>
              </w:rPr>
              <w:t>'</w:t>
            </w:r>
            <w:r w:rsidRPr="00756020">
              <w:rPr>
                <w:b/>
                <w:bCs/>
              </w:rPr>
              <w:t>autorise</w:t>
            </w:r>
            <w:proofErr w:type="gramEnd"/>
            <w:r w:rsidRPr="00756020">
              <w:rPr>
                <w:b/>
                <w:bCs/>
              </w:rPr>
              <w:t xml:space="preserve"> pas</w:t>
            </w:r>
            <w:r w:rsidRPr="00756020">
              <w:t xml:space="preserve"> la Commission d</w:t>
            </w:r>
            <w:r w:rsidR="00D42595" w:rsidRPr="00756020">
              <w:t>'</w:t>
            </w:r>
            <w:r w:rsidRPr="00756020">
              <w:t>études 17 à procéder à l</w:t>
            </w:r>
            <w:r w:rsidR="00D42595" w:rsidRPr="00756020">
              <w:t>'</w:t>
            </w:r>
            <w:r w:rsidRPr="00756020">
              <w:t xml:space="preserve">examen de ce </w:t>
            </w:r>
            <w:r w:rsidR="0086345C" w:rsidRPr="00756020">
              <w:t xml:space="preserve">texte </w:t>
            </w:r>
            <w:r w:rsidRPr="00756020">
              <w:t>en vue de son approbation (les motifs de cette décision et une description des éventuelles modifications qui permettraient la poursuite des travaux sont joints à la présente)</w:t>
            </w:r>
          </w:p>
        </w:tc>
      </w:tr>
      <w:tr w:rsidR="00327099" w:rsidRPr="00756020" w14:paraId="57845CC6" w14:textId="77777777" w:rsidTr="00327099">
        <w:trPr>
          <w:trHeight w:val="557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2C2A323D" w14:textId="2CAABFF8" w:rsidR="00327099" w:rsidRPr="00756020" w:rsidRDefault="00327099" w:rsidP="007802EF">
            <w:pPr>
              <w:pStyle w:val="TableHead"/>
              <w:keepNext w:val="0"/>
            </w:pPr>
            <w:r w:rsidRPr="00756020">
              <w:t>Projet de nouvelle Recommandation UIT</w:t>
            </w:r>
            <w:r w:rsidRPr="00756020">
              <w:rPr>
                <w:szCs w:val="22"/>
              </w:rPr>
              <w:t xml:space="preserve">-T </w:t>
            </w:r>
            <w:r w:rsidRPr="00756020">
              <w:rPr>
                <w:bCs/>
              </w:rPr>
              <w:t>X.1813</w:t>
            </w:r>
            <w:r w:rsidRPr="00756020">
              <w:rPr>
                <w:bCs/>
              </w:rPr>
              <w:br/>
              <w:t>(X.5Gsec-vs)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745E0363" w14:textId="1B091C54" w:rsidR="00327099" w:rsidRPr="00756020" w:rsidRDefault="00327099" w:rsidP="007802E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7560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020">
              <w:instrText xml:space="preserve"> FORMCHECKBOX </w:instrText>
            </w:r>
            <w:r w:rsidR="004353C6">
              <w:fldChar w:fldCharType="separate"/>
            </w:r>
            <w:r w:rsidRPr="00756020">
              <w:fldChar w:fldCharType="end"/>
            </w:r>
            <w:r w:rsidRPr="00756020">
              <w:tab/>
            </w:r>
            <w:proofErr w:type="gramStart"/>
            <w:r w:rsidRPr="00756020">
              <w:rPr>
                <w:b/>
                <w:bCs/>
              </w:rPr>
              <w:t>autorise</w:t>
            </w:r>
            <w:proofErr w:type="gramEnd"/>
            <w:r w:rsidRPr="00756020">
              <w:t xml:space="preserve"> la Commission d</w:t>
            </w:r>
            <w:r w:rsidR="00D42595" w:rsidRPr="00756020">
              <w:t>'</w:t>
            </w:r>
            <w:r w:rsidRPr="00756020">
              <w:t>études 17 à procéder à l</w:t>
            </w:r>
            <w:r w:rsidR="00D42595" w:rsidRPr="00756020">
              <w:t>'</w:t>
            </w:r>
            <w:r w:rsidRPr="00756020">
              <w:t xml:space="preserve">examen de ce </w:t>
            </w:r>
            <w:r w:rsidR="00CD7927" w:rsidRPr="00756020">
              <w:t xml:space="preserve">texte </w:t>
            </w:r>
            <w:r w:rsidRPr="00756020">
              <w:t>en vue de son approbation (dans ce cas, sélectionnez l</w:t>
            </w:r>
            <w:r w:rsidR="00D42595" w:rsidRPr="00756020">
              <w:t>'</w:t>
            </w:r>
            <w:r w:rsidRPr="00756020">
              <w:t>une des deux options ⃝):</w:t>
            </w:r>
          </w:p>
          <w:p w14:paraId="55B4E440" w14:textId="77777777" w:rsidR="00327099" w:rsidRPr="00756020" w:rsidRDefault="00327099" w:rsidP="007802E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56020">
              <w:tab/>
              <w:t>⃝</w:t>
            </w:r>
            <w:r w:rsidRPr="00756020">
              <w:tab/>
              <w:t>Pas de commentaire ou de proposition de modification</w:t>
            </w:r>
          </w:p>
          <w:p w14:paraId="69D62633" w14:textId="17A54BAF" w:rsidR="00327099" w:rsidRPr="00756020" w:rsidRDefault="00327099" w:rsidP="007802E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756020">
              <w:tab/>
              <w:t>⃝</w:t>
            </w:r>
            <w:r w:rsidRPr="00756020">
              <w:tab/>
              <w:t xml:space="preserve">Des commentaires ou propositions de modification sont joints à </w:t>
            </w:r>
            <w:r w:rsidRPr="00756020">
              <w:tab/>
              <w:t>la présente</w:t>
            </w:r>
          </w:p>
        </w:tc>
      </w:tr>
      <w:tr w:rsidR="00327099" w:rsidRPr="00756020" w14:paraId="711409ED" w14:textId="77777777" w:rsidTr="0079092C">
        <w:trPr>
          <w:trHeight w:val="557"/>
        </w:trPr>
        <w:tc>
          <w:tcPr>
            <w:tcW w:w="2137" w:type="dxa"/>
            <w:vMerge/>
            <w:shd w:val="clear" w:color="auto" w:fill="auto"/>
            <w:vAlign w:val="center"/>
          </w:tcPr>
          <w:p w14:paraId="7728F6D3" w14:textId="77777777" w:rsidR="00327099" w:rsidRPr="00756020" w:rsidRDefault="00327099" w:rsidP="007802EF">
            <w:pPr>
              <w:pStyle w:val="TableHead"/>
              <w:keepNext w:val="0"/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7991FFEC" w14:textId="7013D2EF" w:rsidR="00327099" w:rsidRPr="00756020" w:rsidRDefault="00327099" w:rsidP="007802E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7560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020">
              <w:instrText xml:space="preserve"> FORMCHECKBOX </w:instrText>
            </w:r>
            <w:r w:rsidR="004353C6">
              <w:fldChar w:fldCharType="separate"/>
            </w:r>
            <w:r w:rsidRPr="00756020">
              <w:fldChar w:fldCharType="end"/>
            </w:r>
            <w:r w:rsidRPr="00756020">
              <w:tab/>
            </w:r>
            <w:proofErr w:type="gramStart"/>
            <w:r w:rsidRPr="00756020">
              <w:rPr>
                <w:b/>
                <w:bCs/>
              </w:rPr>
              <w:t>n</w:t>
            </w:r>
            <w:r w:rsidR="00D42595" w:rsidRPr="00756020">
              <w:rPr>
                <w:b/>
                <w:bCs/>
              </w:rPr>
              <w:t>'</w:t>
            </w:r>
            <w:r w:rsidRPr="00756020">
              <w:rPr>
                <w:b/>
                <w:bCs/>
              </w:rPr>
              <w:t>autorise</w:t>
            </w:r>
            <w:proofErr w:type="gramEnd"/>
            <w:r w:rsidRPr="00756020">
              <w:rPr>
                <w:b/>
                <w:bCs/>
              </w:rPr>
              <w:t xml:space="preserve"> pas</w:t>
            </w:r>
            <w:r w:rsidRPr="00756020">
              <w:t xml:space="preserve"> la Commission d</w:t>
            </w:r>
            <w:r w:rsidR="00D42595" w:rsidRPr="00756020">
              <w:t>'</w:t>
            </w:r>
            <w:r w:rsidRPr="00756020">
              <w:t>études 17 à procéder à l</w:t>
            </w:r>
            <w:r w:rsidR="00D42595" w:rsidRPr="00756020">
              <w:t>'</w:t>
            </w:r>
            <w:r w:rsidRPr="00756020">
              <w:t xml:space="preserve">examen de ce </w:t>
            </w:r>
            <w:r w:rsidR="00CD7927" w:rsidRPr="00756020">
              <w:t xml:space="preserve">texte </w:t>
            </w:r>
            <w:r w:rsidRPr="00756020">
              <w:t>en vue de son approbation (les motifs de cette décision et une description des éventuelles modifications qui permettraient la poursuite des travaux sont joints à la présente)</w:t>
            </w:r>
          </w:p>
        </w:tc>
      </w:tr>
      <w:tr w:rsidR="00327099" w:rsidRPr="00756020" w14:paraId="71D1942D" w14:textId="77777777" w:rsidTr="0079092C">
        <w:trPr>
          <w:trHeight w:val="735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7BADB6CF" w14:textId="13F5478D" w:rsidR="00327099" w:rsidRPr="00756020" w:rsidRDefault="00327099" w:rsidP="00D143F9">
            <w:pPr>
              <w:pStyle w:val="TableHead"/>
            </w:pPr>
            <w:r w:rsidRPr="00756020">
              <w:lastRenderedPageBreak/>
              <w:t>Projet de nouvelle Recommandation UIT</w:t>
            </w:r>
            <w:r w:rsidRPr="00756020">
              <w:rPr>
                <w:szCs w:val="22"/>
              </w:rPr>
              <w:t xml:space="preserve">-T </w:t>
            </w:r>
            <w:r w:rsidRPr="00756020">
              <w:t>X.</w:t>
            </w:r>
            <w:r w:rsidRPr="00756020">
              <w:rPr>
                <w:bCs/>
              </w:rPr>
              <w:t xml:space="preserve">1814 </w:t>
            </w:r>
            <w:r w:rsidRPr="00756020">
              <w:rPr>
                <w:bCs/>
              </w:rPr>
              <w:br/>
              <w:t>(X.5Gsec-guide)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524B2580" w14:textId="61ED8AC8" w:rsidR="00327099" w:rsidRPr="00756020" w:rsidRDefault="00327099" w:rsidP="00D143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7560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020">
              <w:instrText xml:space="preserve"> FORMCHECKBOX </w:instrText>
            </w:r>
            <w:r w:rsidR="004353C6">
              <w:fldChar w:fldCharType="separate"/>
            </w:r>
            <w:r w:rsidRPr="00756020">
              <w:fldChar w:fldCharType="end"/>
            </w:r>
            <w:r w:rsidRPr="00756020">
              <w:tab/>
            </w:r>
            <w:proofErr w:type="gramStart"/>
            <w:r w:rsidRPr="00756020">
              <w:rPr>
                <w:b/>
                <w:bCs/>
              </w:rPr>
              <w:t>autorise</w:t>
            </w:r>
            <w:proofErr w:type="gramEnd"/>
            <w:r w:rsidRPr="00756020">
              <w:t xml:space="preserve"> la Commission d</w:t>
            </w:r>
            <w:r w:rsidR="00D42595" w:rsidRPr="00756020">
              <w:t>'</w:t>
            </w:r>
            <w:r w:rsidRPr="00756020">
              <w:t>études 17 à procéder à l</w:t>
            </w:r>
            <w:r w:rsidR="00D42595" w:rsidRPr="00756020">
              <w:t>'</w:t>
            </w:r>
            <w:r w:rsidRPr="00756020">
              <w:t xml:space="preserve">examen de ce </w:t>
            </w:r>
            <w:r w:rsidR="00CD7927" w:rsidRPr="00756020">
              <w:t>texte</w:t>
            </w:r>
            <w:r w:rsidR="00D42595" w:rsidRPr="00756020">
              <w:t xml:space="preserve"> </w:t>
            </w:r>
            <w:r w:rsidRPr="00756020">
              <w:t>en vue de son approbation (dans ce cas, sélectionnez l</w:t>
            </w:r>
            <w:r w:rsidR="00D42595" w:rsidRPr="00756020">
              <w:t>'</w:t>
            </w:r>
            <w:r w:rsidRPr="00756020">
              <w:t>une des deux options ⃝):</w:t>
            </w:r>
          </w:p>
          <w:p w14:paraId="27EA748C" w14:textId="77777777" w:rsidR="00327099" w:rsidRPr="00756020" w:rsidRDefault="00327099" w:rsidP="00D143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756020">
              <w:tab/>
              <w:t>⃝</w:t>
            </w:r>
            <w:r w:rsidRPr="00756020">
              <w:tab/>
              <w:t>Pas de commentaire ou de proposition de modification</w:t>
            </w:r>
          </w:p>
          <w:p w14:paraId="6885D88D" w14:textId="77777777" w:rsidR="00327099" w:rsidRPr="00756020" w:rsidRDefault="00327099" w:rsidP="00D143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756020">
              <w:tab/>
              <w:t>⃝</w:t>
            </w:r>
            <w:r w:rsidRPr="00756020">
              <w:tab/>
              <w:t xml:space="preserve">Des commentaires ou propositions de modification sont joints à </w:t>
            </w:r>
            <w:r w:rsidRPr="00756020">
              <w:tab/>
              <w:t>la présente</w:t>
            </w:r>
          </w:p>
        </w:tc>
      </w:tr>
      <w:tr w:rsidR="00327099" w:rsidRPr="00756020" w14:paraId="791B7488" w14:textId="77777777" w:rsidTr="0079092C">
        <w:trPr>
          <w:trHeight w:val="735"/>
        </w:trPr>
        <w:tc>
          <w:tcPr>
            <w:tcW w:w="2137" w:type="dxa"/>
            <w:vMerge/>
            <w:shd w:val="clear" w:color="auto" w:fill="auto"/>
            <w:vAlign w:val="center"/>
          </w:tcPr>
          <w:p w14:paraId="102E8553" w14:textId="77777777" w:rsidR="00327099" w:rsidRPr="00756020" w:rsidRDefault="00327099" w:rsidP="00D143F9">
            <w:pPr>
              <w:pStyle w:val="TableHead"/>
            </w:pPr>
          </w:p>
        </w:tc>
        <w:tc>
          <w:tcPr>
            <w:tcW w:w="7503" w:type="dxa"/>
            <w:shd w:val="clear" w:color="auto" w:fill="auto"/>
            <w:vAlign w:val="center"/>
          </w:tcPr>
          <w:p w14:paraId="63BD881C" w14:textId="24FF596C" w:rsidR="00327099" w:rsidRPr="00756020" w:rsidRDefault="00327099" w:rsidP="00D143F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7560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020">
              <w:instrText xml:space="preserve"> FORMCHECKBOX </w:instrText>
            </w:r>
            <w:r w:rsidR="004353C6">
              <w:fldChar w:fldCharType="separate"/>
            </w:r>
            <w:r w:rsidRPr="00756020">
              <w:fldChar w:fldCharType="end"/>
            </w:r>
            <w:r w:rsidRPr="00756020">
              <w:tab/>
            </w:r>
            <w:proofErr w:type="gramStart"/>
            <w:r w:rsidRPr="00756020">
              <w:rPr>
                <w:b/>
                <w:bCs/>
              </w:rPr>
              <w:t>n</w:t>
            </w:r>
            <w:r w:rsidR="00D42595" w:rsidRPr="00756020">
              <w:rPr>
                <w:b/>
                <w:bCs/>
              </w:rPr>
              <w:t>'</w:t>
            </w:r>
            <w:r w:rsidRPr="00756020">
              <w:rPr>
                <w:b/>
                <w:bCs/>
              </w:rPr>
              <w:t>autorise</w:t>
            </w:r>
            <w:proofErr w:type="gramEnd"/>
            <w:r w:rsidRPr="00756020">
              <w:rPr>
                <w:b/>
                <w:bCs/>
              </w:rPr>
              <w:t xml:space="preserve"> pas</w:t>
            </w:r>
            <w:r w:rsidRPr="00756020">
              <w:t xml:space="preserve"> la Commission d</w:t>
            </w:r>
            <w:r w:rsidR="00D42595" w:rsidRPr="00756020">
              <w:t>'</w:t>
            </w:r>
            <w:r w:rsidRPr="00756020">
              <w:t>études 17 à procéder à l</w:t>
            </w:r>
            <w:r w:rsidR="00D42595" w:rsidRPr="00756020">
              <w:t>'</w:t>
            </w:r>
            <w:r w:rsidRPr="00756020">
              <w:t xml:space="preserve">examen de ce </w:t>
            </w:r>
            <w:r w:rsidR="00CD7927" w:rsidRPr="00756020">
              <w:t>texte</w:t>
            </w:r>
            <w:r w:rsidR="00D42595" w:rsidRPr="00756020">
              <w:t xml:space="preserve"> </w:t>
            </w:r>
            <w:r w:rsidRPr="00756020">
              <w:t>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6244BF2C" w14:textId="3AC5205A" w:rsidR="00243453" w:rsidRPr="00756020" w:rsidRDefault="00243453" w:rsidP="00D143F9">
      <w:pPr>
        <w:spacing w:before="240" w:after="120"/>
      </w:pPr>
      <w:r w:rsidRPr="00756020">
        <w:t>Veuillez agréer, Madame, Monsieur, l</w:t>
      </w:r>
      <w:r w:rsidR="00D42595" w:rsidRPr="00756020">
        <w:t>'</w:t>
      </w:r>
      <w:r w:rsidRPr="00756020">
        <w:t>assurance de ma considération distinguée.</w:t>
      </w:r>
    </w:p>
    <w:p w14:paraId="0266F6D8" w14:textId="77777777" w:rsidR="00243453" w:rsidRPr="00756020" w:rsidRDefault="00243453" w:rsidP="00D143F9">
      <w:pPr>
        <w:spacing w:before="480"/>
      </w:pPr>
      <w:r w:rsidRPr="00756020">
        <w:rPr>
          <w:highlight w:val="green"/>
        </w:rPr>
        <w:t>[Nom]</w:t>
      </w:r>
      <w:r w:rsidRPr="00756020">
        <w:rPr>
          <w:highlight w:val="green"/>
        </w:rPr>
        <w:br/>
        <w:t>[Rôle/titre officiel]</w:t>
      </w:r>
      <w:r w:rsidRPr="00756020">
        <w:br/>
        <w:t xml:space="preserve">Administration de </w:t>
      </w:r>
      <w:r w:rsidRPr="00756020">
        <w:rPr>
          <w:highlight w:val="green"/>
        </w:rPr>
        <w:t>[État Membre]</w:t>
      </w:r>
    </w:p>
    <w:p w14:paraId="77467B6B" w14:textId="77777777" w:rsidR="00756020" w:rsidRPr="00756020" w:rsidRDefault="00756020" w:rsidP="0032202E">
      <w:pPr>
        <w:pStyle w:val="Reasons"/>
        <w:rPr>
          <w:lang w:val="fr-FR"/>
        </w:rPr>
      </w:pPr>
    </w:p>
    <w:p w14:paraId="65F9A4BD" w14:textId="77777777" w:rsidR="00756020" w:rsidRPr="00756020" w:rsidRDefault="00756020">
      <w:pPr>
        <w:jc w:val="center"/>
      </w:pPr>
      <w:r w:rsidRPr="00756020">
        <w:t>______________</w:t>
      </w:r>
    </w:p>
    <w:sectPr w:rsidR="00756020" w:rsidRPr="00756020" w:rsidSect="00A15179">
      <w:headerReference w:type="defaul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883D" w14:textId="77777777" w:rsidR="00CC4DEF" w:rsidRDefault="00CC4DEF">
      <w:r>
        <w:separator/>
      </w:r>
    </w:p>
  </w:endnote>
  <w:endnote w:type="continuationSeparator" w:id="0">
    <w:p w14:paraId="4E4F254A" w14:textId="77777777" w:rsidR="00CC4DEF" w:rsidRDefault="00CC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ED08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4DED" w14:textId="77777777" w:rsidR="00CC4DEF" w:rsidRDefault="00CC4DEF">
      <w:r>
        <w:t>____________________</w:t>
      </w:r>
    </w:p>
  </w:footnote>
  <w:footnote w:type="continuationSeparator" w:id="0">
    <w:p w14:paraId="32BCF64F" w14:textId="77777777" w:rsidR="00CC4DEF" w:rsidRDefault="00CC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F50E" w14:textId="52DF8210" w:rsidR="00CC4DEF" w:rsidRPr="00697BC1" w:rsidRDefault="004353C6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134F2A">
          <w:rPr>
            <w:noProof/>
            <w:sz w:val="18"/>
            <w:szCs w:val="16"/>
          </w:rPr>
          <w:t>6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CC4DEF">
      <w:rPr>
        <w:noProof/>
        <w:sz w:val="18"/>
        <w:szCs w:val="16"/>
      </w:rPr>
      <w:br/>
    </w:r>
    <w:r w:rsidR="00CC4DEF" w:rsidRPr="00CC4DEF">
      <w:rPr>
        <w:sz w:val="18"/>
        <w:szCs w:val="16"/>
      </w:rPr>
      <w:t xml:space="preserve">Circulaire TSB </w:t>
    </w:r>
    <w:r w:rsidR="00CC4DEF">
      <w:rPr>
        <w:sz w:val="18"/>
        <w:szCs w:val="16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1495">
    <w:abstractNumId w:val="1"/>
  </w:num>
  <w:num w:numId="2" w16cid:durableId="1257012898">
    <w:abstractNumId w:val="3"/>
  </w:num>
  <w:num w:numId="3" w16cid:durableId="283537877">
    <w:abstractNumId w:val="2"/>
  </w:num>
  <w:num w:numId="4" w16cid:durableId="370157171">
    <w:abstractNumId w:val="0"/>
  </w:num>
  <w:num w:numId="5" w16cid:durableId="8561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EF"/>
    <w:rsid w:val="000039EE"/>
    <w:rsid w:val="00004D37"/>
    <w:rsid w:val="00005622"/>
    <w:rsid w:val="00007A12"/>
    <w:rsid w:val="00012F6E"/>
    <w:rsid w:val="00015ACB"/>
    <w:rsid w:val="0002519E"/>
    <w:rsid w:val="000279ED"/>
    <w:rsid w:val="00035B43"/>
    <w:rsid w:val="00036F4F"/>
    <w:rsid w:val="00042DED"/>
    <w:rsid w:val="000706DD"/>
    <w:rsid w:val="000758B3"/>
    <w:rsid w:val="00085F5A"/>
    <w:rsid w:val="000873A7"/>
    <w:rsid w:val="00094327"/>
    <w:rsid w:val="00094594"/>
    <w:rsid w:val="000B07C8"/>
    <w:rsid w:val="000B0D96"/>
    <w:rsid w:val="000B59D8"/>
    <w:rsid w:val="000C06BF"/>
    <w:rsid w:val="000C1F6B"/>
    <w:rsid w:val="000C25CC"/>
    <w:rsid w:val="000C2735"/>
    <w:rsid w:val="000C56BE"/>
    <w:rsid w:val="000E13BB"/>
    <w:rsid w:val="000F5C87"/>
    <w:rsid w:val="000F5EF8"/>
    <w:rsid w:val="001026FD"/>
    <w:rsid w:val="001077FD"/>
    <w:rsid w:val="0011514B"/>
    <w:rsid w:val="00115DD7"/>
    <w:rsid w:val="00116E39"/>
    <w:rsid w:val="00134F2A"/>
    <w:rsid w:val="001541F8"/>
    <w:rsid w:val="00167472"/>
    <w:rsid w:val="00167F92"/>
    <w:rsid w:val="00173738"/>
    <w:rsid w:val="001B5C0B"/>
    <w:rsid w:val="001B79A3"/>
    <w:rsid w:val="001C73DC"/>
    <w:rsid w:val="001F538C"/>
    <w:rsid w:val="001F6CCE"/>
    <w:rsid w:val="002152A3"/>
    <w:rsid w:val="00217C7B"/>
    <w:rsid w:val="00243453"/>
    <w:rsid w:val="002A1A9B"/>
    <w:rsid w:val="002C7B8B"/>
    <w:rsid w:val="002D2124"/>
    <w:rsid w:val="002E395D"/>
    <w:rsid w:val="002F5763"/>
    <w:rsid w:val="0030723A"/>
    <w:rsid w:val="003131F0"/>
    <w:rsid w:val="0032690A"/>
    <w:rsid w:val="00327099"/>
    <w:rsid w:val="00333A80"/>
    <w:rsid w:val="00341117"/>
    <w:rsid w:val="003451A4"/>
    <w:rsid w:val="00364E95"/>
    <w:rsid w:val="003709CF"/>
    <w:rsid w:val="00372875"/>
    <w:rsid w:val="00385D24"/>
    <w:rsid w:val="003A1B6E"/>
    <w:rsid w:val="003B1E80"/>
    <w:rsid w:val="003B66E8"/>
    <w:rsid w:val="003E66AD"/>
    <w:rsid w:val="004033F1"/>
    <w:rsid w:val="00414B0C"/>
    <w:rsid w:val="00423C21"/>
    <w:rsid w:val="004257AC"/>
    <w:rsid w:val="004353C6"/>
    <w:rsid w:val="0043711B"/>
    <w:rsid w:val="00466763"/>
    <w:rsid w:val="004726C0"/>
    <w:rsid w:val="004845B1"/>
    <w:rsid w:val="004977C9"/>
    <w:rsid w:val="00497F0F"/>
    <w:rsid w:val="004B6972"/>
    <w:rsid w:val="004B732E"/>
    <w:rsid w:val="004C2619"/>
    <w:rsid w:val="004C60D7"/>
    <w:rsid w:val="004D1D6C"/>
    <w:rsid w:val="004D2604"/>
    <w:rsid w:val="004D51F4"/>
    <w:rsid w:val="004D64E0"/>
    <w:rsid w:val="004F7675"/>
    <w:rsid w:val="005035EE"/>
    <w:rsid w:val="005067EA"/>
    <w:rsid w:val="005120A2"/>
    <w:rsid w:val="0051210D"/>
    <w:rsid w:val="005136D2"/>
    <w:rsid w:val="00517A03"/>
    <w:rsid w:val="00524391"/>
    <w:rsid w:val="00557F68"/>
    <w:rsid w:val="00583F27"/>
    <w:rsid w:val="005A3DD9"/>
    <w:rsid w:val="005B1DFC"/>
    <w:rsid w:val="005D2114"/>
    <w:rsid w:val="00601682"/>
    <w:rsid w:val="00603470"/>
    <w:rsid w:val="0061359E"/>
    <w:rsid w:val="00625E79"/>
    <w:rsid w:val="00632A30"/>
    <w:rsid w:val="00632A5B"/>
    <w:rsid w:val="006333F7"/>
    <w:rsid w:val="006341B7"/>
    <w:rsid w:val="006427A1"/>
    <w:rsid w:val="00644741"/>
    <w:rsid w:val="0065477B"/>
    <w:rsid w:val="00660939"/>
    <w:rsid w:val="00677C3D"/>
    <w:rsid w:val="006910B2"/>
    <w:rsid w:val="00697BC1"/>
    <w:rsid w:val="006A6FFE"/>
    <w:rsid w:val="006B0EFF"/>
    <w:rsid w:val="006B41E5"/>
    <w:rsid w:val="006C5A91"/>
    <w:rsid w:val="006E7FA7"/>
    <w:rsid w:val="00702159"/>
    <w:rsid w:val="007030F5"/>
    <w:rsid w:val="00716BBC"/>
    <w:rsid w:val="007305C2"/>
    <w:rsid w:val="007321BC"/>
    <w:rsid w:val="00751903"/>
    <w:rsid w:val="00753FB9"/>
    <w:rsid w:val="00756020"/>
    <w:rsid w:val="00760063"/>
    <w:rsid w:val="00761601"/>
    <w:rsid w:val="00763346"/>
    <w:rsid w:val="00771195"/>
    <w:rsid w:val="00775A51"/>
    <w:rsid w:val="00775E4B"/>
    <w:rsid w:val="007802EF"/>
    <w:rsid w:val="007863F4"/>
    <w:rsid w:val="0079553B"/>
    <w:rsid w:val="00795679"/>
    <w:rsid w:val="00797B02"/>
    <w:rsid w:val="007A40FE"/>
    <w:rsid w:val="007C2667"/>
    <w:rsid w:val="007C557B"/>
    <w:rsid w:val="007D6088"/>
    <w:rsid w:val="007E0766"/>
    <w:rsid w:val="007E18C1"/>
    <w:rsid w:val="007F25B8"/>
    <w:rsid w:val="00810105"/>
    <w:rsid w:val="00811227"/>
    <w:rsid w:val="008157E0"/>
    <w:rsid w:val="008217B7"/>
    <w:rsid w:val="008338DD"/>
    <w:rsid w:val="00837EBB"/>
    <w:rsid w:val="00850477"/>
    <w:rsid w:val="00854E1D"/>
    <w:rsid w:val="00861EF2"/>
    <w:rsid w:val="0086345C"/>
    <w:rsid w:val="00874353"/>
    <w:rsid w:val="00886BD2"/>
    <w:rsid w:val="00887FA6"/>
    <w:rsid w:val="008A78E3"/>
    <w:rsid w:val="008C1D1C"/>
    <w:rsid w:val="008C4397"/>
    <w:rsid w:val="008C465A"/>
    <w:rsid w:val="008E7702"/>
    <w:rsid w:val="008F2C9B"/>
    <w:rsid w:val="00923CD6"/>
    <w:rsid w:val="009348FF"/>
    <w:rsid w:val="00935AA8"/>
    <w:rsid w:val="00951B63"/>
    <w:rsid w:val="00971C9A"/>
    <w:rsid w:val="0099038B"/>
    <w:rsid w:val="009A5469"/>
    <w:rsid w:val="009C1604"/>
    <w:rsid w:val="009D24EC"/>
    <w:rsid w:val="009D51FA"/>
    <w:rsid w:val="009E2058"/>
    <w:rsid w:val="009E604A"/>
    <w:rsid w:val="009F1E23"/>
    <w:rsid w:val="00A15179"/>
    <w:rsid w:val="00A36761"/>
    <w:rsid w:val="00A51537"/>
    <w:rsid w:val="00A5183C"/>
    <w:rsid w:val="00A5280F"/>
    <w:rsid w:val="00A5645A"/>
    <w:rsid w:val="00A60FC1"/>
    <w:rsid w:val="00A67D97"/>
    <w:rsid w:val="00A827BC"/>
    <w:rsid w:val="00A857CF"/>
    <w:rsid w:val="00A97C37"/>
    <w:rsid w:val="00AA131B"/>
    <w:rsid w:val="00AA5580"/>
    <w:rsid w:val="00AB0AFA"/>
    <w:rsid w:val="00AB4842"/>
    <w:rsid w:val="00AB5AD7"/>
    <w:rsid w:val="00AC37B5"/>
    <w:rsid w:val="00AD08E7"/>
    <w:rsid w:val="00AD6E9B"/>
    <w:rsid w:val="00AD752F"/>
    <w:rsid w:val="00AE7AFB"/>
    <w:rsid w:val="00AF08A4"/>
    <w:rsid w:val="00AF6D06"/>
    <w:rsid w:val="00AF780C"/>
    <w:rsid w:val="00B02280"/>
    <w:rsid w:val="00B27B41"/>
    <w:rsid w:val="00B42659"/>
    <w:rsid w:val="00B6301B"/>
    <w:rsid w:val="00B76D65"/>
    <w:rsid w:val="00B771EF"/>
    <w:rsid w:val="00B8573E"/>
    <w:rsid w:val="00BB24C0"/>
    <w:rsid w:val="00BC236B"/>
    <w:rsid w:val="00BD6ECF"/>
    <w:rsid w:val="00C044D6"/>
    <w:rsid w:val="00C05017"/>
    <w:rsid w:val="00C10313"/>
    <w:rsid w:val="00C20DFB"/>
    <w:rsid w:val="00C26F2E"/>
    <w:rsid w:val="00C302E3"/>
    <w:rsid w:val="00C31AE0"/>
    <w:rsid w:val="00C45376"/>
    <w:rsid w:val="00C459DB"/>
    <w:rsid w:val="00C9028F"/>
    <w:rsid w:val="00C91512"/>
    <w:rsid w:val="00C947E8"/>
    <w:rsid w:val="00CA0416"/>
    <w:rsid w:val="00CA4D7F"/>
    <w:rsid w:val="00CB1125"/>
    <w:rsid w:val="00CC4DEF"/>
    <w:rsid w:val="00CC7645"/>
    <w:rsid w:val="00CD042E"/>
    <w:rsid w:val="00CD0E90"/>
    <w:rsid w:val="00CD7927"/>
    <w:rsid w:val="00CF2560"/>
    <w:rsid w:val="00CF28F3"/>
    <w:rsid w:val="00CF5B46"/>
    <w:rsid w:val="00CF5FA6"/>
    <w:rsid w:val="00D01CAD"/>
    <w:rsid w:val="00D143F9"/>
    <w:rsid w:val="00D42595"/>
    <w:rsid w:val="00D46B68"/>
    <w:rsid w:val="00D542A5"/>
    <w:rsid w:val="00D75CD8"/>
    <w:rsid w:val="00D83CE4"/>
    <w:rsid w:val="00DC3D47"/>
    <w:rsid w:val="00DD5D40"/>
    <w:rsid w:val="00DD77DA"/>
    <w:rsid w:val="00DF2D0F"/>
    <w:rsid w:val="00E06C61"/>
    <w:rsid w:val="00E13DB3"/>
    <w:rsid w:val="00E15CBC"/>
    <w:rsid w:val="00E178B1"/>
    <w:rsid w:val="00E2408B"/>
    <w:rsid w:val="00E33CDA"/>
    <w:rsid w:val="00E4289B"/>
    <w:rsid w:val="00E6246A"/>
    <w:rsid w:val="00E62A71"/>
    <w:rsid w:val="00E62CEA"/>
    <w:rsid w:val="00E708DE"/>
    <w:rsid w:val="00E72AE1"/>
    <w:rsid w:val="00E926DB"/>
    <w:rsid w:val="00E97C11"/>
    <w:rsid w:val="00EB28E1"/>
    <w:rsid w:val="00ED6A7A"/>
    <w:rsid w:val="00ED73DC"/>
    <w:rsid w:val="00EE4C36"/>
    <w:rsid w:val="00EF27BE"/>
    <w:rsid w:val="00F0178E"/>
    <w:rsid w:val="00F05287"/>
    <w:rsid w:val="00F21B21"/>
    <w:rsid w:val="00F22B46"/>
    <w:rsid w:val="00F24236"/>
    <w:rsid w:val="00F346CE"/>
    <w:rsid w:val="00F34F98"/>
    <w:rsid w:val="00F40540"/>
    <w:rsid w:val="00F55C23"/>
    <w:rsid w:val="00F67402"/>
    <w:rsid w:val="00F70D9D"/>
    <w:rsid w:val="00F766A2"/>
    <w:rsid w:val="00F9451D"/>
    <w:rsid w:val="00FA3B3B"/>
    <w:rsid w:val="00FE3527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41721"/>
  <w15:docId w15:val="{188F104E-51FD-4435-8B0A-409A9A95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D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C4DEF"/>
    <w:rPr>
      <w:color w:val="800080" w:themeColor="followedHyperlink"/>
      <w:u w:val="single"/>
    </w:rPr>
  </w:style>
  <w:style w:type="paragraph" w:customStyle="1" w:styleId="Annextitle0">
    <w:name w:val="Annex_title"/>
    <w:basedOn w:val="Normal"/>
    <w:next w:val="Normal"/>
    <w:rsid w:val="00243453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  <w:lang w:val="en-GB"/>
    </w:rPr>
  </w:style>
  <w:style w:type="paragraph" w:customStyle="1" w:styleId="Reasons">
    <w:name w:val="Reasons"/>
    <w:basedOn w:val="Normal"/>
    <w:qFormat/>
    <w:rsid w:val="003270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F22B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2B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2B46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B46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F22B46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F22B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2B4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meetingdoc.asp?lang=en&amp;parent=T22-SG17-R-000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dir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22-SG17-R-0008" TargetMode="External"/><Relationship Id="rId10" Type="http://schemas.openxmlformats.org/officeDocument/2006/relationships/hyperlink" Target="https://www.itu.int/md/T22-SG17-COL-000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meetingdoc.asp?lang=en&amp;parent=T22-SG17-R-000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3489-A974-4C99-9FA4-709B5338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109</TotalTime>
  <Pages>6</Pages>
  <Words>1487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10564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12</cp:revision>
  <cp:lastPrinted>2022-06-06T12:47:00Z</cp:lastPrinted>
  <dcterms:created xsi:type="dcterms:W3CDTF">2022-05-30T11:11:00Z</dcterms:created>
  <dcterms:modified xsi:type="dcterms:W3CDTF">2022-06-06T12:48:00Z</dcterms:modified>
</cp:coreProperties>
</file>