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5E3082" w14:paraId="5DD8A641" w14:textId="77777777" w:rsidTr="00036F4F">
        <w:trPr>
          <w:gridAfter w:val="1"/>
          <w:wAfter w:w="8" w:type="dxa"/>
          <w:cantSplit/>
        </w:trPr>
        <w:tc>
          <w:tcPr>
            <w:tcW w:w="1418" w:type="dxa"/>
            <w:gridSpan w:val="3"/>
            <w:vAlign w:val="center"/>
          </w:tcPr>
          <w:p w14:paraId="28083240" w14:textId="77777777" w:rsidR="00036F4F" w:rsidRPr="005E3082" w:rsidRDefault="00036F4F" w:rsidP="006361AF">
            <w:pPr>
              <w:tabs>
                <w:tab w:val="right" w:pos="8732"/>
              </w:tabs>
              <w:spacing w:before="0"/>
              <w:rPr>
                <w:b/>
                <w:bCs/>
                <w:iCs/>
                <w:color w:val="FFFFFF"/>
                <w:sz w:val="30"/>
                <w:szCs w:val="30"/>
              </w:rPr>
            </w:pPr>
            <w:r w:rsidRPr="005E3082">
              <w:rPr>
                <w:noProof/>
                <w:lang w:eastAsia="zh-CN"/>
              </w:rPr>
              <w:drawing>
                <wp:inline distT="0" distB="0" distL="0" distR="0" wp14:anchorId="26C4E81C" wp14:editId="6B09547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5D7C9C40" w14:textId="77777777" w:rsidR="00036F4F" w:rsidRPr="005E3082" w:rsidRDefault="00036F4F" w:rsidP="006361AF">
            <w:pPr>
              <w:spacing w:before="0"/>
              <w:rPr>
                <w:rFonts w:cs="Times New Roman Bold"/>
                <w:b/>
                <w:bCs/>
                <w:iCs/>
                <w:smallCaps/>
                <w:sz w:val="34"/>
                <w:szCs w:val="34"/>
              </w:rPr>
            </w:pPr>
            <w:r w:rsidRPr="005E3082">
              <w:rPr>
                <w:rFonts w:cs="Times New Roman Bold"/>
                <w:b/>
                <w:bCs/>
                <w:iCs/>
                <w:smallCaps/>
                <w:sz w:val="34"/>
                <w:szCs w:val="34"/>
              </w:rPr>
              <w:t>Union internationale des télécommunications</w:t>
            </w:r>
          </w:p>
          <w:p w14:paraId="10832107" w14:textId="77777777" w:rsidR="00036F4F" w:rsidRPr="005E3082" w:rsidRDefault="00036F4F" w:rsidP="006361AF">
            <w:pPr>
              <w:tabs>
                <w:tab w:val="right" w:pos="8732"/>
              </w:tabs>
              <w:spacing w:before="0"/>
              <w:rPr>
                <w:b/>
                <w:bCs/>
                <w:iCs/>
                <w:color w:val="FFFFFF"/>
                <w:sz w:val="30"/>
                <w:szCs w:val="30"/>
              </w:rPr>
            </w:pPr>
            <w:r w:rsidRPr="005E3082">
              <w:rPr>
                <w:rFonts w:cs="Times New Roman Bold"/>
                <w:b/>
                <w:bCs/>
                <w:iCs/>
                <w:smallCaps/>
                <w:sz w:val="28"/>
                <w:szCs w:val="28"/>
              </w:rPr>
              <w:t>B</w:t>
            </w:r>
            <w:r w:rsidRPr="005E3082">
              <w:rPr>
                <w:b/>
                <w:bCs/>
                <w:iCs/>
                <w:smallCaps/>
                <w:sz w:val="28"/>
                <w:szCs w:val="28"/>
              </w:rPr>
              <w:t>ureau de la Normalisation des Télécommunications</w:t>
            </w:r>
          </w:p>
        </w:tc>
        <w:tc>
          <w:tcPr>
            <w:tcW w:w="2126" w:type="dxa"/>
            <w:vAlign w:val="center"/>
          </w:tcPr>
          <w:p w14:paraId="1196B634" w14:textId="77777777" w:rsidR="00036F4F" w:rsidRPr="005E3082" w:rsidRDefault="00036F4F" w:rsidP="006361AF">
            <w:pPr>
              <w:spacing w:before="0"/>
              <w:jc w:val="right"/>
              <w:rPr>
                <w:color w:val="FFFFFF"/>
                <w:sz w:val="26"/>
                <w:szCs w:val="26"/>
              </w:rPr>
            </w:pPr>
          </w:p>
        </w:tc>
      </w:tr>
      <w:tr w:rsidR="00036F4F" w:rsidRPr="0004164B" w14:paraId="5AC4D625" w14:textId="77777777" w:rsidTr="00A5645A">
        <w:trPr>
          <w:gridBefore w:val="1"/>
          <w:wBefore w:w="8" w:type="dxa"/>
          <w:cantSplit/>
        </w:trPr>
        <w:tc>
          <w:tcPr>
            <w:tcW w:w="1977" w:type="dxa"/>
            <w:gridSpan w:val="3"/>
          </w:tcPr>
          <w:p w14:paraId="5B6F02BF" w14:textId="77777777" w:rsidR="00036F4F" w:rsidRPr="0004164B" w:rsidRDefault="00036F4F" w:rsidP="006361AF">
            <w:pPr>
              <w:tabs>
                <w:tab w:val="left" w:pos="4111"/>
              </w:tabs>
              <w:spacing w:before="10"/>
              <w:ind w:left="57"/>
              <w:rPr>
                <w:sz w:val="22"/>
                <w:szCs w:val="22"/>
              </w:rPr>
            </w:pPr>
          </w:p>
        </w:tc>
        <w:tc>
          <w:tcPr>
            <w:tcW w:w="2900" w:type="dxa"/>
          </w:tcPr>
          <w:p w14:paraId="4CC9523F" w14:textId="77777777" w:rsidR="00036F4F" w:rsidRPr="0004164B" w:rsidRDefault="00036F4F" w:rsidP="006361AF">
            <w:pPr>
              <w:tabs>
                <w:tab w:val="left" w:pos="4111"/>
              </w:tabs>
              <w:spacing w:before="10"/>
              <w:ind w:left="57"/>
              <w:rPr>
                <w:b/>
                <w:sz w:val="22"/>
                <w:szCs w:val="22"/>
              </w:rPr>
            </w:pPr>
          </w:p>
        </w:tc>
        <w:tc>
          <w:tcPr>
            <w:tcW w:w="5046" w:type="dxa"/>
            <w:gridSpan w:val="3"/>
          </w:tcPr>
          <w:p w14:paraId="62651433" w14:textId="4216D019" w:rsidR="00036F4F" w:rsidRPr="0004164B" w:rsidRDefault="00036F4F" w:rsidP="006361AF">
            <w:pPr>
              <w:tabs>
                <w:tab w:val="clear" w:pos="794"/>
                <w:tab w:val="clear" w:pos="1191"/>
                <w:tab w:val="clear" w:pos="1588"/>
                <w:tab w:val="clear" w:pos="1985"/>
                <w:tab w:val="left" w:pos="284"/>
              </w:tabs>
              <w:spacing w:after="120"/>
              <w:ind w:left="284" w:hanging="227"/>
              <w:rPr>
                <w:sz w:val="22"/>
                <w:szCs w:val="22"/>
              </w:rPr>
            </w:pPr>
            <w:r w:rsidRPr="0004164B">
              <w:rPr>
                <w:sz w:val="22"/>
                <w:szCs w:val="22"/>
              </w:rPr>
              <w:t>Genève, le</w:t>
            </w:r>
            <w:r w:rsidR="003A2B66" w:rsidRPr="0004164B">
              <w:rPr>
                <w:sz w:val="22"/>
                <w:szCs w:val="22"/>
              </w:rPr>
              <w:t xml:space="preserve"> 30 mai 2022</w:t>
            </w:r>
          </w:p>
        </w:tc>
      </w:tr>
      <w:tr w:rsidR="00036F4F" w:rsidRPr="0004164B" w14:paraId="293974D1" w14:textId="77777777" w:rsidTr="003A2B66">
        <w:trPr>
          <w:gridBefore w:val="1"/>
          <w:wBefore w:w="8" w:type="dxa"/>
          <w:cantSplit/>
          <w:trHeight w:val="340"/>
        </w:trPr>
        <w:tc>
          <w:tcPr>
            <w:tcW w:w="1126" w:type="dxa"/>
          </w:tcPr>
          <w:p w14:paraId="708FC1D0" w14:textId="7BD44F5B" w:rsidR="00036F4F" w:rsidRPr="0004164B" w:rsidRDefault="00036F4F" w:rsidP="006361AF">
            <w:pPr>
              <w:tabs>
                <w:tab w:val="left" w:pos="4111"/>
              </w:tabs>
              <w:spacing w:before="10"/>
              <w:ind w:left="57"/>
              <w:rPr>
                <w:b/>
                <w:bCs/>
                <w:sz w:val="22"/>
                <w:szCs w:val="22"/>
              </w:rPr>
            </w:pPr>
            <w:proofErr w:type="gramStart"/>
            <w:r w:rsidRPr="0004164B">
              <w:rPr>
                <w:b/>
                <w:bCs/>
                <w:sz w:val="22"/>
                <w:szCs w:val="22"/>
              </w:rPr>
              <w:t>Réf.:</w:t>
            </w:r>
            <w:proofErr w:type="gramEnd"/>
          </w:p>
        </w:tc>
        <w:tc>
          <w:tcPr>
            <w:tcW w:w="3751" w:type="dxa"/>
            <w:gridSpan w:val="3"/>
          </w:tcPr>
          <w:p w14:paraId="560B2CF7" w14:textId="61AC4FA6" w:rsidR="00036F4F" w:rsidRPr="0004164B" w:rsidRDefault="003A2B66" w:rsidP="006361AF">
            <w:pPr>
              <w:tabs>
                <w:tab w:val="left" w:pos="4111"/>
              </w:tabs>
              <w:spacing w:before="10"/>
              <w:ind w:left="57"/>
              <w:rPr>
                <w:b/>
                <w:sz w:val="22"/>
                <w:szCs w:val="22"/>
              </w:rPr>
            </w:pPr>
            <w:r w:rsidRPr="0004164B">
              <w:rPr>
                <w:b/>
                <w:sz w:val="22"/>
                <w:szCs w:val="22"/>
              </w:rPr>
              <w:t>Circulaire TSB 20</w:t>
            </w:r>
          </w:p>
          <w:p w14:paraId="05C8E8DC" w14:textId="38EFAD4A" w:rsidR="00036F4F" w:rsidRPr="0004164B" w:rsidRDefault="003A2B66" w:rsidP="006361AF">
            <w:pPr>
              <w:tabs>
                <w:tab w:val="left" w:pos="4111"/>
              </w:tabs>
              <w:spacing w:before="10"/>
              <w:ind w:left="57"/>
              <w:rPr>
                <w:b/>
                <w:sz w:val="22"/>
                <w:szCs w:val="22"/>
              </w:rPr>
            </w:pPr>
            <w:r w:rsidRPr="0004164B">
              <w:rPr>
                <w:sz w:val="22"/>
                <w:szCs w:val="22"/>
              </w:rPr>
              <w:t>CE 2/RC</w:t>
            </w:r>
          </w:p>
        </w:tc>
        <w:tc>
          <w:tcPr>
            <w:tcW w:w="5046" w:type="dxa"/>
            <w:gridSpan w:val="3"/>
            <w:vMerge w:val="restart"/>
          </w:tcPr>
          <w:p w14:paraId="6D3325BA" w14:textId="77777777" w:rsidR="00036F4F" w:rsidRDefault="00036F4F" w:rsidP="006361AF">
            <w:pPr>
              <w:tabs>
                <w:tab w:val="clear" w:pos="794"/>
                <w:tab w:val="clear" w:pos="1191"/>
                <w:tab w:val="clear" w:pos="1588"/>
                <w:tab w:val="clear" w:pos="1985"/>
                <w:tab w:val="left" w:pos="284"/>
              </w:tabs>
              <w:spacing w:before="0"/>
              <w:ind w:left="284" w:hanging="227"/>
              <w:rPr>
                <w:sz w:val="22"/>
                <w:szCs w:val="22"/>
              </w:rPr>
            </w:pPr>
            <w:bookmarkStart w:id="0" w:name="Addressee_F"/>
            <w:bookmarkEnd w:id="0"/>
            <w:r w:rsidRPr="0004164B">
              <w:rPr>
                <w:sz w:val="22"/>
                <w:szCs w:val="22"/>
              </w:rPr>
              <w:t>-</w:t>
            </w:r>
            <w:r w:rsidRPr="0004164B">
              <w:rPr>
                <w:sz w:val="22"/>
                <w:szCs w:val="22"/>
              </w:rPr>
              <w:tab/>
            </w:r>
            <w:r w:rsidR="003A2B66" w:rsidRPr="0004164B">
              <w:rPr>
                <w:sz w:val="22"/>
                <w:szCs w:val="22"/>
              </w:rPr>
              <w:t>Aux administrations des États Membres de l'Union</w:t>
            </w:r>
          </w:p>
          <w:p w14:paraId="5E3B4DA0" w14:textId="77777777" w:rsidR="0004164B" w:rsidRPr="0004164B" w:rsidRDefault="0004164B" w:rsidP="0004164B">
            <w:pPr>
              <w:tabs>
                <w:tab w:val="left" w:pos="4111"/>
              </w:tabs>
              <w:spacing w:before="0"/>
              <w:rPr>
                <w:sz w:val="22"/>
                <w:szCs w:val="22"/>
              </w:rPr>
            </w:pPr>
            <w:proofErr w:type="gramStart"/>
            <w:r w:rsidRPr="0004164B">
              <w:rPr>
                <w:b/>
                <w:sz w:val="22"/>
                <w:szCs w:val="22"/>
              </w:rPr>
              <w:t>Copie</w:t>
            </w:r>
            <w:r w:rsidRPr="0004164B">
              <w:rPr>
                <w:sz w:val="22"/>
                <w:szCs w:val="22"/>
              </w:rPr>
              <w:t>:</w:t>
            </w:r>
            <w:proofErr w:type="gramEnd"/>
          </w:p>
          <w:p w14:paraId="241DDEA6" w14:textId="77777777" w:rsidR="0004164B" w:rsidRPr="0004164B" w:rsidRDefault="0004164B" w:rsidP="0004164B">
            <w:pPr>
              <w:tabs>
                <w:tab w:val="clear" w:pos="794"/>
                <w:tab w:val="left" w:pos="226"/>
                <w:tab w:val="left" w:pos="4111"/>
              </w:tabs>
              <w:spacing w:before="0"/>
              <w:ind w:left="226" w:hanging="226"/>
              <w:rPr>
                <w:sz w:val="22"/>
                <w:szCs w:val="22"/>
              </w:rPr>
            </w:pPr>
            <w:r w:rsidRPr="0004164B">
              <w:rPr>
                <w:sz w:val="22"/>
                <w:szCs w:val="22"/>
              </w:rPr>
              <w:t>-</w:t>
            </w:r>
            <w:r w:rsidRPr="0004164B">
              <w:rPr>
                <w:sz w:val="22"/>
                <w:szCs w:val="22"/>
              </w:rPr>
              <w:tab/>
              <w:t>Aux Membres du Secteur UIT-</w:t>
            </w:r>
            <w:proofErr w:type="gramStart"/>
            <w:r w:rsidRPr="0004164B">
              <w:rPr>
                <w:sz w:val="22"/>
                <w:szCs w:val="22"/>
              </w:rPr>
              <w:t>T;</w:t>
            </w:r>
            <w:proofErr w:type="gramEnd"/>
          </w:p>
          <w:p w14:paraId="28F352E2" w14:textId="77777777" w:rsidR="0004164B" w:rsidRPr="0004164B" w:rsidRDefault="0004164B" w:rsidP="0004164B">
            <w:pPr>
              <w:tabs>
                <w:tab w:val="clear" w:pos="794"/>
                <w:tab w:val="left" w:pos="226"/>
                <w:tab w:val="left" w:pos="4111"/>
              </w:tabs>
              <w:spacing w:before="0"/>
              <w:ind w:left="226" w:hanging="226"/>
              <w:rPr>
                <w:sz w:val="22"/>
                <w:szCs w:val="22"/>
              </w:rPr>
            </w:pPr>
            <w:r w:rsidRPr="0004164B">
              <w:rPr>
                <w:sz w:val="22"/>
                <w:szCs w:val="22"/>
              </w:rPr>
              <w:t>-</w:t>
            </w:r>
            <w:r w:rsidRPr="0004164B">
              <w:rPr>
                <w:sz w:val="22"/>
                <w:szCs w:val="22"/>
              </w:rPr>
              <w:tab/>
              <w:t xml:space="preserve">Aux Associés de l'UIT-T participant aux travaux de la Commission d'études </w:t>
            </w:r>
            <w:proofErr w:type="gramStart"/>
            <w:r w:rsidRPr="0004164B">
              <w:rPr>
                <w:sz w:val="22"/>
                <w:szCs w:val="22"/>
              </w:rPr>
              <w:t>2;</w:t>
            </w:r>
            <w:proofErr w:type="gramEnd"/>
          </w:p>
          <w:p w14:paraId="19BF7402" w14:textId="77777777" w:rsidR="0004164B" w:rsidRPr="0004164B" w:rsidRDefault="0004164B" w:rsidP="0004164B">
            <w:pPr>
              <w:tabs>
                <w:tab w:val="clear" w:pos="794"/>
                <w:tab w:val="left" w:pos="226"/>
                <w:tab w:val="left" w:pos="4111"/>
              </w:tabs>
              <w:spacing w:before="0"/>
              <w:ind w:left="226" w:hanging="226"/>
              <w:rPr>
                <w:sz w:val="22"/>
                <w:szCs w:val="22"/>
              </w:rPr>
            </w:pPr>
            <w:r w:rsidRPr="0004164B">
              <w:rPr>
                <w:sz w:val="22"/>
                <w:szCs w:val="22"/>
              </w:rPr>
              <w:t>-</w:t>
            </w:r>
            <w:r w:rsidRPr="0004164B">
              <w:rPr>
                <w:sz w:val="22"/>
                <w:szCs w:val="22"/>
              </w:rPr>
              <w:tab/>
              <w:t xml:space="preserve">Aux établissements universitaires participant aux travaux de </w:t>
            </w:r>
            <w:proofErr w:type="gramStart"/>
            <w:r w:rsidRPr="0004164B">
              <w:rPr>
                <w:sz w:val="22"/>
                <w:szCs w:val="22"/>
              </w:rPr>
              <w:t>l'UIT;</w:t>
            </w:r>
            <w:proofErr w:type="gramEnd"/>
          </w:p>
          <w:p w14:paraId="60D22447" w14:textId="77777777" w:rsidR="0004164B" w:rsidRPr="0004164B" w:rsidRDefault="0004164B" w:rsidP="0004164B">
            <w:pPr>
              <w:tabs>
                <w:tab w:val="clear" w:pos="794"/>
                <w:tab w:val="left" w:pos="226"/>
                <w:tab w:val="left" w:pos="4111"/>
              </w:tabs>
              <w:spacing w:before="0"/>
              <w:ind w:left="226" w:hanging="226"/>
              <w:rPr>
                <w:sz w:val="22"/>
                <w:szCs w:val="22"/>
              </w:rPr>
            </w:pPr>
            <w:r w:rsidRPr="0004164B">
              <w:rPr>
                <w:sz w:val="22"/>
                <w:szCs w:val="22"/>
              </w:rPr>
              <w:t>-</w:t>
            </w:r>
            <w:r w:rsidRPr="0004164B">
              <w:rPr>
                <w:sz w:val="22"/>
                <w:szCs w:val="22"/>
              </w:rPr>
              <w:tab/>
              <w:t>Aux Président et Vice-Présidents de la Commission d'études 2 de l'UIT-</w:t>
            </w:r>
            <w:proofErr w:type="gramStart"/>
            <w:r w:rsidRPr="0004164B">
              <w:rPr>
                <w:sz w:val="22"/>
                <w:szCs w:val="22"/>
              </w:rPr>
              <w:t>T;</w:t>
            </w:r>
            <w:proofErr w:type="gramEnd"/>
          </w:p>
          <w:p w14:paraId="78C6906E" w14:textId="77777777" w:rsidR="0004164B" w:rsidRPr="0004164B" w:rsidRDefault="0004164B" w:rsidP="0004164B">
            <w:pPr>
              <w:tabs>
                <w:tab w:val="clear" w:pos="794"/>
                <w:tab w:val="left" w:pos="226"/>
                <w:tab w:val="left" w:pos="4111"/>
              </w:tabs>
              <w:spacing w:before="0"/>
              <w:ind w:left="226" w:hanging="226"/>
              <w:rPr>
                <w:sz w:val="22"/>
                <w:szCs w:val="22"/>
              </w:rPr>
            </w:pPr>
            <w:r w:rsidRPr="0004164B">
              <w:rPr>
                <w:sz w:val="22"/>
                <w:szCs w:val="22"/>
              </w:rPr>
              <w:t>-</w:t>
            </w:r>
            <w:r w:rsidRPr="0004164B">
              <w:rPr>
                <w:sz w:val="22"/>
                <w:szCs w:val="22"/>
              </w:rPr>
              <w:tab/>
              <w:t xml:space="preserve">À la Directrice du Bureau de développement des </w:t>
            </w:r>
            <w:proofErr w:type="gramStart"/>
            <w:r w:rsidRPr="0004164B">
              <w:rPr>
                <w:sz w:val="22"/>
                <w:szCs w:val="22"/>
              </w:rPr>
              <w:t>télécommunications;</w:t>
            </w:r>
            <w:proofErr w:type="gramEnd"/>
          </w:p>
          <w:p w14:paraId="37328C34" w14:textId="749FC797" w:rsidR="0004164B" w:rsidRPr="0004164B" w:rsidRDefault="0004164B" w:rsidP="0004164B">
            <w:pPr>
              <w:tabs>
                <w:tab w:val="clear" w:pos="794"/>
                <w:tab w:val="clear" w:pos="1191"/>
                <w:tab w:val="clear" w:pos="1588"/>
                <w:tab w:val="clear" w:pos="1985"/>
                <w:tab w:val="left" w:pos="284"/>
              </w:tabs>
              <w:spacing w:before="0"/>
              <w:ind w:left="284" w:hanging="227"/>
              <w:rPr>
                <w:sz w:val="22"/>
                <w:szCs w:val="22"/>
              </w:rPr>
            </w:pPr>
            <w:r w:rsidRPr="0004164B">
              <w:rPr>
                <w:sz w:val="22"/>
                <w:szCs w:val="22"/>
              </w:rPr>
              <w:t>-</w:t>
            </w:r>
            <w:r w:rsidRPr="0004164B">
              <w:rPr>
                <w:sz w:val="22"/>
                <w:szCs w:val="22"/>
              </w:rPr>
              <w:tab/>
              <w:t>Au Directeur du Bureau des radiocommunications</w:t>
            </w:r>
          </w:p>
        </w:tc>
      </w:tr>
      <w:tr w:rsidR="00036F4F" w:rsidRPr="0004164B" w14:paraId="4A0BE0B2" w14:textId="77777777" w:rsidTr="003A2B66">
        <w:trPr>
          <w:gridBefore w:val="1"/>
          <w:wBefore w:w="8" w:type="dxa"/>
          <w:cantSplit/>
        </w:trPr>
        <w:tc>
          <w:tcPr>
            <w:tcW w:w="1126" w:type="dxa"/>
          </w:tcPr>
          <w:p w14:paraId="1C434C2C" w14:textId="77777777" w:rsidR="00036F4F" w:rsidRPr="0004164B" w:rsidRDefault="00036F4F" w:rsidP="006361AF">
            <w:pPr>
              <w:tabs>
                <w:tab w:val="left" w:pos="4111"/>
              </w:tabs>
              <w:spacing w:before="10"/>
              <w:ind w:left="57"/>
              <w:rPr>
                <w:b/>
                <w:bCs/>
                <w:sz w:val="22"/>
                <w:szCs w:val="22"/>
              </w:rPr>
            </w:pPr>
            <w:proofErr w:type="gramStart"/>
            <w:r w:rsidRPr="0004164B">
              <w:rPr>
                <w:b/>
                <w:bCs/>
                <w:sz w:val="22"/>
                <w:szCs w:val="22"/>
              </w:rPr>
              <w:t>Tél.:</w:t>
            </w:r>
            <w:proofErr w:type="gramEnd"/>
          </w:p>
        </w:tc>
        <w:tc>
          <w:tcPr>
            <w:tcW w:w="3751" w:type="dxa"/>
            <w:gridSpan w:val="3"/>
          </w:tcPr>
          <w:p w14:paraId="5CCDEA15" w14:textId="00C78129" w:rsidR="00036F4F" w:rsidRPr="0004164B" w:rsidRDefault="00036F4F" w:rsidP="006361AF">
            <w:pPr>
              <w:tabs>
                <w:tab w:val="left" w:pos="4111"/>
              </w:tabs>
              <w:spacing w:before="0"/>
              <w:ind w:left="57"/>
              <w:rPr>
                <w:sz w:val="22"/>
                <w:szCs w:val="22"/>
              </w:rPr>
            </w:pPr>
            <w:r w:rsidRPr="0004164B">
              <w:rPr>
                <w:sz w:val="22"/>
                <w:szCs w:val="22"/>
              </w:rPr>
              <w:t>+41 22 730</w:t>
            </w:r>
            <w:r w:rsidR="003A2B66" w:rsidRPr="0004164B">
              <w:rPr>
                <w:sz w:val="22"/>
                <w:szCs w:val="22"/>
              </w:rPr>
              <w:t xml:space="preserve"> 5855</w:t>
            </w:r>
          </w:p>
        </w:tc>
        <w:tc>
          <w:tcPr>
            <w:tcW w:w="5046" w:type="dxa"/>
            <w:gridSpan w:val="3"/>
            <w:vMerge/>
          </w:tcPr>
          <w:p w14:paraId="629A0703" w14:textId="77777777" w:rsidR="00036F4F" w:rsidRPr="0004164B" w:rsidRDefault="00036F4F" w:rsidP="006361AF">
            <w:pPr>
              <w:tabs>
                <w:tab w:val="left" w:pos="4111"/>
              </w:tabs>
              <w:spacing w:before="0"/>
              <w:rPr>
                <w:b/>
                <w:sz w:val="22"/>
                <w:szCs w:val="22"/>
              </w:rPr>
            </w:pPr>
          </w:p>
        </w:tc>
      </w:tr>
      <w:tr w:rsidR="00036F4F" w:rsidRPr="0004164B" w14:paraId="2422C82D" w14:textId="77777777" w:rsidTr="003A2B66">
        <w:trPr>
          <w:gridBefore w:val="1"/>
          <w:wBefore w:w="8" w:type="dxa"/>
          <w:cantSplit/>
        </w:trPr>
        <w:tc>
          <w:tcPr>
            <w:tcW w:w="1126" w:type="dxa"/>
          </w:tcPr>
          <w:p w14:paraId="53865038" w14:textId="77777777" w:rsidR="00036F4F" w:rsidRDefault="003A2B66" w:rsidP="006361AF">
            <w:pPr>
              <w:tabs>
                <w:tab w:val="left" w:pos="4111"/>
              </w:tabs>
              <w:spacing w:before="10"/>
              <w:ind w:left="57"/>
              <w:rPr>
                <w:b/>
                <w:bCs/>
                <w:sz w:val="22"/>
                <w:szCs w:val="22"/>
              </w:rPr>
            </w:pPr>
            <w:proofErr w:type="gramStart"/>
            <w:r w:rsidRPr="0004164B">
              <w:rPr>
                <w:b/>
                <w:bCs/>
                <w:sz w:val="22"/>
                <w:szCs w:val="22"/>
              </w:rPr>
              <w:t>Télécopie:</w:t>
            </w:r>
            <w:proofErr w:type="gramEnd"/>
          </w:p>
          <w:p w14:paraId="44B7E800" w14:textId="62C04856" w:rsidR="0004164B" w:rsidRPr="0004164B" w:rsidRDefault="0004164B" w:rsidP="006361AF">
            <w:pPr>
              <w:tabs>
                <w:tab w:val="left" w:pos="4111"/>
              </w:tabs>
              <w:spacing w:before="10"/>
              <w:ind w:left="57"/>
              <w:rPr>
                <w:b/>
                <w:bCs/>
                <w:sz w:val="22"/>
                <w:szCs w:val="22"/>
              </w:rPr>
            </w:pPr>
            <w:proofErr w:type="gramStart"/>
            <w:r w:rsidRPr="0004164B">
              <w:rPr>
                <w:b/>
                <w:bCs/>
                <w:sz w:val="22"/>
                <w:szCs w:val="22"/>
              </w:rPr>
              <w:t>Courriel:</w:t>
            </w:r>
            <w:proofErr w:type="gramEnd"/>
          </w:p>
        </w:tc>
        <w:tc>
          <w:tcPr>
            <w:tcW w:w="3751" w:type="dxa"/>
            <w:gridSpan w:val="3"/>
          </w:tcPr>
          <w:p w14:paraId="4699C267" w14:textId="77777777" w:rsidR="00036F4F" w:rsidRDefault="00036F4F" w:rsidP="006361AF">
            <w:pPr>
              <w:tabs>
                <w:tab w:val="left" w:pos="4111"/>
              </w:tabs>
              <w:spacing w:before="0"/>
              <w:ind w:left="57"/>
              <w:rPr>
                <w:sz w:val="22"/>
                <w:szCs w:val="22"/>
              </w:rPr>
            </w:pPr>
            <w:r w:rsidRPr="0004164B">
              <w:rPr>
                <w:sz w:val="22"/>
                <w:szCs w:val="22"/>
              </w:rPr>
              <w:t>+41 22 730 5853</w:t>
            </w:r>
          </w:p>
          <w:p w14:paraId="5E4C31F2" w14:textId="13C3B759" w:rsidR="0004164B" w:rsidRPr="0004164B" w:rsidRDefault="0004164B" w:rsidP="006361AF">
            <w:pPr>
              <w:tabs>
                <w:tab w:val="left" w:pos="4111"/>
              </w:tabs>
              <w:spacing w:before="0"/>
              <w:ind w:left="57"/>
              <w:rPr>
                <w:sz w:val="22"/>
                <w:szCs w:val="22"/>
              </w:rPr>
            </w:pPr>
            <w:hyperlink r:id="rId9" w:history="1">
              <w:r w:rsidRPr="0004164B">
                <w:rPr>
                  <w:rStyle w:val="Hyperlink"/>
                  <w:sz w:val="22"/>
                  <w:szCs w:val="22"/>
                </w:rPr>
                <w:t>tsbsg2@itu.int</w:t>
              </w:r>
            </w:hyperlink>
          </w:p>
        </w:tc>
        <w:tc>
          <w:tcPr>
            <w:tcW w:w="5046" w:type="dxa"/>
            <w:gridSpan w:val="3"/>
            <w:vMerge/>
          </w:tcPr>
          <w:p w14:paraId="2C250AF9" w14:textId="77777777" w:rsidR="00036F4F" w:rsidRPr="0004164B" w:rsidRDefault="00036F4F" w:rsidP="006361AF">
            <w:pPr>
              <w:tabs>
                <w:tab w:val="left" w:pos="4111"/>
              </w:tabs>
              <w:spacing w:before="0"/>
              <w:rPr>
                <w:b/>
                <w:sz w:val="22"/>
                <w:szCs w:val="22"/>
              </w:rPr>
            </w:pPr>
          </w:p>
        </w:tc>
      </w:tr>
      <w:tr w:rsidR="00517A03" w:rsidRPr="0004164B" w14:paraId="615BC9AD" w14:textId="77777777" w:rsidTr="003A2B66">
        <w:trPr>
          <w:gridBefore w:val="1"/>
          <w:gridAfter w:val="1"/>
          <w:wBefore w:w="8" w:type="dxa"/>
          <w:wAfter w:w="8" w:type="dxa"/>
          <w:cantSplit/>
          <w:trHeight w:val="680"/>
        </w:trPr>
        <w:tc>
          <w:tcPr>
            <w:tcW w:w="1126" w:type="dxa"/>
          </w:tcPr>
          <w:p w14:paraId="0F66CBA1" w14:textId="77777777" w:rsidR="00517A03" w:rsidRPr="0004164B" w:rsidRDefault="00517A03" w:rsidP="004F14F9">
            <w:pPr>
              <w:tabs>
                <w:tab w:val="left" w:pos="4111"/>
              </w:tabs>
              <w:ind w:left="57"/>
              <w:rPr>
                <w:b/>
                <w:bCs/>
                <w:sz w:val="22"/>
                <w:szCs w:val="22"/>
              </w:rPr>
            </w:pPr>
            <w:proofErr w:type="gramStart"/>
            <w:r w:rsidRPr="0004164B">
              <w:rPr>
                <w:b/>
                <w:bCs/>
                <w:sz w:val="22"/>
                <w:szCs w:val="22"/>
              </w:rPr>
              <w:t>Objet:</w:t>
            </w:r>
            <w:proofErr w:type="gramEnd"/>
          </w:p>
        </w:tc>
        <w:tc>
          <w:tcPr>
            <w:tcW w:w="8789" w:type="dxa"/>
            <w:gridSpan w:val="5"/>
          </w:tcPr>
          <w:p w14:paraId="759E9F8D" w14:textId="1DA8C360" w:rsidR="00517A03" w:rsidRPr="0004164B" w:rsidRDefault="003A2B66" w:rsidP="004F14F9">
            <w:pPr>
              <w:tabs>
                <w:tab w:val="left" w:pos="4111"/>
              </w:tabs>
              <w:ind w:left="57"/>
              <w:rPr>
                <w:b/>
                <w:bCs/>
                <w:sz w:val="22"/>
                <w:szCs w:val="22"/>
              </w:rPr>
            </w:pPr>
            <w:r w:rsidRPr="0004164B">
              <w:rPr>
                <w:b/>
                <w:bCs/>
                <w:sz w:val="22"/>
                <w:szCs w:val="22"/>
              </w:rPr>
              <w:t>Proposition de suppression des Recommandations UIT-T E.168, E.168.1, E.174, E.755, E.775, E.776, F.850, F.851, F.852 et F.853 conformément à</w:t>
            </w:r>
            <w:r w:rsidR="006361AF" w:rsidRPr="0004164B">
              <w:rPr>
                <w:b/>
                <w:bCs/>
                <w:sz w:val="22"/>
                <w:szCs w:val="22"/>
              </w:rPr>
              <w:t xml:space="preserve"> </w:t>
            </w:r>
            <w:r w:rsidRPr="0004164B">
              <w:rPr>
                <w:b/>
                <w:bCs/>
                <w:sz w:val="22"/>
                <w:szCs w:val="22"/>
              </w:rPr>
              <w:t>la</w:t>
            </w:r>
            <w:r w:rsidR="006361AF" w:rsidRPr="0004164B">
              <w:rPr>
                <w:b/>
                <w:bCs/>
                <w:sz w:val="22"/>
                <w:szCs w:val="22"/>
              </w:rPr>
              <w:t xml:space="preserve"> </w:t>
            </w:r>
            <w:r w:rsidRPr="0004164B">
              <w:rPr>
                <w:b/>
                <w:bCs/>
                <w:sz w:val="22"/>
                <w:szCs w:val="22"/>
              </w:rPr>
              <w:t>décision prise par la Commission d'études 2 de l'UIT-T à sa réunion tenue du 16 au 20 mai 2021</w:t>
            </w:r>
          </w:p>
        </w:tc>
      </w:tr>
    </w:tbl>
    <w:p w14:paraId="1954C997" w14:textId="510A7F17" w:rsidR="00517A03" w:rsidRPr="0004164B" w:rsidRDefault="00517A03" w:rsidP="006361AF">
      <w:pPr>
        <w:rPr>
          <w:sz w:val="22"/>
          <w:szCs w:val="22"/>
        </w:rPr>
      </w:pPr>
      <w:bookmarkStart w:id="1" w:name="StartTyping_F"/>
      <w:bookmarkEnd w:id="1"/>
      <w:r w:rsidRPr="0004164B">
        <w:rPr>
          <w:sz w:val="22"/>
          <w:szCs w:val="22"/>
        </w:rPr>
        <w:t>Madame, Monsieur,</w:t>
      </w:r>
    </w:p>
    <w:p w14:paraId="3869F1A7" w14:textId="7522F0D1" w:rsidR="003A2B66" w:rsidRPr="0004164B" w:rsidRDefault="003A2B66" w:rsidP="006361AF">
      <w:pPr>
        <w:rPr>
          <w:bCs/>
          <w:sz w:val="22"/>
          <w:szCs w:val="22"/>
        </w:rPr>
      </w:pPr>
      <w:r w:rsidRPr="0004164B">
        <w:rPr>
          <w:bCs/>
          <w:sz w:val="22"/>
          <w:szCs w:val="22"/>
        </w:rPr>
        <w:t>1</w:t>
      </w:r>
      <w:r w:rsidRPr="0004164B">
        <w:rPr>
          <w:bCs/>
          <w:sz w:val="22"/>
          <w:szCs w:val="22"/>
        </w:rPr>
        <w:tab/>
        <w:t>À la demande du Président de la Commission d'études 2 (</w:t>
      </w:r>
      <w:r w:rsidRPr="0004164B">
        <w:rPr>
          <w:bCs/>
          <w:i/>
          <w:iCs/>
          <w:sz w:val="22"/>
          <w:szCs w:val="22"/>
        </w:rPr>
        <w:t>Aspects opérationnels de la fourniture de services et de la gestion des télécommunications</w:t>
      </w:r>
      <w:r w:rsidRPr="0004164B">
        <w:rPr>
          <w:bCs/>
          <w:sz w:val="22"/>
          <w:szCs w:val="22"/>
        </w:rPr>
        <w:t xml:space="preserve">), j'ai l'honneur de vous informer que cette </w:t>
      </w:r>
      <w:r w:rsidR="006361AF" w:rsidRPr="0004164B">
        <w:rPr>
          <w:bCs/>
          <w:sz w:val="22"/>
          <w:szCs w:val="22"/>
        </w:rPr>
        <w:t>C</w:t>
      </w:r>
      <w:r w:rsidR="0066039B" w:rsidRPr="0004164B">
        <w:rPr>
          <w:bCs/>
          <w:sz w:val="22"/>
          <w:szCs w:val="22"/>
        </w:rPr>
        <w:t xml:space="preserve">ommission </w:t>
      </w:r>
      <w:r w:rsidRPr="0004164B">
        <w:rPr>
          <w:bCs/>
          <w:sz w:val="22"/>
          <w:szCs w:val="22"/>
        </w:rPr>
        <w:t xml:space="preserve">d'études, à sa réunion tenue du 16 au 20 mai 2022, a décidé </w:t>
      </w:r>
      <w:r w:rsidR="00C74B87" w:rsidRPr="0004164B">
        <w:rPr>
          <w:color w:val="000000"/>
          <w:sz w:val="22"/>
          <w:szCs w:val="22"/>
        </w:rPr>
        <w:t>d'entamer la procédure de</w:t>
      </w:r>
      <w:r w:rsidR="00C74B87" w:rsidRPr="0004164B" w:rsidDel="00C74B87">
        <w:rPr>
          <w:bCs/>
          <w:sz w:val="22"/>
          <w:szCs w:val="22"/>
        </w:rPr>
        <w:t xml:space="preserve"> </w:t>
      </w:r>
      <w:r w:rsidR="00A139BE" w:rsidRPr="0004164B">
        <w:rPr>
          <w:bCs/>
          <w:sz w:val="22"/>
          <w:szCs w:val="22"/>
        </w:rPr>
        <w:t xml:space="preserve">suppression des </w:t>
      </w:r>
      <w:r w:rsidRPr="0004164B">
        <w:rPr>
          <w:bCs/>
          <w:sz w:val="22"/>
          <w:szCs w:val="22"/>
        </w:rPr>
        <w:t>Recommandation</w:t>
      </w:r>
      <w:r w:rsidR="00A139BE" w:rsidRPr="0004164B">
        <w:rPr>
          <w:bCs/>
          <w:sz w:val="22"/>
          <w:szCs w:val="22"/>
        </w:rPr>
        <w:t>s</w:t>
      </w:r>
      <w:r w:rsidRPr="0004164B">
        <w:rPr>
          <w:bCs/>
          <w:sz w:val="22"/>
          <w:szCs w:val="22"/>
        </w:rPr>
        <w:t xml:space="preserve"> UIT-T </w:t>
      </w:r>
      <w:r w:rsidR="00A139BE" w:rsidRPr="0004164B">
        <w:rPr>
          <w:bCs/>
          <w:sz w:val="22"/>
          <w:szCs w:val="22"/>
        </w:rPr>
        <w:t>susmentionnées</w:t>
      </w:r>
      <w:r w:rsidRPr="0004164B">
        <w:rPr>
          <w:bCs/>
          <w:sz w:val="22"/>
          <w:szCs w:val="22"/>
        </w:rPr>
        <w:t>, conformément aux dispositions du</w:t>
      </w:r>
      <w:r w:rsidR="006361AF" w:rsidRPr="0004164B">
        <w:rPr>
          <w:bCs/>
          <w:sz w:val="22"/>
          <w:szCs w:val="22"/>
        </w:rPr>
        <w:t xml:space="preserve"> </w:t>
      </w:r>
      <w:r w:rsidRPr="0004164B">
        <w:rPr>
          <w:bCs/>
          <w:sz w:val="22"/>
          <w:szCs w:val="22"/>
        </w:rPr>
        <w:t xml:space="preserve">§ 9.8.2 de la Section 9 de la Résolution 1 de l'AMNT (Rév. Genève, 2022). </w:t>
      </w:r>
      <w:r w:rsidR="00C74B87" w:rsidRPr="0004164B">
        <w:rPr>
          <w:bCs/>
          <w:sz w:val="22"/>
          <w:szCs w:val="22"/>
        </w:rPr>
        <w:t xml:space="preserve">Les </w:t>
      </w:r>
      <w:r w:rsidRPr="0004164B">
        <w:rPr>
          <w:bCs/>
          <w:sz w:val="22"/>
          <w:szCs w:val="22"/>
        </w:rPr>
        <w:t xml:space="preserve">États Membres </w:t>
      </w:r>
      <w:r w:rsidR="00DD7068" w:rsidRPr="0004164B">
        <w:rPr>
          <w:bCs/>
          <w:sz w:val="22"/>
          <w:szCs w:val="22"/>
        </w:rPr>
        <w:t xml:space="preserve">ou </w:t>
      </w:r>
      <w:r w:rsidR="00C74B87" w:rsidRPr="0004164B">
        <w:rPr>
          <w:bCs/>
          <w:sz w:val="22"/>
          <w:szCs w:val="22"/>
        </w:rPr>
        <w:t xml:space="preserve">les </w:t>
      </w:r>
      <w:r w:rsidRPr="0004164B">
        <w:rPr>
          <w:bCs/>
          <w:sz w:val="22"/>
          <w:szCs w:val="22"/>
        </w:rPr>
        <w:t xml:space="preserve">Membres </w:t>
      </w:r>
      <w:r w:rsidR="00C74B87" w:rsidRPr="0004164B">
        <w:rPr>
          <w:bCs/>
          <w:sz w:val="22"/>
          <w:szCs w:val="22"/>
        </w:rPr>
        <w:t xml:space="preserve">de </w:t>
      </w:r>
      <w:r w:rsidRPr="0004164B">
        <w:rPr>
          <w:bCs/>
          <w:sz w:val="22"/>
          <w:szCs w:val="22"/>
        </w:rPr>
        <w:t xml:space="preserve">Secteur </w:t>
      </w:r>
      <w:r w:rsidR="00C74B87" w:rsidRPr="0004164B">
        <w:rPr>
          <w:bCs/>
          <w:sz w:val="22"/>
          <w:szCs w:val="22"/>
        </w:rPr>
        <w:t>ayant</w:t>
      </w:r>
      <w:r w:rsidRPr="0004164B">
        <w:rPr>
          <w:bCs/>
          <w:sz w:val="22"/>
          <w:szCs w:val="22"/>
        </w:rPr>
        <w:t xml:space="preserve"> participé à la réunion</w:t>
      </w:r>
      <w:r w:rsidR="00C74B87" w:rsidRPr="0004164B">
        <w:rPr>
          <w:bCs/>
          <w:sz w:val="22"/>
          <w:szCs w:val="22"/>
        </w:rPr>
        <w:t xml:space="preserve"> n</w:t>
      </w:r>
      <w:r w:rsidR="006361AF" w:rsidRPr="0004164B">
        <w:rPr>
          <w:bCs/>
          <w:sz w:val="22"/>
          <w:szCs w:val="22"/>
        </w:rPr>
        <w:t>'</w:t>
      </w:r>
      <w:r w:rsidR="00C74B87" w:rsidRPr="0004164B">
        <w:rPr>
          <w:bCs/>
          <w:sz w:val="22"/>
          <w:szCs w:val="22"/>
        </w:rPr>
        <w:t>ont émis aucune objection contre cette décision</w:t>
      </w:r>
      <w:r w:rsidRPr="0004164B">
        <w:rPr>
          <w:bCs/>
          <w:sz w:val="22"/>
          <w:szCs w:val="22"/>
        </w:rPr>
        <w:t>.</w:t>
      </w:r>
    </w:p>
    <w:p w14:paraId="5368681C" w14:textId="77777777" w:rsidR="003A2B66" w:rsidRPr="0004164B" w:rsidRDefault="003A2B66" w:rsidP="006361AF">
      <w:pPr>
        <w:rPr>
          <w:bCs/>
          <w:sz w:val="22"/>
          <w:szCs w:val="22"/>
        </w:rPr>
      </w:pPr>
      <w:r w:rsidRPr="0004164B">
        <w:rPr>
          <w:bCs/>
          <w:sz w:val="22"/>
          <w:szCs w:val="22"/>
        </w:rPr>
        <w:t>2</w:t>
      </w:r>
      <w:r w:rsidRPr="0004164B">
        <w:rPr>
          <w:bCs/>
          <w:sz w:val="22"/>
          <w:szCs w:val="22"/>
        </w:rPr>
        <w:tab/>
        <w:t>L'</w:t>
      </w:r>
      <w:r w:rsidRPr="0004164B">
        <w:rPr>
          <w:b/>
          <w:bCs/>
          <w:sz w:val="22"/>
          <w:szCs w:val="22"/>
        </w:rPr>
        <w:t>Annexe 1</w:t>
      </w:r>
      <w:r w:rsidRPr="0004164B">
        <w:rPr>
          <w:bCs/>
          <w:sz w:val="22"/>
          <w:szCs w:val="22"/>
        </w:rPr>
        <w:t xml:space="preserve"> </w:t>
      </w:r>
      <w:proofErr w:type="gramStart"/>
      <w:r w:rsidRPr="0004164B">
        <w:rPr>
          <w:bCs/>
          <w:sz w:val="22"/>
          <w:szCs w:val="22"/>
        </w:rPr>
        <w:t>donne</w:t>
      </w:r>
      <w:proofErr w:type="gramEnd"/>
      <w:r w:rsidRPr="0004164B">
        <w:rPr>
          <w:bCs/>
          <w:sz w:val="22"/>
          <w:szCs w:val="22"/>
        </w:rPr>
        <w:t xml:space="preserve"> des informations sur cette décision et contient un résumé explicatif des motifs de la suppression.</w:t>
      </w:r>
    </w:p>
    <w:p w14:paraId="676EEF35" w14:textId="625F243B" w:rsidR="003A2B66" w:rsidRPr="0004164B" w:rsidRDefault="003A2B66" w:rsidP="006361AF">
      <w:pPr>
        <w:rPr>
          <w:bCs/>
          <w:sz w:val="22"/>
          <w:szCs w:val="22"/>
        </w:rPr>
      </w:pPr>
      <w:r w:rsidRPr="0004164B">
        <w:rPr>
          <w:bCs/>
          <w:sz w:val="22"/>
          <w:szCs w:val="22"/>
        </w:rPr>
        <w:t>3</w:t>
      </w:r>
      <w:r w:rsidRPr="0004164B">
        <w:rPr>
          <w:bCs/>
          <w:sz w:val="22"/>
          <w:szCs w:val="22"/>
        </w:rPr>
        <w:tab/>
        <w:t xml:space="preserve">Eu égard aux dispositions de la Section 9 de la Résolution 1, je vous serais reconnaissant de bien vouloir m'informer d'ici </w:t>
      </w:r>
      <w:r w:rsidRPr="0004164B">
        <w:rPr>
          <w:b/>
          <w:bCs/>
          <w:sz w:val="22"/>
          <w:szCs w:val="22"/>
        </w:rPr>
        <w:t>au 30 août 2022</w:t>
      </w:r>
      <w:r w:rsidRPr="0004164B">
        <w:rPr>
          <w:bCs/>
          <w:sz w:val="22"/>
          <w:szCs w:val="22"/>
        </w:rPr>
        <w:t>, à 24 heures UTC au plus tard, si votre Administration/organisation approuve ou rejette cette suppression.</w:t>
      </w:r>
    </w:p>
    <w:p w14:paraId="25DBB9D1" w14:textId="1D0F9967" w:rsidR="003A2B66" w:rsidRPr="0004164B" w:rsidRDefault="006361AF" w:rsidP="006361AF">
      <w:pPr>
        <w:ind w:left="794" w:hanging="794"/>
        <w:rPr>
          <w:bCs/>
          <w:sz w:val="22"/>
          <w:szCs w:val="22"/>
        </w:rPr>
      </w:pPr>
      <w:r w:rsidRPr="0004164B">
        <w:rPr>
          <w:bCs/>
          <w:sz w:val="22"/>
          <w:szCs w:val="22"/>
        </w:rPr>
        <w:tab/>
      </w:r>
      <w:r w:rsidR="003A2B66" w:rsidRPr="0004164B">
        <w:rPr>
          <w:bCs/>
          <w:sz w:val="22"/>
          <w:szCs w:val="22"/>
        </w:rPr>
        <w:t>Au cas où des États Membres ou des Membres du Secteur estimeraient que la suppression ne doit pas être acceptée, ils devraient indiquer le motif de leur désaccord et la question serait renvoyée à la commission d'études.</w:t>
      </w:r>
    </w:p>
    <w:p w14:paraId="79746089" w14:textId="1A666E83" w:rsidR="003A2B66" w:rsidRPr="0004164B" w:rsidRDefault="003A2B66" w:rsidP="006361AF">
      <w:pPr>
        <w:rPr>
          <w:bCs/>
          <w:sz w:val="22"/>
          <w:szCs w:val="22"/>
        </w:rPr>
      </w:pPr>
      <w:r w:rsidRPr="0004164B">
        <w:rPr>
          <w:bCs/>
          <w:sz w:val="22"/>
          <w:szCs w:val="22"/>
        </w:rPr>
        <w:t>4</w:t>
      </w:r>
      <w:r w:rsidRPr="0004164B">
        <w:rPr>
          <w:bCs/>
          <w:sz w:val="22"/>
          <w:szCs w:val="22"/>
        </w:rPr>
        <w:tab/>
        <w:t>Après la date limite susmentionnée (</w:t>
      </w:r>
      <w:r w:rsidRPr="0004164B">
        <w:rPr>
          <w:b/>
          <w:bCs/>
          <w:sz w:val="22"/>
          <w:szCs w:val="22"/>
        </w:rPr>
        <w:t>30 août 2022</w:t>
      </w:r>
      <w:r w:rsidRPr="0004164B">
        <w:rPr>
          <w:bCs/>
          <w:sz w:val="22"/>
          <w:szCs w:val="22"/>
        </w:rPr>
        <w:t>), le Directeur du TSB fera connaître, dans une circulaire, le résultat de la consultation. Cette information sera également publiée dans le Bulletin d'exploitation de l'UIT.</w:t>
      </w:r>
    </w:p>
    <w:p w14:paraId="00A87144" w14:textId="4316CA10" w:rsidR="003A2B66" w:rsidRPr="0004164B" w:rsidRDefault="003A2B66" w:rsidP="006361AF">
      <w:pPr>
        <w:rPr>
          <w:bCs/>
          <w:sz w:val="22"/>
          <w:szCs w:val="22"/>
        </w:rPr>
      </w:pPr>
      <w:r w:rsidRPr="0004164B">
        <w:rPr>
          <w:bCs/>
          <w:sz w:val="22"/>
          <w:szCs w:val="22"/>
        </w:rPr>
        <w:t>Veuillez agréer, Madame, Monsieur, l'assurance de ma considération distinguée.</w:t>
      </w:r>
    </w:p>
    <w:p w14:paraId="3B02CD60" w14:textId="5C52AB51" w:rsidR="003A2B66" w:rsidRPr="0004164B" w:rsidRDefault="00122DA4" w:rsidP="0004164B">
      <w:pPr>
        <w:keepNext/>
        <w:keepLines/>
        <w:spacing w:before="960"/>
        <w:ind w:right="-284"/>
        <w:rPr>
          <w:b/>
          <w:sz w:val="22"/>
          <w:szCs w:val="22"/>
        </w:rPr>
      </w:pPr>
      <w:r>
        <w:rPr>
          <w:bCs/>
          <w:noProof/>
          <w:sz w:val="22"/>
          <w:szCs w:val="22"/>
        </w:rPr>
        <w:drawing>
          <wp:anchor distT="0" distB="0" distL="114300" distR="114300" simplePos="0" relativeHeight="251658240" behindDoc="1" locked="0" layoutInCell="1" allowOverlap="1" wp14:anchorId="4BEAAB98" wp14:editId="2FFE9898">
            <wp:simplePos x="0" y="0"/>
            <wp:positionH relativeFrom="column">
              <wp:posOffset>635</wp:posOffset>
            </wp:positionH>
            <wp:positionV relativeFrom="paragraph">
              <wp:posOffset>36830</wp:posOffset>
            </wp:positionV>
            <wp:extent cx="596899" cy="44767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7742" cy="448307"/>
                    </a:xfrm>
                    <a:prstGeom prst="rect">
                      <a:avLst/>
                    </a:prstGeom>
                  </pic:spPr>
                </pic:pic>
              </a:graphicData>
            </a:graphic>
            <wp14:sizeRelH relativeFrom="margin">
              <wp14:pctWidth>0</wp14:pctWidth>
            </wp14:sizeRelH>
            <wp14:sizeRelV relativeFrom="margin">
              <wp14:pctHeight>0</wp14:pctHeight>
            </wp14:sizeRelV>
          </wp:anchor>
        </w:drawing>
      </w:r>
      <w:r w:rsidR="00036F4F" w:rsidRPr="0004164B">
        <w:rPr>
          <w:sz w:val="22"/>
          <w:szCs w:val="22"/>
        </w:rPr>
        <w:t>Chaesub Lee</w:t>
      </w:r>
      <w:r w:rsidR="00036F4F" w:rsidRPr="0004164B">
        <w:rPr>
          <w:sz w:val="22"/>
          <w:szCs w:val="22"/>
        </w:rPr>
        <w:br/>
        <w:t xml:space="preserve">Directeur du Bureau de la normalisation </w:t>
      </w:r>
      <w:r w:rsidR="00036F4F" w:rsidRPr="0004164B">
        <w:rPr>
          <w:sz w:val="22"/>
          <w:szCs w:val="22"/>
        </w:rPr>
        <w:br/>
        <w:t>des télécommunications</w:t>
      </w:r>
    </w:p>
    <w:p w14:paraId="42B28853" w14:textId="52CA64BB" w:rsidR="0004164B" w:rsidRPr="0004164B" w:rsidRDefault="003A2B66" w:rsidP="0004164B">
      <w:pPr>
        <w:spacing w:before="240"/>
        <w:rPr>
          <w:bCs/>
          <w:sz w:val="22"/>
          <w:szCs w:val="22"/>
        </w:rPr>
      </w:pPr>
      <w:proofErr w:type="gramStart"/>
      <w:r w:rsidRPr="0004164B">
        <w:rPr>
          <w:b/>
          <w:bCs/>
          <w:sz w:val="22"/>
          <w:szCs w:val="22"/>
        </w:rPr>
        <w:t>Annexe</w:t>
      </w:r>
      <w:r w:rsidRPr="0004164B">
        <w:rPr>
          <w:bCs/>
          <w:sz w:val="22"/>
          <w:szCs w:val="22"/>
        </w:rPr>
        <w:t>:</w:t>
      </w:r>
      <w:proofErr w:type="gramEnd"/>
      <w:r w:rsidRPr="0004164B">
        <w:rPr>
          <w:bCs/>
          <w:sz w:val="22"/>
          <w:szCs w:val="22"/>
        </w:rPr>
        <w:t xml:space="preserve"> 1</w:t>
      </w:r>
    </w:p>
    <w:p w14:paraId="7C04465A" w14:textId="1D14F29B" w:rsidR="00101288" w:rsidRPr="005E3082" w:rsidRDefault="00101288" w:rsidP="006361AF">
      <w:r w:rsidRPr="005E3082">
        <w:br w:type="page"/>
      </w:r>
    </w:p>
    <w:p w14:paraId="47ABF694" w14:textId="0082E314" w:rsidR="00101288" w:rsidRPr="005E3082" w:rsidRDefault="00101288" w:rsidP="006361AF">
      <w:pPr>
        <w:pStyle w:val="AnnexTitle"/>
      </w:pPr>
      <w:r w:rsidRPr="002F26AF">
        <w:lastRenderedPageBreak/>
        <w:t>Annexe 1</w:t>
      </w:r>
      <w:r w:rsidRPr="002F26AF">
        <w:br/>
      </w:r>
      <w:r w:rsidR="00DD7068" w:rsidRPr="002F26AF">
        <w:t>Recommandations qu'il est proposé de supprimer</w:t>
      </w:r>
      <w:r w:rsidRPr="002F26AF">
        <w:t xml:space="preserve">: ITU-T E.168, E.168.1, E.174, </w:t>
      </w:r>
      <w:r w:rsidR="002E3872" w:rsidRPr="005E3082">
        <w:br/>
      </w:r>
      <w:r w:rsidRPr="002F26AF">
        <w:t xml:space="preserve">E.755, E.775, E.776, F.850, F.851, F.852 </w:t>
      </w:r>
      <w:r w:rsidR="00DD7068" w:rsidRPr="005E3082">
        <w:t xml:space="preserve">et </w:t>
      </w:r>
      <w:r w:rsidRPr="005E3082">
        <w:t>F.853</w:t>
      </w:r>
    </w:p>
    <w:p w14:paraId="1E57C807" w14:textId="59FB3A55" w:rsidR="00101288" w:rsidRPr="005E3082" w:rsidRDefault="00101288" w:rsidP="006361AF">
      <w:pPr>
        <w:pStyle w:val="headingb"/>
      </w:pPr>
      <w:r w:rsidRPr="005E3082">
        <w:t xml:space="preserve">Recommandation </w:t>
      </w:r>
      <w:r w:rsidR="007C770A" w:rsidRPr="005E3082">
        <w:t xml:space="preserve">UIT-T </w:t>
      </w:r>
      <w:r w:rsidRPr="005E3082">
        <w:t>E.168</w:t>
      </w:r>
      <w:r w:rsidR="00C71CB0" w:rsidRPr="005E3082">
        <w:t>, Application du plan de numérotage de la Recommandation</w:t>
      </w:r>
      <w:r w:rsidR="006361AF" w:rsidRPr="005E3082">
        <w:t> </w:t>
      </w:r>
      <w:r w:rsidR="00C71CB0" w:rsidRPr="005E3082">
        <w:t>E.164 aux</w:t>
      </w:r>
      <w:r w:rsidR="00160099" w:rsidRPr="005E3082">
        <w:t xml:space="preserve"> </w:t>
      </w:r>
      <w:r w:rsidR="00C71CB0" w:rsidRPr="005E3082">
        <w:t>télécommunications personnelles universelles</w:t>
      </w:r>
    </w:p>
    <w:p w14:paraId="71F05824" w14:textId="624DBDC1" w:rsidR="00C71CB0" w:rsidRPr="005E3082" w:rsidRDefault="007C770A" w:rsidP="006361AF">
      <w:pPr>
        <w:pStyle w:val="headingb"/>
      </w:pPr>
      <w:bookmarkStart w:id="2" w:name="_Hlk104903990"/>
      <w:r w:rsidRPr="005E3082">
        <w:t>Date d'approbation</w:t>
      </w:r>
      <w:bookmarkEnd w:id="2"/>
      <w:r w:rsidR="00C71CB0" w:rsidRPr="002F26AF">
        <w:t>:</w:t>
      </w:r>
      <w:r w:rsidR="00C71CB0" w:rsidRPr="002F26AF">
        <w:tab/>
        <w:t>Mai 2002</w:t>
      </w:r>
    </w:p>
    <w:p w14:paraId="28A177E8" w14:textId="77777777" w:rsidR="00101288" w:rsidRPr="005E3082" w:rsidRDefault="00101288" w:rsidP="006361AF">
      <w:pPr>
        <w:pStyle w:val="headingi"/>
      </w:pPr>
      <w:r w:rsidRPr="005E3082">
        <w:t>Résumé</w:t>
      </w:r>
    </w:p>
    <w:p w14:paraId="5581D513" w14:textId="57095BB2" w:rsidR="00101288" w:rsidRPr="005E3082" w:rsidRDefault="00C71CB0" w:rsidP="006361AF">
      <w:r w:rsidRPr="005E3082">
        <w:t>Cette Recommandation constitue une base pour la compréhension globale des problèmes sous</w:t>
      </w:r>
      <w:r w:rsidRPr="005E3082">
        <w:noBreakHyphen/>
        <w:t>jacents</w:t>
      </w:r>
      <w:r w:rsidR="0095727F" w:rsidRPr="005E3082">
        <w:t xml:space="preserve">, </w:t>
      </w:r>
      <w:r w:rsidRPr="005E3082">
        <w:t xml:space="preserve">afin de faciliter </w:t>
      </w:r>
      <w:r w:rsidR="00D54531" w:rsidRPr="005E3082">
        <w:t xml:space="preserve">la </w:t>
      </w:r>
      <w:r w:rsidRPr="005E3082">
        <w:t xml:space="preserve">mise en </w:t>
      </w:r>
      <w:r w:rsidR="008613EC" w:rsidRPr="005E3082">
        <w:t>œuvre</w:t>
      </w:r>
      <w:r w:rsidRPr="005E3082">
        <w:t xml:space="preserve"> des </w:t>
      </w:r>
      <w:r w:rsidR="00D54531" w:rsidRPr="005E3082">
        <w:t>télécommunications personnelles universelles (</w:t>
      </w:r>
      <w:r w:rsidRPr="005E3082">
        <w:t>TPU</w:t>
      </w:r>
      <w:r w:rsidR="00D54531" w:rsidRPr="005E3082">
        <w:t>)</w:t>
      </w:r>
      <w:r w:rsidRPr="005E3082">
        <w:t xml:space="preserve"> dans un cadre de numérotage commun. </w:t>
      </w:r>
      <w:r w:rsidR="00101288" w:rsidRPr="005E3082">
        <w:t>Avec les TPU, on introduit le principe de la mobilité personnelle entre de nombreux réseaux: RNIS, RTPC, RMTP, RPDCP, etc. L'utilisation de numéros TPU personnels a élargi la façon d'utiliser le numérotage à l'intérieur des réseaux de télécommunication internationaux et nationaux et entre ces réseaux.</w:t>
      </w:r>
    </w:p>
    <w:p w14:paraId="2C5A931F" w14:textId="11FB712F" w:rsidR="00101288" w:rsidRPr="005E3082" w:rsidRDefault="00101288" w:rsidP="006361AF">
      <w:r w:rsidRPr="005E3082">
        <w:t>Elle définit un cadre de numérotage pour les appels entrants chez un utilisateur TPU (appels entrants), pour les transactions entre l'utilisateur TPU et son profil de service TPU (comme l'enregistrement des appels entrants), pour les appels lancés par l'utilisateur TPU (appels sortants) ainsi que pour l'identification du profil de service TPU et du fournisseur de services TPU.</w:t>
      </w:r>
    </w:p>
    <w:p w14:paraId="7CCB07A5" w14:textId="1801E208" w:rsidR="00101288" w:rsidRPr="005E3082" w:rsidRDefault="00101288" w:rsidP="006361AF">
      <w:pPr>
        <w:pStyle w:val="headingb"/>
      </w:pPr>
      <w:r w:rsidRPr="005E3082">
        <w:rPr>
          <w:szCs w:val="24"/>
        </w:rPr>
        <w:t xml:space="preserve">Recommandation </w:t>
      </w:r>
      <w:r w:rsidR="00C71CB0" w:rsidRPr="005E3082">
        <w:rPr>
          <w:szCs w:val="24"/>
        </w:rPr>
        <w:t xml:space="preserve">UIT-T </w:t>
      </w:r>
      <w:r w:rsidRPr="005E3082">
        <w:rPr>
          <w:szCs w:val="24"/>
        </w:rPr>
        <w:t>E.168.1</w:t>
      </w:r>
      <w:r w:rsidR="00C71CB0" w:rsidRPr="005E3082">
        <w:rPr>
          <w:sz w:val="28"/>
        </w:rPr>
        <w:t>, P</w:t>
      </w:r>
      <w:r w:rsidR="00C71CB0" w:rsidRPr="005E3082">
        <w:t xml:space="preserve">rocédures d'attribution des numéros </w:t>
      </w:r>
      <w:r w:rsidR="00C11F55" w:rsidRPr="005E3082">
        <w:t>de télécommunications personnelles universelles (</w:t>
      </w:r>
      <w:r w:rsidR="00C71CB0" w:rsidRPr="005E3082">
        <w:t>TPU</w:t>
      </w:r>
      <w:r w:rsidR="00C11F55" w:rsidRPr="005E3082">
        <w:t>)</w:t>
      </w:r>
      <w:r w:rsidR="00C71CB0" w:rsidRPr="005E3082">
        <w:t xml:space="preserve"> pour la fourniture du service TPU international</w:t>
      </w:r>
    </w:p>
    <w:p w14:paraId="39B073C9" w14:textId="0F816FCB" w:rsidR="00C71CB0" w:rsidRPr="005E3082" w:rsidRDefault="00C11F55" w:rsidP="006361AF">
      <w:pPr>
        <w:pStyle w:val="headingb"/>
        <w:rPr>
          <w:lang w:eastAsia="ja-JP"/>
        </w:rPr>
      </w:pPr>
      <w:r w:rsidRPr="005E3082">
        <w:rPr>
          <w:lang w:eastAsia="ja-JP"/>
        </w:rPr>
        <w:t>Date d'approbation</w:t>
      </w:r>
      <w:r w:rsidR="00C71CB0" w:rsidRPr="005E3082">
        <w:rPr>
          <w:lang w:eastAsia="ja-JP"/>
        </w:rPr>
        <w:t>:</w:t>
      </w:r>
      <w:r w:rsidR="00C71CB0" w:rsidRPr="005E3082">
        <w:rPr>
          <w:lang w:eastAsia="ja-JP"/>
        </w:rPr>
        <w:tab/>
        <w:t>Mai 2002</w:t>
      </w:r>
    </w:p>
    <w:p w14:paraId="13F13423" w14:textId="209838E1" w:rsidR="00101288" w:rsidRPr="005E3082" w:rsidRDefault="00101288" w:rsidP="006361AF">
      <w:pPr>
        <w:pStyle w:val="headingi"/>
      </w:pPr>
      <w:r w:rsidRPr="005E3082">
        <w:t>Résumé</w:t>
      </w:r>
    </w:p>
    <w:p w14:paraId="4321C977" w14:textId="511231B8" w:rsidR="00101288" w:rsidRPr="005E3082" w:rsidRDefault="00101288" w:rsidP="006361AF">
      <w:r w:rsidRPr="005E3082">
        <w:t xml:space="preserve">On détaille dans cette Recommandation les procédures d'attribution des numéros de télécommunications personnelles universelles (TPU) pour la fourniture du service TPU international défini dans la Recommandation </w:t>
      </w:r>
      <w:r w:rsidR="00C11F55" w:rsidRPr="005E3082">
        <w:t xml:space="preserve">ITU-T </w:t>
      </w:r>
      <w:r w:rsidRPr="005E3082">
        <w:t xml:space="preserve">E.168. Ces procédures ne s'appliquent qu'au scénario 3 défini dans la Recommandation </w:t>
      </w:r>
      <w:r w:rsidR="00C11F55" w:rsidRPr="005E3082">
        <w:t xml:space="preserve">ITU-T </w:t>
      </w:r>
      <w:r w:rsidRPr="005E3082">
        <w:t>E.168. L'attribution de ressources de numérotage à des requérants au titre de la Recommandation E.168.1 incombe au Groupe centralisé d'administration du numérotage de l'UIT (Groupe ITU-NAG), rattaché au TSB.</w:t>
      </w:r>
    </w:p>
    <w:p w14:paraId="07E1E72C" w14:textId="27253F54" w:rsidR="0076595D" w:rsidRPr="005E3082" w:rsidRDefault="0076595D" w:rsidP="006361AF">
      <w:pPr>
        <w:pStyle w:val="headingb"/>
        <w:rPr>
          <w:lang w:eastAsia="ja-JP"/>
        </w:rPr>
      </w:pPr>
      <w:r w:rsidRPr="005E3082">
        <w:rPr>
          <w:lang w:eastAsia="ja-JP"/>
        </w:rPr>
        <w:t>Recommandation UIT-T E.174, Principes d'acheminement et guide pour les télécommunications personnelles universelles (UPT)</w:t>
      </w:r>
    </w:p>
    <w:p w14:paraId="006E43BA" w14:textId="3C24D304" w:rsidR="0076595D" w:rsidRPr="005E3082" w:rsidRDefault="00C11F55" w:rsidP="006361AF">
      <w:pPr>
        <w:pStyle w:val="headingb"/>
        <w:rPr>
          <w:lang w:eastAsia="ja-JP"/>
        </w:rPr>
      </w:pPr>
      <w:bookmarkStart w:id="3" w:name="_Hlk104904071"/>
      <w:r w:rsidRPr="005E3082">
        <w:rPr>
          <w:lang w:eastAsia="ja-JP"/>
        </w:rPr>
        <w:t>Date d'approbation</w:t>
      </w:r>
      <w:bookmarkEnd w:id="3"/>
      <w:r w:rsidR="0076595D" w:rsidRPr="005E3082">
        <w:rPr>
          <w:lang w:eastAsia="ja-JP"/>
        </w:rPr>
        <w:t>:</w:t>
      </w:r>
      <w:r w:rsidR="0076595D" w:rsidRPr="005E3082">
        <w:rPr>
          <w:lang w:eastAsia="ja-JP"/>
        </w:rPr>
        <w:tab/>
        <w:t>Avril 1995</w:t>
      </w:r>
    </w:p>
    <w:p w14:paraId="3C899F68" w14:textId="77777777" w:rsidR="0076595D" w:rsidRPr="005E3082" w:rsidRDefault="0076595D" w:rsidP="006361AF">
      <w:pPr>
        <w:pStyle w:val="headingi"/>
      </w:pPr>
      <w:r w:rsidRPr="005E3082">
        <w:t>Résumé</w:t>
      </w:r>
    </w:p>
    <w:p w14:paraId="430D3329" w14:textId="02D9FB4A" w:rsidR="0076595D" w:rsidRPr="005E3082" w:rsidRDefault="0095727F" w:rsidP="006361AF">
      <w:r w:rsidRPr="005E3082">
        <w:t>Cette</w:t>
      </w:r>
      <w:r w:rsidR="0076595D" w:rsidRPr="005E3082">
        <w:t xml:space="preserve"> Recommandation définit les principes d'acheminement des appels internationaux et donne des indications, sur le plan d'utilisateur, pour le scénario de service UPT à court terme, pour le scénario de service UPT de base et pour les débuts du scénario de service UPT amélioré. Ces</w:t>
      </w:r>
      <w:r w:rsidR="006361AF" w:rsidRPr="005E3082">
        <w:t> </w:t>
      </w:r>
      <w:r w:rsidR="0076595D" w:rsidRPr="005E3082">
        <w:t>principes et indications s'appliquent aux appels de UPT entrants et sortants, aux appels de UPT</w:t>
      </w:r>
      <w:r w:rsidR="006361AF" w:rsidRPr="005E3082">
        <w:noBreakHyphen/>
      </w:r>
      <w:r w:rsidR="0076595D" w:rsidRPr="005E3082">
        <w:t>UPT ainsi qu'aux communications de gestion du profil de service UPT.</w:t>
      </w:r>
    </w:p>
    <w:p w14:paraId="61D2A276" w14:textId="0CDBC52F" w:rsidR="00C71CB0" w:rsidRPr="005E3082" w:rsidRDefault="0095727F" w:rsidP="006361AF">
      <w:r w:rsidRPr="005E3082">
        <w:t>Cette</w:t>
      </w:r>
      <w:r w:rsidRPr="005E3082" w:rsidDel="0095727F">
        <w:t xml:space="preserve"> </w:t>
      </w:r>
      <w:r w:rsidR="0076595D" w:rsidRPr="005E3082">
        <w:t>Recommandation vise à permettre d'effectuer des mises en œuvre à brève échéance, sans fournir de listes exhaustives ou restrictives d'applications.</w:t>
      </w:r>
    </w:p>
    <w:p w14:paraId="742171B9" w14:textId="3DA198F0" w:rsidR="0076595D" w:rsidRPr="005E3082" w:rsidRDefault="0076595D" w:rsidP="006361AF">
      <w:pPr>
        <w:pStyle w:val="headingb"/>
        <w:rPr>
          <w:lang w:eastAsia="ja-JP"/>
        </w:rPr>
      </w:pPr>
      <w:r w:rsidRPr="005E3082">
        <w:rPr>
          <w:lang w:eastAsia="ja-JP"/>
        </w:rPr>
        <w:lastRenderedPageBreak/>
        <w:t xml:space="preserve">Recommandation UIT-T E.755, </w:t>
      </w:r>
      <w:r w:rsidR="004B13D1" w:rsidRPr="005E3082">
        <w:rPr>
          <w:lang w:eastAsia="ja-JP"/>
        </w:rPr>
        <w:t>Connexions de référence pour la capacité d'écoulement du trafic et la qualité d'écoulement du trafic des services TPU</w:t>
      </w:r>
    </w:p>
    <w:p w14:paraId="4214BBD8" w14:textId="6C12C17A" w:rsidR="0076595D" w:rsidRPr="005E3082" w:rsidRDefault="00C11F55" w:rsidP="006361AF">
      <w:pPr>
        <w:pStyle w:val="headingb"/>
        <w:rPr>
          <w:lang w:eastAsia="ja-JP"/>
        </w:rPr>
      </w:pPr>
      <w:r w:rsidRPr="005E3082">
        <w:rPr>
          <w:lang w:eastAsia="ja-JP"/>
        </w:rPr>
        <w:t>Date d'approbation</w:t>
      </w:r>
      <w:r w:rsidR="0076595D" w:rsidRPr="005E3082">
        <w:rPr>
          <w:lang w:eastAsia="ja-JP"/>
        </w:rPr>
        <w:t>:</w:t>
      </w:r>
      <w:r w:rsidR="0076595D" w:rsidRPr="005E3082">
        <w:rPr>
          <w:lang w:eastAsia="ja-JP"/>
        </w:rPr>
        <w:tab/>
      </w:r>
      <w:r w:rsidR="004B13D1" w:rsidRPr="005E3082">
        <w:rPr>
          <w:lang w:eastAsia="ja-JP"/>
        </w:rPr>
        <w:t>Février</w:t>
      </w:r>
      <w:r w:rsidR="0076595D" w:rsidRPr="005E3082">
        <w:rPr>
          <w:lang w:eastAsia="ja-JP"/>
        </w:rPr>
        <w:t xml:space="preserve"> 1996</w:t>
      </w:r>
    </w:p>
    <w:p w14:paraId="6DE0A912" w14:textId="77777777" w:rsidR="004B13D1" w:rsidRPr="005E3082" w:rsidRDefault="004B13D1" w:rsidP="006361AF">
      <w:pPr>
        <w:pStyle w:val="headingi"/>
      </w:pPr>
      <w:r w:rsidRPr="005E3082">
        <w:t>Résumé</w:t>
      </w:r>
    </w:p>
    <w:p w14:paraId="0CA7F28D" w14:textId="2F43DC90" w:rsidR="0076595D" w:rsidRPr="005E3082" w:rsidRDefault="0095727F" w:rsidP="006361AF">
      <w:r w:rsidRPr="005E3082">
        <w:t>Cette</w:t>
      </w:r>
      <w:r w:rsidRPr="005E3082" w:rsidDel="0095727F">
        <w:t xml:space="preserve"> </w:t>
      </w:r>
      <w:r w:rsidR="004B13D1" w:rsidRPr="005E3082">
        <w:t>Recommandation décrit des connexions de référence de haut niveau pour l'établissement de communications ou de connexions TPU. L'objet principal des connexions de référence est de constituer une base pour mettre au point des valeurs recommandées de qualité d'écoulement du trafic (GOS) dans les réseaux compatibles avec les services TPU.</w:t>
      </w:r>
    </w:p>
    <w:p w14:paraId="70C3EE00" w14:textId="1A078BD5" w:rsidR="004B13D1" w:rsidRPr="005E3082" w:rsidRDefault="004B13D1" w:rsidP="006361AF">
      <w:pPr>
        <w:pStyle w:val="headingb"/>
        <w:rPr>
          <w:lang w:eastAsia="ja-JP"/>
        </w:rPr>
      </w:pPr>
      <w:r w:rsidRPr="005E3082">
        <w:rPr>
          <w:lang w:eastAsia="ja-JP"/>
        </w:rPr>
        <w:t>Recommandation UIT-T E.775, Concept de qualité d'écoulement du trafic des TPU</w:t>
      </w:r>
    </w:p>
    <w:p w14:paraId="278E6F03" w14:textId="1446E75F" w:rsidR="004B13D1" w:rsidRPr="005E3082" w:rsidRDefault="00C11F55" w:rsidP="006361AF">
      <w:pPr>
        <w:pStyle w:val="headingb"/>
        <w:rPr>
          <w:lang w:eastAsia="ja-JP"/>
        </w:rPr>
      </w:pPr>
      <w:r w:rsidRPr="005E3082">
        <w:rPr>
          <w:lang w:eastAsia="ja-JP"/>
        </w:rPr>
        <w:t>Date d'approbation</w:t>
      </w:r>
      <w:r w:rsidR="004B13D1" w:rsidRPr="005E3082">
        <w:rPr>
          <w:lang w:eastAsia="ja-JP"/>
        </w:rPr>
        <w:t>:</w:t>
      </w:r>
      <w:r w:rsidR="004B13D1" w:rsidRPr="005E3082">
        <w:rPr>
          <w:lang w:eastAsia="ja-JP"/>
        </w:rPr>
        <w:tab/>
        <w:t>Février 1996</w:t>
      </w:r>
    </w:p>
    <w:p w14:paraId="1F84FBC9" w14:textId="77777777" w:rsidR="004B13D1" w:rsidRPr="005E3082" w:rsidRDefault="004B13D1" w:rsidP="006361AF">
      <w:pPr>
        <w:pStyle w:val="headingi"/>
      </w:pPr>
      <w:r w:rsidRPr="005E3082">
        <w:t>Résumé</w:t>
      </w:r>
    </w:p>
    <w:p w14:paraId="425B3C3A" w14:textId="6E9D0DB5" w:rsidR="004B13D1" w:rsidRPr="005E3082" w:rsidRDefault="0095727F" w:rsidP="006361AF">
      <w:r w:rsidRPr="005E3082">
        <w:t>Cette</w:t>
      </w:r>
      <w:r w:rsidRPr="005E3082" w:rsidDel="0095727F">
        <w:t xml:space="preserve"> </w:t>
      </w:r>
      <w:r w:rsidR="004B13D1" w:rsidRPr="005E3082">
        <w:t>Recommandation développe des considérations générales qui permettent de choisir les paramètres de qualité d'écoulement du trafic (GOS) pour les TPU (services de télécommunications personnelles universelles) en fonction des conditions de fourniture des services et de l'environnement d'exploitation applicables aux télécommunications personnelles universelles (TPU); elle contient en outre des considérations sur les réseaux associés.</w:t>
      </w:r>
    </w:p>
    <w:p w14:paraId="51AD0FD4" w14:textId="2B3CC067" w:rsidR="004B13D1" w:rsidRPr="005E3082" w:rsidRDefault="004B13D1" w:rsidP="006361AF">
      <w:pPr>
        <w:pStyle w:val="headingb"/>
        <w:rPr>
          <w:lang w:eastAsia="ja-JP"/>
        </w:rPr>
      </w:pPr>
      <w:r w:rsidRPr="005E3082">
        <w:rPr>
          <w:lang w:eastAsia="ja-JP"/>
        </w:rPr>
        <w:t>Recommandation UIT-T E.776, Paramètres de niveau de service de réseau pour les télécommunications personnelles universelles</w:t>
      </w:r>
    </w:p>
    <w:p w14:paraId="77450F27" w14:textId="701A24C4" w:rsidR="004B13D1" w:rsidRPr="005E3082" w:rsidRDefault="00C11F55" w:rsidP="006361AF">
      <w:pPr>
        <w:pStyle w:val="headingb"/>
        <w:rPr>
          <w:lang w:eastAsia="ja-JP"/>
        </w:rPr>
      </w:pPr>
      <w:r w:rsidRPr="005E3082">
        <w:rPr>
          <w:lang w:eastAsia="ja-JP"/>
        </w:rPr>
        <w:t>Date d'approbation</w:t>
      </w:r>
      <w:r w:rsidR="004B13D1" w:rsidRPr="005E3082">
        <w:rPr>
          <w:lang w:eastAsia="ja-JP"/>
        </w:rPr>
        <w:t>:</w:t>
      </w:r>
      <w:r w:rsidR="004B13D1" w:rsidRPr="005E3082">
        <w:rPr>
          <w:lang w:eastAsia="ja-JP"/>
        </w:rPr>
        <w:tab/>
        <w:t>Octobre 1996</w:t>
      </w:r>
    </w:p>
    <w:p w14:paraId="13D0E72B" w14:textId="77777777" w:rsidR="004B13D1" w:rsidRPr="005E3082" w:rsidRDefault="004B13D1" w:rsidP="006361AF">
      <w:pPr>
        <w:pStyle w:val="headingi"/>
      </w:pPr>
      <w:r w:rsidRPr="005E3082">
        <w:t>Résumé</w:t>
      </w:r>
    </w:p>
    <w:p w14:paraId="545C175D" w14:textId="3D28E104" w:rsidR="004B13D1" w:rsidRPr="005E3082" w:rsidRDefault="0095727F" w:rsidP="006361AF">
      <w:r w:rsidRPr="005E3082">
        <w:t>Cette</w:t>
      </w:r>
      <w:r w:rsidRPr="005E3082" w:rsidDel="0095727F">
        <w:t xml:space="preserve"> </w:t>
      </w:r>
      <w:r w:rsidR="004B13D1" w:rsidRPr="005E3082">
        <w:t>Recommandation, qui se fonde sur la connexion de référence pour les télécommunications personnelles universelles (TPU) de la Recommandation E.755 et sur les concepts de qualité de niveau de service pour les TPU exposés dans la Recommandation E.775, propose un ensemble de paramètres de niveau de service pour les TPU.</w:t>
      </w:r>
    </w:p>
    <w:p w14:paraId="37749911" w14:textId="3BEF41FC" w:rsidR="004B13D1" w:rsidRPr="005E3082" w:rsidRDefault="004B13D1" w:rsidP="006361AF">
      <w:pPr>
        <w:pStyle w:val="headingb"/>
        <w:rPr>
          <w:lang w:eastAsia="ja-JP"/>
        </w:rPr>
      </w:pPr>
      <w:r w:rsidRPr="005E3082">
        <w:rPr>
          <w:lang w:eastAsia="ja-JP"/>
        </w:rPr>
        <w:t>Recommandation UIT-T F.850, Principes des télécommunications personnelles universelles (UPT)</w:t>
      </w:r>
    </w:p>
    <w:p w14:paraId="454643D0" w14:textId="7964C409" w:rsidR="004B13D1" w:rsidRPr="005E3082" w:rsidRDefault="00C11F55" w:rsidP="006361AF">
      <w:pPr>
        <w:pStyle w:val="headingb"/>
        <w:rPr>
          <w:lang w:eastAsia="ja-JP"/>
        </w:rPr>
      </w:pPr>
      <w:r w:rsidRPr="005E3082">
        <w:rPr>
          <w:lang w:eastAsia="ja-JP"/>
        </w:rPr>
        <w:t>Date d'approbation</w:t>
      </w:r>
      <w:r w:rsidR="004B13D1" w:rsidRPr="005E3082">
        <w:rPr>
          <w:lang w:eastAsia="ja-JP"/>
        </w:rPr>
        <w:t>:</w:t>
      </w:r>
      <w:r w:rsidR="004B13D1" w:rsidRPr="005E3082">
        <w:rPr>
          <w:lang w:eastAsia="ja-JP"/>
        </w:rPr>
        <w:tab/>
        <w:t>Mars 1993</w:t>
      </w:r>
    </w:p>
    <w:p w14:paraId="3451A0EB" w14:textId="77777777" w:rsidR="004B13D1" w:rsidRPr="005E3082" w:rsidRDefault="004B13D1" w:rsidP="006361AF">
      <w:pPr>
        <w:pStyle w:val="headingi"/>
      </w:pPr>
      <w:r w:rsidRPr="005E3082">
        <w:t>Résumé</w:t>
      </w:r>
    </w:p>
    <w:p w14:paraId="1A0B087F" w14:textId="298E254D" w:rsidR="004B13D1" w:rsidRPr="005E3082" w:rsidRDefault="0095727F" w:rsidP="006361AF">
      <w:r w:rsidRPr="005E3082">
        <w:t>Cette</w:t>
      </w:r>
      <w:r w:rsidRPr="005E3082" w:rsidDel="0095727F">
        <w:t xml:space="preserve"> </w:t>
      </w:r>
      <w:r w:rsidR="004B13D1" w:rsidRPr="005E3082">
        <w:t>Recommandation établit les principes généraux des télécommunications personnelles universelles (UPT) (</w:t>
      </w:r>
      <w:r w:rsidR="004B13D1" w:rsidRPr="005E3082">
        <w:rPr>
          <w:i/>
          <w:iCs/>
        </w:rPr>
        <w:t>universal personal telecommunication</w:t>
      </w:r>
      <w:r w:rsidR="004B13D1" w:rsidRPr="005E3082">
        <w:t xml:space="preserve">). </w:t>
      </w:r>
      <w:r w:rsidRPr="005E3082">
        <w:t>Des</w:t>
      </w:r>
      <w:r w:rsidR="004B13D1" w:rsidRPr="005E3082">
        <w:t xml:space="preserve"> dispositions </w:t>
      </w:r>
      <w:r w:rsidRPr="005E3082">
        <w:t xml:space="preserve">détaillées </w:t>
      </w:r>
      <w:r w:rsidR="004B13D1" w:rsidRPr="005E3082">
        <w:t>se trouve</w:t>
      </w:r>
      <w:r w:rsidRPr="005E3082">
        <w:t>nt</w:t>
      </w:r>
      <w:r w:rsidR="004B13D1" w:rsidRPr="005E3082">
        <w:t xml:space="preserve"> dans </w:t>
      </w:r>
      <w:r w:rsidR="00C11F55" w:rsidRPr="005E3082">
        <w:t>la</w:t>
      </w:r>
      <w:r w:rsidR="004B13D1" w:rsidRPr="005E3082">
        <w:t xml:space="preserve"> Recommandation F.851. Les UPT permettent d'accéder aux services de télécommunication tout en autorisant la mobilité personnelle. Elles permettent à chaque usager UPT de bénéficier d'un ensemble personnalisé de services souscrits par abonnement, et, grâce à un numéro UPT personnel transparent au réseau, d'établir et de recevoir des communications à travers de multiples réseaux à partir de n'importe quel terminal, fixe ou mobile, quelle que soit sa position géographique avec, pour seules limites, celles imposées par les capacités du terminal et du réseau ainsi que par les restrictions qu'édicte l'exploitant du réseau.</w:t>
      </w:r>
    </w:p>
    <w:p w14:paraId="793E2E4C" w14:textId="43CBFF3F" w:rsidR="004B13D1" w:rsidRPr="005E3082" w:rsidRDefault="004B13D1" w:rsidP="006361AF">
      <w:pPr>
        <w:pStyle w:val="headingb"/>
        <w:rPr>
          <w:lang w:eastAsia="ja-JP"/>
        </w:rPr>
      </w:pPr>
      <w:r w:rsidRPr="005E3082">
        <w:rPr>
          <w:lang w:eastAsia="ja-JP"/>
        </w:rPr>
        <w:lastRenderedPageBreak/>
        <w:t>Recommandation UIT-T F.851, Télécommunications personnelles universelles (UPT) – Description du service (ensemble de services 1)</w:t>
      </w:r>
    </w:p>
    <w:p w14:paraId="7803870D" w14:textId="3229F1CE" w:rsidR="004B13D1" w:rsidRPr="005E3082" w:rsidRDefault="005B02FD" w:rsidP="006361AF">
      <w:pPr>
        <w:pStyle w:val="headingb"/>
        <w:rPr>
          <w:lang w:eastAsia="ja-JP"/>
        </w:rPr>
      </w:pPr>
      <w:r w:rsidRPr="005E3082">
        <w:rPr>
          <w:lang w:eastAsia="ja-JP"/>
        </w:rPr>
        <w:t>Date d'approbation</w:t>
      </w:r>
      <w:r w:rsidR="004B13D1" w:rsidRPr="005E3082">
        <w:rPr>
          <w:lang w:eastAsia="ja-JP"/>
        </w:rPr>
        <w:t>:</w:t>
      </w:r>
      <w:r w:rsidR="004B13D1" w:rsidRPr="005E3082">
        <w:rPr>
          <w:lang w:eastAsia="ja-JP"/>
        </w:rPr>
        <w:tab/>
        <w:t>Février 1995</w:t>
      </w:r>
    </w:p>
    <w:p w14:paraId="2CB3EC08" w14:textId="77777777" w:rsidR="004B13D1" w:rsidRPr="005E3082" w:rsidRDefault="004B13D1" w:rsidP="006361AF">
      <w:pPr>
        <w:pStyle w:val="headingi"/>
      </w:pPr>
      <w:r w:rsidRPr="005E3082">
        <w:t>Résumé</w:t>
      </w:r>
    </w:p>
    <w:p w14:paraId="57C5D496" w14:textId="193D468F" w:rsidR="004B13D1" w:rsidRPr="005E3082" w:rsidRDefault="0095727F" w:rsidP="006361AF">
      <w:r w:rsidRPr="005E3082">
        <w:t>Cette</w:t>
      </w:r>
      <w:r w:rsidRPr="005E3082" w:rsidDel="0095727F">
        <w:t xml:space="preserve"> </w:t>
      </w:r>
      <w:r w:rsidR="00B65424" w:rsidRPr="005E3082">
        <w:t xml:space="preserve">Recommandation </w:t>
      </w:r>
      <w:r w:rsidR="00EE7989" w:rsidRPr="005E3082">
        <w:t>"</w:t>
      </w:r>
      <w:r w:rsidR="00B65424" w:rsidRPr="005E3082">
        <w:t>Télécommunications personnelles universelles (UPT) – Description du service (ensemble de services 1)</w:t>
      </w:r>
      <w:r w:rsidR="00EE7989" w:rsidRPr="005E3082">
        <w:t>"</w:t>
      </w:r>
      <w:r w:rsidR="00B65424" w:rsidRPr="005E3082">
        <w:t xml:space="preserve"> décrit ce service et ses modes d'exploitation. </w:t>
      </w:r>
      <w:r w:rsidRPr="005E3082">
        <w:t>Elle</w:t>
      </w:r>
      <w:r w:rsidR="00B65424" w:rsidRPr="005E3082">
        <w:t xml:space="preserve"> expose les principes généraux des télécommunications UPT, par exemple la mobilité personnelle, l'authentification et la gestion du profil de service. Elle définit les aspects du service UPT du point de vue de l'utilisateur (par exemple pour ce qui est du numérotage et de la taxation). Elle traite également des caractéristiques essentielles qui permettent de fournir le service UPT ainsi que des options de profil qui peuvent être choisies pour assurer des fonctions d'enrichissement supplémentaires. L'ensemble de services 1 des télécommunications UPT correspond à un profil restreint de fourniture de service UPT avec téléphonie sur RTPC, RNIS et RMTP. L'ensemble de services 2 des télécommunications UPT est en cours d'étude et correspond à un profil plus riche, comportant un plus grand nombre de fonctions et de capacités (par exemple l'option de transmission de données).</w:t>
      </w:r>
    </w:p>
    <w:p w14:paraId="518944D4" w14:textId="4AB11D2B" w:rsidR="00B65424" w:rsidRPr="005E3082" w:rsidRDefault="00B65424" w:rsidP="006361AF">
      <w:pPr>
        <w:pStyle w:val="headingb"/>
        <w:rPr>
          <w:lang w:eastAsia="ja-JP"/>
        </w:rPr>
      </w:pPr>
      <w:r w:rsidRPr="005E3082">
        <w:rPr>
          <w:lang w:eastAsia="ja-JP"/>
        </w:rPr>
        <w:t>Recommandation UIT-T F.852, Télécommunications personnelles universelles (UPT) – Description du service (ensemble de services 2)</w:t>
      </w:r>
    </w:p>
    <w:p w14:paraId="04DC0E1C" w14:textId="6D7F57FF" w:rsidR="00B65424" w:rsidRPr="005E3082" w:rsidRDefault="005B02FD" w:rsidP="006361AF">
      <w:pPr>
        <w:pStyle w:val="headingb"/>
        <w:rPr>
          <w:lang w:eastAsia="ja-JP"/>
        </w:rPr>
      </w:pPr>
      <w:r w:rsidRPr="005E3082">
        <w:rPr>
          <w:lang w:eastAsia="ja-JP"/>
        </w:rPr>
        <w:t>Date d'approbation</w:t>
      </w:r>
      <w:r w:rsidR="00B65424" w:rsidRPr="005E3082">
        <w:rPr>
          <w:lang w:eastAsia="ja-JP"/>
        </w:rPr>
        <w:t>:</w:t>
      </w:r>
      <w:r w:rsidR="00B65424" w:rsidRPr="005E3082">
        <w:rPr>
          <w:lang w:eastAsia="ja-JP"/>
        </w:rPr>
        <w:tab/>
        <w:t>Mars 2000</w:t>
      </w:r>
    </w:p>
    <w:p w14:paraId="238979F7" w14:textId="77777777" w:rsidR="00B65424" w:rsidRPr="005E3082" w:rsidRDefault="00B65424" w:rsidP="006361AF">
      <w:pPr>
        <w:pStyle w:val="headingi"/>
      </w:pPr>
      <w:r w:rsidRPr="005E3082">
        <w:t>Résumé</w:t>
      </w:r>
    </w:p>
    <w:p w14:paraId="3AF6FBBB" w14:textId="5C16FFB3" w:rsidR="00B65424" w:rsidRPr="005E3082" w:rsidRDefault="0095727F" w:rsidP="006361AF">
      <w:r w:rsidRPr="005E3082">
        <w:t>Cette</w:t>
      </w:r>
      <w:r w:rsidRPr="005E3082" w:rsidDel="0095727F">
        <w:t xml:space="preserve"> </w:t>
      </w:r>
      <w:r w:rsidR="00B65424" w:rsidRPr="005E3082">
        <w:t>Recommandation intitulée "Télécommunications personnelles universelles – Description du service (ensemble de services 2)" décrit le service et les dispositions d'exploitation du service</w:t>
      </w:r>
      <w:r w:rsidR="00EE7989" w:rsidRPr="005E3082">
        <w:t> </w:t>
      </w:r>
      <w:r w:rsidR="00B65424" w:rsidRPr="005E3082">
        <w:t>TPU de base des télécommunications personnelles universelles (TPU). Elle énonce les principes généraux des télécommunications TPU concernant, par exemple, la mobilité personnelle, l'authentification et la gestion du profil de service. Elle définit les caractéristiques du service TPU du point de vue de l'utilisateur (par exemple, les caractéristiques de numérotation et de taxation). Elle</w:t>
      </w:r>
      <w:r w:rsidR="00EE7989" w:rsidRPr="005E3082">
        <w:t> </w:t>
      </w:r>
      <w:r w:rsidR="00B65424" w:rsidRPr="005E3082">
        <w:t>décrit également les fonctionnalités essentielles nécessaires à la fourniture du service TPU et les fonctionnalités optionnelles pouvant être utilisées pour la prise en charge d'extensions supplémentaires. L'ensemble 1 de services TPU constituait un scénario limité fournissant un service TPU pour la prise en charge du service de téléphonie sur des réseaux RTPC, RNIS et RMTP. Cet</w:t>
      </w:r>
      <w:r w:rsidR="00EE7989" w:rsidRPr="005E3082">
        <w:t> </w:t>
      </w:r>
      <w:r w:rsidR="00B65424" w:rsidRPr="005E3082">
        <w:t>ensemble a été incorporé dans l'ensemble 2 de services TPU dans le cadre de la</w:t>
      </w:r>
      <w:r w:rsidRPr="005E3082">
        <w:t xml:space="preserve"> </w:t>
      </w:r>
      <w:r w:rsidR="00B65424" w:rsidRPr="005E3082">
        <w:t>Recommandation. Le scénario du service de base de l'ensemble 2 de services TPU incorpore davantage de services et de réseaux, dans une perspective d'évolution vers la disponibilité universelle de la totalité du service, l'indépendance par rapport au terminal et le fonctionnement à travers des réseaux multiples. Divers services de données peuvent, par exemple, être fournis dans ce scénario en plus du service de téléphonie de l'ensemble de services 1.</w:t>
      </w:r>
    </w:p>
    <w:p w14:paraId="6E8448BF" w14:textId="77777777" w:rsidR="00EE7989" w:rsidRPr="005E3082" w:rsidRDefault="00EE7989">
      <w:pPr>
        <w:tabs>
          <w:tab w:val="clear" w:pos="794"/>
          <w:tab w:val="clear" w:pos="1191"/>
          <w:tab w:val="clear" w:pos="1588"/>
          <w:tab w:val="clear" w:pos="1985"/>
        </w:tabs>
        <w:overflowPunct/>
        <w:autoSpaceDE/>
        <w:autoSpaceDN/>
        <w:adjustRightInd/>
        <w:spacing w:before="0"/>
        <w:textAlignment w:val="auto"/>
        <w:rPr>
          <w:b/>
          <w:lang w:eastAsia="ja-JP"/>
        </w:rPr>
      </w:pPr>
      <w:r w:rsidRPr="005E3082">
        <w:rPr>
          <w:lang w:eastAsia="ja-JP"/>
        </w:rPr>
        <w:br w:type="page"/>
      </w:r>
    </w:p>
    <w:p w14:paraId="7F6E7E76" w14:textId="61BEC479" w:rsidR="00B65424" w:rsidRPr="005E3082" w:rsidRDefault="00B65424" w:rsidP="006361AF">
      <w:pPr>
        <w:pStyle w:val="headingb"/>
        <w:rPr>
          <w:lang w:eastAsia="ja-JP"/>
        </w:rPr>
      </w:pPr>
      <w:r w:rsidRPr="005E3082">
        <w:rPr>
          <w:lang w:eastAsia="ja-JP"/>
        </w:rPr>
        <w:lastRenderedPageBreak/>
        <w:t>Recommandation UIT-T F.853, Services complémentaires dans le contexte des télécommunications personnelles universelles (UPT)</w:t>
      </w:r>
    </w:p>
    <w:p w14:paraId="0A14991C" w14:textId="6AEA3FDB" w:rsidR="00B65424" w:rsidRPr="005E3082" w:rsidRDefault="005B02FD" w:rsidP="006361AF">
      <w:pPr>
        <w:pStyle w:val="headingb"/>
        <w:rPr>
          <w:lang w:eastAsia="ja-JP"/>
        </w:rPr>
      </w:pPr>
      <w:r w:rsidRPr="005E3082">
        <w:rPr>
          <w:lang w:eastAsia="ja-JP"/>
        </w:rPr>
        <w:t>Date d'approbation</w:t>
      </w:r>
      <w:r w:rsidR="00B65424" w:rsidRPr="005E3082">
        <w:rPr>
          <w:lang w:eastAsia="ja-JP"/>
        </w:rPr>
        <w:t>:</w:t>
      </w:r>
      <w:r w:rsidR="00B65424" w:rsidRPr="005E3082">
        <w:rPr>
          <w:lang w:eastAsia="ja-JP"/>
        </w:rPr>
        <w:tab/>
        <w:t>Novembre 1998</w:t>
      </w:r>
    </w:p>
    <w:p w14:paraId="35B7D5C7" w14:textId="77777777" w:rsidR="00F82654" w:rsidRPr="005E3082" w:rsidRDefault="00F82654" w:rsidP="006361AF">
      <w:pPr>
        <w:pStyle w:val="headingi"/>
      </w:pPr>
      <w:r w:rsidRPr="005E3082">
        <w:t>Résumé</w:t>
      </w:r>
    </w:p>
    <w:p w14:paraId="01F41D0F" w14:textId="3C48FB43" w:rsidR="00F82654" w:rsidRPr="005E3082" w:rsidRDefault="0095727F" w:rsidP="006361AF">
      <w:pPr>
        <w:rPr>
          <w:lang w:eastAsia="ja-JP"/>
        </w:rPr>
      </w:pPr>
      <w:r w:rsidRPr="005E3082">
        <w:t>Cette</w:t>
      </w:r>
      <w:r w:rsidRPr="005E3082" w:rsidDel="0095727F">
        <w:t xml:space="preserve"> </w:t>
      </w:r>
      <w:r w:rsidR="00F82654" w:rsidRPr="005E3082">
        <w:t>Recommandation vise à donner la description de service et les règles d'exploitation pour les services complémentaires dans le contexte des télécommunications personnelles universelles (TPU). La présente Recommandation fournit par ailleurs des renseignements sur les interactions entre les éléments de service TPU/services complémentaires TPU et les services complémentaires à un accès particulier (fixe ou mobile).</w:t>
      </w:r>
    </w:p>
    <w:p w14:paraId="05CF9053" w14:textId="218ABBB6" w:rsidR="00F82654" w:rsidRPr="002F26AF" w:rsidRDefault="00A64D94" w:rsidP="006361AF">
      <w:pPr>
        <w:pStyle w:val="headingi"/>
        <w:rPr>
          <w:lang w:eastAsia="ja-JP"/>
        </w:rPr>
      </w:pPr>
      <w:r w:rsidRPr="005E3082">
        <w:rPr>
          <w:lang w:eastAsia="ja-JP"/>
        </w:rPr>
        <w:t>Motifs</w:t>
      </w:r>
      <w:r w:rsidRPr="002F26AF">
        <w:rPr>
          <w:lang w:eastAsia="ja-JP"/>
        </w:rPr>
        <w:t xml:space="preserve"> de la suppression des </w:t>
      </w:r>
      <w:r w:rsidR="00DE1777" w:rsidRPr="005E3082">
        <w:rPr>
          <w:lang w:eastAsia="ja-JP"/>
        </w:rPr>
        <w:t>R</w:t>
      </w:r>
      <w:r w:rsidRPr="002F26AF">
        <w:rPr>
          <w:lang w:eastAsia="ja-JP"/>
        </w:rPr>
        <w:t>ecommandations énumérées ci-dessus</w:t>
      </w:r>
      <w:r w:rsidR="00F82654" w:rsidRPr="002F26AF">
        <w:rPr>
          <w:lang w:eastAsia="ja-JP"/>
        </w:rPr>
        <w:t>:</w:t>
      </w:r>
    </w:p>
    <w:p w14:paraId="34269DBE" w14:textId="1F5C74D9" w:rsidR="00A64D94" w:rsidRPr="005E3082" w:rsidRDefault="00A64D94" w:rsidP="006361AF">
      <w:pPr>
        <w:rPr>
          <w:lang w:eastAsia="ja-JP"/>
        </w:rPr>
      </w:pPr>
      <w:r w:rsidRPr="005E3082">
        <w:rPr>
          <w:lang w:eastAsia="ja-JP"/>
        </w:rPr>
        <w:t>Lorsque</w:t>
      </w:r>
      <w:r w:rsidRPr="002F26AF">
        <w:rPr>
          <w:lang w:eastAsia="ja-JP"/>
        </w:rPr>
        <w:t xml:space="preserve"> ces Recommandations ont été approuvées, l</w:t>
      </w:r>
      <w:r w:rsidR="00E42408" w:rsidRPr="005E3082">
        <w:rPr>
          <w:lang w:eastAsia="ja-JP"/>
        </w:rPr>
        <w:t xml:space="preserve">a notion </w:t>
      </w:r>
      <w:r w:rsidRPr="002F26AF">
        <w:rPr>
          <w:lang w:eastAsia="ja-JP"/>
        </w:rPr>
        <w:t>de</w:t>
      </w:r>
      <w:r w:rsidR="00D35BA2" w:rsidRPr="005E3082">
        <w:t xml:space="preserve"> télécommunications</w:t>
      </w:r>
      <w:r w:rsidR="00EE7989" w:rsidRPr="005E3082">
        <w:rPr>
          <w:lang w:eastAsia="ja-JP"/>
        </w:rPr>
        <w:t> </w:t>
      </w:r>
      <w:r w:rsidRPr="002F26AF">
        <w:rPr>
          <w:lang w:eastAsia="ja-JP"/>
        </w:rPr>
        <w:t xml:space="preserve">TPU </w:t>
      </w:r>
      <w:r w:rsidR="008555EA" w:rsidRPr="005E3082">
        <w:rPr>
          <w:lang w:eastAsia="ja-JP"/>
        </w:rPr>
        <w:t>employait</w:t>
      </w:r>
      <w:r w:rsidRPr="002F26AF">
        <w:rPr>
          <w:lang w:eastAsia="ja-JP"/>
        </w:rPr>
        <w:t xml:space="preserve"> des </w:t>
      </w:r>
      <w:r w:rsidR="00C03AF2" w:rsidRPr="005E3082">
        <w:rPr>
          <w:lang w:eastAsia="ja-JP"/>
        </w:rPr>
        <w:t xml:space="preserve">concepts de </w:t>
      </w:r>
      <w:r w:rsidRPr="002F26AF">
        <w:rPr>
          <w:lang w:eastAsia="ja-JP"/>
        </w:rPr>
        <w:t>technologies et de service</w:t>
      </w:r>
      <w:r w:rsidR="008555EA" w:rsidRPr="005E3082">
        <w:rPr>
          <w:lang w:eastAsia="ja-JP"/>
        </w:rPr>
        <w:t>s</w:t>
      </w:r>
      <w:r w:rsidRPr="002F26AF">
        <w:rPr>
          <w:lang w:eastAsia="ja-JP"/>
        </w:rPr>
        <w:t xml:space="preserve"> </w:t>
      </w:r>
      <w:r w:rsidR="00D35BA2" w:rsidRPr="005E3082">
        <w:rPr>
          <w:lang w:eastAsia="ja-JP"/>
        </w:rPr>
        <w:t>particuliers</w:t>
      </w:r>
      <w:r w:rsidRPr="002F26AF">
        <w:rPr>
          <w:lang w:eastAsia="ja-JP"/>
        </w:rPr>
        <w:t xml:space="preserve">. Au cours des décennies qui </w:t>
      </w:r>
      <w:r w:rsidR="008555EA" w:rsidRPr="005E3082">
        <w:rPr>
          <w:lang w:eastAsia="ja-JP"/>
        </w:rPr>
        <w:t>ont suivi</w:t>
      </w:r>
      <w:r w:rsidRPr="002F26AF">
        <w:rPr>
          <w:lang w:eastAsia="ja-JP"/>
        </w:rPr>
        <w:t xml:space="preserve">, la technologie a évolué. Les services </w:t>
      </w:r>
      <w:r w:rsidR="00D35BA2" w:rsidRPr="005E3082">
        <w:rPr>
          <w:lang w:eastAsia="ja-JP"/>
        </w:rPr>
        <w:t>dont il est question</w:t>
      </w:r>
      <w:r w:rsidRPr="002F26AF">
        <w:rPr>
          <w:lang w:eastAsia="ja-JP"/>
        </w:rPr>
        <w:t xml:space="preserve"> dans les Recommandations ne sont plus fournis tels qu'ils </w:t>
      </w:r>
      <w:r w:rsidR="00D35BA2" w:rsidRPr="005E3082">
        <w:rPr>
          <w:lang w:eastAsia="ja-JP"/>
        </w:rPr>
        <w:t>étaient décrits</w:t>
      </w:r>
      <w:r w:rsidRPr="002F26AF">
        <w:rPr>
          <w:lang w:eastAsia="ja-JP"/>
        </w:rPr>
        <w:t xml:space="preserve"> et, </w:t>
      </w:r>
      <w:r w:rsidR="00D35BA2" w:rsidRPr="005E3082">
        <w:rPr>
          <w:lang w:eastAsia="ja-JP"/>
        </w:rPr>
        <w:t xml:space="preserve">de </w:t>
      </w:r>
      <w:r w:rsidRPr="002F26AF">
        <w:rPr>
          <w:lang w:eastAsia="ja-JP"/>
        </w:rPr>
        <w:t xml:space="preserve">fait, aucun service de ce type n'est offert. Les principes fondamentaux </w:t>
      </w:r>
      <w:r w:rsidR="00181B65" w:rsidRPr="005E3082">
        <w:rPr>
          <w:lang w:eastAsia="ja-JP"/>
        </w:rPr>
        <w:t xml:space="preserve">qui </w:t>
      </w:r>
      <w:r w:rsidR="00D35BA2" w:rsidRPr="005E3082">
        <w:rPr>
          <w:lang w:eastAsia="ja-JP"/>
        </w:rPr>
        <w:t xml:space="preserve">sous-tendaient </w:t>
      </w:r>
      <w:r w:rsidR="00EE7989" w:rsidRPr="005E3082">
        <w:rPr>
          <w:lang w:eastAsia="ja-JP"/>
        </w:rPr>
        <w:t xml:space="preserve">les </w:t>
      </w:r>
      <w:r w:rsidRPr="002F26AF">
        <w:rPr>
          <w:lang w:eastAsia="ja-JP"/>
        </w:rPr>
        <w:t>concepts de service</w:t>
      </w:r>
      <w:r w:rsidR="00E11CA1" w:rsidRPr="005E3082">
        <w:rPr>
          <w:lang w:eastAsia="ja-JP"/>
        </w:rPr>
        <w:t>s</w:t>
      </w:r>
      <w:r w:rsidRPr="002F26AF">
        <w:rPr>
          <w:lang w:eastAsia="ja-JP"/>
        </w:rPr>
        <w:t xml:space="preserve"> </w:t>
      </w:r>
      <w:r w:rsidR="00E11CA1" w:rsidRPr="005E3082">
        <w:rPr>
          <w:lang w:eastAsia="ja-JP"/>
        </w:rPr>
        <w:t>relatifs aux</w:t>
      </w:r>
      <w:r w:rsidRPr="002F26AF">
        <w:rPr>
          <w:lang w:eastAsia="ja-JP"/>
        </w:rPr>
        <w:t xml:space="preserve"> TPU ne sont plus propres aux TPU</w:t>
      </w:r>
      <w:r w:rsidR="00E11CA1" w:rsidRPr="005E3082">
        <w:rPr>
          <w:lang w:eastAsia="ja-JP"/>
        </w:rPr>
        <w:t>,</w:t>
      </w:r>
      <w:r w:rsidRPr="002F26AF">
        <w:rPr>
          <w:lang w:eastAsia="ja-JP"/>
        </w:rPr>
        <w:t xml:space="preserve"> et de nombreux types de services similaires sont </w:t>
      </w:r>
      <w:r w:rsidR="00D35BA2" w:rsidRPr="005E3082">
        <w:rPr>
          <w:lang w:eastAsia="ja-JP"/>
        </w:rPr>
        <w:t>désormais</w:t>
      </w:r>
      <w:r w:rsidRPr="002F26AF">
        <w:rPr>
          <w:lang w:eastAsia="ja-JP"/>
        </w:rPr>
        <w:t xml:space="preserve"> fournis </w:t>
      </w:r>
      <w:r w:rsidR="002156FB" w:rsidRPr="005E3082">
        <w:rPr>
          <w:lang w:eastAsia="ja-JP"/>
        </w:rPr>
        <w:t>au moyen</w:t>
      </w:r>
      <w:r w:rsidRPr="002F26AF">
        <w:rPr>
          <w:lang w:eastAsia="ja-JP"/>
        </w:rPr>
        <w:t xml:space="preserve"> d</w:t>
      </w:r>
      <w:r w:rsidR="002156FB" w:rsidRPr="005E3082">
        <w:rPr>
          <w:lang w:eastAsia="ja-JP"/>
        </w:rPr>
        <w:t>e technologies fondées</w:t>
      </w:r>
      <w:r w:rsidR="002156FB" w:rsidRPr="005E3082">
        <w:t xml:space="preserve"> </w:t>
      </w:r>
      <w:r w:rsidR="002156FB" w:rsidRPr="005E3082">
        <w:rPr>
          <w:lang w:eastAsia="ja-JP"/>
        </w:rPr>
        <w:t>sur le protocole Internet (IP) et l'Internet des objets</w:t>
      </w:r>
      <w:r w:rsidR="00FB3F13" w:rsidRPr="005E3082">
        <w:rPr>
          <w:lang w:eastAsia="ja-JP"/>
        </w:rPr>
        <w:t xml:space="preserve">, </w:t>
      </w:r>
      <w:r w:rsidRPr="002F26AF">
        <w:rPr>
          <w:lang w:eastAsia="ja-JP"/>
        </w:rPr>
        <w:t xml:space="preserve">qui ne faisaient pas partie des Recommandations relatives aux TPU. D'autres ressources mondiales de </w:t>
      </w:r>
      <w:r w:rsidR="00FB3F13" w:rsidRPr="005E3082">
        <w:rPr>
          <w:lang w:eastAsia="ja-JP"/>
        </w:rPr>
        <w:t>numérotage</w:t>
      </w:r>
      <w:r w:rsidRPr="002F26AF">
        <w:rPr>
          <w:lang w:eastAsia="ja-JP"/>
        </w:rPr>
        <w:t xml:space="preserve">, de nommage, d'adressage et d'identification restent disponibles et se sont révélées </w:t>
      </w:r>
      <w:r w:rsidR="00D35BA2" w:rsidRPr="005E3082">
        <w:rPr>
          <w:lang w:eastAsia="ja-JP"/>
        </w:rPr>
        <w:t xml:space="preserve">mieux adaptées à </w:t>
      </w:r>
      <w:r w:rsidRPr="002F26AF">
        <w:rPr>
          <w:lang w:eastAsia="ja-JP"/>
        </w:rPr>
        <w:t xml:space="preserve">ces services. </w:t>
      </w:r>
      <w:r w:rsidR="00E44FA8" w:rsidRPr="005E3082">
        <w:rPr>
          <w:lang w:eastAsia="ja-JP"/>
        </w:rPr>
        <w:t>Ainsi</w:t>
      </w:r>
      <w:r w:rsidRPr="002F26AF">
        <w:rPr>
          <w:lang w:eastAsia="ja-JP"/>
        </w:rPr>
        <w:t>, la série de Recommandations relatives aux TPU n'</w:t>
      </w:r>
      <w:r w:rsidR="00D35BA2" w:rsidRPr="005E3082">
        <w:rPr>
          <w:lang w:eastAsia="ja-JP"/>
        </w:rPr>
        <w:t>a</w:t>
      </w:r>
      <w:r w:rsidR="00EE7989" w:rsidRPr="005E3082">
        <w:rPr>
          <w:color w:val="000000"/>
        </w:rPr>
        <w:t xml:space="preserve"> </w:t>
      </w:r>
      <w:r w:rsidR="00D35BA2" w:rsidRPr="005E3082">
        <w:rPr>
          <w:color w:val="000000"/>
        </w:rPr>
        <w:t>plus lieu d'être</w:t>
      </w:r>
      <w:r w:rsidR="00E44FA8" w:rsidRPr="005E3082">
        <w:rPr>
          <w:lang w:eastAsia="ja-JP"/>
        </w:rPr>
        <w:t xml:space="preserve">. </w:t>
      </w:r>
      <w:r w:rsidR="00DC038D" w:rsidRPr="005E3082">
        <w:rPr>
          <w:lang w:eastAsia="ja-JP"/>
        </w:rPr>
        <w:t>Compte tenu de ce qui précède, l</w:t>
      </w:r>
      <w:r w:rsidR="00257766" w:rsidRPr="005E3082">
        <w:rPr>
          <w:lang w:eastAsia="ja-JP"/>
        </w:rPr>
        <w:t xml:space="preserve">a CE 2 </w:t>
      </w:r>
      <w:r w:rsidR="00DC038D" w:rsidRPr="005E3082">
        <w:rPr>
          <w:lang w:eastAsia="ja-JP"/>
        </w:rPr>
        <w:t>a</w:t>
      </w:r>
      <w:r w:rsidR="00D35BA2" w:rsidRPr="005E3082">
        <w:rPr>
          <w:lang w:eastAsia="ja-JP"/>
        </w:rPr>
        <w:t xml:space="preserve"> recommandé </w:t>
      </w:r>
      <w:r w:rsidR="00DC038D" w:rsidRPr="005E3082">
        <w:rPr>
          <w:lang w:eastAsia="ja-JP"/>
        </w:rPr>
        <w:t xml:space="preserve">au Directeur du TSB </w:t>
      </w:r>
      <w:r w:rsidR="00D35BA2" w:rsidRPr="005E3082">
        <w:rPr>
          <w:lang w:eastAsia="ja-JP"/>
        </w:rPr>
        <w:t>d</w:t>
      </w:r>
      <w:r w:rsidR="00160099" w:rsidRPr="005E3082">
        <w:rPr>
          <w:lang w:eastAsia="ja-JP"/>
        </w:rPr>
        <w:t>'</w:t>
      </w:r>
      <w:r w:rsidR="00D35BA2" w:rsidRPr="005E3082">
        <w:rPr>
          <w:lang w:eastAsia="ja-JP"/>
        </w:rPr>
        <w:t>entamer la procédure de</w:t>
      </w:r>
      <w:r w:rsidR="00DC038D" w:rsidRPr="005E3082">
        <w:rPr>
          <w:lang w:eastAsia="ja-JP"/>
        </w:rPr>
        <w:t xml:space="preserve"> suppression de toutes les Recommandations relatives aux </w:t>
      </w:r>
      <w:r w:rsidR="00DE1777" w:rsidRPr="005E3082">
        <w:rPr>
          <w:lang w:eastAsia="ja-JP"/>
        </w:rPr>
        <w:t xml:space="preserve">TPU </w:t>
      </w:r>
      <w:r w:rsidR="00CB3727" w:rsidRPr="005E3082">
        <w:rPr>
          <w:lang w:eastAsia="ja-JP"/>
        </w:rPr>
        <w:t xml:space="preserve">relevant de la compétence de la CE </w:t>
      </w:r>
      <w:r w:rsidR="00DC038D" w:rsidRPr="005E3082">
        <w:rPr>
          <w:lang w:eastAsia="ja-JP"/>
        </w:rPr>
        <w:t>2.</w:t>
      </w:r>
    </w:p>
    <w:p w14:paraId="1C3FF6C5" w14:textId="77777777" w:rsidR="00F82654" w:rsidRPr="005E3082" w:rsidRDefault="00F82654" w:rsidP="006361AF">
      <w:pPr>
        <w:spacing w:before="360"/>
        <w:jc w:val="center"/>
      </w:pPr>
      <w:r w:rsidRPr="005E3082">
        <w:t>______________</w:t>
      </w:r>
    </w:p>
    <w:sectPr w:rsidR="00F82654" w:rsidRPr="005E3082" w:rsidSect="00A15179">
      <w:headerReference w:type="default" r:id="rId11"/>
      <w:footerReference w:type="first" r:id="rId1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8138" w14:textId="77777777" w:rsidR="003A2B66" w:rsidRDefault="003A2B66">
      <w:r>
        <w:separator/>
      </w:r>
    </w:p>
  </w:endnote>
  <w:endnote w:type="continuationSeparator" w:id="0">
    <w:p w14:paraId="417F0C31" w14:textId="77777777" w:rsidR="003A2B66" w:rsidRDefault="003A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224B"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7FC" w14:textId="77777777" w:rsidR="003A2B66" w:rsidRDefault="003A2B66">
      <w:r>
        <w:t>____________________</w:t>
      </w:r>
    </w:p>
  </w:footnote>
  <w:footnote w:type="continuationSeparator" w:id="0">
    <w:p w14:paraId="2D4118E0" w14:textId="77777777" w:rsidR="003A2B66" w:rsidRDefault="003A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68B0" w14:textId="48C5D5A2" w:rsidR="00697BC1" w:rsidRPr="00697BC1" w:rsidRDefault="00122DA4"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101288">
      <w:rPr>
        <w:noProof/>
        <w:sz w:val="18"/>
        <w:szCs w:val="16"/>
      </w:rPr>
      <w:br/>
      <w:t>Circulaire TSB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2190480">
    <w:abstractNumId w:val="1"/>
  </w:num>
  <w:num w:numId="2" w16cid:durableId="1295209257">
    <w:abstractNumId w:val="3"/>
  </w:num>
  <w:num w:numId="3" w16cid:durableId="1412115443">
    <w:abstractNumId w:val="2"/>
  </w:num>
  <w:num w:numId="4" w16cid:durableId="150458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66"/>
    <w:rsid w:val="000039EE"/>
    <w:rsid w:val="00005622"/>
    <w:rsid w:val="0002519E"/>
    <w:rsid w:val="00035B43"/>
    <w:rsid w:val="00036F4F"/>
    <w:rsid w:val="0004164B"/>
    <w:rsid w:val="000758B3"/>
    <w:rsid w:val="00085F5A"/>
    <w:rsid w:val="0008691A"/>
    <w:rsid w:val="000B0D96"/>
    <w:rsid w:val="000B59D8"/>
    <w:rsid w:val="000C1F6B"/>
    <w:rsid w:val="000C25CC"/>
    <w:rsid w:val="000C56BE"/>
    <w:rsid w:val="00101288"/>
    <w:rsid w:val="001026FD"/>
    <w:rsid w:val="001077FD"/>
    <w:rsid w:val="00113E8C"/>
    <w:rsid w:val="00115DD7"/>
    <w:rsid w:val="00122DA4"/>
    <w:rsid w:val="00160099"/>
    <w:rsid w:val="00167472"/>
    <w:rsid w:val="00167F92"/>
    <w:rsid w:val="00173738"/>
    <w:rsid w:val="00181B65"/>
    <w:rsid w:val="001B79A3"/>
    <w:rsid w:val="001C3AAB"/>
    <w:rsid w:val="002152A3"/>
    <w:rsid w:val="002156FB"/>
    <w:rsid w:val="00221BC1"/>
    <w:rsid w:val="00257766"/>
    <w:rsid w:val="002E3872"/>
    <w:rsid w:val="002E395D"/>
    <w:rsid w:val="002F26AF"/>
    <w:rsid w:val="003131F0"/>
    <w:rsid w:val="00333A80"/>
    <w:rsid w:val="00341117"/>
    <w:rsid w:val="00364E95"/>
    <w:rsid w:val="00372875"/>
    <w:rsid w:val="003A264D"/>
    <w:rsid w:val="003A2B66"/>
    <w:rsid w:val="003B1E80"/>
    <w:rsid w:val="003B66E8"/>
    <w:rsid w:val="003E66AD"/>
    <w:rsid w:val="004033F1"/>
    <w:rsid w:val="00414B0C"/>
    <w:rsid w:val="00423C21"/>
    <w:rsid w:val="004257AC"/>
    <w:rsid w:val="0043711B"/>
    <w:rsid w:val="004977C9"/>
    <w:rsid w:val="004B13D1"/>
    <w:rsid w:val="004B732E"/>
    <w:rsid w:val="004D51F4"/>
    <w:rsid w:val="004D64E0"/>
    <w:rsid w:val="004F14F9"/>
    <w:rsid w:val="005120A2"/>
    <w:rsid w:val="0051210D"/>
    <w:rsid w:val="005136D2"/>
    <w:rsid w:val="00517A03"/>
    <w:rsid w:val="005A3DD9"/>
    <w:rsid w:val="005B02FD"/>
    <w:rsid w:val="005B1DFC"/>
    <w:rsid w:val="005E3082"/>
    <w:rsid w:val="00601682"/>
    <w:rsid w:val="00603470"/>
    <w:rsid w:val="00622A6D"/>
    <w:rsid w:val="00625E79"/>
    <w:rsid w:val="006333F7"/>
    <w:rsid w:val="006361AF"/>
    <w:rsid w:val="006427A1"/>
    <w:rsid w:val="00644741"/>
    <w:rsid w:val="0066039B"/>
    <w:rsid w:val="00697BC1"/>
    <w:rsid w:val="006A6FFE"/>
    <w:rsid w:val="006C5A91"/>
    <w:rsid w:val="00705834"/>
    <w:rsid w:val="00716BBC"/>
    <w:rsid w:val="007239C2"/>
    <w:rsid w:val="007321BC"/>
    <w:rsid w:val="00760063"/>
    <w:rsid w:val="0076595D"/>
    <w:rsid w:val="00775E4B"/>
    <w:rsid w:val="0079553B"/>
    <w:rsid w:val="00795679"/>
    <w:rsid w:val="007A40FE"/>
    <w:rsid w:val="007C770A"/>
    <w:rsid w:val="00810105"/>
    <w:rsid w:val="008157E0"/>
    <w:rsid w:val="00850477"/>
    <w:rsid w:val="00854E1D"/>
    <w:rsid w:val="008555EA"/>
    <w:rsid w:val="008613EC"/>
    <w:rsid w:val="00887FA6"/>
    <w:rsid w:val="00893D75"/>
    <w:rsid w:val="008B01B3"/>
    <w:rsid w:val="008C4397"/>
    <w:rsid w:val="008C465A"/>
    <w:rsid w:val="008F2C9B"/>
    <w:rsid w:val="00923CD6"/>
    <w:rsid w:val="00935AA8"/>
    <w:rsid w:val="0095727F"/>
    <w:rsid w:val="00971C9A"/>
    <w:rsid w:val="009D51FA"/>
    <w:rsid w:val="009F1E23"/>
    <w:rsid w:val="00A139BE"/>
    <w:rsid w:val="00A15179"/>
    <w:rsid w:val="00A51537"/>
    <w:rsid w:val="00A5280F"/>
    <w:rsid w:val="00A5645A"/>
    <w:rsid w:val="00A60FC1"/>
    <w:rsid w:val="00A61F72"/>
    <w:rsid w:val="00A64D94"/>
    <w:rsid w:val="00A97C37"/>
    <w:rsid w:val="00AA131B"/>
    <w:rsid w:val="00AC37B5"/>
    <w:rsid w:val="00AD752F"/>
    <w:rsid w:val="00AF08A4"/>
    <w:rsid w:val="00B27B41"/>
    <w:rsid w:val="00B42659"/>
    <w:rsid w:val="00B65424"/>
    <w:rsid w:val="00B8573E"/>
    <w:rsid w:val="00BB24C0"/>
    <w:rsid w:val="00BD6ECF"/>
    <w:rsid w:val="00C03AF2"/>
    <w:rsid w:val="00C11F55"/>
    <w:rsid w:val="00C26F2E"/>
    <w:rsid w:val="00C302E3"/>
    <w:rsid w:val="00C45376"/>
    <w:rsid w:val="00C71CB0"/>
    <w:rsid w:val="00C74B87"/>
    <w:rsid w:val="00C9028F"/>
    <w:rsid w:val="00CA0416"/>
    <w:rsid w:val="00CB1125"/>
    <w:rsid w:val="00CB3727"/>
    <w:rsid w:val="00CD042E"/>
    <w:rsid w:val="00CF2560"/>
    <w:rsid w:val="00CF5B46"/>
    <w:rsid w:val="00D35BA2"/>
    <w:rsid w:val="00D46B68"/>
    <w:rsid w:val="00D542A5"/>
    <w:rsid w:val="00D54531"/>
    <w:rsid w:val="00DC038D"/>
    <w:rsid w:val="00DC3D47"/>
    <w:rsid w:val="00DD7068"/>
    <w:rsid w:val="00DD77DA"/>
    <w:rsid w:val="00DE1777"/>
    <w:rsid w:val="00E06C61"/>
    <w:rsid w:val="00E11CA1"/>
    <w:rsid w:val="00E13DB3"/>
    <w:rsid w:val="00E2408B"/>
    <w:rsid w:val="00E42408"/>
    <w:rsid w:val="00E44FA8"/>
    <w:rsid w:val="00E62CEA"/>
    <w:rsid w:val="00E72AE1"/>
    <w:rsid w:val="00ED6A7A"/>
    <w:rsid w:val="00EE4C36"/>
    <w:rsid w:val="00EE7989"/>
    <w:rsid w:val="00F346CE"/>
    <w:rsid w:val="00F34F98"/>
    <w:rsid w:val="00F40540"/>
    <w:rsid w:val="00F67402"/>
    <w:rsid w:val="00F766A2"/>
    <w:rsid w:val="00F82654"/>
    <w:rsid w:val="00F9451D"/>
    <w:rsid w:val="00FB3F13"/>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1E590"/>
  <w15:docId w15:val="{F56530E6-BCD4-4823-AA3C-A126755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A2B66"/>
    <w:rPr>
      <w:color w:val="605E5C"/>
      <w:shd w:val="clear" w:color="auto" w:fill="E1DFDD"/>
    </w:rPr>
  </w:style>
  <w:style w:type="paragraph" w:customStyle="1" w:styleId="Reasons">
    <w:name w:val="Reasons"/>
    <w:basedOn w:val="Normal"/>
    <w:qFormat/>
    <w:rsid w:val="00F8265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66039B"/>
    <w:rPr>
      <w:rFonts w:asciiTheme="minorHAnsi" w:hAnsiTheme="minorHAnsi"/>
      <w:sz w:val="24"/>
      <w:lang w:val="fr-FR" w:eastAsia="en-US"/>
    </w:rPr>
  </w:style>
  <w:style w:type="character" w:styleId="CommentReference">
    <w:name w:val="annotation reference"/>
    <w:basedOn w:val="DefaultParagraphFont"/>
    <w:semiHidden/>
    <w:unhideWhenUsed/>
    <w:rsid w:val="00A64D94"/>
    <w:rPr>
      <w:sz w:val="16"/>
      <w:szCs w:val="16"/>
    </w:rPr>
  </w:style>
  <w:style w:type="paragraph" w:styleId="CommentText">
    <w:name w:val="annotation text"/>
    <w:basedOn w:val="Normal"/>
    <w:link w:val="CommentTextChar"/>
    <w:semiHidden/>
    <w:unhideWhenUsed/>
    <w:rsid w:val="00A64D94"/>
    <w:rPr>
      <w:sz w:val="20"/>
    </w:rPr>
  </w:style>
  <w:style w:type="character" w:customStyle="1" w:styleId="CommentTextChar">
    <w:name w:val="Comment Text Char"/>
    <w:basedOn w:val="DefaultParagraphFont"/>
    <w:link w:val="CommentText"/>
    <w:semiHidden/>
    <w:rsid w:val="00A64D94"/>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A64D94"/>
    <w:rPr>
      <w:b/>
      <w:bCs/>
    </w:rPr>
  </w:style>
  <w:style w:type="character" w:customStyle="1" w:styleId="CommentSubjectChar">
    <w:name w:val="Comment Subject Char"/>
    <w:basedOn w:val="CommentTextChar"/>
    <w:link w:val="CommentSubject"/>
    <w:semiHidden/>
    <w:rsid w:val="00A64D94"/>
    <w:rPr>
      <w:rFonts w:asciiTheme="minorHAnsi" w:hAnsiTheme="minorHAnsi"/>
      <w:b/>
      <w:bCs/>
      <w:lang w:val="fr-FR" w:eastAsia="en-US"/>
    </w:rPr>
  </w:style>
  <w:style w:type="character" w:styleId="FollowedHyperlink">
    <w:name w:val="FollowedHyperlink"/>
    <w:basedOn w:val="DefaultParagraphFont"/>
    <w:semiHidden/>
    <w:unhideWhenUsed/>
    <w:rsid w:val="00636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69</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12432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9</cp:revision>
  <cp:lastPrinted>2022-06-06T13:56:00Z</cp:lastPrinted>
  <dcterms:created xsi:type="dcterms:W3CDTF">2022-06-01T06:27:00Z</dcterms:created>
  <dcterms:modified xsi:type="dcterms:W3CDTF">2022-06-06T13:56:00Z</dcterms:modified>
</cp:coreProperties>
</file>