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Look w:val="0000" w:firstRow="0" w:lastRow="0" w:firstColumn="0" w:lastColumn="0" w:noHBand="0" w:noVBand="0"/>
      </w:tblPr>
      <w:tblGrid>
        <w:gridCol w:w="1266"/>
        <w:gridCol w:w="144"/>
        <w:gridCol w:w="3467"/>
        <w:gridCol w:w="5329"/>
      </w:tblGrid>
      <w:tr w:rsidR="007B6316" w14:paraId="0AACAA6F" w14:textId="77777777" w:rsidTr="005D033B">
        <w:trPr>
          <w:cantSplit/>
          <w:trHeight w:val="340"/>
        </w:trPr>
        <w:tc>
          <w:tcPr>
            <w:tcW w:w="1410" w:type="dxa"/>
            <w:gridSpan w:val="2"/>
          </w:tcPr>
          <w:p w14:paraId="24C33FA2"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0AD85D58" wp14:editId="2981C1F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716CF860"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7C81627F"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F52E51" w14:paraId="3A1D04C8" w14:textId="77777777" w:rsidTr="005D033B">
        <w:trPr>
          <w:cantSplit/>
          <w:trHeight w:val="340"/>
        </w:trPr>
        <w:tc>
          <w:tcPr>
            <w:tcW w:w="1266" w:type="dxa"/>
          </w:tcPr>
          <w:p w14:paraId="1D132763" w14:textId="77777777" w:rsidR="007B6316" w:rsidRPr="00F52E51" w:rsidRDefault="007B6316" w:rsidP="005D033B">
            <w:pPr>
              <w:rPr>
                <w:sz w:val="22"/>
                <w:szCs w:val="22"/>
              </w:rPr>
            </w:pPr>
          </w:p>
        </w:tc>
        <w:tc>
          <w:tcPr>
            <w:tcW w:w="3611" w:type="dxa"/>
            <w:gridSpan w:val="2"/>
          </w:tcPr>
          <w:p w14:paraId="02DACA40" w14:textId="77777777" w:rsidR="007B6316" w:rsidRPr="00F52E51" w:rsidRDefault="007B6316" w:rsidP="005D033B">
            <w:pPr>
              <w:spacing w:after="120"/>
              <w:rPr>
                <w:sz w:val="22"/>
                <w:szCs w:val="22"/>
              </w:rPr>
            </w:pPr>
          </w:p>
        </w:tc>
        <w:tc>
          <w:tcPr>
            <w:tcW w:w="5329" w:type="dxa"/>
          </w:tcPr>
          <w:p w14:paraId="1E8D9F17" w14:textId="62C27254" w:rsidR="007B6316" w:rsidRPr="00F52E51" w:rsidRDefault="006266B0" w:rsidP="005D033B">
            <w:pPr>
              <w:rPr>
                <w:sz w:val="22"/>
                <w:szCs w:val="22"/>
              </w:rPr>
            </w:pPr>
            <w:r w:rsidRPr="00F52E51">
              <w:rPr>
                <w:sz w:val="22"/>
                <w:szCs w:val="22"/>
              </w:rPr>
              <w:t>Ginebra, 8 de agosto de 2022</w:t>
            </w:r>
          </w:p>
        </w:tc>
      </w:tr>
      <w:tr w:rsidR="007B6316" w:rsidRPr="00F52E51" w14:paraId="77A8CF80" w14:textId="77777777" w:rsidTr="005D033B">
        <w:trPr>
          <w:cantSplit/>
          <w:trHeight w:val="340"/>
        </w:trPr>
        <w:tc>
          <w:tcPr>
            <w:tcW w:w="1266" w:type="dxa"/>
          </w:tcPr>
          <w:p w14:paraId="5E625EA0" w14:textId="418EEFA7" w:rsidR="007B6316" w:rsidRPr="00F52E51" w:rsidRDefault="007B6316" w:rsidP="005D033B">
            <w:pPr>
              <w:spacing w:before="40" w:after="40"/>
              <w:rPr>
                <w:sz w:val="22"/>
                <w:szCs w:val="22"/>
              </w:rPr>
            </w:pPr>
            <w:r w:rsidRPr="00F52E51">
              <w:rPr>
                <w:sz w:val="22"/>
                <w:szCs w:val="22"/>
              </w:rPr>
              <w:t>Ref.:</w:t>
            </w:r>
          </w:p>
        </w:tc>
        <w:tc>
          <w:tcPr>
            <w:tcW w:w="3611" w:type="dxa"/>
            <w:gridSpan w:val="2"/>
          </w:tcPr>
          <w:p w14:paraId="2AC3B0A8" w14:textId="7AD95ED3" w:rsidR="007B6316" w:rsidRPr="00F52E51" w:rsidRDefault="007B6316" w:rsidP="005D033B">
            <w:pPr>
              <w:spacing w:before="40" w:after="40"/>
              <w:rPr>
                <w:b/>
                <w:bCs/>
                <w:sz w:val="22"/>
                <w:szCs w:val="22"/>
              </w:rPr>
            </w:pPr>
            <w:r w:rsidRPr="00F52E51">
              <w:rPr>
                <w:b/>
                <w:bCs/>
                <w:sz w:val="22"/>
                <w:szCs w:val="22"/>
              </w:rPr>
              <w:t xml:space="preserve">Circular TSB </w:t>
            </w:r>
            <w:r w:rsidR="006266B0" w:rsidRPr="00F52E51">
              <w:rPr>
                <w:b/>
                <w:bCs/>
                <w:sz w:val="22"/>
                <w:szCs w:val="22"/>
              </w:rPr>
              <w:t>25</w:t>
            </w:r>
          </w:p>
        </w:tc>
        <w:tc>
          <w:tcPr>
            <w:tcW w:w="5329" w:type="dxa"/>
            <w:vMerge w:val="restart"/>
          </w:tcPr>
          <w:p w14:paraId="720845CA" w14:textId="77777777" w:rsidR="006266B0" w:rsidRPr="00F52E51" w:rsidRDefault="006266B0" w:rsidP="005D033B">
            <w:pPr>
              <w:spacing w:before="40" w:after="40"/>
              <w:rPr>
                <w:b/>
                <w:bCs/>
                <w:sz w:val="22"/>
                <w:szCs w:val="22"/>
              </w:rPr>
            </w:pPr>
            <w:bookmarkStart w:id="0" w:name="Addressee_S"/>
            <w:bookmarkEnd w:id="0"/>
            <w:r w:rsidRPr="00F52E51">
              <w:rPr>
                <w:b/>
                <w:bCs/>
                <w:sz w:val="22"/>
                <w:szCs w:val="22"/>
              </w:rPr>
              <w:t>A:</w:t>
            </w:r>
          </w:p>
          <w:p w14:paraId="426A4CC5" w14:textId="61CF51E2" w:rsidR="006266B0" w:rsidRPr="00F52E51" w:rsidRDefault="005D033B" w:rsidP="005D033B">
            <w:pPr>
              <w:tabs>
                <w:tab w:val="clear" w:pos="794"/>
                <w:tab w:val="left" w:pos="399"/>
              </w:tabs>
              <w:spacing w:before="40" w:after="40"/>
              <w:ind w:left="399" w:hanging="399"/>
              <w:rPr>
                <w:sz w:val="22"/>
                <w:szCs w:val="22"/>
              </w:rPr>
            </w:pPr>
            <w:r w:rsidRPr="00F52E51">
              <w:rPr>
                <w:sz w:val="22"/>
                <w:szCs w:val="22"/>
              </w:rPr>
              <w:t>–</w:t>
            </w:r>
            <w:r w:rsidRPr="00F52E51">
              <w:rPr>
                <w:sz w:val="22"/>
                <w:szCs w:val="22"/>
              </w:rPr>
              <w:tab/>
            </w:r>
            <w:r w:rsidR="006266B0" w:rsidRPr="00F52E51">
              <w:rPr>
                <w:sz w:val="22"/>
                <w:szCs w:val="22"/>
              </w:rPr>
              <w:t>las Administraciones de los Estados Miembros de la Unión;</w:t>
            </w:r>
          </w:p>
          <w:p w14:paraId="030FFB1C" w14:textId="2567292C" w:rsidR="006266B0" w:rsidRPr="00F52E51" w:rsidRDefault="005D033B" w:rsidP="005D033B">
            <w:pPr>
              <w:tabs>
                <w:tab w:val="clear" w:pos="794"/>
                <w:tab w:val="left" w:pos="399"/>
              </w:tabs>
              <w:spacing w:before="40" w:after="40"/>
              <w:ind w:left="399" w:hanging="399"/>
              <w:rPr>
                <w:sz w:val="22"/>
                <w:szCs w:val="22"/>
              </w:rPr>
            </w:pPr>
            <w:r w:rsidRPr="00F52E51">
              <w:rPr>
                <w:sz w:val="22"/>
                <w:szCs w:val="22"/>
              </w:rPr>
              <w:t>–</w:t>
            </w:r>
            <w:r w:rsidRPr="00F52E51">
              <w:rPr>
                <w:sz w:val="22"/>
                <w:szCs w:val="22"/>
              </w:rPr>
              <w:tab/>
            </w:r>
            <w:r w:rsidR="006266B0" w:rsidRPr="00F52E51">
              <w:rPr>
                <w:sz w:val="22"/>
                <w:szCs w:val="22"/>
              </w:rPr>
              <w:t>los Miembros de Sector del UIT-T;</w:t>
            </w:r>
          </w:p>
          <w:p w14:paraId="172116F9" w14:textId="01A34BBD" w:rsidR="006266B0" w:rsidRPr="00F52E51" w:rsidRDefault="005D033B" w:rsidP="005D033B">
            <w:pPr>
              <w:tabs>
                <w:tab w:val="clear" w:pos="794"/>
                <w:tab w:val="left" w:pos="399"/>
              </w:tabs>
              <w:spacing w:before="40" w:after="40"/>
              <w:ind w:left="399" w:hanging="399"/>
              <w:rPr>
                <w:sz w:val="22"/>
                <w:szCs w:val="22"/>
              </w:rPr>
            </w:pPr>
            <w:r w:rsidRPr="00F52E51">
              <w:rPr>
                <w:sz w:val="22"/>
                <w:szCs w:val="22"/>
              </w:rPr>
              <w:t>–</w:t>
            </w:r>
            <w:r w:rsidRPr="00F52E51">
              <w:rPr>
                <w:sz w:val="22"/>
                <w:szCs w:val="22"/>
              </w:rPr>
              <w:tab/>
            </w:r>
            <w:r w:rsidR="006266B0" w:rsidRPr="00F52E51">
              <w:rPr>
                <w:sz w:val="22"/>
                <w:szCs w:val="22"/>
              </w:rPr>
              <w:t>los Asociados del UIT-T;</w:t>
            </w:r>
          </w:p>
          <w:p w14:paraId="305CEACF" w14:textId="709D4176" w:rsidR="007B6316" w:rsidRPr="00F52E51" w:rsidRDefault="005D033B" w:rsidP="005D033B">
            <w:pPr>
              <w:tabs>
                <w:tab w:val="clear" w:pos="794"/>
                <w:tab w:val="left" w:pos="399"/>
              </w:tabs>
              <w:spacing w:before="40" w:after="40"/>
              <w:ind w:left="399" w:hanging="399"/>
              <w:rPr>
                <w:sz w:val="22"/>
                <w:szCs w:val="22"/>
              </w:rPr>
            </w:pPr>
            <w:r w:rsidRPr="00F52E51">
              <w:rPr>
                <w:sz w:val="22"/>
                <w:szCs w:val="22"/>
              </w:rPr>
              <w:t>–</w:t>
            </w:r>
            <w:r w:rsidRPr="00F52E51">
              <w:rPr>
                <w:sz w:val="22"/>
                <w:szCs w:val="22"/>
              </w:rPr>
              <w:tab/>
            </w:r>
            <w:r w:rsidR="006266B0" w:rsidRPr="00F52E51">
              <w:rPr>
                <w:sz w:val="22"/>
                <w:szCs w:val="22"/>
              </w:rPr>
              <w:t>las Instituciones Académicas de la UIT</w:t>
            </w:r>
          </w:p>
        </w:tc>
      </w:tr>
      <w:tr w:rsidR="007B6316" w:rsidRPr="00F52E51" w14:paraId="4AFA3184" w14:textId="77777777" w:rsidTr="005D033B">
        <w:trPr>
          <w:cantSplit/>
        </w:trPr>
        <w:tc>
          <w:tcPr>
            <w:tcW w:w="1266" w:type="dxa"/>
          </w:tcPr>
          <w:p w14:paraId="222D6C92" w14:textId="77777777" w:rsidR="007B6316" w:rsidRPr="00F52E51" w:rsidRDefault="007B6316" w:rsidP="005D033B">
            <w:pPr>
              <w:spacing w:before="40" w:after="40"/>
              <w:rPr>
                <w:sz w:val="22"/>
                <w:szCs w:val="22"/>
              </w:rPr>
            </w:pPr>
            <w:r w:rsidRPr="00F52E51">
              <w:rPr>
                <w:sz w:val="22"/>
                <w:szCs w:val="22"/>
              </w:rPr>
              <w:t>Tel.:</w:t>
            </w:r>
          </w:p>
        </w:tc>
        <w:tc>
          <w:tcPr>
            <w:tcW w:w="3611" w:type="dxa"/>
            <w:gridSpan w:val="2"/>
          </w:tcPr>
          <w:p w14:paraId="43AAD54F" w14:textId="06B4AA6C" w:rsidR="007B6316" w:rsidRPr="00F52E51" w:rsidRDefault="006266B0" w:rsidP="005D033B">
            <w:pPr>
              <w:spacing w:before="40" w:after="40"/>
              <w:rPr>
                <w:sz w:val="22"/>
                <w:szCs w:val="22"/>
              </w:rPr>
            </w:pPr>
            <w:r w:rsidRPr="00F52E51">
              <w:rPr>
                <w:sz w:val="22"/>
                <w:szCs w:val="22"/>
              </w:rPr>
              <w:t>+41 22 730 6301</w:t>
            </w:r>
          </w:p>
        </w:tc>
        <w:tc>
          <w:tcPr>
            <w:tcW w:w="5329" w:type="dxa"/>
            <w:vMerge/>
          </w:tcPr>
          <w:p w14:paraId="0BC6215A" w14:textId="77777777" w:rsidR="007B6316" w:rsidRPr="00F52E51" w:rsidRDefault="007B6316" w:rsidP="005D033B">
            <w:pPr>
              <w:spacing w:before="40" w:after="40"/>
              <w:rPr>
                <w:sz w:val="22"/>
                <w:szCs w:val="22"/>
              </w:rPr>
            </w:pPr>
          </w:p>
        </w:tc>
      </w:tr>
      <w:tr w:rsidR="007B6316" w:rsidRPr="00F52E51" w14:paraId="5AB38EF7" w14:textId="77777777" w:rsidTr="005D033B">
        <w:trPr>
          <w:cantSplit/>
        </w:trPr>
        <w:tc>
          <w:tcPr>
            <w:tcW w:w="1266" w:type="dxa"/>
          </w:tcPr>
          <w:p w14:paraId="7B4A7B27" w14:textId="77777777" w:rsidR="007B6316" w:rsidRPr="00F52E51" w:rsidRDefault="007B6316" w:rsidP="005D033B">
            <w:pPr>
              <w:spacing w:before="40" w:after="40"/>
              <w:rPr>
                <w:sz w:val="22"/>
                <w:szCs w:val="22"/>
              </w:rPr>
            </w:pPr>
            <w:r w:rsidRPr="00F52E51">
              <w:rPr>
                <w:sz w:val="22"/>
                <w:szCs w:val="22"/>
              </w:rPr>
              <w:t>Fax:</w:t>
            </w:r>
          </w:p>
        </w:tc>
        <w:tc>
          <w:tcPr>
            <w:tcW w:w="3611" w:type="dxa"/>
            <w:gridSpan w:val="2"/>
          </w:tcPr>
          <w:p w14:paraId="73637E14" w14:textId="062A599A" w:rsidR="007B6316" w:rsidRPr="00F52E51" w:rsidRDefault="006266B0" w:rsidP="005D033B">
            <w:pPr>
              <w:spacing w:before="40" w:after="40"/>
              <w:rPr>
                <w:sz w:val="22"/>
                <w:szCs w:val="22"/>
              </w:rPr>
            </w:pPr>
            <w:r w:rsidRPr="00F52E51">
              <w:rPr>
                <w:sz w:val="22"/>
                <w:szCs w:val="22"/>
              </w:rPr>
              <w:t>+41 22 730 5853</w:t>
            </w:r>
          </w:p>
        </w:tc>
        <w:tc>
          <w:tcPr>
            <w:tcW w:w="5329" w:type="dxa"/>
            <w:vMerge/>
          </w:tcPr>
          <w:p w14:paraId="4AE8A94B" w14:textId="77777777" w:rsidR="007B6316" w:rsidRPr="00F52E51" w:rsidRDefault="007B6316" w:rsidP="005D033B">
            <w:pPr>
              <w:spacing w:before="40" w:after="40"/>
              <w:rPr>
                <w:sz w:val="22"/>
                <w:szCs w:val="22"/>
              </w:rPr>
            </w:pPr>
          </w:p>
        </w:tc>
      </w:tr>
      <w:tr w:rsidR="00C34772" w:rsidRPr="00F52E51" w14:paraId="6CA5AF68" w14:textId="77777777" w:rsidTr="005D033B">
        <w:trPr>
          <w:cantSplit/>
        </w:trPr>
        <w:tc>
          <w:tcPr>
            <w:tcW w:w="1266" w:type="dxa"/>
          </w:tcPr>
          <w:p w14:paraId="35808913" w14:textId="77777777" w:rsidR="00C34772" w:rsidRPr="00F52E51" w:rsidRDefault="00C34772" w:rsidP="005D033B">
            <w:pPr>
              <w:spacing w:before="40" w:after="40"/>
              <w:rPr>
                <w:sz w:val="22"/>
                <w:szCs w:val="22"/>
              </w:rPr>
            </w:pPr>
            <w:r w:rsidRPr="00F52E51">
              <w:rPr>
                <w:sz w:val="22"/>
                <w:szCs w:val="22"/>
              </w:rPr>
              <w:t>Correo-e:</w:t>
            </w:r>
          </w:p>
        </w:tc>
        <w:tc>
          <w:tcPr>
            <w:tcW w:w="3611" w:type="dxa"/>
            <w:gridSpan w:val="2"/>
          </w:tcPr>
          <w:p w14:paraId="1F177499" w14:textId="2609E788" w:rsidR="00C34772" w:rsidRPr="00F52E51" w:rsidRDefault="0070152B" w:rsidP="005D033B">
            <w:pPr>
              <w:spacing w:before="40" w:after="40"/>
              <w:rPr>
                <w:sz w:val="22"/>
                <w:szCs w:val="22"/>
              </w:rPr>
            </w:pPr>
            <w:hyperlink r:id="rId9" w:history="1">
              <w:r w:rsidR="005D033B" w:rsidRPr="00F52E51">
                <w:rPr>
                  <w:rStyle w:val="Hyperlink"/>
                  <w:sz w:val="22"/>
                  <w:szCs w:val="22"/>
                </w:rPr>
                <w:t>u4ssc@itu.int</w:t>
              </w:r>
            </w:hyperlink>
          </w:p>
        </w:tc>
        <w:tc>
          <w:tcPr>
            <w:tcW w:w="5329" w:type="dxa"/>
          </w:tcPr>
          <w:p w14:paraId="1BD3324F" w14:textId="77777777" w:rsidR="006266B0" w:rsidRPr="00F52E51" w:rsidRDefault="006266B0" w:rsidP="005D033B">
            <w:pPr>
              <w:spacing w:before="40" w:after="40"/>
              <w:rPr>
                <w:b/>
                <w:bCs/>
                <w:sz w:val="22"/>
                <w:szCs w:val="22"/>
              </w:rPr>
            </w:pPr>
            <w:r w:rsidRPr="00F52E51">
              <w:rPr>
                <w:b/>
                <w:bCs/>
                <w:sz w:val="22"/>
                <w:szCs w:val="22"/>
              </w:rPr>
              <w:t>Copia:</w:t>
            </w:r>
          </w:p>
          <w:p w14:paraId="103DAF9C" w14:textId="22266B6C" w:rsidR="006266B0" w:rsidRPr="00F52E51" w:rsidRDefault="005D033B" w:rsidP="005D033B">
            <w:pPr>
              <w:tabs>
                <w:tab w:val="clear" w:pos="794"/>
                <w:tab w:val="left" w:pos="399"/>
              </w:tabs>
              <w:spacing w:before="40" w:after="40"/>
              <w:ind w:left="399" w:hanging="399"/>
              <w:rPr>
                <w:sz w:val="22"/>
                <w:szCs w:val="22"/>
              </w:rPr>
            </w:pPr>
            <w:r w:rsidRPr="00F52E51">
              <w:rPr>
                <w:sz w:val="22"/>
                <w:szCs w:val="22"/>
              </w:rPr>
              <w:t>–</w:t>
            </w:r>
            <w:r w:rsidRPr="00F52E51">
              <w:rPr>
                <w:sz w:val="22"/>
                <w:szCs w:val="22"/>
              </w:rPr>
              <w:tab/>
              <w:t>a</w:t>
            </w:r>
            <w:r w:rsidR="006266B0" w:rsidRPr="00F52E51">
              <w:rPr>
                <w:sz w:val="22"/>
                <w:szCs w:val="22"/>
              </w:rPr>
              <w:t xml:space="preserve"> los </w:t>
            </w:r>
            <w:proofErr w:type="gramStart"/>
            <w:r w:rsidR="006266B0" w:rsidRPr="00F52E51">
              <w:rPr>
                <w:sz w:val="22"/>
                <w:szCs w:val="22"/>
              </w:rPr>
              <w:t>Presidentes</w:t>
            </w:r>
            <w:proofErr w:type="gramEnd"/>
            <w:r w:rsidR="006266B0" w:rsidRPr="00F52E51">
              <w:rPr>
                <w:sz w:val="22"/>
                <w:szCs w:val="22"/>
              </w:rPr>
              <w:t xml:space="preserve"> y Vicepresidentes de las Comisiones de Estudio;</w:t>
            </w:r>
          </w:p>
          <w:p w14:paraId="29869BE9" w14:textId="43970F8B" w:rsidR="006266B0" w:rsidRPr="00F52E51" w:rsidRDefault="005D033B" w:rsidP="005D033B">
            <w:pPr>
              <w:tabs>
                <w:tab w:val="clear" w:pos="794"/>
                <w:tab w:val="left" w:pos="399"/>
              </w:tabs>
              <w:spacing w:before="40" w:after="40"/>
              <w:ind w:left="399" w:hanging="399"/>
              <w:rPr>
                <w:sz w:val="22"/>
                <w:szCs w:val="22"/>
              </w:rPr>
            </w:pPr>
            <w:r w:rsidRPr="00F52E51">
              <w:rPr>
                <w:sz w:val="22"/>
                <w:szCs w:val="22"/>
              </w:rPr>
              <w:t>–</w:t>
            </w:r>
            <w:r w:rsidRPr="00F52E51">
              <w:rPr>
                <w:sz w:val="22"/>
                <w:szCs w:val="22"/>
              </w:rPr>
              <w:tab/>
              <w:t>a</w:t>
            </w:r>
            <w:r w:rsidR="006266B0" w:rsidRPr="00F52E51">
              <w:rPr>
                <w:sz w:val="22"/>
                <w:szCs w:val="22"/>
              </w:rPr>
              <w:t xml:space="preserve"> la </w:t>
            </w:r>
            <w:proofErr w:type="gramStart"/>
            <w:r w:rsidR="006266B0" w:rsidRPr="00F52E51">
              <w:rPr>
                <w:sz w:val="22"/>
                <w:szCs w:val="22"/>
              </w:rPr>
              <w:t>Directora</w:t>
            </w:r>
            <w:proofErr w:type="gramEnd"/>
            <w:r w:rsidR="006266B0" w:rsidRPr="00F52E51">
              <w:rPr>
                <w:sz w:val="22"/>
                <w:szCs w:val="22"/>
              </w:rPr>
              <w:t xml:space="preserve"> de la Oficina de Desarrollo de las Telecomunicaciones;</w:t>
            </w:r>
          </w:p>
          <w:p w14:paraId="213E4339" w14:textId="3F226E8D" w:rsidR="00C34772" w:rsidRPr="00F52E51" w:rsidRDefault="005D033B" w:rsidP="005D033B">
            <w:pPr>
              <w:tabs>
                <w:tab w:val="clear" w:pos="794"/>
                <w:tab w:val="left" w:pos="399"/>
              </w:tabs>
              <w:spacing w:before="40" w:after="40"/>
              <w:ind w:left="399" w:hanging="399"/>
              <w:rPr>
                <w:sz w:val="22"/>
                <w:szCs w:val="22"/>
              </w:rPr>
            </w:pPr>
            <w:r w:rsidRPr="00F52E51">
              <w:rPr>
                <w:sz w:val="22"/>
                <w:szCs w:val="22"/>
              </w:rPr>
              <w:t>–</w:t>
            </w:r>
            <w:r w:rsidRPr="00F52E51">
              <w:rPr>
                <w:sz w:val="22"/>
                <w:szCs w:val="22"/>
              </w:rPr>
              <w:tab/>
              <w:t>a</w:t>
            </w:r>
            <w:r w:rsidR="006266B0" w:rsidRPr="00F52E51">
              <w:rPr>
                <w:sz w:val="22"/>
                <w:szCs w:val="22"/>
              </w:rPr>
              <w:t xml:space="preserve">l </w:t>
            </w:r>
            <w:proofErr w:type="gramStart"/>
            <w:r w:rsidR="006266B0" w:rsidRPr="00F52E51">
              <w:rPr>
                <w:sz w:val="22"/>
                <w:szCs w:val="22"/>
              </w:rPr>
              <w:t>Director</w:t>
            </w:r>
            <w:proofErr w:type="gramEnd"/>
            <w:r w:rsidR="006266B0" w:rsidRPr="00F52E51">
              <w:rPr>
                <w:sz w:val="22"/>
                <w:szCs w:val="22"/>
              </w:rPr>
              <w:t xml:space="preserve"> de la Oficina de Radiocomunicaciones</w:t>
            </w:r>
          </w:p>
        </w:tc>
      </w:tr>
      <w:tr w:rsidR="007B6316" w:rsidRPr="00F52E51" w14:paraId="7E08847C" w14:textId="77777777" w:rsidTr="005D033B">
        <w:trPr>
          <w:cantSplit/>
        </w:trPr>
        <w:tc>
          <w:tcPr>
            <w:tcW w:w="1266" w:type="dxa"/>
          </w:tcPr>
          <w:p w14:paraId="2B47107C" w14:textId="77777777" w:rsidR="007B6316" w:rsidRPr="00F52E51" w:rsidRDefault="007B6316" w:rsidP="005D033B">
            <w:pPr>
              <w:rPr>
                <w:sz w:val="22"/>
                <w:szCs w:val="22"/>
              </w:rPr>
            </w:pPr>
            <w:r w:rsidRPr="00F52E51">
              <w:rPr>
                <w:sz w:val="22"/>
                <w:szCs w:val="22"/>
              </w:rPr>
              <w:t>Asunto:</w:t>
            </w:r>
          </w:p>
        </w:tc>
        <w:tc>
          <w:tcPr>
            <w:tcW w:w="8940" w:type="dxa"/>
            <w:gridSpan w:val="3"/>
          </w:tcPr>
          <w:p w14:paraId="60502782" w14:textId="7197EB51" w:rsidR="007B6316" w:rsidRPr="00F52E51" w:rsidRDefault="006266B0" w:rsidP="005D033B">
            <w:pPr>
              <w:rPr>
                <w:b/>
                <w:bCs/>
                <w:sz w:val="22"/>
                <w:szCs w:val="22"/>
              </w:rPr>
            </w:pPr>
            <w:r w:rsidRPr="00F52E51">
              <w:rPr>
                <w:b/>
                <w:bCs/>
                <w:sz w:val="22"/>
                <w:szCs w:val="22"/>
              </w:rPr>
              <w:t>Serie de webinarios sobre la transformación digital de ciudades y comunidades</w:t>
            </w:r>
            <w:r w:rsidR="005D033B" w:rsidRPr="00F52E51">
              <w:rPr>
                <w:b/>
                <w:bCs/>
                <w:sz w:val="22"/>
                <w:szCs w:val="22"/>
              </w:rPr>
              <w:br/>
            </w:r>
            <w:r w:rsidRPr="00F52E51">
              <w:rPr>
                <w:b/>
                <w:bCs/>
                <w:sz w:val="22"/>
                <w:szCs w:val="22"/>
              </w:rPr>
              <w:t>(Nuevo episodio: Adquisiciones para ciudades inteligentes y sostenibles: Mecanismos innovadores para la transformación digital, 9 de septiembre de 2022)</w:t>
            </w:r>
          </w:p>
        </w:tc>
      </w:tr>
    </w:tbl>
    <w:p w14:paraId="27CF7638" w14:textId="77777777" w:rsidR="00C34772" w:rsidRPr="00F52E51" w:rsidRDefault="00C34772" w:rsidP="005D033B">
      <w:pPr>
        <w:pStyle w:val="Normalaftertitle0"/>
        <w:rPr>
          <w:sz w:val="22"/>
          <w:szCs w:val="22"/>
        </w:rPr>
      </w:pPr>
      <w:bookmarkStart w:id="1" w:name="StartTyping_S"/>
      <w:bookmarkStart w:id="2" w:name="suitetext"/>
      <w:bookmarkStart w:id="3" w:name="text"/>
      <w:bookmarkEnd w:id="1"/>
      <w:bookmarkEnd w:id="2"/>
      <w:bookmarkEnd w:id="3"/>
      <w:r w:rsidRPr="00F52E51">
        <w:rPr>
          <w:sz w:val="22"/>
          <w:szCs w:val="22"/>
        </w:rPr>
        <w:t>Muy Señora mía/Muy Señor mío:</w:t>
      </w:r>
    </w:p>
    <w:p w14:paraId="24CA1818" w14:textId="7BDD9A90" w:rsidR="006266B0" w:rsidRPr="007E5330" w:rsidRDefault="006266B0" w:rsidP="006266B0">
      <w:pPr>
        <w:rPr>
          <w:sz w:val="22"/>
          <w:szCs w:val="22"/>
          <w:lang w:val="fr-CH"/>
        </w:rPr>
      </w:pPr>
      <w:r w:rsidRPr="00F52E51">
        <w:rPr>
          <w:sz w:val="22"/>
          <w:szCs w:val="22"/>
          <w:lang w:val="es-ES"/>
        </w:rPr>
        <w:t>1</w:t>
      </w:r>
      <w:r w:rsidRPr="00F52E51">
        <w:rPr>
          <w:sz w:val="22"/>
          <w:szCs w:val="22"/>
          <w:lang w:val="es-ES"/>
        </w:rPr>
        <w:tab/>
      </w:r>
      <w:proofErr w:type="gramStart"/>
      <w:r w:rsidRPr="00F52E51">
        <w:rPr>
          <w:sz w:val="22"/>
          <w:szCs w:val="22"/>
          <w:lang w:val="es-ES"/>
        </w:rPr>
        <w:t>Me</w:t>
      </w:r>
      <w:proofErr w:type="gramEnd"/>
      <w:r w:rsidRPr="00F52E51">
        <w:rPr>
          <w:sz w:val="22"/>
          <w:szCs w:val="22"/>
          <w:lang w:val="es-ES"/>
        </w:rPr>
        <w:t xml:space="preserve"> complace informarle que la Unión Internacional de Telecomunicaciones (UIT) está organizando un episodio adicional de la serie de webinarios sobre </w:t>
      </w:r>
      <w:r w:rsidRPr="00F52E51">
        <w:rPr>
          <w:b/>
          <w:bCs/>
          <w:sz w:val="22"/>
          <w:szCs w:val="22"/>
          <w:lang w:val="es-ES"/>
        </w:rPr>
        <w:t>Transformación digital de ciudades y comunidades</w:t>
      </w:r>
      <w:r w:rsidRPr="00F52E51">
        <w:rPr>
          <w:sz w:val="22"/>
          <w:szCs w:val="22"/>
          <w:lang w:val="es-ES"/>
        </w:rPr>
        <w:t xml:space="preserve">, cuyo objetivo es debatir temas incipientes relacionados con la transformación digital, facilitar la colaboración entre las diversas partes interesadas de las ciudades y analizar el papel de la normalización en el proceso. La serie también servirá como una nueva plataforma para destacar los últimos trabajos y resultados de la </w:t>
      </w:r>
      <w:hyperlink r:id="rId10" w:history="1">
        <w:r w:rsidRPr="00F52E51">
          <w:rPr>
            <w:rStyle w:val="Hyperlink"/>
            <w:sz w:val="22"/>
            <w:szCs w:val="22"/>
            <w:lang w:val="es-ES"/>
          </w:rPr>
          <w:t>Comisión de Estudio 20 del</w:t>
        </w:r>
        <w:r w:rsidR="005D033B" w:rsidRPr="00F52E51">
          <w:rPr>
            <w:rStyle w:val="Hyperlink"/>
            <w:sz w:val="22"/>
            <w:szCs w:val="22"/>
            <w:lang w:val="es-ES"/>
          </w:rPr>
          <w:t> </w:t>
        </w:r>
        <w:r w:rsidRPr="00F52E51">
          <w:rPr>
            <w:rStyle w:val="Hyperlink"/>
            <w:sz w:val="22"/>
            <w:szCs w:val="22"/>
            <w:lang w:val="es-ES"/>
          </w:rPr>
          <w:t xml:space="preserve">UIT-T "Internet de las cosas (IoT) y </w:t>
        </w:r>
        <w:r w:rsidR="00AE7A5F" w:rsidRPr="00F52E51">
          <w:rPr>
            <w:rStyle w:val="Hyperlink"/>
            <w:sz w:val="22"/>
            <w:szCs w:val="22"/>
            <w:lang w:val="es-ES"/>
          </w:rPr>
          <w:t>c</w:t>
        </w:r>
        <w:r w:rsidRPr="00F52E51">
          <w:rPr>
            <w:rStyle w:val="Hyperlink"/>
            <w:sz w:val="22"/>
            <w:szCs w:val="22"/>
            <w:lang w:val="es-ES"/>
          </w:rPr>
          <w:t xml:space="preserve">iudades y </w:t>
        </w:r>
        <w:r w:rsidR="00AE7A5F" w:rsidRPr="00F52E51">
          <w:rPr>
            <w:rStyle w:val="Hyperlink"/>
            <w:sz w:val="22"/>
            <w:szCs w:val="22"/>
            <w:lang w:val="es-ES"/>
          </w:rPr>
          <w:t>c</w:t>
        </w:r>
        <w:r w:rsidRPr="00F52E51">
          <w:rPr>
            <w:rStyle w:val="Hyperlink"/>
            <w:sz w:val="22"/>
            <w:szCs w:val="22"/>
            <w:lang w:val="es-ES"/>
          </w:rPr>
          <w:t xml:space="preserve">omunidades </w:t>
        </w:r>
        <w:r w:rsidR="00AE7A5F" w:rsidRPr="00F52E51">
          <w:rPr>
            <w:rStyle w:val="Hyperlink"/>
            <w:sz w:val="22"/>
            <w:szCs w:val="22"/>
            <w:lang w:val="es-ES"/>
          </w:rPr>
          <w:t>i</w:t>
        </w:r>
        <w:r w:rsidRPr="00F52E51">
          <w:rPr>
            <w:rStyle w:val="Hyperlink"/>
            <w:sz w:val="22"/>
            <w:szCs w:val="22"/>
            <w:lang w:val="es-ES"/>
          </w:rPr>
          <w:t>nteligentes (C+CI)"</w:t>
        </w:r>
      </w:hyperlink>
      <w:r w:rsidRPr="00F52E51">
        <w:rPr>
          <w:sz w:val="22"/>
          <w:szCs w:val="22"/>
          <w:lang w:val="es-ES"/>
        </w:rPr>
        <w:t>.</w:t>
      </w:r>
    </w:p>
    <w:p w14:paraId="780B0B29" w14:textId="0758C531" w:rsidR="006266B0" w:rsidRPr="007E5330" w:rsidRDefault="006266B0" w:rsidP="006266B0">
      <w:pPr>
        <w:rPr>
          <w:sz w:val="22"/>
          <w:szCs w:val="22"/>
          <w:lang w:val="fr-CH"/>
        </w:rPr>
      </w:pPr>
      <w:r w:rsidRPr="00F52E51">
        <w:rPr>
          <w:sz w:val="22"/>
          <w:szCs w:val="22"/>
          <w:lang w:val="es-ES"/>
        </w:rPr>
        <w:t>Este episodio sobre "</w:t>
      </w:r>
      <w:r w:rsidRPr="00F52E51">
        <w:rPr>
          <w:b/>
          <w:bCs/>
          <w:sz w:val="22"/>
          <w:szCs w:val="22"/>
          <w:lang w:val="es-ES"/>
        </w:rPr>
        <w:t>Adquisiciones para ciudades inteligentes y sostenibles: Mecanismos innovadores para la transformación digital</w:t>
      </w:r>
      <w:r w:rsidRPr="00F52E51">
        <w:rPr>
          <w:sz w:val="22"/>
          <w:szCs w:val="22"/>
          <w:lang w:val="es-ES"/>
        </w:rPr>
        <w:t xml:space="preserve">" tendrá lugar en formato virtual el </w:t>
      </w:r>
      <w:r w:rsidRPr="00F52E51">
        <w:rPr>
          <w:b/>
          <w:bCs/>
          <w:sz w:val="22"/>
          <w:szCs w:val="22"/>
          <w:lang w:val="es-ES"/>
        </w:rPr>
        <w:t>9 de septiembre de</w:t>
      </w:r>
      <w:r w:rsidR="005D033B" w:rsidRPr="00F52E51">
        <w:rPr>
          <w:b/>
          <w:bCs/>
          <w:sz w:val="22"/>
          <w:szCs w:val="22"/>
          <w:lang w:val="es-ES"/>
        </w:rPr>
        <w:t> </w:t>
      </w:r>
      <w:r w:rsidRPr="00F52E51">
        <w:rPr>
          <w:b/>
          <w:bCs/>
          <w:sz w:val="22"/>
          <w:szCs w:val="22"/>
          <w:lang w:val="es-ES"/>
        </w:rPr>
        <w:t xml:space="preserve">2022 </w:t>
      </w:r>
      <w:r w:rsidRPr="00F52E51">
        <w:rPr>
          <w:sz w:val="22"/>
          <w:szCs w:val="22"/>
          <w:lang w:val="es-ES"/>
        </w:rPr>
        <w:t>de las 15.00 a las 16.30 horas, hora de Ginebra.</w:t>
      </w:r>
    </w:p>
    <w:p w14:paraId="5AB817CF" w14:textId="77777777" w:rsidR="006266B0" w:rsidRPr="007E5330" w:rsidRDefault="006266B0" w:rsidP="006266B0">
      <w:pPr>
        <w:rPr>
          <w:sz w:val="22"/>
          <w:szCs w:val="22"/>
          <w:lang w:val="fr-CH"/>
        </w:rPr>
      </w:pPr>
      <w:r w:rsidRPr="00F52E51">
        <w:rPr>
          <w:sz w:val="22"/>
          <w:szCs w:val="22"/>
          <w:lang w:val="es-ES"/>
        </w:rPr>
        <w:t>2</w:t>
      </w:r>
      <w:r w:rsidRPr="00F52E51">
        <w:rPr>
          <w:sz w:val="22"/>
          <w:szCs w:val="22"/>
          <w:lang w:val="es-ES"/>
        </w:rPr>
        <w:tab/>
      </w:r>
      <w:proofErr w:type="gramStart"/>
      <w:r w:rsidRPr="00F52E51">
        <w:rPr>
          <w:sz w:val="22"/>
          <w:szCs w:val="22"/>
          <w:lang w:val="es-ES"/>
        </w:rPr>
        <w:t>Este</w:t>
      </w:r>
      <w:proofErr w:type="gramEnd"/>
      <w:r w:rsidRPr="00F52E51">
        <w:rPr>
          <w:sz w:val="22"/>
          <w:szCs w:val="22"/>
          <w:lang w:val="es-ES"/>
        </w:rPr>
        <w:t xml:space="preserve"> webinario se celebrará únicamente en inglés.</w:t>
      </w:r>
    </w:p>
    <w:p w14:paraId="63763A09" w14:textId="77777777" w:rsidR="006266B0" w:rsidRPr="007E5330" w:rsidRDefault="006266B0" w:rsidP="006266B0">
      <w:pPr>
        <w:rPr>
          <w:sz w:val="22"/>
          <w:szCs w:val="22"/>
          <w:lang w:val="fr-CH"/>
        </w:rPr>
      </w:pPr>
      <w:r w:rsidRPr="00F52E51">
        <w:rPr>
          <w:sz w:val="22"/>
          <w:szCs w:val="22"/>
          <w:lang w:val="es-ES"/>
        </w:rPr>
        <w:t>3</w:t>
      </w:r>
      <w:r w:rsidRPr="00F52E51">
        <w:rPr>
          <w:sz w:val="22"/>
          <w:szCs w:val="22"/>
          <w:lang w:val="es-ES"/>
        </w:rPr>
        <w:tab/>
      </w:r>
      <w:proofErr w:type="gramStart"/>
      <w:r w:rsidRPr="00F52E51">
        <w:rPr>
          <w:sz w:val="22"/>
          <w:szCs w:val="22"/>
          <w:lang w:val="es-ES"/>
        </w:rPr>
        <w:t>Las</w:t>
      </w:r>
      <w:proofErr w:type="gramEnd"/>
      <w:r w:rsidRPr="00F52E51">
        <w:rPr>
          <w:sz w:val="22"/>
          <w:szCs w:val="22"/>
          <w:lang w:val="es-ES"/>
        </w:rPr>
        <w:t xml:space="preserve"> prácticas en materia de adquisiciones estratégicas en el ecosistema de las ciudades inteligentes deben aplicarse de manera equitativa, abierta y transparente para garantizar la disponibilidad de productos y servicios digitales en todos los sectores, de modo que todos los segmentos de la sociedad puedan beneficiarse de la transformación digital.</w:t>
      </w:r>
    </w:p>
    <w:p w14:paraId="499D634E" w14:textId="7F7F6DEF" w:rsidR="006266B0" w:rsidRPr="007E5330" w:rsidRDefault="006266B0" w:rsidP="006266B0">
      <w:pPr>
        <w:rPr>
          <w:sz w:val="22"/>
          <w:szCs w:val="22"/>
          <w:lang w:val="fr-CH"/>
        </w:rPr>
      </w:pPr>
      <w:r w:rsidRPr="00F52E51">
        <w:rPr>
          <w:sz w:val="22"/>
          <w:szCs w:val="22"/>
          <w:lang w:val="es-ES"/>
        </w:rPr>
        <w:t>En este webinario se abordarán los mecanismos pertinentes de adquisición para ciudades inteligentes, junto con los principales retos. En el webinario también se presentarán los trabajos en curso sobre el producto de la iniciativa U4SSC: "Directrices sobre adquisiciones para ciudades inteligentes y sostenibles", que trata sobre el ciclo del gasto público para las ciudades inteligentes y sostenibles, desde la planificación, la información sobre el mercado, la evaluación y la adjudicación hasta la gestión de la prestación de servicios.</w:t>
      </w:r>
    </w:p>
    <w:p w14:paraId="35F780BA" w14:textId="36C00376" w:rsidR="006266B0" w:rsidRPr="00F52E51" w:rsidRDefault="006266B0" w:rsidP="006266B0">
      <w:pPr>
        <w:rPr>
          <w:sz w:val="22"/>
          <w:szCs w:val="22"/>
          <w:lang w:val="en-GB"/>
        </w:rPr>
      </w:pPr>
      <w:r w:rsidRPr="00F52E51">
        <w:rPr>
          <w:sz w:val="22"/>
          <w:szCs w:val="22"/>
          <w:lang w:val="es-ES"/>
        </w:rPr>
        <w:t>4</w:t>
      </w:r>
      <w:r w:rsidRPr="00F52E51">
        <w:rPr>
          <w:sz w:val="22"/>
          <w:szCs w:val="22"/>
          <w:lang w:val="es-ES"/>
        </w:rPr>
        <w:tab/>
      </w:r>
      <w:proofErr w:type="gramStart"/>
      <w:r w:rsidRPr="00F52E51">
        <w:rPr>
          <w:sz w:val="22"/>
          <w:szCs w:val="22"/>
          <w:lang w:val="es-ES"/>
        </w:rPr>
        <w:t>La</w:t>
      </w:r>
      <w:proofErr w:type="gramEnd"/>
      <w:r w:rsidRPr="00F52E51">
        <w:rPr>
          <w:sz w:val="22"/>
          <w:szCs w:val="22"/>
          <w:lang w:val="es-ES"/>
        </w:rPr>
        <w:t xml:space="preserve"> participación en el webinario está abierta a los Estados Miembros, Miembros de Sector, Asociados e Instituciones Académicas de la UIT, así como a cualquier persona de un país que sea miembro de la UIT y desee contribuir a los trabajos. Esto incluye a las personas que también sean miembros de organizaciones nacionales, regionales e internacionales. La participación es gratuita.</w:t>
      </w:r>
    </w:p>
    <w:p w14:paraId="73122DCB" w14:textId="5A883CDA" w:rsidR="006266B0" w:rsidRPr="007E5330" w:rsidRDefault="006266B0" w:rsidP="006266B0">
      <w:pPr>
        <w:rPr>
          <w:sz w:val="22"/>
          <w:szCs w:val="22"/>
          <w:lang w:val="fr-CH"/>
        </w:rPr>
      </w:pPr>
      <w:r w:rsidRPr="00F52E51">
        <w:rPr>
          <w:sz w:val="22"/>
          <w:szCs w:val="22"/>
          <w:lang w:val="es-ES"/>
        </w:rPr>
        <w:lastRenderedPageBreak/>
        <w:t>5</w:t>
      </w:r>
      <w:r w:rsidRPr="00F52E51">
        <w:rPr>
          <w:sz w:val="22"/>
          <w:szCs w:val="22"/>
          <w:lang w:val="es-ES"/>
        </w:rPr>
        <w:tab/>
      </w:r>
      <w:proofErr w:type="gramStart"/>
      <w:r w:rsidRPr="00F52E51">
        <w:rPr>
          <w:sz w:val="22"/>
          <w:szCs w:val="22"/>
          <w:lang w:val="es-ES"/>
        </w:rPr>
        <w:t>La</w:t>
      </w:r>
      <w:proofErr w:type="gramEnd"/>
      <w:r w:rsidRPr="00F52E51">
        <w:rPr>
          <w:sz w:val="22"/>
          <w:szCs w:val="22"/>
          <w:lang w:val="es-ES"/>
        </w:rPr>
        <w:t xml:space="preserve"> información relativa a este webinario, incluido el proyecto de programa, los ponentes, los detalles de la conexión a distancia, el enlace para la inscripción, etc., estará disponible en el sitio web del evento en la dirección: </w:t>
      </w:r>
      <w:hyperlink r:id="rId11" w:history="1">
        <w:r w:rsidR="005D033B" w:rsidRPr="00F52E51">
          <w:rPr>
            <w:rStyle w:val="Hyperlink"/>
            <w:sz w:val="22"/>
            <w:szCs w:val="22"/>
            <w:lang w:val="es-ES"/>
          </w:rPr>
          <w:t>https://www.itu.int/en/ITU-T/webinars/DT4CC/20220909/Pages/default.aspx</w:t>
        </w:r>
      </w:hyperlink>
      <w:r w:rsidRPr="00F52E51">
        <w:rPr>
          <w:sz w:val="22"/>
          <w:szCs w:val="22"/>
          <w:lang w:val="es-ES"/>
        </w:rPr>
        <w:t>. Este sitio web se actualizará periódicamente a medida que se disponga de información nueva o modificada. Se invita a los participantes a consultar periódicamente el sitio web para obtener la información más reciente. Rogamos tenga presente que la inscripción a este webinario es obligatoria.</w:t>
      </w:r>
    </w:p>
    <w:p w14:paraId="1B73B6DD" w14:textId="2D0D70C3" w:rsidR="006266B0" w:rsidRPr="007E5330" w:rsidRDefault="006266B0" w:rsidP="006266B0">
      <w:pPr>
        <w:rPr>
          <w:sz w:val="22"/>
          <w:szCs w:val="22"/>
          <w:lang w:val="fr-CH"/>
        </w:rPr>
      </w:pPr>
      <w:r w:rsidRPr="00F52E51">
        <w:rPr>
          <w:sz w:val="22"/>
          <w:szCs w:val="22"/>
          <w:lang w:val="es-ES"/>
        </w:rPr>
        <w:t>6</w:t>
      </w:r>
      <w:r w:rsidRPr="00F52E51">
        <w:rPr>
          <w:sz w:val="22"/>
          <w:szCs w:val="22"/>
          <w:lang w:val="es-ES"/>
        </w:rPr>
        <w:tab/>
      </w:r>
      <w:proofErr w:type="gramStart"/>
      <w:r w:rsidRPr="00F52E51">
        <w:rPr>
          <w:sz w:val="22"/>
          <w:szCs w:val="22"/>
          <w:lang w:val="es-ES"/>
        </w:rPr>
        <w:t>Para</w:t>
      </w:r>
      <w:proofErr w:type="gramEnd"/>
      <w:r w:rsidRPr="00F52E51">
        <w:rPr>
          <w:sz w:val="22"/>
          <w:szCs w:val="22"/>
          <w:lang w:val="es-ES"/>
        </w:rPr>
        <w:t xml:space="preserve"> ver los episodios anteriores de esta serie de </w:t>
      </w:r>
      <w:r w:rsidR="00AE7A5F" w:rsidRPr="00F52E51">
        <w:rPr>
          <w:sz w:val="22"/>
          <w:szCs w:val="22"/>
          <w:lang w:val="es-ES"/>
        </w:rPr>
        <w:t>webinarios</w:t>
      </w:r>
      <w:r w:rsidRPr="00F52E51">
        <w:rPr>
          <w:sz w:val="22"/>
          <w:szCs w:val="22"/>
          <w:lang w:val="es-ES"/>
        </w:rPr>
        <w:t xml:space="preserve"> sobre la </w:t>
      </w:r>
      <w:r w:rsidRPr="00F52E51">
        <w:rPr>
          <w:b/>
          <w:bCs/>
          <w:sz w:val="22"/>
          <w:szCs w:val="22"/>
          <w:lang w:val="es-ES"/>
        </w:rPr>
        <w:t>transformación digital de ciudades y comunidades</w:t>
      </w:r>
      <w:r w:rsidRPr="00F52E51">
        <w:rPr>
          <w:sz w:val="22"/>
          <w:szCs w:val="22"/>
          <w:lang w:val="es-ES"/>
        </w:rPr>
        <w:t xml:space="preserve">, consulte las grabaciones mediante los correspondientes enlaces disponibles en la página principal que se encuentra </w:t>
      </w:r>
      <w:hyperlink r:id="rId12" w:history="1">
        <w:r w:rsidRPr="00F52E51">
          <w:rPr>
            <w:rStyle w:val="Hyperlink"/>
            <w:sz w:val="22"/>
            <w:szCs w:val="22"/>
            <w:lang w:val="es-ES"/>
          </w:rPr>
          <w:t>aquí</w:t>
        </w:r>
      </w:hyperlink>
      <w:r w:rsidRPr="00F52E51">
        <w:rPr>
          <w:sz w:val="22"/>
          <w:szCs w:val="22"/>
          <w:lang w:val="es-ES"/>
        </w:rPr>
        <w:t>.</w:t>
      </w:r>
    </w:p>
    <w:p w14:paraId="08C3C03E" w14:textId="77777777" w:rsidR="007B6316" w:rsidRPr="00F52E51" w:rsidRDefault="007B6316" w:rsidP="007B6316">
      <w:pPr>
        <w:rPr>
          <w:sz w:val="22"/>
          <w:szCs w:val="22"/>
        </w:rPr>
      </w:pPr>
      <w:r w:rsidRPr="00F52E51">
        <w:rPr>
          <w:sz w:val="22"/>
          <w:szCs w:val="22"/>
        </w:rPr>
        <w:t>Atentamente,</w:t>
      </w:r>
    </w:p>
    <w:p w14:paraId="26AB0B2C" w14:textId="4461A156" w:rsidR="00401C20" w:rsidRPr="00F52E51" w:rsidRDefault="0070152B" w:rsidP="007E5330">
      <w:pPr>
        <w:spacing w:before="960"/>
        <w:rPr>
          <w:sz w:val="22"/>
          <w:szCs w:val="22"/>
        </w:rPr>
      </w:pPr>
      <w:r>
        <w:rPr>
          <w:noProof/>
          <w:sz w:val="22"/>
          <w:szCs w:val="22"/>
        </w:rPr>
        <w:drawing>
          <wp:anchor distT="0" distB="0" distL="114300" distR="114300" simplePos="0" relativeHeight="251658240" behindDoc="1" locked="0" layoutInCell="1" allowOverlap="1" wp14:anchorId="7077312A" wp14:editId="2FB65001">
            <wp:simplePos x="0" y="0"/>
            <wp:positionH relativeFrom="column">
              <wp:posOffset>-2540</wp:posOffset>
            </wp:positionH>
            <wp:positionV relativeFrom="paragraph">
              <wp:posOffset>171450</wp:posOffset>
            </wp:positionV>
            <wp:extent cx="655611" cy="295275"/>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55611" cy="295275"/>
                    </a:xfrm>
                    <a:prstGeom prst="rect">
                      <a:avLst/>
                    </a:prstGeom>
                  </pic:spPr>
                </pic:pic>
              </a:graphicData>
            </a:graphic>
            <wp14:sizeRelH relativeFrom="margin">
              <wp14:pctWidth>0</wp14:pctWidth>
            </wp14:sizeRelH>
            <wp14:sizeRelV relativeFrom="margin">
              <wp14:pctHeight>0</wp14:pctHeight>
            </wp14:sizeRelV>
          </wp:anchor>
        </w:drawing>
      </w:r>
      <w:r w:rsidR="007B6316" w:rsidRPr="00F52E51">
        <w:rPr>
          <w:sz w:val="22"/>
          <w:szCs w:val="22"/>
        </w:rPr>
        <w:t>Chaesub Lee</w:t>
      </w:r>
      <w:r w:rsidR="007B6316" w:rsidRPr="00F52E51">
        <w:rPr>
          <w:sz w:val="22"/>
          <w:szCs w:val="22"/>
        </w:rPr>
        <w:br/>
      </w:r>
      <w:proofErr w:type="gramStart"/>
      <w:r w:rsidR="007B6316" w:rsidRPr="00F52E51">
        <w:rPr>
          <w:sz w:val="22"/>
          <w:szCs w:val="22"/>
        </w:rPr>
        <w:t>Director</w:t>
      </w:r>
      <w:proofErr w:type="gramEnd"/>
      <w:r w:rsidR="007B6316" w:rsidRPr="00F52E51">
        <w:rPr>
          <w:sz w:val="22"/>
          <w:szCs w:val="22"/>
        </w:rPr>
        <w:t xml:space="preserve"> de la Oficina de </w:t>
      </w:r>
      <w:r w:rsidR="007B6316" w:rsidRPr="00F52E51">
        <w:rPr>
          <w:sz w:val="22"/>
          <w:szCs w:val="22"/>
        </w:rPr>
        <w:br/>
        <w:t>Normalización de las Telecomunicaciones</w:t>
      </w:r>
    </w:p>
    <w:sectPr w:rsidR="00401C20" w:rsidRPr="00F52E51" w:rsidSect="00B87E9E">
      <w:head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67BF" w14:textId="77777777" w:rsidR="0076165E" w:rsidRDefault="0076165E">
      <w:r>
        <w:separator/>
      </w:r>
    </w:p>
  </w:endnote>
  <w:endnote w:type="continuationSeparator" w:id="0">
    <w:p w14:paraId="192097FB" w14:textId="77777777" w:rsidR="0076165E" w:rsidRDefault="0076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6DCF" w14:textId="1519BBC3"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5D033B">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FEFE" w14:textId="77777777" w:rsidR="0076165E" w:rsidRDefault="0076165E">
      <w:r>
        <w:t>____________________</w:t>
      </w:r>
    </w:p>
  </w:footnote>
  <w:footnote w:type="continuationSeparator" w:id="0">
    <w:p w14:paraId="6FECB95B" w14:textId="77777777" w:rsidR="0076165E" w:rsidRDefault="00761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4E63" w14:textId="227C77AA"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AE7A5F">
      <w:rPr>
        <w:rStyle w:val="PageNumber"/>
        <w:sz w:val="18"/>
        <w:szCs w:val="18"/>
      </w:rPr>
      <w:br/>
    </w:r>
    <w:r w:rsidR="00AE7A5F" w:rsidRPr="00AE7A5F">
      <w:rPr>
        <w:sz w:val="18"/>
        <w:szCs w:val="18"/>
      </w:rPr>
      <w:t>Circular TSB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259943940">
    <w:abstractNumId w:val="0"/>
  </w:num>
  <w:num w:numId="2" w16cid:durableId="882208384">
    <w:abstractNumId w:val="3"/>
  </w:num>
  <w:num w:numId="3" w16cid:durableId="1650861910">
    <w:abstractNumId w:val="2"/>
  </w:num>
  <w:num w:numId="4" w16cid:durableId="1964118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B0"/>
    <w:rsid w:val="00002529"/>
    <w:rsid w:val="00085662"/>
    <w:rsid w:val="000C382F"/>
    <w:rsid w:val="001173CC"/>
    <w:rsid w:val="0014464D"/>
    <w:rsid w:val="001A54CC"/>
    <w:rsid w:val="00257FB4"/>
    <w:rsid w:val="002E496E"/>
    <w:rsid w:val="00303D62"/>
    <w:rsid w:val="00335367"/>
    <w:rsid w:val="00370C2D"/>
    <w:rsid w:val="003D1E8D"/>
    <w:rsid w:val="003D673B"/>
    <w:rsid w:val="003F2855"/>
    <w:rsid w:val="00401C20"/>
    <w:rsid w:val="004A7957"/>
    <w:rsid w:val="004C4144"/>
    <w:rsid w:val="0055719E"/>
    <w:rsid w:val="005D033B"/>
    <w:rsid w:val="006266B0"/>
    <w:rsid w:val="006735D2"/>
    <w:rsid w:val="006969B4"/>
    <w:rsid w:val="006E4F7B"/>
    <w:rsid w:val="006F185E"/>
    <w:rsid w:val="0070152B"/>
    <w:rsid w:val="0076165E"/>
    <w:rsid w:val="00781E2A"/>
    <w:rsid w:val="007933A2"/>
    <w:rsid w:val="007B6316"/>
    <w:rsid w:val="007E5330"/>
    <w:rsid w:val="00814503"/>
    <w:rsid w:val="008258C2"/>
    <w:rsid w:val="008505BD"/>
    <w:rsid w:val="00850C78"/>
    <w:rsid w:val="00876165"/>
    <w:rsid w:val="00884D12"/>
    <w:rsid w:val="008C17AD"/>
    <w:rsid w:val="008D02CD"/>
    <w:rsid w:val="0091370C"/>
    <w:rsid w:val="0095172A"/>
    <w:rsid w:val="009A0BA0"/>
    <w:rsid w:val="00A54E47"/>
    <w:rsid w:val="00AB6E3A"/>
    <w:rsid w:val="00AE7093"/>
    <w:rsid w:val="00AE7A5F"/>
    <w:rsid w:val="00B422BC"/>
    <w:rsid w:val="00B43F77"/>
    <w:rsid w:val="00B55A3E"/>
    <w:rsid w:val="00B87E9E"/>
    <w:rsid w:val="00B95F0A"/>
    <w:rsid w:val="00B96180"/>
    <w:rsid w:val="00C116FE"/>
    <w:rsid w:val="00C17AC0"/>
    <w:rsid w:val="00C34772"/>
    <w:rsid w:val="00C5465A"/>
    <w:rsid w:val="00D54642"/>
    <w:rsid w:val="00D834E7"/>
    <w:rsid w:val="00DD77C9"/>
    <w:rsid w:val="00DF3538"/>
    <w:rsid w:val="00E839B0"/>
    <w:rsid w:val="00E92C09"/>
    <w:rsid w:val="00F14380"/>
    <w:rsid w:val="00F52E51"/>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28429"/>
  <w15:docId w15:val="{D33A50D1-4B11-4354-8A70-55B37978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5D0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dt4cc/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DT4CC/20220909/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s/ITU-T/studygroups/2022-2024/20/Pages/default.aspx"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25</TotalTime>
  <Pages>2</Pages>
  <Words>581</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4283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8</cp:revision>
  <cp:lastPrinted>2022-09-14T13:26:00Z</cp:lastPrinted>
  <dcterms:created xsi:type="dcterms:W3CDTF">2022-08-11T09:03:00Z</dcterms:created>
  <dcterms:modified xsi:type="dcterms:W3CDTF">2022-09-14T13:27:00Z</dcterms:modified>
</cp:coreProperties>
</file>