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551"/>
        <w:tblW w:w="9781" w:type="dxa"/>
        <w:tblLayout w:type="fixed"/>
        <w:tblLook w:val="0000" w:firstRow="0" w:lastRow="0" w:firstColumn="0" w:lastColumn="0" w:noHBand="0" w:noVBand="0"/>
      </w:tblPr>
      <w:tblGrid>
        <w:gridCol w:w="1418"/>
        <w:gridCol w:w="3260"/>
        <w:gridCol w:w="5103"/>
      </w:tblGrid>
      <w:tr w:rsidR="00912CDE" w:rsidRPr="00B060A8" w14:paraId="0252631E" w14:textId="77777777" w:rsidTr="00912CDE">
        <w:trPr>
          <w:cantSplit/>
          <w:trHeight w:val="80"/>
        </w:trPr>
        <w:tc>
          <w:tcPr>
            <w:tcW w:w="4678" w:type="dxa"/>
            <w:gridSpan w:val="2"/>
            <w:vAlign w:val="bottom"/>
          </w:tcPr>
          <w:p w14:paraId="429E2D9C" w14:textId="77777777" w:rsidR="00912CDE" w:rsidRPr="00D749A0" w:rsidRDefault="00912CDE" w:rsidP="00912CDE">
            <w:pPr>
              <w:pStyle w:val="TableParagraph"/>
              <w:widowControl/>
              <w:tabs>
                <w:tab w:val="left" w:pos="794"/>
                <w:tab w:val="left" w:pos="1191"/>
                <w:tab w:val="left" w:pos="1588"/>
                <w:tab w:val="left" w:pos="1985"/>
              </w:tabs>
              <w:overflowPunct w:val="0"/>
              <w:adjustRightInd w:val="0"/>
              <w:spacing w:before="360" w:line="285" w:lineRule="exact"/>
              <w:ind w:left="0"/>
              <w:textAlignment w:val="baseline"/>
              <w:rPr>
                <w:rFonts w:ascii="Calibri" w:eastAsia="SimSun" w:hAnsi="Calibri" w:cs="Times New Roman"/>
                <w:b/>
                <w:color w:val="808080"/>
                <w:sz w:val="28"/>
                <w:szCs w:val="28"/>
                <w:lang w:val="fr-FR" w:eastAsia="zh-CN"/>
              </w:rPr>
            </w:pPr>
            <w:r w:rsidRPr="00D749A0">
              <w:rPr>
                <w:rFonts w:ascii="Calibri" w:eastAsia="SimSun" w:hAnsi="Calibri" w:cs="Times New Roman" w:hint="eastAsia"/>
                <w:b/>
                <w:color w:val="808080"/>
                <w:sz w:val="28"/>
                <w:szCs w:val="28"/>
                <w:lang w:val="fr-FR" w:eastAsia="zh-CN"/>
              </w:rPr>
              <w:t>电信标准化局（</w:t>
            </w:r>
            <w:r w:rsidRPr="00D749A0">
              <w:rPr>
                <w:rFonts w:ascii="Calibri" w:eastAsia="SimSun" w:hAnsi="Calibri" w:cs="Times New Roman"/>
                <w:b/>
                <w:color w:val="808080"/>
                <w:sz w:val="28"/>
                <w:szCs w:val="28"/>
                <w:lang w:val="fr-FR" w:eastAsia="zh-CN"/>
              </w:rPr>
              <w:t>TSB</w:t>
            </w:r>
            <w:r w:rsidRPr="00D749A0">
              <w:rPr>
                <w:rFonts w:ascii="Calibri" w:eastAsia="SimSun" w:hAnsi="Calibri" w:cs="Times New Roman" w:hint="eastAsia"/>
                <w:b/>
                <w:color w:val="808080"/>
                <w:sz w:val="28"/>
                <w:szCs w:val="28"/>
                <w:lang w:val="fr-FR" w:eastAsia="zh-CN"/>
              </w:rPr>
              <w:t>）</w:t>
            </w:r>
          </w:p>
        </w:tc>
        <w:tc>
          <w:tcPr>
            <w:tcW w:w="5103" w:type="dxa"/>
            <w:vAlign w:val="bottom"/>
          </w:tcPr>
          <w:p w14:paraId="4948A0EC" w14:textId="77777777" w:rsidR="00912CDE" w:rsidRPr="00D749A0" w:rsidRDefault="00912CDE" w:rsidP="00912CDE">
            <w:pPr>
              <w:pStyle w:val="TableParagraph"/>
              <w:widowControl/>
              <w:tabs>
                <w:tab w:val="left" w:pos="794"/>
                <w:tab w:val="left" w:pos="1191"/>
                <w:tab w:val="left" w:pos="1588"/>
                <w:tab w:val="left" w:pos="1985"/>
              </w:tabs>
              <w:overflowPunct w:val="0"/>
              <w:adjustRightInd w:val="0"/>
              <w:spacing w:before="120" w:line="285" w:lineRule="exact"/>
              <w:ind w:left="0"/>
              <w:textAlignment w:val="baseline"/>
              <w:rPr>
                <w:rFonts w:ascii="Calibri" w:eastAsia="SimSun" w:hAnsi="Calibri" w:cs="Times New Roman"/>
                <w:b/>
                <w:color w:val="808080"/>
                <w:sz w:val="28"/>
                <w:szCs w:val="28"/>
                <w:lang w:val="fr-FR" w:eastAsia="zh-CN"/>
              </w:rPr>
            </w:pPr>
            <w:r w:rsidRPr="00D749A0">
              <w:rPr>
                <w:rFonts w:ascii="Calibri" w:eastAsia="SimSun" w:hAnsi="Calibri" w:cs="Microsoft YaHei" w:hint="eastAsia"/>
                <w:b/>
                <w:color w:val="808080"/>
                <w:sz w:val="28"/>
                <w:szCs w:val="28"/>
                <w:lang w:val="fr-FR" w:eastAsia="zh-CN"/>
              </w:rPr>
              <w:t>电信发展局（</w:t>
            </w:r>
            <w:r w:rsidRPr="00D749A0">
              <w:rPr>
                <w:rFonts w:ascii="Calibri" w:eastAsia="SimSun" w:hAnsi="Calibri" w:cs="Times New Roman"/>
                <w:b/>
                <w:color w:val="808080"/>
                <w:sz w:val="28"/>
                <w:szCs w:val="28"/>
                <w:lang w:val="fr-FR" w:eastAsia="zh-CN"/>
              </w:rPr>
              <w:t>BDT</w:t>
            </w:r>
            <w:r w:rsidRPr="00D749A0">
              <w:rPr>
                <w:rFonts w:ascii="Calibri" w:eastAsia="SimSun" w:hAnsi="Calibri" w:cs="Microsoft YaHei" w:hint="eastAsia"/>
                <w:b/>
                <w:color w:val="808080"/>
                <w:sz w:val="28"/>
                <w:szCs w:val="28"/>
                <w:lang w:val="fr-FR" w:eastAsia="zh-CN"/>
              </w:rPr>
              <w:t>）</w:t>
            </w:r>
          </w:p>
        </w:tc>
      </w:tr>
      <w:tr w:rsidR="00912CDE" w:rsidRPr="005B7064" w14:paraId="44451FB3" w14:textId="77777777" w:rsidTr="00912CDE">
        <w:trPr>
          <w:cantSplit/>
          <w:trHeight w:val="627"/>
        </w:trPr>
        <w:tc>
          <w:tcPr>
            <w:tcW w:w="4678" w:type="dxa"/>
            <w:gridSpan w:val="2"/>
            <w:vAlign w:val="center"/>
          </w:tcPr>
          <w:p w14:paraId="2DB12029" w14:textId="77777777" w:rsidR="00912CDE" w:rsidRPr="005B7064" w:rsidRDefault="00912CDE" w:rsidP="00912CDE">
            <w:pPr>
              <w:pStyle w:val="Tabletext"/>
              <w:jc w:val="right"/>
              <w:rPr>
                <w:rFonts w:asciiTheme="minorHAnsi" w:hAnsiTheme="minorHAnsi" w:cstheme="minorHAnsi"/>
                <w:sz w:val="22"/>
                <w:szCs w:val="22"/>
                <w:lang w:val="fr-FR" w:eastAsia="zh-CN"/>
              </w:rPr>
            </w:pPr>
          </w:p>
        </w:tc>
        <w:tc>
          <w:tcPr>
            <w:tcW w:w="5103" w:type="dxa"/>
            <w:vAlign w:val="center"/>
          </w:tcPr>
          <w:p w14:paraId="7F2B8974" w14:textId="77777777" w:rsidR="00912CDE" w:rsidRPr="005B7064" w:rsidRDefault="00912CDE" w:rsidP="00912CDE">
            <w:pPr>
              <w:pStyle w:val="Tabletext"/>
              <w:rPr>
                <w:rFonts w:asciiTheme="minorHAnsi" w:hAnsiTheme="minorHAnsi" w:cstheme="minorHAnsi"/>
                <w:sz w:val="22"/>
                <w:szCs w:val="22"/>
              </w:rPr>
            </w:pPr>
            <w:r w:rsidRPr="005B7064">
              <w:rPr>
                <w:rFonts w:asciiTheme="minorHAnsi" w:hAnsiTheme="minorHAnsi" w:cstheme="minorHAnsi"/>
                <w:sz w:val="22"/>
                <w:szCs w:val="22"/>
                <w:lang w:val="fr-FR"/>
              </w:rPr>
              <w:t>2022</w:t>
            </w:r>
            <w:r w:rsidRPr="005B7064">
              <w:rPr>
                <w:rFonts w:asciiTheme="minorHAnsi" w:eastAsia="SimSun" w:hAnsiTheme="minorHAnsi" w:cstheme="minorHAnsi"/>
                <w:sz w:val="22"/>
                <w:szCs w:val="22"/>
              </w:rPr>
              <w:t>年</w:t>
            </w:r>
            <w:r w:rsidRPr="005B7064">
              <w:rPr>
                <w:rFonts w:asciiTheme="minorHAnsi" w:hAnsiTheme="minorHAnsi" w:cstheme="minorHAnsi"/>
                <w:sz w:val="22"/>
                <w:szCs w:val="22"/>
              </w:rPr>
              <w:t>9</w:t>
            </w:r>
            <w:r w:rsidRPr="005B7064">
              <w:rPr>
                <w:rFonts w:asciiTheme="minorHAnsi" w:eastAsia="SimSun" w:hAnsiTheme="minorHAnsi" w:cstheme="minorHAnsi"/>
                <w:sz w:val="22"/>
                <w:szCs w:val="22"/>
              </w:rPr>
              <w:t>月</w:t>
            </w:r>
            <w:r w:rsidRPr="005B7064">
              <w:rPr>
                <w:rFonts w:asciiTheme="minorHAnsi" w:eastAsia="SimSun" w:hAnsiTheme="minorHAnsi" w:cstheme="minorHAnsi"/>
                <w:sz w:val="22"/>
                <w:szCs w:val="22"/>
                <w:lang w:eastAsia="zh-CN"/>
              </w:rPr>
              <w:t>20</w:t>
            </w:r>
            <w:r w:rsidRPr="005B7064">
              <w:rPr>
                <w:rFonts w:asciiTheme="minorHAnsi" w:eastAsia="SimSun" w:hAnsiTheme="minorHAnsi" w:cstheme="minorHAnsi"/>
                <w:sz w:val="22"/>
                <w:szCs w:val="22"/>
                <w:lang w:eastAsia="zh-CN"/>
              </w:rPr>
              <w:t>日，日内瓦</w:t>
            </w:r>
          </w:p>
        </w:tc>
      </w:tr>
      <w:tr w:rsidR="00912CDE" w:rsidRPr="005B7064" w14:paraId="225EE051" w14:textId="77777777" w:rsidTr="00912CDE">
        <w:trPr>
          <w:cantSplit/>
          <w:trHeight w:val="1417"/>
        </w:trPr>
        <w:tc>
          <w:tcPr>
            <w:tcW w:w="1418" w:type="dxa"/>
            <w:tcBorders>
              <w:bottom w:val="nil"/>
            </w:tcBorders>
          </w:tcPr>
          <w:p w14:paraId="2ADDF9E9" w14:textId="77777777" w:rsidR="00912CDE" w:rsidRPr="005B7064" w:rsidRDefault="00912CDE" w:rsidP="00912CDE">
            <w:pPr>
              <w:pStyle w:val="Tabletext"/>
              <w:rPr>
                <w:rFonts w:asciiTheme="minorHAnsi" w:hAnsiTheme="minorHAnsi" w:cstheme="minorHAnsi"/>
                <w:sz w:val="22"/>
                <w:szCs w:val="22"/>
              </w:rPr>
            </w:pPr>
            <w:r w:rsidRPr="005B7064">
              <w:rPr>
                <w:rFonts w:asciiTheme="minorHAnsi" w:eastAsia="SimSun" w:hAnsiTheme="minorHAnsi" w:cstheme="minorHAnsi"/>
                <w:bCs/>
                <w:sz w:val="22"/>
                <w:szCs w:val="22"/>
                <w:lang w:eastAsia="zh-CN"/>
              </w:rPr>
              <w:t>文号：</w:t>
            </w:r>
          </w:p>
        </w:tc>
        <w:tc>
          <w:tcPr>
            <w:tcW w:w="3260" w:type="dxa"/>
            <w:tcBorders>
              <w:bottom w:val="nil"/>
            </w:tcBorders>
          </w:tcPr>
          <w:p w14:paraId="20C917FE" w14:textId="77777777" w:rsidR="00912CDE" w:rsidRPr="005B7064" w:rsidRDefault="00912CDE" w:rsidP="00912CDE">
            <w:pPr>
              <w:pStyle w:val="Tabletext"/>
              <w:rPr>
                <w:rFonts w:asciiTheme="minorHAnsi" w:hAnsiTheme="minorHAnsi" w:cstheme="minorHAnsi"/>
                <w:b/>
                <w:bCs/>
                <w:sz w:val="22"/>
                <w:szCs w:val="22"/>
              </w:rPr>
            </w:pPr>
            <w:r w:rsidRPr="005B7064">
              <w:rPr>
                <w:rFonts w:asciiTheme="minorHAnsi" w:eastAsia="SimSun" w:hAnsiTheme="minorHAnsi" w:cstheme="minorHAnsi"/>
                <w:b/>
                <w:bCs/>
                <w:sz w:val="22"/>
                <w:szCs w:val="22"/>
                <w:lang w:eastAsia="zh-CN"/>
              </w:rPr>
              <w:t>第</w:t>
            </w:r>
            <w:r w:rsidRPr="005B7064">
              <w:rPr>
                <w:rFonts w:asciiTheme="minorHAnsi" w:hAnsiTheme="minorHAnsi" w:cstheme="minorHAnsi"/>
                <w:b/>
                <w:bCs/>
                <w:sz w:val="22"/>
                <w:szCs w:val="22"/>
              </w:rPr>
              <w:t>BDT/DKH/RME/128</w:t>
            </w:r>
            <w:r w:rsidRPr="005B7064">
              <w:rPr>
                <w:rFonts w:asciiTheme="minorHAnsi" w:eastAsia="SimSun" w:hAnsiTheme="minorHAnsi" w:cstheme="minorHAnsi"/>
                <w:b/>
                <w:bCs/>
                <w:sz w:val="22"/>
                <w:szCs w:val="22"/>
                <w:lang w:eastAsia="zh-CN"/>
              </w:rPr>
              <w:t>号通函</w:t>
            </w:r>
            <w:r w:rsidRPr="005B7064">
              <w:rPr>
                <w:rFonts w:asciiTheme="minorHAnsi" w:hAnsiTheme="minorHAnsi" w:cstheme="minorHAnsi"/>
                <w:b/>
                <w:bCs/>
                <w:sz w:val="22"/>
                <w:szCs w:val="22"/>
              </w:rPr>
              <w:br/>
              <w:t>TSB</w:t>
            </w:r>
            <w:r w:rsidRPr="005B7064">
              <w:rPr>
                <w:rFonts w:asciiTheme="minorHAnsi" w:eastAsia="SimSun" w:hAnsiTheme="minorHAnsi" w:cstheme="minorHAnsi"/>
                <w:b/>
                <w:bCs/>
                <w:sz w:val="22"/>
                <w:szCs w:val="22"/>
                <w:lang w:eastAsia="zh-CN"/>
              </w:rPr>
              <w:t>第</w:t>
            </w:r>
            <w:r w:rsidRPr="005B7064">
              <w:rPr>
                <w:rFonts w:asciiTheme="minorHAnsi" w:hAnsiTheme="minorHAnsi" w:cstheme="minorHAnsi"/>
                <w:b/>
                <w:bCs/>
                <w:sz w:val="22"/>
                <w:szCs w:val="22"/>
              </w:rPr>
              <w:t>29</w:t>
            </w:r>
            <w:r w:rsidRPr="005B7064">
              <w:rPr>
                <w:rFonts w:asciiTheme="minorHAnsi" w:eastAsia="SimSun" w:hAnsiTheme="minorHAnsi" w:cstheme="minorHAnsi"/>
                <w:b/>
                <w:bCs/>
                <w:sz w:val="22"/>
                <w:szCs w:val="22"/>
                <w:lang w:eastAsia="zh-CN"/>
              </w:rPr>
              <w:t>号通函</w:t>
            </w:r>
          </w:p>
        </w:tc>
        <w:tc>
          <w:tcPr>
            <w:tcW w:w="5103" w:type="dxa"/>
          </w:tcPr>
          <w:p w14:paraId="65D4561B" w14:textId="77777777" w:rsidR="00912CDE" w:rsidRPr="005B7064" w:rsidRDefault="00912CDE" w:rsidP="00912CDE">
            <w:pPr>
              <w:tabs>
                <w:tab w:val="left" w:pos="241"/>
              </w:tabs>
              <w:ind w:left="283" w:hanging="391"/>
              <w:rPr>
                <w:rFonts w:asciiTheme="minorHAnsi" w:eastAsia="SimSun" w:hAnsiTheme="minorHAnsi" w:cstheme="minorHAnsi"/>
                <w:bCs/>
                <w:lang w:eastAsia="zh-CN"/>
              </w:rPr>
            </w:pPr>
            <w:r w:rsidRPr="005B7064">
              <w:rPr>
                <w:rFonts w:asciiTheme="minorHAnsi" w:eastAsia="SimSun" w:hAnsiTheme="minorHAnsi" w:cstheme="minorHAnsi"/>
                <w:bCs/>
                <w:lang w:eastAsia="zh-CN"/>
              </w:rPr>
              <w:t>-</w:t>
            </w:r>
            <w:r w:rsidRPr="005B7064">
              <w:rPr>
                <w:rFonts w:asciiTheme="minorHAnsi" w:eastAsia="SimSun" w:hAnsiTheme="minorHAnsi" w:cstheme="minorHAnsi"/>
                <w:bCs/>
                <w:lang w:eastAsia="zh-CN"/>
              </w:rPr>
              <w:tab/>
            </w:r>
            <w:r w:rsidRPr="005B7064">
              <w:rPr>
                <w:rFonts w:asciiTheme="minorHAnsi" w:eastAsia="SimSun" w:hAnsiTheme="minorHAnsi" w:cstheme="minorHAnsi"/>
                <w:bCs/>
                <w:lang w:eastAsia="zh-CN"/>
              </w:rPr>
              <w:t>国际电联成员国主管部门</w:t>
            </w:r>
          </w:p>
          <w:p w14:paraId="1DF83063" w14:textId="77777777" w:rsidR="00912CDE" w:rsidRPr="005B7064" w:rsidRDefault="00912CDE" w:rsidP="00912CDE">
            <w:pPr>
              <w:tabs>
                <w:tab w:val="left" w:pos="241"/>
              </w:tabs>
              <w:ind w:left="283" w:hanging="391"/>
              <w:rPr>
                <w:rFonts w:asciiTheme="minorHAnsi" w:eastAsia="SimSun" w:hAnsiTheme="minorHAnsi" w:cstheme="minorHAnsi"/>
                <w:bCs/>
                <w:lang w:eastAsia="zh-CN"/>
              </w:rPr>
            </w:pPr>
            <w:r w:rsidRPr="005B7064">
              <w:rPr>
                <w:rFonts w:asciiTheme="minorHAnsi" w:eastAsia="SimSun" w:hAnsiTheme="minorHAnsi" w:cstheme="minorHAnsi"/>
                <w:bCs/>
                <w:lang w:eastAsia="zh-CN"/>
              </w:rPr>
              <w:t>-</w:t>
            </w:r>
            <w:r w:rsidRPr="005B7064">
              <w:rPr>
                <w:rFonts w:asciiTheme="minorHAnsi" w:eastAsia="SimSun" w:hAnsiTheme="minorHAnsi" w:cstheme="minorHAnsi"/>
                <w:bCs/>
                <w:lang w:eastAsia="zh-CN"/>
              </w:rPr>
              <w:tab/>
            </w:r>
            <w:r w:rsidRPr="005B7064">
              <w:rPr>
                <w:rFonts w:asciiTheme="minorHAnsi" w:eastAsia="SimSun" w:hAnsiTheme="minorHAnsi" w:cstheme="minorHAnsi"/>
                <w:bCs/>
                <w:lang w:eastAsia="zh-CN"/>
              </w:rPr>
              <w:t>国际电联电信标准化部门（</w:t>
            </w:r>
            <w:r w:rsidRPr="005B7064">
              <w:rPr>
                <w:rFonts w:asciiTheme="minorHAnsi" w:eastAsia="SimSun" w:hAnsiTheme="minorHAnsi" w:cstheme="minorHAnsi"/>
                <w:bCs/>
                <w:lang w:eastAsia="zh-CN"/>
              </w:rPr>
              <w:t>ITU-T</w:t>
            </w:r>
            <w:r w:rsidRPr="005B7064">
              <w:rPr>
                <w:rFonts w:asciiTheme="minorHAnsi" w:eastAsia="SimSun" w:hAnsiTheme="minorHAnsi" w:cstheme="minorHAnsi"/>
                <w:bCs/>
                <w:lang w:eastAsia="zh-CN"/>
              </w:rPr>
              <w:t>）和国际电联电信发展部门（</w:t>
            </w:r>
            <w:r w:rsidRPr="005B7064">
              <w:rPr>
                <w:rFonts w:asciiTheme="minorHAnsi" w:eastAsia="SimSun" w:hAnsiTheme="minorHAnsi" w:cstheme="minorHAnsi"/>
                <w:bCs/>
                <w:lang w:eastAsia="zh-CN"/>
              </w:rPr>
              <w:t>ITU-D</w:t>
            </w:r>
            <w:r w:rsidRPr="005B7064">
              <w:rPr>
                <w:rFonts w:asciiTheme="minorHAnsi" w:eastAsia="SimSun" w:hAnsiTheme="minorHAnsi" w:cstheme="minorHAnsi"/>
                <w:bCs/>
                <w:lang w:eastAsia="zh-CN"/>
              </w:rPr>
              <w:t>）部门成员</w:t>
            </w:r>
          </w:p>
          <w:p w14:paraId="556512FD" w14:textId="77777777" w:rsidR="00912CDE" w:rsidRPr="005B7064" w:rsidRDefault="00912CDE" w:rsidP="00912CDE">
            <w:pPr>
              <w:tabs>
                <w:tab w:val="left" w:pos="241"/>
              </w:tabs>
              <w:ind w:left="283" w:hanging="391"/>
              <w:rPr>
                <w:rFonts w:asciiTheme="minorHAnsi" w:eastAsia="SimSun" w:hAnsiTheme="minorHAnsi" w:cstheme="minorHAnsi"/>
                <w:bCs/>
                <w:lang w:eastAsia="zh-CN"/>
              </w:rPr>
            </w:pPr>
            <w:r w:rsidRPr="005B7064">
              <w:rPr>
                <w:rFonts w:asciiTheme="minorHAnsi" w:eastAsia="SimSun" w:hAnsiTheme="minorHAnsi" w:cstheme="minorHAnsi"/>
                <w:bCs/>
                <w:lang w:eastAsia="zh-CN"/>
              </w:rPr>
              <w:t>-</w:t>
            </w:r>
            <w:r w:rsidRPr="005B7064">
              <w:rPr>
                <w:rFonts w:asciiTheme="minorHAnsi" w:eastAsia="SimSun" w:hAnsiTheme="minorHAnsi" w:cstheme="minorHAnsi"/>
                <w:bCs/>
                <w:lang w:eastAsia="zh-CN"/>
              </w:rPr>
              <w:tab/>
              <w:t>ITU-T</w:t>
            </w:r>
            <w:r w:rsidRPr="005B7064">
              <w:rPr>
                <w:rFonts w:asciiTheme="minorHAnsi" w:eastAsia="SimSun" w:hAnsiTheme="minorHAnsi" w:cstheme="minorHAnsi"/>
                <w:bCs/>
                <w:lang w:val="fr-CH" w:eastAsia="zh-CN"/>
              </w:rPr>
              <w:t>和</w:t>
            </w:r>
            <w:r w:rsidRPr="005B7064">
              <w:rPr>
                <w:rFonts w:asciiTheme="minorHAnsi" w:eastAsia="SimSun" w:hAnsiTheme="minorHAnsi" w:cstheme="minorHAnsi"/>
                <w:bCs/>
                <w:lang w:eastAsia="zh-CN"/>
              </w:rPr>
              <w:t>ITU-D</w:t>
            </w:r>
            <w:r w:rsidRPr="005B7064">
              <w:rPr>
                <w:rFonts w:asciiTheme="minorHAnsi" w:eastAsia="SimSun" w:hAnsiTheme="minorHAnsi" w:cstheme="minorHAnsi"/>
                <w:bCs/>
                <w:lang w:val="fr-CH" w:eastAsia="zh-CN"/>
              </w:rPr>
              <w:t>部门准成员</w:t>
            </w:r>
          </w:p>
          <w:p w14:paraId="219669A0" w14:textId="77777777" w:rsidR="00912CDE" w:rsidRPr="005B7064" w:rsidRDefault="00912CDE" w:rsidP="00912CDE">
            <w:pPr>
              <w:tabs>
                <w:tab w:val="left" w:pos="241"/>
              </w:tabs>
              <w:ind w:left="283" w:hanging="391"/>
              <w:rPr>
                <w:rFonts w:asciiTheme="minorHAnsi" w:eastAsia="SimSun" w:hAnsiTheme="minorHAnsi" w:cstheme="minorHAnsi"/>
                <w:bCs/>
                <w:lang w:eastAsia="zh-CN"/>
              </w:rPr>
            </w:pPr>
            <w:r w:rsidRPr="005B7064">
              <w:rPr>
                <w:rFonts w:asciiTheme="minorHAnsi" w:eastAsia="SimSun" w:hAnsiTheme="minorHAnsi" w:cstheme="minorHAnsi"/>
                <w:bCs/>
                <w:lang w:eastAsia="zh-CN"/>
              </w:rPr>
              <w:t>-</w:t>
            </w:r>
            <w:r w:rsidRPr="005B7064">
              <w:rPr>
                <w:rFonts w:asciiTheme="minorHAnsi" w:eastAsia="SimSun" w:hAnsiTheme="minorHAnsi" w:cstheme="minorHAnsi"/>
                <w:bCs/>
                <w:lang w:eastAsia="zh-CN"/>
              </w:rPr>
              <w:tab/>
            </w:r>
            <w:r w:rsidRPr="005B7064">
              <w:rPr>
                <w:rFonts w:asciiTheme="minorHAnsi" w:eastAsia="SimSun" w:hAnsiTheme="minorHAnsi" w:cstheme="minorHAnsi"/>
                <w:bCs/>
                <w:lang w:eastAsia="zh-CN"/>
              </w:rPr>
              <w:t>国际电联学术成员</w:t>
            </w:r>
          </w:p>
        </w:tc>
      </w:tr>
      <w:tr w:rsidR="00912CDE" w:rsidRPr="005B7064" w14:paraId="0DE996F8" w14:textId="77777777" w:rsidTr="00912CDE">
        <w:trPr>
          <w:cantSplit/>
          <w:trHeight w:val="1424"/>
        </w:trPr>
        <w:tc>
          <w:tcPr>
            <w:tcW w:w="1418" w:type="dxa"/>
          </w:tcPr>
          <w:p w14:paraId="2CD037F4" w14:textId="77777777" w:rsidR="00912CDE" w:rsidRPr="005B7064" w:rsidRDefault="00912CDE" w:rsidP="00912CDE">
            <w:pPr>
              <w:pStyle w:val="Tabletext"/>
              <w:rPr>
                <w:rFonts w:asciiTheme="minorHAnsi" w:hAnsiTheme="minorHAnsi" w:cstheme="minorHAnsi"/>
                <w:sz w:val="22"/>
                <w:szCs w:val="22"/>
              </w:rPr>
            </w:pPr>
            <w:r w:rsidRPr="005B7064">
              <w:rPr>
                <w:rFonts w:asciiTheme="minorHAnsi" w:eastAsia="SimSun" w:hAnsiTheme="minorHAnsi" w:cstheme="minorHAnsi"/>
                <w:sz w:val="22"/>
                <w:szCs w:val="22"/>
                <w:lang w:eastAsia="zh-CN"/>
              </w:rPr>
              <w:t>电子邮件：</w:t>
            </w:r>
          </w:p>
        </w:tc>
        <w:tc>
          <w:tcPr>
            <w:tcW w:w="3260" w:type="dxa"/>
          </w:tcPr>
          <w:p w14:paraId="4AFF4BC7" w14:textId="77777777" w:rsidR="00912CDE" w:rsidRPr="005B7064" w:rsidRDefault="002D2E16" w:rsidP="00912CDE">
            <w:pPr>
              <w:pStyle w:val="Tabletext"/>
              <w:rPr>
                <w:rFonts w:asciiTheme="minorHAnsi" w:hAnsiTheme="minorHAnsi" w:cstheme="minorHAnsi"/>
                <w:sz w:val="22"/>
                <w:szCs w:val="22"/>
                <w:lang w:val="en-US"/>
              </w:rPr>
            </w:pPr>
            <w:hyperlink r:id="rId7" w:history="1">
              <w:r w:rsidR="00912CDE" w:rsidRPr="005B7064">
                <w:rPr>
                  <w:rFonts w:asciiTheme="minorHAnsi" w:hAnsiTheme="minorHAnsi" w:cstheme="minorHAnsi"/>
                  <w:color w:val="0000FF"/>
                  <w:sz w:val="22"/>
                  <w:szCs w:val="22"/>
                  <w:u w:val="single"/>
                </w:rPr>
                <w:t>tsbevents@itu.int</w:t>
              </w:r>
            </w:hyperlink>
          </w:p>
        </w:tc>
        <w:tc>
          <w:tcPr>
            <w:tcW w:w="5103" w:type="dxa"/>
          </w:tcPr>
          <w:p w14:paraId="3F0AFDB7" w14:textId="77777777" w:rsidR="00912CDE" w:rsidRPr="005B7064" w:rsidRDefault="00912CDE" w:rsidP="00912CDE">
            <w:pPr>
              <w:pStyle w:val="Tabletext"/>
              <w:ind w:left="283" w:hanging="391"/>
              <w:rPr>
                <w:rFonts w:asciiTheme="minorHAnsi" w:eastAsia="SimSun" w:hAnsiTheme="minorHAnsi" w:cstheme="minorHAnsi"/>
                <w:sz w:val="22"/>
                <w:szCs w:val="22"/>
                <w:lang w:eastAsia="zh-CN"/>
              </w:rPr>
            </w:pPr>
            <w:r w:rsidRPr="005B7064">
              <w:rPr>
                <w:rFonts w:asciiTheme="minorHAnsi" w:eastAsia="SimSun" w:hAnsiTheme="minorHAnsi" w:cstheme="minorHAnsi"/>
                <w:b/>
                <w:sz w:val="22"/>
                <w:szCs w:val="22"/>
                <w:lang w:eastAsia="zh-CN"/>
              </w:rPr>
              <w:t>抄送：</w:t>
            </w:r>
          </w:p>
          <w:p w14:paraId="23B428F4" w14:textId="77777777" w:rsidR="00912CDE" w:rsidRPr="005B7064" w:rsidRDefault="00912CDE" w:rsidP="00912CDE">
            <w:pPr>
              <w:tabs>
                <w:tab w:val="left" w:pos="241"/>
              </w:tabs>
              <w:ind w:left="283" w:hanging="391"/>
              <w:rPr>
                <w:rFonts w:asciiTheme="minorHAnsi" w:eastAsia="SimSun" w:hAnsiTheme="minorHAnsi" w:cstheme="minorHAnsi"/>
                <w:lang w:eastAsia="zh-CN"/>
              </w:rPr>
            </w:pPr>
            <w:r w:rsidRPr="005B7064">
              <w:rPr>
                <w:rFonts w:asciiTheme="minorHAnsi" w:eastAsia="SimSun" w:hAnsiTheme="minorHAnsi" w:cstheme="minorHAnsi"/>
                <w:lang w:eastAsia="zh-CN"/>
              </w:rPr>
              <w:t>-</w:t>
            </w:r>
            <w:r w:rsidRPr="005B7064">
              <w:rPr>
                <w:rFonts w:asciiTheme="minorHAnsi" w:eastAsia="SimSun" w:hAnsiTheme="minorHAnsi" w:cstheme="minorHAnsi"/>
                <w:lang w:eastAsia="zh-CN"/>
              </w:rPr>
              <w:tab/>
              <w:t>ITU-T</w:t>
            </w:r>
            <w:r w:rsidRPr="005B7064">
              <w:rPr>
                <w:rFonts w:asciiTheme="minorHAnsi" w:eastAsia="SimSun" w:hAnsiTheme="minorHAnsi" w:cstheme="minorHAnsi"/>
                <w:lang w:eastAsia="zh-CN"/>
              </w:rPr>
              <w:t>和</w:t>
            </w:r>
            <w:r w:rsidRPr="005B7064">
              <w:rPr>
                <w:rFonts w:asciiTheme="minorHAnsi" w:eastAsia="SimSun" w:hAnsiTheme="minorHAnsi" w:cstheme="minorHAnsi"/>
                <w:lang w:eastAsia="zh-CN"/>
              </w:rPr>
              <w:t>ITU-D</w:t>
            </w:r>
            <w:r w:rsidRPr="005B7064">
              <w:rPr>
                <w:rFonts w:asciiTheme="minorHAnsi" w:eastAsia="SimSun" w:hAnsiTheme="minorHAnsi" w:cstheme="minorHAnsi"/>
                <w:lang w:eastAsia="zh-CN"/>
              </w:rPr>
              <w:t>各研究组主席及副主席</w:t>
            </w:r>
          </w:p>
          <w:p w14:paraId="5193D974" w14:textId="77777777" w:rsidR="00912CDE" w:rsidRPr="005B7064" w:rsidRDefault="00912CDE" w:rsidP="00912CDE">
            <w:pPr>
              <w:tabs>
                <w:tab w:val="left" w:pos="241"/>
              </w:tabs>
              <w:ind w:left="283" w:hanging="391"/>
              <w:rPr>
                <w:rFonts w:asciiTheme="minorHAnsi" w:eastAsia="SimSun" w:hAnsiTheme="minorHAnsi" w:cstheme="minorHAnsi"/>
                <w:lang w:eastAsia="zh-CN"/>
              </w:rPr>
            </w:pPr>
            <w:r w:rsidRPr="005B7064">
              <w:rPr>
                <w:rFonts w:asciiTheme="minorHAnsi" w:eastAsia="SimSun" w:hAnsiTheme="minorHAnsi" w:cstheme="minorHAnsi"/>
                <w:lang w:eastAsia="zh-CN"/>
              </w:rPr>
              <w:t>-</w:t>
            </w:r>
            <w:r w:rsidRPr="005B7064">
              <w:rPr>
                <w:rFonts w:asciiTheme="minorHAnsi" w:eastAsia="SimSun" w:hAnsiTheme="minorHAnsi" w:cstheme="minorHAnsi"/>
                <w:lang w:eastAsia="zh-CN"/>
              </w:rPr>
              <w:tab/>
            </w:r>
            <w:r w:rsidRPr="005B7064">
              <w:rPr>
                <w:rFonts w:asciiTheme="minorHAnsi" w:eastAsia="SimSun" w:hAnsiTheme="minorHAnsi" w:cstheme="minorHAnsi"/>
                <w:lang w:eastAsia="zh-CN"/>
              </w:rPr>
              <w:t>无线电通信局主任</w:t>
            </w:r>
          </w:p>
          <w:p w14:paraId="300A158D" w14:textId="77777777" w:rsidR="00912CDE" w:rsidRPr="005B7064" w:rsidRDefault="00912CDE" w:rsidP="00912CDE">
            <w:pPr>
              <w:tabs>
                <w:tab w:val="left" w:pos="241"/>
              </w:tabs>
              <w:ind w:left="283" w:hanging="391"/>
              <w:rPr>
                <w:rFonts w:asciiTheme="minorHAnsi" w:eastAsia="SimSun" w:hAnsiTheme="minorHAnsi" w:cstheme="minorHAnsi"/>
                <w:lang w:eastAsia="zh-CN"/>
              </w:rPr>
            </w:pPr>
            <w:r w:rsidRPr="005B7064">
              <w:rPr>
                <w:rFonts w:asciiTheme="minorHAnsi" w:eastAsia="SimSun" w:hAnsiTheme="minorHAnsi" w:cstheme="minorHAnsi"/>
                <w:lang w:eastAsia="zh-CN"/>
              </w:rPr>
              <w:t>-</w:t>
            </w:r>
            <w:r w:rsidRPr="005B7064">
              <w:rPr>
                <w:rFonts w:asciiTheme="minorHAnsi" w:eastAsia="SimSun" w:hAnsiTheme="minorHAnsi" w:cstheme="minorHAnsi"/>
                <w:lang w:eastAsia="zh-CN"/>
              </w:rPr>
              <w:tab/>
            </w:r>
            <w:r w:rsidRPr="005B7064">
              <w:rPr>
                <w:rFonts w:asciiTheme="minorHAnsi" w:eastAsia="SimSun" w:hAnsiTheme="minorHAnsi" w:cstheme="minorHAnsi"/>
                <w:lang w:eastAsia="zh-CN"/>
              </w:rPr>
              <w:t>国际电联区域代表处主任</w:t>
            </w:r>
          </w:p>
        </w:tc>
      </w:tr>
      <w:tr w:rsidR="00912CDE" w:rsidRPr="005B7064" w14:paraId="1E947A20" w14:textId="77777777" w:rsidTr="00912CDE">
        <w:trPr>
          <w:cantSplit/>
          <w:trHeight w:val="624"/>
        </w:trPr>
        <w:tc>
          <w:tcPr>
            <w:tcW w:w="1418" w:type="dxa"/>
          </w:tcPr>
          <w:p w14:paraId="55516C47" w14:textId="77777777" w:rsidR="00912CDE" w:rsidRPr="005B7064" w:rsidRDefault="00912CDE" w:rsidP="00912CDE">
            <w:pPr>
              <w:pStyle w:val="Tabletext"/>
              <w:rPr>
                <w:rFonts w:asciiTheme="minorHAnsi" w:hAnsiTheme="minorHAnsi" w:cstheme="minorHAnsi"/>
                <w:sz w:val="22"/>
                <w:szCs w:val="22"/>
              </w:rPr>
            </w:pPr>
            <w:bookmarkStart w:id="0" w:name="_Hlk50992771"/>
            <w:r w:rsidRPr="005B7064">
              <w:rPr>
                <w:rFonts w:asciiTheme="minorHAnsi" w:eastAsia="SimSun" w:hAnsiTheme="minorHAnsi" w:cstheme="minorHAnsi"/>
                <w:b/>
                <w:bCs/>
                <w:sz w:val="22"/>
                <w:szCs w:val="22"/>
                <w:lang w:eastAsia="zh-CN"/>
              </w:rPr>
              <w:t>事由：</w:t>
            </w:r>
          </w:p>
        </w:tc>
        <w:tc>
          <w:tcPr>
            <w:tcW w:w="8363" w:type="dxa"/>
            <w:gridSpan w:val="2"/>
          </w:tcPr>
          <w:p w14:paraId="2FB3C4DF" w14:textId="77777777" w:rsidR="00912CDE" w:rsidRPr="005B7064" w:rsidRDefault="00912CDE" w:rsidP="00912CDE">
            <w:pPr>
              <w:pStyle w:val="Tabletext"/>
              <w:ind w:left="-108"/>
              <w:rPr>
                <w:rFonts w:asciiTheme="minorHAnsi" w:hAnsiTheme="minorHAnsi" w:cstheme="minorHAnsi"/>
                <w:b/>
                <w:bCs/>
                <w:sz w:val="22"/>
                <w:szCs w:val="22"/>
                <w:lang w:eastAsia="zh-CN"/>
              </w:rPr>
            </w:pPr>
            <w:r w:rsidRPr="005B7064">
              <w:rPr>
                <w:rFonts w:asciiTheme="minorHAnsi" w:eastAsia="SimSun" w:hAnsiTheme="minorHAnsi" w:cstheme="minorHAnsi"/>
                <w:b/>
                <w:bCs/>
                <w:sz w:val="22"/>
                <w:szCs w:val="22"/>
                <w:lang w:eastAsia="zh-CN"/>
              </w:rPr>
              <w:t>国际电联</w:t>
            </w:r>
            <w:r w:rsidRPr="005B7064">
              <w:rPr>
                <w:rFonts w:asciiTheme="minorHAnsi" w:eastAsia="SimSun" w:hAnsiTheme="minorHAnsi" w:cstheme="minorHAnsi"/>
                <w:b/>
                <w:bCs/>
                <w:sz w:val="22"/>
                <w:szCs w:val="22"/>
                <w:lang w:eastAsia="zh-CN"/>
              </w:rPr>
              <w:t>“</w:t>
            </w:r>
            <w:r w:rsidRPr="005B7064">
              <w:rPr>
                <w:rFonts w:asciiTheme="minorHAnsi" w:eastAsia="SimSun" w:hAnsiTheme="minorHAnsi" w:cstheme="minorHAnsi"/>
                <w:b/>
                <w:bCs/>
                <w:sz w:val="22"/>
                <w:szCs w:val="22"/>
                <w:lang w:eastAsia="zh-CN"/>
              </w:rPr>
              <w:t>通过电信基础设施加快数据和应用的数字化转型的经济和财政激励措施</w:t>
            </w:r>
            <w:r w:rsidRPr="005B7064">
              <w:rPr>
                <w:rFonts w:asciiTheme="minorHAnsi" w:eastAsia="SimSun" w:hAnsiTheme="minorHAnsi" w:cstheme="minorHAnsi"/>
                <w:b/>
                <w:bCs/>
                <w:sz w:val="22"/>
                <w:szCs w:val="22"/>
                <w:lang w:eastAsia="zh-CN"/>
              </w:rPr>
              <w:t>”</w:t>
            </w:r>
            <w:r w:rsidRPr="005B7064">
              <w:rPr>
                <w:rFonts w:asciiTheme="minorHAnsi" w:eastAsia="SimSun" w:hAnsiTheme="minorHAnsi" w:cstheme="minorHAnsi"/>
                <w:b/>
                <w:bCs/>
                <w:sz w:val="22"/>
                <w:szCs w:val="22"/>
                <w:lang w:eastAsia="zh-CN"/>
              </w:rPr>
              <w:t>讲习班</w:t>
            </w:r>
            <w:r w:rsidRPr="005B7064">
              <w:rPr>
                <w:rFonts w:asciiTheme="minorHAnsi" w:hAnsiTheme="minorHAnsi" w:cstheme="minorHAnsi"/>
                <w:b/>
                <w:bCs/>
                <w:sz w:val="22"/>
                <w:szCs w:val="22"/>
                <w:lang w:eastAsia="zh-CN"/>
              </w:rPr>
              <w:br/>
            </w:r>
            <w:r w:rsidRPr="005B7064">
              <w:rPr>
                <w:rFonts w:asciiTheme="minorHAnsi" w:eastAsia="SimSun" w:hAnsiTheme="minorHAnsi" w:cstheme="minorHAnsi"/>
                <w:b/>
                <w:bCs/>
                <w:sz w:val="22"/>
                <w:szCs w:val="22"/>
                <w:lang w:eastAsia="zh-CN"/>
              </w:rPr>
              <w:t>（</w:t>
            </w:r>
            <w:r w:rsidRPr="005B7064">
              <w:rPr>
                <w:rFonts w:asciiTheme="minorHAnsi" w:eastAsia="SimSun" w:hAnsiTheme="minorHAnsi" w:cstheme="minorHAnsi"/>
                <w:b/>
                <w:bCs/>
                <w:sz w:val="22"/>
                <w:szCs w:val="22"/>
                <w:lang w:eastAsia="zh-CN"/>
              </w:rPr>
              <w:t>2022</w:t>
            </w:r>
            <w:r w:rsidRPr="005B7064">
              <w:rPr>
                <w:rFonts w:asciiTheme="minorHAnsi" w:eastAsia="SimSun" w:hAnsiTheme="minorHAnsi" w:cstheme="minorHAnsi"/>
                <w:b/>
                <w:bCs/>
                <w:sz w:val="22"/>
                <w:szCs w:val="22"/>
                <w:lang w:eastAsia="zh-CN"/>
              </w:rPr>
              <w:t>年</w:t>
            </w:r>
            <w:r w:rsidRPr="005B7064">
              <w:rPr>
                <w:rFonts w:asciiTheme="minorHAnsi" w:eastAsia="SimSun" w:hAnsiTheme="minorHAnsi" w:cstheme="minorHAnsi"/>
                <w:b/>
                <w:bCs/>
                <w:sz w:val="22"/>
                <w:szCs w:val="22"/>
                <w:lang w:eastAsia="zh-CN"/>
              </w:rPr>
              <w:t>11</w:t>
            </w:r>
            <w:r w:rsidRPr="005B7064">
              <w:rPr>
                <w:rFonts w:asciiTheme="minorHAnsi" w:eastAsia="SimSun" w:hAnsiTheme="minorHAnsi" w:cstheme="minorHAnsi"/>
                <w:b/>
                <w:bCs/>
                <w:sz w:val="22"/>
                <w:szCs w:val="22"/>
                <w:lang w:eastAsia="zh-CN"/>
              </w:rPr>
              <w:t>月</w:t>
            </w:r>
            <w:r w:rsidRPr="005B7064">
              <w:rPr>
                <w:rFonts w:asciiTheme="minorHAnsi" w:eastAsia="SimSun" w:hAnsiTheme="minorHAnsi" w:cstheme="minorHAnsi"/>
                <w:b/>
                <w:bCs/>
                <w:sz w:val="22"/>
                <w:szCs w:val="22"/>
                <w:lang w:eastAsia="zh-CN"/>
              </w:rPr>
              <w:t>3</w:t>
            </w:r>
            <w:r w:rsidRPr="005B7064">
              <w:rPr>
                <w:rFonts w:asciiTheme="minorHAnsi" w:eastAsia="SimSun" w:hAnsiTheme="minorHAnsi" w:cstheme="minorHAnsi"/>
                <w:b/>
                <w:bCs/>
                <w:sz w:val="22"/>
                <w:szCs w:val="22"/>
                <w:lang w:eastAsia="zh-CN"/>
              </w:rPr>
              <w:t>日</w:t>
            </w:r>
            <w:r w:rsidRPr="005B7064">
              <w:rPr>
                <w:rFonts w:asciiTheme="minorHAnsi" w:hAnsiTheme="minorHAnsi" w:cstheme="minorHAnsi"/>
                <w:b/>
                <w:bCs/>
                <w:sz w:val="22"/>
                <w:szCs w:val="22"/>
                <w:lang w:eastAsia="zh-CN"/>
              </w:rPr>
              <w:t>–</w:t>
            </w:r>
            <w:r w:rsidRPr="005B7064">
              <w:rPr>
                <w:rFonts w:asciiTheme="minorHAnsi" w:eastAsia="SimSun" w:hAnsiTheme="minorHAnsi" w:cstheme="minorHAnsi"/>
                <w:b/>
                <w:bCs/>
                <w:sz w:val="22"/>
                <w:szCs w:val="22"/>
                <w:lang w:eastAsia="zh-CN"/>
              </w:rPr>
              <w:t>4</w:t>
            </w:r>
            <w:r w:rsidRPr="005B7064">
              <w:rPr>
                <w:rFonts w:asciiTheme="minorHAnsi" w:eastAsia="SimSun" w:hAnsiTheme="minorHAnsi" w:cstheme="minorHAnsi"/>
                <w:b/>
                <w:bCs/>
                <w:sz w:val="22"/>
                <w:szCs w:val="22"/>
                <w:lang w:eastAsia="zh-CN"/>
              </w:rPr>
              <w:t>日，瑞士，日内瓦）</w:t>
            </w:r>
          </w:p>
        </w:tc>
      </w:tr>
    </w:tbl>
    <w:bookmarkEnd w:id="0"/>
    <w:p w14:paraId="20969A86" w14:textId="49E7E473" w:rsidR="00C5342B" w:rsidRPr="005B7064" w:rsidRDefault="00B859BB" w:rsidP="003805A4">
      <w:pPr>
        <w:widowControl/>
        <w:tabs>
          <w:tab w:val="left" w:pos="794"/>
          <w:tab w:val="left" w:pos="1191"/>
          <w:tab w:val="left" w:pos="1588"/>
          <w:tab w:val="left" w:pos="1985"/>
        </w:tabs>
        <w:overflowPunct w:val="0"/>
        <w:adjustRightInd w:val="0"/>
        <w:spacing w:before="360"/>
        <w:textAlignment w:val="baseline"/>
        <w:rPr>
          <w:rFonts w:asciiTheme="minorHAnsi" w:eastAsia="Times New Roman" w:hAnsiTheme="minorHAnsi" w:cstheme="minorHAnsi"/>
          <w:lang w:val="en-GB" w:eastAsia="zh-CN"/>
        </w:rPr>
      </w:pPr>
      <w:r w:rsidRPr="005B7064">
        <w:rPr>
          <w:rFonts w:asciiTheme="minorHAnsi" w:eastAsia="SimSun" w:hAnsiTheme="minorHAnsi" w:cstheme="minorHAnsi"/>
          <w:lang w:val="en-GB" w:eastAsia="zh-CN"/>
        </w:rPr>
        <w:t>尊敬的先生</w:t>
      </w:r>
      <w:r w:rsidRPr="005B7064">
        <w:rPr>
          <w:rFonts w:asciiTheme="minorHAnsi" w:eastAsia="SimSun" w:hAnsiTheme="minorHAnsi" w:cstheme="minorHAnsi"/>
          <w:lang w:val="en-GB" w:eastAsia="zh-CN"/>
        </w:rPr>
        <w:t>/</w:t>
      </w:r>
      <w:r w:rsidRPr="005B7064">
        <w:rPr>
          <w:rFonts w:asciiTheme="minorHAnsi" w:eastAsia="SimSun" w:hAnsiTheme="minorHAnsi" w:cstheme="minorHAnsi"/>
          <w:lang w:val="en-GB" w:eastAsia="zh-CN"/>
        </w:rPr>
        <w:t>女士：</w:t>
      </w:r>
    </w:p>
    <w:p w14:paraId="65827522" w14:textId="23D2E31E" w:rsidR="007A7769" w:rsidRPr="005B7064" w:rsidRDefault="007A7769" w:rsidP="00761512">
      <w:pPr>
        <w:widowControl/>
        <w:tabs>
          <w:tab w:val="left" w:pos="454"/>
          <w:tab w:val="left" w:pos="900"/>
          <w:tab w:val="left" w:pos="1871"/>
          <w:tab w:val="left" w:pos="2268"/>
        </w:tabs>
        <w:overflowPunct w:val="0"/>
        <w:adjustRightInd w:val="0"/>
        <w:spacing w:before="120"/>
        <w:jc w:val="both"/>
        <w:textAlignment w:val="baseline"/>
        <w:rPr>
          <w:rFonts w:asciiTheme="minorHAnsi" w:eastAsia="Times New Roman" w:hAnsiTheme="minorHAnsi" w:cstheme="minorHAnsi"/>
          <w:b/>
          <w:highlight w:val="green"/>
          <w:lang w:val="en-GB" w:eastAsia="zh-CN"/>
        </w:rPr>
      </w:pPr>
      <w:bookmarkStart w:id="1" w:name="suitetext"/>
      <w:bookmarkStart w:id="2" w:name="text"/>
      <w:bookmarkEnd w:id="1"/>
      <w:bookmarkEnd w:id="2"/>
      <w:r w:rsidRPr="005B7064">
        <w:rPr>
          <w:rFonts w:asciiTheme="minorHAnsi" w:eastAsia="Times New Roman" w:hAnsiTheme="minorHAnsi" w:cstheme="minorHAnsi"/>
          <w:lang w:val="en-GB" w:eastAsia="zh-CN"/>
        </w:rPr>
        <w:t>1</w:t>
      </w:r>
      <w:r w:rsidRPr="005B7064">
        <w:rPr>
          <w:rFonts w:asciiTheme="minorHAnsi" w:eastAsia="Times New Roman" w:hAnsiTheme="minorHAnsi" w:cstheme="minorHAnsi"/>
          <w:lang w:val="en-GB" w:eastAsia="zh-CN"/>
        </w:rPr>
        <w:tab/>
      </w:r>
      <w:r w:rsidR="00C1779F" w:rsidRPr="005B7064">
        <w:rPr>
          <w:rFonts w:asciiTheme="minorHAnsi" w:eastAsia="SimSun" w:hAnsiTheme="minorHAnsi" w:cstheme="minorHAnsi"/>
          <w:bCs/>
          <w:lang w:eastAsia="zh-CN"/>
        </w:rPr>
        <w:t>国际电信联盟（</w:t>
      </w:r>
      <w:r w:rsidR="00C1779F" w:rsidRPr="005B7064">
        <w:rPr>
          <w:rFonts w:asciiTheme="minorHAnsi" w:eastAsia="SimSun" w:hAnsiTheme="minorHAnsi" w:cstheme="minorHAnsi"/>
          <w:bCs/>
          <w:lang w:eastAsia="zh-CN"/>
        </w:rPr>
        <w:t>ITU</w:t>
      </w:r>
      <w:r w:rsidR="00C1779F" w:rsidRPr="005B7064">
        <w:rPr>
          <w:rFonts w:asciiTheme="minorHAnsi" w:eastAsia="SimSun" w:hAnsiTheme="minorHAnsi" w:cstheme="minorHAnsi"/>
          <w:bCs/>
          <w:lang w:eastAsia="zh-CN"/>
        </w:rPr>
        <w:t>）将于</w:t>
      </w:r>
      <w:r w:rsidR="00C1779F" w:rsidRPr="005B7064">
        <w:rPr>
          <w:rFonts w:asciiTheme="minorHAnsi" w:eastAsia="SimSun" w:hAnsiTheme="minorHAnsi" w:cstheme="minorHAnsi"/>
          <w:bCs/>
          <w:lang w:eastAsia="zh-CN"/>
        </w:rPr>
        <w:t>2022</w:t>
      </w:r>
      <w:r w:rsidR="00C1779F" w:rsidRPr="005B7064">
        <w:rPr>
          <w:rFonts w:asciiTheme="minorHAnsi" w:eastAsia="SimSun" w:hAnsiTheme="minorHAnsi" w:cstheme="minorHAnsi"/>
          <w:bCs/>
          <w:lang w:eastAsia="zh-CN"/>
        </w:rPr>
        <w:t>年</w:t>
      </w:r>
      <w:r w:rsidR="00C1779F" w:rsidRPr="005B7064">
        <w:rPr>
          <w:rFonts w:asciiTheme="minorHAnsi" w:eastAsia="SimSun" w:hAnsiTheme="minorHAnsi" w:cstheme="minorHAnsi"/>
          <w:bCs/>
          <w:lang w:eastAsia="zh-CN"/>
        </w:rPr>
        <w:t>11</w:t>
      </w:r>
      <w:r w:rsidR="00C1779F" w:rsidRPr="005B7064">
        <w:rPr>
          <w:rFonts w:asciiTheme="minorHAnsi" w:eastAsia="SimSun" w:hAnsiTheme="minorHAnsi" w:cstheme="minorHAnsi"/>
          <w:bCs/>
          <w:lang w:eastAsia="zh-CN"/>
        </w:rPr>
        <w:t>月</w:t>
      </w:r>
      <w:r w:rsidR="00C1779F" w:rsidRPr="005B7064">
        <w:rPr>
          <w:rFonts w:asciiTheme="minorHAnsi" w:eastAsia="SimSun" w:hAnsiTheme="minorHAnsi" w:cstheme="minorHAnsi"/>
          <w:bCs/>
          <w:lang w:eastAsia="zh-CN"/>
        </w:rPr>
        <w:t>3</w:t>
      </w:r>
      <w:r w:rsidR="00C1779F" w:rsidRPr="005B7064">
        <w:rPr>
          <w:rFonts w:asciiTheme="minorHAnsi" w:eastAsia="SimSun" w:hAnsiTheme="minorHAnsi" w:cstheme="minorHAnsi"/>
          <w:bCs/>
          <w:lang w:eastAsia="zh-CN"/>
        </w:rPr>
        <w:t>日至</w:t>
      </w:r>
      <w:r w:rsidR="00C1779F" w:rsidRPr="005B7064">
        <w:rPr>
          <w:rFonts w:asciiTheme="minorHAnsi" w:eastAsia="SimSun" w:hAnsiTheme="minorHAnsi" w:cstheme="minorHAnsi"/>
          <w:bCs/>
          <w:lang w:eastAsia="zh-CN"/>
        </w:rPr>
        <w:t>4</w:t>
      </w:r>
      <w:proofErr w:type="gramStart"/>
      <w:r w:rsidR="00C1779F" w:rsidRPr="005B7064">
        <w:rPr>
          <w:rFonts w:asciiTheme="minorHAnsi" w:eastAsia="SimSun" w:hAnsiTheme="minorHAnsi" w:cstheme="minorHAnsi"/>
          <w:bCs/>
          <w:lang w:eastAsia="zh-CN"/>
        </w:rPr>
        <w:t>日在瑞士日内瓦国际电联总部组织</w:t>
      </w:r>
      <w:r w:rsidR="00C1779F" w:rsidRPr="005B7064">
        <w:rPr>
          <w:rFonts w:asciiTheme="minorHAnsi" w:eastAsia="SimSun" w:hAnsiTheme="minorHAnsi" w:cstheme="minorHAnsi"/>
          <w:b/>
          <w:bCs/>
          <w:lang w:eastAsia="zh-CN"/>
        </w:rPr>
        <w:t>“</w:t>
      </w:r>
      <w:proofErr w:type="gramEnd"/>
      <w:r w:rsidR="00C46D79" w:rsidRPr="005B7064">
        <w:rPr>
          <w:rFonts w:asciiTheme="minorHAnsi" w:eastAsia="SimSun" w:hAnsiTheme="minorHAnsi" w:cstheme="minorHAnsi"/>
          <w:b/>
          <w:bCs/>
          <w:lang w:eastAsia="zh-CN"/>
        </w:rPr>
        <w:t>通过电信基础设施加快数据和应用的数字化转型的经济和财政激励措施</w:t>
      </w:r>
      <w:r w:rsidR="00C1779F" w:rsidRPr="005B7064">
        <w:rPr>
          <w:rFonts w:asciiTheme="minorHAnsi" w:eastAsia="SimSun" w:hAnsiTheme="minorHAnsi" w:cstheme="minorHAnsi"/>
          <w:b/>
          <w:bCs/>
          <w:lang w:eastAsia="zh-CN"/>
        </w:rPr>
        <w:t>”</w:t>
      </w:r>
      <w:r w:rsidR="00C1779F" w:rsidRPr="005B7064">
        <w:rPr>
          <w:rFonts w:asciiTheme="minorHAnsi" w:eastAsia="SimSun" w:hAnsiTheme="minorHAnsi" w:cstheme="minorHAnsi"/>
          <w:bCs/>
          <w:lang w:eastAsia="zh-CN"/>
        </w:rPr>
        <w:t>讲习班。讲习班将以实体会议结合远程参与的形式举办。</w:t>
      </w:r>
    </w:p>
    <w:p w14:paraId="58D47E81" w14:textId="067B8E04" w:rsidR="007A7769" w:rsidRPr="005B7064" w:rsidRDefault="00CE4745" w:rsidP="00761512">
      <w:pPr>
        <w:widowControl/>
        <w:tabs>
          <w:tab w:val="left" w:pos="900"/>
          <w:tab w:val="left" w:pos="1871"/>
          <w:tab w:val="left" w:pos="2268"/>
        </w:tabs>
        <w:overflowPunct w:val="0"/>
        <w:adjustRightInd w:val="0"/>
        <w:spacing w:before="120"/>
        <w:ind w:firstLineChars="200" w:firstLine="440"/>
        <w:jc w:val="both"/>
        <w:textAlignment w:val="baseline"/>
        <w:rPr>
          <w:rFonts w:asciiTheme="minorHAnsi" w:eastAsia="Times New Roman" w:hAnsiTheme="minorHAnsi" w:cstheme="minorHAnsi"/>
          <w:lang w:val="en-GB" w:eastAsia="zh-CN"/>
        </w:rPr>
      </w:pPr>
      <w:r w:rsidRPr="005B7064">
        <w:rPr>
          <w:rFonts w:asciiTheme="minorHAnsi" w:eastAsia="SimSun" w:hAnsiTheme="minorHAnsi" w:cstheme="minorHAnsi"/>
          <w:bCs/>
          <w:lang w:eastAsia="zh-CN"/>
        </w:rPr>
        <w:t>讲习班</w:t>
      </w:r>
      <w:r w:rsidR="00D27C71" w:rsidRPr="005B7064">
        <w:rPr>
          <w:rFonts w:asciiTheme="minorHAnsi" w:eastAsia="SimSun" w:hAnsiTheme="minorHAnsi" w:cstheme="minorHAnsi"/>
          <w:bCs/>
          <w:lang w:eastAsia="zh-CN"/>
        </w:rPr>
        <w:t>将仅以英文进行</w:t>
      </w:r>
      <w:r w:rsidRPr="005B7064">
        <w:rPr>
          <w:rFonts w:asciiTheme="minorHAnsi" w:eastAsia="SimSun" w:hAnsiTheme="minorHAnsi" w:cstheme="minorHAnsi"/>
          <w:bCs/>
          <w:lang w:eastAsia="zh-CN"/>
        </w:rPr>
        <w:t>并配有现场字幕，</w:t>
      </w:r>
      <w:r w:rsidR="00CC19F9" w:rsidRPr="005B7064">
        <w:rPr>
          <w:rFonts w:asciiTheme="minorHAnsi" w:eastAsia="SimSun" w:hAnsiTheme="minorHAnsi" w:cstheme="minorHAnsi"/>
          <w:bCs/>
          <w:lang w:eastAsia="zh-CN"/>
        </w:rPr>
        <w:t>随后将</w:t>
      </w:r>
      <w:r w:rsidR="00B91AE2" w:rsidRPr="005B7064">
        <w:rPr>
          <w:rFonts w:asciiTheme="minorHAnsi" w:eastAsia="SimSun" w:hAnsiTheme="minorHAnsi" w:cstheme="minorHAnsi"/>
          <w:bCs/>
          <w:lang w:eastAsia="zh-CN"/>
        </w:rPr>
        <w:t>在同一地点</w:t>
      </w:r>
      <w:r w:rsidR="00CC19F9" w:rsidRPr="005B7064">
        <w:rPr>
          <w:rFonts w:asciiTheme="minorHAnsi" w:eastAsia="SimSun" w:hAnsiTheme="minorHAnsi" w:cstheme="minorHAnsi"/>
          <w:bCs/>
          <w:lang w:eastAsia="zh-CN"/>
        </w:rPr>
        <w:t>于</w:t>
      </w:r>
      <w:r w:rsidR="00CC19F9" w:rsidRPr="005B7064">
        <w:rPr>
          <w:rFonts w:asciiTheme="minorHAnsi" w:eastAsia="SimSun" w:hAnsiTheme="minorHAnsi" w:cstheme="minorHAnsi"/>
          <w:bCs/>
          <w:lang w:eastAsia="zh-CN"/>
        </w:rPr>
        <w:t>2022</w:t>
      </w:r>
      <w:r w:rsidR="00CC19F9" w:rsidRPr="005B7064">
        <w:rPr>
          <w:rFonts w:asciiTheme="minorHAnsi" w:eastAsia="SimSun" w:hAnsiTheme="minorHAnsi" w:cstheme="minorHAnsi"/>
          <w:bCs/>
          <w:lang w:eastAsia="zh-CN"/>
        </w:rPr>
        <w:t>年</w:t>
      </w:r>
      <w:r w:rsidR="00CC19F9" w:rsidRPr="005B7064">
        <w:rPr>
          <w:rFonts w:asciiTheme="minorHAnsi" w:eastAsia="SimSun" w:hAnsiTheme="minorHAnsi" w:cstheme="minorHAnsi"/>
          <w:bCs/>
          <w:lang w:eastAsia="zh-CN"/>
        </w:rPr>
        <w:t>11</w:t>
      </w:r>
      <w:r w:rsidR="00CC19F9" w:rsidRPr="005B7064">
        <w:rPr>
          <w:rFonts w:asciiTheme="minorHAnsi" w:eastAsia="SimSun" w:hAnsiTheme="minorHAnsi" w:cstheme="minorHAnsi"/>
          <w:bCs/>
          <w:lang w:eastAsia="zh-CN"/>
        </w:rPr>
        <w:t>月</w:t>
      </w:r>
      <w:r w:rsidR="00CC19F9" w:rsidRPr="005B7064">
        <w:rPr>
          <w:rFonts w:asciiTheme="minorHAnsi" w:eastAsia="SimSun" w:hAnsiTheme="minorHAnsi" w:cstheme="minorHAnsi"/>
          <w:bCs/>
          <w:lang w:eastAsia="zh-CN"/>
        </w:rPr>
        <w:t>7</w:t>
      </w:r>
      <w:r w:rsidR="00CC19F9" w:rsidRPr="005B7064">
        <w:rPr>
          <w:rFonts w:asciiTheme="minorHAnsi" w:eastAsia="SimSun" w:hAnsiTheme="minorHAnsi" w:cstheme="minorHAnsi"/>
          <w:bCs/>
          <w:lang w:eastAsia="zh-CN"/>
        </w:rPr>
        <w:t>日至</w:t>
      </w:r>
      <w:r w:rsidR="00CC19F9" w:rsidRPr="005B7064">
        <w:rPr>
          <w:rFonts w:asciiTheme="minorHAnsi" w:eastAsia="SimSun" w:hAnsiTheme="minorHAnsi" w:cstheme="minorHAnsi"/>
          <w:bCs/>
          <w:lang w:eastAsia="zh-CN"/>
        </w:rPr>
        <w:t>10</w:t>
      </w:r>
      <w:r w:rsidR="00CC19F9" w:rsidRPr="005B7064">
        <w:rPr>
          <w:rFonts w:asciiTheme="minorHAnsi" w:eastAsia="SimSun" w:hAnsiTheme="minorHAnsi" w:cstheme="minorHAnsi"/>
          <w:bCs/>
          <w:lang w:eastAsia="zh-CN"/>
        </w:rPr>
        <w:t>日举行</w:t>
      </w:r>
      <w:r w:rsidR="00D515E9" w:rsidRPr="005B7064">
        <w:rPr>
          <w:rFonts w:asciiTheme="minorHAnsi" w:eastAsia="Times New Roman" w:hAnsiTheme="minorHAnsi" w:cstheme="minorHAnsi"/>
          <w:color w:val="0000FF"/>
          <w:u w:val="single"/>
          <w:lang w:val="en-GB" w:eastAsia="zh-CN"/>
        </w:rPr>
        <w:t>ITU-T</w:t>
      </w:r>
      <w:hyperlink r:id="rId8" w:history="1">
        <w:r w:rsidR="00D515E9" w:rsidRPr="005B7064">
          <w:rPr>
            <w:rFonts w:asciiTheme="minorHAnsi" w:eastAsia="SimSun" w:hAnsiTheme="minorHAnsi" w:cstheme="minorHAnsi"/>
            <w:color w:val="0000FF"/>
            <w:u w:val="single"/>
            <w:lang w:val="en-GB" w:eastAsia="zh-CN"/>
          </w:rPr>
          <w:t>第</w:t>
        </w:r>
        <w:r w:rsidR="00D515E9" w:rsidRPr="005B7064">
          <w:rPr>
            <w:rFonts w:asciiTheme="minorHAnsi" w:eastAsia="SimSun" w:hAnsiTheme="minorHAnsi" w:cstheme="minorHAnsi"/>
            <w:color w:val="0000FF"/>
            <w:u w:val="single"/>
            <w:lang w:val="en-GB" w:eastAsia="zh-CN"/>
          </w:rPr>
          <w:t>3</w:t>
        </w:r>
        <w:r w:rsidR="00D515E9" w:rsidRPr="005B7064">
          <w:rPr>
            <w:rFonts w:asciiTheme="minorHAnsi" w:eastAsia="SimSun" w:hAnsiTheme="minorHAnsi" w:cstheme="minorHAnsi"/>
            <w:color w:val="0000FF"/>
            <w:u w:val="single"/>
            <w:lang w:val="en-GB" w:eastAsia="zh-CN"/>
          </w:rPr>
          <w:t>研究组</w:t>
        </w:r>
      </w:hyperlink>
      <w:r w:rsidR="00CC19F9" w:rsidRPr="005B7064">
        <w:rPr>
          <w:rFonts w:asciiTheme="minorHAnsi" w:eastAsia="SimSun" w:hAnsiTheme="minorHAnsi" w:cstheme="minorHAnsi"/>
          <w:bCs/>
          <w:lang w:eastAsia="zh-CN"/>
        </w:rPr>
        <w:t>报告人</w:t>
      </w:r>
      <w:proofErr w:type="gramStart"/>
      <w:r w:rsidR="00CC19F9" w:rsidRPr="005B7064">
        <w:rPr>
          <w:rFonts w:asciiTheme="minorHAnsi" w:eastAsia="SimSun" w:hAnsiTheme="minorHAnsi" w:cstheme="minorHAnsi"/>
          <w:bCs/>
          <w:lang w:eastAsia="zh-CN"/>
        </w:rPr>
        <w:t>组</w:t>
      </w:r>
      <w:r w:rsidR="003942E8" w:rsidRPr="005B7064">
        <w:rPr>
          <w:rFonts w:asciiTheme="minorHAnsi" w:eastAsia="SimSun" w:hAnsiTheme="minorHAnsi" w:cstheme="minorHAnsi"/>
          <w:bCs/>
          <w:lang w:eastAsia="zh-CN"/>
        </w:rPr>
        <w:t>系列</w:t>
      </w:r>
      <w:proofErr w:type="gramEnd"/>
      <w:r w:rsidR="00CC19F9" w:rsidRPr="005B7064">
        <w:rPr>
          <w:rFonts w:asciiTheme="minorHAnsi" w:eastAsia="SimSun" w:hAnsiTheme="minorHAnsi" w:cstheme="minorHAnsi"/>
          <w:bCs/>
          <w:lang w:eastAsia="zh-CN"/>
        </w:rPr>
        <w:t>会议</w:t>
      </w:r>
      <w:r w:rsidR="003942E8" w:rsidRPr="005B7064">
        <w:rPr>
          <w:rFonts w:asciiTheme="minorHAnsi" w:eastAsia="SimSun" w:hAnsiTheme="minorHAnsi" w:cstheme="minorHAnsi"/>
          <w:bCs/>
          <w:lang w:eastAsia="zh-CN"/>
        </w:rPr>
        <w:t>，</w:t>
      </w:r>
      <w:r w:rsidR="00B91AE2" w:rsidRPr="005B7064">
        <w:rPr>
          <w:rFonts w:asciiTheme="minorHAnsi" w:eastAsia="SimSun" w:hAnsiTheme="minorHAnsi" w:cstheme="minorHAnsi"/>
          <w:bCs/>
          <w:lang w:eastAsia="zh-CN"/>
        </w:rPr>
        <w:t>并于</w:t>
      </w:r>
      <w:r w:rsidR="006E0BEA" w:rsidRPr="005B7064">
        <w:rPr>
          <w:rFonts w:asciiTheme="minorHAnsi" w:eastAsia="SimSun" w:hAnsiTheme="minorHAnsi" w:cstheme="minorHAnsi"/>
          <w:bCs/>
          <w:lang w:eastAsia="zh-CN"/>
        </w:rPr>
        <w:t>2022</w:t>
      </w:r>
      <w:r w:rsidR="006E0BEA" w:rsidRPr="005B7064">
        <w:rPr>
          <w:rFonts w:asciiTheme="minorHAnsi" w:eastAsia="SimSun" w:hAnsiTheme="minorHAnsi" w:cstheme="minorHAnsi"/>
          <w:bCs/>
          <w:lang w:eastAsia="zh-CN"/>
        </w:rPr>
        <w:t>年</w:t>
      </w:r>
      <w:r w:rsidR="006E0BEA" w:rsidRPr="005B7064">
        <w:rPr>
          <w:rFonts w:asciiTheme="minorHAnsi" w:eastAsia="SimSun" w:hAnsiTheme="minorHAnsi" w:cstheme="minorHAnsi"/>
          <w:bCs/>
          <w:lang w:eastAsia="zh-CN"/>
        </w:rPr>
        <w:t>11</w:t>
      </w:r>
      <w:r w:rsidR="006E0BEA" w:rsidRPr="005B7064">
        <w:rPr>
          <w:rFonts w:asciiTheme="minorHAnsi" w:eastAsia="SimSun" w:hAnsiTheme="minorHAnsi" w:cstheme="minorHAnsi"/>
          <w:bCs/>
          <w:lang w:eastAsia="zh-CN"/>
        </w:rPr>
        <w:t>月</w:t>
      </w:r>
      <w:r w:rsidR="006E0BEA" w:rsidRPr="005B7064">
        <w:rPr>
          <w:rFonts w:asciiTheme="minorHAnsi" w:eastAsia="SimSun" w:hAnsiTheme="minorHAnsi" w:cstheme="minorHAnsi"/>
          <w:bCs/>
          <w:lang w:eastAsia="zh-CN"/>
        </w:rPr>
        <w:t>11</w:t>
      </w:r>
      <w:r w:rsidR="006E0BEA" w:rsidRPr="005B7064">
        <w:rPr>
          <w:rFonts w:asciiTheme="minorHAnsi" w:eastAsia="SimSun" w:hAnsiTheme="minorHAnsi" w:cstheme="minorHAnsi"/>
          <w:bCs/>
          <w:lang w:eastAsia="zh-CN"/>
        </w:rPr>
        <w:t>日举行</w:t>
      </w:r>
      <w:r w:rsidR="006E0BEA" w:rsidRPr="005B7064">
        <w:rPr>
          <w:rFonts w:asciiTheme="minorHAnsi" w:eastAsia="Times New Roman" w:hAnsiTheme="minorHAnsi" w:cstheme="minorHAnsi"/>
          <w:lang w:val="en-GB" w:eastAsia="zh-CN"/>
        </w:rPr>
        <w:t>ITU-T</w:t>
      </w:r>
      <w:r w:rsidR="006E0BEA" w:rsidRPr="005B7064">
        <w:rPr>
          <w:rFonts w:asciiTheme="minorHAnsi" w:eastAsia="SimSun" w:hAnsiTheme="minorHAnsi" w:cstheme="minorHAnsi"/>
          <w:bCs/>
          <w:lang w:eastAsia="zh-CN"/>
        </w:rPr>
        <w:t>第</w:t>
      </w:r>
      <w:r w:rsidR="006E0BEA" w:rsidRPr="005B7064">
        <w:rPr>
          <w:rFonts w:asciiTheme="minorHAnsi" w:eastAsia="Times New Roman" w:hAnsiTheme="minorHAnsi" w:cstheme="minorHAnsi"/>
          <w:lang w:val="en-GB" w:eastAsia="zh-CN"/>
        </w:rPr>
        <w:t>3</w:t>
      </w:r>
      <w:r w:rsidR="006E0BEA" w:rsidRPr="005B7064">
        <w:rPr>
          <w:rFonts w:asciiTheme="minorHAnsi" w:eastAsia="SimSun" w:hAnsiTheme="minorHAnsi" w:cstheme="minorHAnsi"/>
          <w:bCs/>
          <w:lang w:eastAsia="zh-CN"/>
        </w:rPr>
        <w:t>研究组（</w:t>
      </w:r>
      <w:r w:rsidR="006E0BEA" w:rsidRPr="005B7064">
        <w:rPr>
          <w:rFonts w:asciiTheme="minorHAnsi" w:eastAsia="Times New Roman" w:hAnsiTheme="minorHAnsi" w:cstheme="minorHAnsi"/>
          <w:lang w:val="en-GB" w:eastAsia="zh-CN"/>
        </w:rPr>
        <w:t>SG3</w:t>
      </w:r>
      <w:r w:rsidR="006E0BEA" w:rsidRPr="005B7064">
        <w:rPr>
          <w:rFonts w:asciiTheme="minorHAnsi" w:eastAsia="SimSun" w:hAnsiTheme="minorHAnsi" w:cstheme="minorHAnsi"/>
          <w:bCs/>
          <w:lang w:eastAsia="zh-CN"/>
        </w:rPr>
        <w:t>）全体会议。</w:t>
      </w:r>
    </w:p>
    <w:p w14:paraId="6B05FCF1" w14:textId="263F3E5B" w:rsidR="007A7769" w:rsidRPr="005B7064" w:rsidRDefault="007A7769" w:rsidP="00761512">
      <w:pPr>
        <w:widowControl/>
        <w:tabs>
          <w:tab w:val="left" w:pos="454"/>
          <w:tab w:val="left" w:pos="567"/>
          <w:tab w:val="left" w:pos="900"/>
          <w:tab w:val="left" w:pos="1871"/>
          <w:tab w:val="left" w:pos="2268"/>
        </w:tabs>
        <w:overflowPunct w:val="0"/>
        <w:adjustRightInd w:val="0"/>
        <w:spacing w:before="120"/>
        <w:jc w:val="both"/>
        <w:textAlignment w:val="baseline"/>
        <w:rPr>
          <w:rFonts w:asciiTheme="minorHAnsi" w:eastAsia="Times New Roman" w:hAnsiTheme="minorHAnsi" w:cstheme="minorHAnsi"/>
          <w:b/>
          <w:lang w:val="en-GB" w:eastAsia="zh-CN"/>
        </w:rPr>
      </w:pPr>
      <w:r w:rsidRPr="005B7064">
        <w:rPr>
          <w:rFonts w:asciiTheme="minorHAnsi" w:eastAsia="Times New Roman" w:hAnsiTheme="minorHAnsi" w:cstheme="minorHAnsi"/>
          <w:lang w:val="en-GB" w:eastAsia="zh-CN"/>
        </w:rPr>
        <w:t>2</w:t>
      </w:r>
      <w:r w:rsidRPr="005B7064">
        <w:rPr>
          <w:rFonts w:asciiTheme="minorHAnsi" w:eastAsia="Times New Roman" w:hAnsiTheme="minorHAnsi" w:cstheme="minorHAnsi"/>
          <w:lang w:val="en-GB" w:eastAsia="zh-CN"/>
        </w:rPr>
        <w:tab/>
      </w:r>
      <w:r w:rsidRPr="005B7064">
        <w:rPr>
          <w:rFonts w:asciiTheme="minorHAnsi" w:eastAsia="SimSun" w:hAnsiTheme="minorHAnsi" w:cstheme="minorHAnsi"/>
          <w:lang w:val="en-GB" w:eastAsia="zh-CN"/>
        </w:rPr>
        <w:t>国际电联成员国、部门成员、部门准成员和学术机构以及有意参加此工作的来自国际电联成员国的任何个人均可参加</w:t>
      </w:r>
      <w:r w:rsidR="0028347D" w:rsidRPr="005B7064">
        <w:rPr>
          <w:rFonts w:asciiTheme="minorHAnsi" w:eastAsia="SimSun" w:hAnsiTheme="minorHAnsi" w:cstheme="minorHAnsi"/>
          <w:lang w:val="en-GB" w:eastAsia="zh-CN"/>
        </w:rPr>
        <w:t>讲习班</w:t>
      </w:r>
      <w:r w:rsidRPr="005B7064">
        <w:rPr>
          <w:rFonts w:asciiTheme="minorHAnsi" w:eastAsia="SimSun" w:hAnsiTheme="minorHAnsi" w:cstheme="minorHAnsi"/>
          <w:lang w:val="en-GB" w:eastAsia="zh-CN"/>
        </w:rPr>
        <w:t>。其中包括亦为国际、区域性和国家组织成员的个人。</w:t>
      </w:r>
      <w:r w:rsidR="0028347D" w:rsidRPr="005B7064">
        <w:rPr>
          <w:rFonts w:asciiTheme="minorHAnsi" w:eastAsia="SimSun" w:hAnsiTheme="minorHAnsi" w:cstheme="minorHAnsi"/>
          <w:lang w:val="en-GB" w:eastAsia="zh-CN"/>
        </w:rPr>
        <w:t>参加讲习班</w:t>
      </w:r>
      <w:r w:rsidRPr="005B7064">
        <w:rPr>
          <w:rFonts w:asciiTheme="minorHAnsi" w:eastAsia="SimSun" w:hAnsiTheme="minorHAnsi" w:cstheme="minorHAnsi"/>
          <w:lang w:val="en-GB" w:eastAsia="zh-CN"/>
        </w:rPr>
        <w:t>不收取任何费用。</w:t>
      </w:r>
    </w:p>
    <w:p w14:paraId="5FC5A0D6" w14:textId="5FB63868" w:rsidR="007A7769" w:rsidRPr="005B7064" w:rsidRDefault="007A7769" w:rsidP="00761512">
      <w:pPr>
        <w:widowControl/>
        <w:tabs>
          <w:tab w:val="left" w:pos="454"/>
          <w:tab w:val="left" w:pos="900"/>
          <w:tab w:val="left" w:pos="1871"/>
          <w:tab w:val="left" w:pos="2268"/>
        </w:tabs>
        <w:overflowPunct w:val="0"/>
        <w:adjustRightInd w:val="0"/>
        <w:spacing w:before="120"/>
        <w:jc w:val="both"/>
        <w:textAlignment w:val="baseline"/>
        <w:rPr>
          <w:rFonts w:asciiTheme="minorHAnsi" w:eastAsia="Times New Roman" w:hAnsiTheme="minorHAnsi" w:cstheme="minorHAnsi"/>
          <w:b/>
          <w:lang w:val="en-GB" w:eastAsia="zh-CN"/>
        </w:rPr>
      </w:pPr>
      <w:r w:rsidRPr="005B7064">
        <w:rPr>
          <w:rFonts w:asciiTheme="minorHAnsi" w:eastAsia="Times New Roman" w:hAnsiTheme="minorHAnsi" w:cstheme="minorHAnsi"/>
          <w:lang w:val="en-GB" w:eastAsia="zh-CN"/>
        </w:rPr>
        <w:t>3</w:t>
      </w:r>
      <w:r w:rsidRPr="005B7064">
        <w:rPr>
          <w:rFonts w:asciiTheme="minorHAnsi" w:eastAsia="Times New Roman" w:hAnsiTheme="minorHAnsi" w:cstheme="minorHAnsi"/>
          <w:lang w:val="en-GB" w:eastAsia="zh-CN"/>
        </w:rPr>
        <w:tab/>
      </w:r>
      <w:r w:rsidR="00145EA5" w:rsidRPr="005B7064">
        <w:rPr>
          <w:rFonts w:asciiTheme="minorHAnsi" w:eastAsia="SimSun" w:hAnsiTheme="minorHAnsi" w:cstheme="minorHAnsi"/>
          <w:shd w:val="clear" w:color="auto" w:fill="FFFFFF"/>
          <w:lang w:val="en-GB" w:eastAsia="zh-CN"/>
        </w:rPr>
        <w:t>讲习班</w:t>
      </w:r>
      <w:r w:rsidR="00646520" w:rsidRPr="005B7064">
        <w:rPr>
          <w:rFonts w:asciiTheme="minorHAnsi" w:eastAsia="SimSun" w:hAnsiTheme="minorHAnsi" w:cstheme="minorHAnsi"/>
          <w:shd w:val="clear" w:color="auto" w:fill="FFFFFF"/>
          <w:lang w:val="en-GB" w:eastAsia="zh-CN"/>
        </w:rPr>
        <w:t>的主要目的是</w:t>
      </w:r>
      <w:r w:rsidR="00C37209" w:rsidRPr="005B7064">
        <w:rPr>
          <w:rFonts w:asciiTheme="minorHAnsi" w:eastAsia="SimSun" w:hAnsiTheme="minorHAnsi" w:cstheme="minorHAnsi"/>
          <w:shd w:val="clear" w:color="auto" w:fill="FFFFFF"/>
          <w:lang w:val="en-GB" w:eastAsia="zh-CN"/>
        </w:rPr>
        <w:t>在新数字经济税收及其国际协调和业界、学术界和社会观点的背景下，</w:t>
      </w:r>
      <w:r w:rsidR="000F26AC" w:rsidRPr="005B7064">
        <w:rPr>
          <w:rFonts w:asciiTheme="minorHAnsi" w:eastAsia="SimSun" w:hAnsiTheme="minorHAnsi" w:cstheme="minorHAnsi"/>
          <w:shd w:val="clear" w:color="auto" w:fill="FFFFFF"/>
          <w:lang w:val="en-GB" w:eastAsia="zh-CN"/>
        </w:rPr>
        <w:t>讨论</w:t>
      </w:r>
      <w:r w:rsidR="00050BD8" w:rsidRPr="005B7064">
        <w:rPr>
          <w:rFonts w:asciiTheme="minorHAnsi" w:eastAsia="SimSun" w:hAnsiTheme="minorHAnsi" w:cstheme="minorHAnsi"/>
          <w:shd w:val="clear" w:color="auto" w:fill="FFFFFF"/>
          <w:lang w:val="en-GB" w:eastAsia="zh-CN"/>
        </w:rPr>
        <w:t>各项经济和财政激励措施，</w:t>
      </w:r>
      <w:r w:rsidR="00C96AFE" w:rsidRPr="005B7064">
        <w:rPr>
          <w:rFonts w:asciiTheme="minorHAnsi" w:eastAsia="SimSun" w:hAnsiTheme="minorHAnsi" w:cstheme="minorHAnsi"/>
          <w:shd w:val="clear" w:color="auto" w:fill="FFFFFF"/>
          <w:lang w:val="en-GB" w:eastAsia="zh-CN"/>
        </w:rPr>
        <w:t>通过</w:t>
      </w:r>
      <w:r w:rsidR="00F9733F" w:rsidRPr="005B7064">
        <w:rPr>
          <w:rFonts w:asciiTheme="minorHAnsi" w:eastAsia="SimSun" w:hAnsiTheme="minorHAnsi" w:cstheme="minorHAnsi"/>
          <w:shd w:val="clear" w:color="auto" w:fill="FFFFFF"/>
          <w:lang w:val="en-GB" w:eastAsia="zh-CN"/>
        </w:rPr>
        <w:t>电信基础设施加快数据和应用的数字化转型</w:t>
      </w:r>
      <w:r w:rsidR="00646520" w:rsidRPr="005B7064">
        <w:rPr>
          <w:rFonts w:asciiTheme="minorHAnsi" w:eastAsia="SimSun" w:hAnsiTheme="minorHAnsi" w:cstheme="minorHAnsi"/>
          <w:shd w:val="clear" w:color="auto" w:fill="FFFFFF"/>
          <w:lang w:val="en-GB" w:eastAsia="zh-CN"/>
        </w:rPr>
        <w:t>。</w:t>
      </w:r>
      <w:r w:rsidR="000301C3" w:rsidRPr="005B7064">
        <w:rPr>
          <w:rFonts w:asciiTheme="minorHAnsi" w:eastAsia="SimSun" w:hAnsiTheme="minorHAnsi" w:cstheme="minorHAnsi"/>
          <w:shd w:val="clear" w:color="auto" w:fill="FFFFFF"/>
          <w:lang w:val="en-GB" w:eastAsia="zh-CN"/>
        </w:rPr>
        <w:t>目的在于从相关组织获得有关此类</w:t>
      </w:r>
      <w:r w:rsidR="00646520" w:rsidRPr="005B7064">
        <w:rPr>
          <w:rFonts w:asciiTheme="minorHAnsi" w:eastAsia="SimSun" w:hAnsiTheme="minorHAnsi" w:cstheme="minorHAnsi"/>
          <w:shd w:val="clear" w:color="auto" w:fill="FFFFFF"/>
          <w:lang w:val="en-GB" w:eastAsia="zh-CN"/>
        </w:rPr>
        <w:t>经济、财</w:t>
      </w:r>
      <w:r w:rsidR="000301C3" w:rsidRPr="005B7064">
        <w:rPr>
          <w:rFonts w:asciiTheme="minorHAnsi" w:eastAsia="SimSun" w:hAnsiTheme="minorHAnsi" w:cstheme="minorHAnsi"/>
          <w:shd w:val="clear" w:color="auto" w:fill="FFFFFF"/>
          <w:lang w:val="en-GB" w:eastAsia="zh-CN"/>
        </w:rPr>
        <w:t>政和政策方面的清晰明了的</w:t>
      </w:r>
      <w:r w:rsidR="00646520" w:rsidRPr="005B7064">
        <w:rPr>
          <w:rFonts w:asciiTheme="minorHAnsi" w:eastAsia="SimSun" w:hAnsiTheme="minorHAnsi" w:cstheme="minorHAnsi"/>
          <w:shd w:val="clear" w:color="auto" w:fill="FFFFFF"/>
          <w:lang w:val="en-GB" w:eastAsia="zh-CN"/>
        </w:rPr>
        <w:t>新信息。</w:t>
      </w:r>
      <w:r w:rsidR="003966F3" w:rsidRPr="005B7064">
        <w:rPr>
          <w:rFonts w:asciiTheme="minorHAnsi" w:eastAsia="SimSun" w:hAnsiTheme="minorHAnsi" w:cstheme="minorHAnsi"/>
          <w:shd w:val="clear" w:color="auto" w:fill="FFFFFF"/>
          <w:lang w:val="en-GB" w:eastAsia="zh-CN"/>
        </w:rPr>
        <w:t>本次讲习班提供了一个机会，让不同背景的专家汇聚一堂，就这一</w:t>
      </w:r>
      <w:r w:rsidR="00605D8D" w:rsidRPr="005B7064">
        <w:rPr>
          <w:rFonts w:asciiTheme="minorHAnsi" w:eastAsia="SimSun" w:hAnsiTheme="minorHAnsi" w:cstheme="minorHAnsi"/>
          <w:shd w:val="clear" w:color="auto" w:fill="FFFFFF"/>
          <w:lang w:val="en-GB" w:eastAsia="zh-CN"/>
        </w:rPr>
        <w:t>领域的最新发展分享观点和交流信息，以促进国际合作和协调。</w:t>
      </w:r>
    </w:p>
    <w:p w14:paraId="3BB8122D" w14:textId="2961308B" w:rsidR="007A7769" w:rsidRPr="005B7064" w:rsidRDefault="003966F3" w:rsidP="00761512">
      <w:pPr>
        <w:widowControl/>
        <w:tabs>
          <w:tab w:val="left" w:pos="900"/>
          <w:tab w:val="left" w:pos="1871"/>
          <w:tab w:val="left" w:pos="2268"/>
        </w:tabs>
        <w:overflowPunct w:val="0"/>
        <w:adjustRightInd w:val="0"/>
        <w:spacing w:before="120"/>
        <w:ind w:firstLineChars="200" w:firstLine="440"/>
        <w:jc w:val="both"/>
        <w:textAlignment w:val="baseline"/>
        <w:rPr>
          <w:rFonts w:asciiTheme="minorHAnsi" w:eastAsia="Times New Roman" w:hAnsiTheme="minorHAnsi" w:cstheme="minorHAnsi"/>
          <w:lang w:val="en-GB" w:eastAsia="zh-CN"/>
        </w:rPr>
      </w:pPr>
      <w:r w:rsidRPr="005B7064">
        <w:rPr>
          <w:rFonts w:asciiTheme="minorHAnsi" w:eastAsia="SimSun" w:hAnsiTheme="minorHAnsi" w:cstheme="minorHAnsi"/>
          <w:shd w:val="clear" w:color="auto" w:fill="FFFFFF"/>
          <w:lang w:val="en-GB" w:eastAsia="zh-CN"/>
        </w:rPr>
        <w:t>讲习班</w:t>
      </w:r>
      <w:r w:rsidR="00DA653D" w:rsidRPr="005B7064">
        <w:rPr>
          <w:rFonts w:asciiTheme="minorHAnsi" w:eastAsia="SimSun" w:hAnsiTheme="minorHAnsi" w:cstheme="minorHAnsi"/>
          <w:shd w:val="clear" w:color="auto" w:fill="FFFFFF"/>
          <w:lang w:val="en-GB" w:eastAsia="zh-CN"/>
        </w:rPr>
        <w:t>将为政策制定机构</w:t>
      </w:r>
      <w:r w:rsidRPr="005B7064">
        <w:rPr>
          <w:rFonts w:asciiTheme="minorHAnsi" w:eastAsia="SimSun" w:hAnsiTheme="minorHAnsi" w:cstheme="minorHAnsi"/>
          <w:shd w:val="clear" w:color="auto" w:fill="FFFFFF"/>
          <w:lang w:val="en-GB" w:eastAsia="zh-CN"/>
        </w:rPr>
        <w:t>、监管机构、经济学家、标准化专家、税务专家和来自国际电联</w:t>
      </w:r>
      <w:r w:rsidR="00900D58" w:rsidRPr="005B7064">
        <w:rPr>
          <w:rFonts w:asciiTheme="minorHAnsi" w:eastAsia="SimSun" w:hAnsiTheme="minorHAnsi" w:cstheme="minorHAnsi"/>
          <w:shd w:val="clear" w:color="auto" w:fill="FFFFFF"/>
          <w:lang w:val="en-GB" w:eastAsia="zh-CN"/>
        </w:rPr>
        <w:t>成员的其他感兴趣的与会</w:t>
      </w:r>
      <w:r w:rsidR="001F3590" w:rsidRPr="005B7064">
        <w:rPr>
          <w:rFonts w:asciiTheme="minorHAnsi" w:eastAsia="SimSun" w:hAnsiTheme="minorHAnsi" w:cstheme="minorHAnsi"/>
          <w:shd w:val="clear" w:color="auto" w:fill="FFFFFF"/>
          <w:lang w:val="en-GB" w:eastAsia="zh-CN"/>
        </w:rPr>
        <w:t>者以及来自发展中国家和发达国家的其他非成员</w:t>
      </w:r>
      <w:r w:rsidR="002F1F74" w:rsidRPr="005B7064">
        <w:rPr>
          <w:rFonts w:asciiTheme="minorHAnsi" w:eastAsia="SimSun" w:hAnsiTheme="minorHAnsi" w:cstheme="minorHAnsi"/>
          <w:shd w:val="clear" w:color="auto" w:fill="FFFFFF"/>
          <w:lang w:val="en-GB" w:eastAsia="zh-CN"/>
        </w:rPr>
        <w:t>（</w:t>
      </w:r>
      <w:r w:rsidR="00DA653D" w:rsidRPr="005B7064">
        <w:rPr>
          <w:rFonts w:asciiTheme="minorHAnsi" w:eastAsia="SimSun" w:hAnsiTheme="minorHAnsi" w:cstheme="minorHAnsi"/>
          <w:shd w:val="clear" w:color="auto" w:fill="FFFFFF"/>
          <w:lang w:val="en-GB" w:eastAsia="zh-CN"/>
        </w:rPr>
        <w:t>包括经济转型国家、学术界和研究实体</w:t>
      </w:r>
      <w:r w:rsidR="002F1F74" w:rsidRPr="005B7064">
        <w:rPr>
          <w:rFonts w:asciiTheme="minorHAnsi" w:eastAsia="SimSun" w:hAnsiTheme="minorHAnsi" w:cstheme="minorHAnsi"/>
          <w:shd w:val="clear" w:color="auto" w:fill="FFFFFF"/>
          <w:lang w:val="en-GB" w:eastAsia="zh-CN"/>
        </w:rPr>
        <w:t>、业界</w:t>
      </w:r>
      <w:r w:rsidRPr="005B7064">
        <w:rPr>
          <w:rFonts w:asciiTheme="minorHAnsi" w:eastAsia="SimSun" w:hAnsiTheme="minorHAnsi" w:cstheme="minorHAnsi"/>
          <w:shd w:val="clear" w:color="auto" w:fill="FFFFFF"/>
          <w:lang w:val="en-GB" w:eastAsia="zh-CN"/>
        </w:rPr>
        <w:t>、电信</w:t>
      </w:r>
      <w:r w:rsidRPr="005B7064">
        <w:rPr>
          <w:rFonts w:asciiTheme="minorHAnsi" w:eastAsia="SimSun" w:hAnsiTheme="minorHAnsi" w:cstheme="minorHAnsi"/>
          <w:shd w:val="clear" w:color="auto" w:fill="FFFFFF"/>
          <w:lang w:val="en-GB" w:eastAsia="zh-CN"/>
        </w:rPr>
        <w:t>/ICT</w:t>
      </w:r>
      <w:r w:rsidRPr="005B7064">
        <w:rPr>
          <w:rFonts w:asciiTheme="minorHAnsi" w:eastAsia="SimSun" w:hAnsiTheme="minorHAnsi" w:cstheme="minorHAnsi"/>
          <w:shd w:val="clear" w:color="auto" w:fill="FFFFFF"/>
          <w:lang w:val="en-GB" w:eastAsia="zh-CN"/>
        </w:rPr>
        <w:t>运营商和服务提供商、数字</w:t>
      </w:r>
      <w:r w:rsidR="002F1F74" w:rsidRPr="005B7064">
        <w:rPr>
          <w:rFonts w:asciiTheme="minorHAnsi" w:eastAsia="SimSun" w:hAnsiTheme="minorHAnsi" w:cstheme="minorHAnsi"/>
          <w:shd w:val="clear" w:color="auto" w:fill="FFFFFF"/>
          <w:lang w:val="en-GB" w:eastAsia="zh-CN"/>
        </w:rPr>
        <w:t>化平台、其他国际组织和感兴趣的利益攸关方）之间的讨论提供一个平台</w:t>
      </w:r>
      <w:r w:rsidRPr="005B7064">
        <w:rPr>
          <w:rFonts w:asciiTheme="minorHAnsi" w:eastAsia="SimSun" w:hAnsiTheme="minorHAnsi" w:cstheme="minorHAnsi"/>
          <w:shd w:val="clear" w:color="auto" w:fill="FFFFFF"/>
          <w:lang w:val="en-GB" w:eastAsia="zh-CN"/>
        </w:rPr>
        <w:t>。</w:t>
      </w:r>
    </w:p>
    <w:p w14:paraId="1F9E196C" w14:textId="6E414F52" w:rsidR="007A7769" w:rsidRPr="005B7064" w:rsidRDefault="003966F3" w:rsidP="00761512">
      <w:pPr>
        <w:widowControl/>
        <w:tabs>
          <w:tab w:val="left" w:pos="900"/>
          <w:tab w:val="left" w:pos="1871"/>
          <w:tab w:val="left" w:pos="2268"/>
        </w:tabs>
        <w:overflowPunct w:val="0"/>
        <w:adjustRightInd w:val="0"/>
        <w:spacing w:before="120"/>
        <w:ind w:firstLineChars="200" w:firstLine="440"/>
        <w:jc w:val="both"/>
        <w:textAlignment w:val="baseline"/>
        <w:rPr>
          <w:rFonts w:asciiTheme="minorHAnsi" w:eastAsia="Times New Roman" w:hAnsiTheme="minorHAnsi" w:cstheme="minorHAnsi"/>
          <w:lang w:val="en-GB" w:eastAsia="zh-CN"/>
        </w:rPr>
      </w:pPr>
      <w:r w:rsidRPr="005B7064">
        <w:rPr>
          <w:rFonts w:asciiTheme="minorHAnsi" w:eastAsia="SimSun" w:hAnsiTheme="minorHAnsi" w:cstheme="minorHAnsi"/>
          <w:shd w:val="clear" w:color="auto" w:fill="FFFFFF"/>
          <w:lang w:val="en-GB" w:eastAsia="zh-CN"/>
        </w:rPr>
        <w:t>通函</w:t>
      </w:r>
      <w:r w:rsidR="0048641A" w:rsidRPr="005B7064">
        <w:rPr>
          <w:rFonts w:asciiTheme="minorHAnsi" w:eastAsia="SimSun" w:hAnsiTheme="minorHAnsi" w:cstheme="minorHAnsi"/>
          <w:shd w:val="clear" w:color="auto" w:fill="FFFFFF"/>
          <w:lang w:val="en-GB" w:eastAsia="zh-CN"/>
        </w:rPr>
        <w:t>的</w:t>
      </w:r>
      <w:r w:rsidRPr="005B7064">
        <w:rPr>
          <w:rFonts w:asciiTheme="minorHAnsi" w:eastAsia="SimSun" w:hAnsiTheme="minorHAnsi" w:cstheme="minorHAnsi"/>
          <w:shd w:val="clear" w:color="auto" w:fill="FFFFFF"/>
          <w:lang w:val="en-GB" w:eastAsia="zh-CN"/>
        </w:rPr>
        <w:t>附件提供了</w:t>
      </w:r>
      <w:r w:rsidR="0048641A" w:rsidRPr="005B7064">
        <w:rPr>
          <w:rFonts w:asciiTheme="minorHAnsi" w:eastAsia="SimSun" w:hAnsiTheme="minorHAnsi" w:cstheme="minorHAnsi"/>
          <w:shd w:val="clear" w:color="auto" w:fill="FFFFFF"/>
          <w:lang w:val="en-GB" w:eastAsia="zh-CN"/>
        </w:rPr>
        <w:t>讲习班</w:t>
      </w:r>
      <w:r w:rsidRPr="005B7064">
        <w:rPr>
          <w:rFonts w:asciiTheme="minorHAnsi" w:eastAsia="SimSun" w:hAnsiTheme="minorHAnsi" w:cstheme="minorHAnsi"/>
          <w:shd w:val="clear" w:color="auto" w:fill="FFFFFF"/>
          <w:lang w:val="en-GB" w:eastAsia="zh-CN"/>
        </w:rPr>
        <w:t>及其计划会议的初步大纲。</w:t>
      </w:r>
    </w:p>
    <w:p w14:paraId="0F420C3E" w14:textId="0507F702" w:rsidR="007A7769" w:rsidRPr="005B7064" w:rsidRDefault="007A7769" w:rsidP="00761512">
      <w:pPr>
        <w:widowControl/>
        <w:tabs>
          <w:tab w:val="left" w:pos="454"/>
          <w:tab w:val="left" w:pos="794"/>
          <w:tab w:val="left" w:pos="1134"/>
          <w:tab w:val="left" w:pos="1191"/>
          <w:tab w:val="left" w:pos="1588"/>
          <w:tab w:val="left" w:pos="1871"/>
          <w:tab w:val="left" w:pos="1985"/>
          <w:tab w:val="left" w:pos="2268"/>
        </w:tabs>
        <w:overflowPunct w:val="0"/>
        <w:adjustRightInd w:val="0"/>
        <w:spacing w:before="120"/>
        <w:jc w:val="both"/>
        <w:textAlignment w:val="baseline"/>
        <w:rPr>
          <w:rFonts w:asciiTheme="minorHAnsi" w:eastAsia="Times New Roman" w:hAnsiTheme="minorHAnsi" w:cstheme="minorHAnsi"/>
          <w:lang w:val="en-GB" w:eastAsia="zh-CN"/>
        </w:rPr>
      </w:pPr>
      <w:r w:rsidRPr="005B7064">
        <w:rPr>
          <w:rFonts w:asciiTheme="minorHAnsi" w:eastAsia="Times New Roman" w:hAnsiTheme="minorHAnsi" w:cstheme="minorHAnsi"/>
          <w:lang w:val="en-GB" w:eastAsia="zh-CN"/>
        </w:rPr>
        <w:t>4</w:t>
      </w:r>
      <w:r w:rsidRPr="005B7064">
        <w:rPr>
          <w:rFonts w:asciiTheme="minorHAnsi" w:eastAsia="Times New Roman" w:hAnsiTheme="minorHAnsi" w:cstheme="minorHAnsi"/>
          <w:lang w:val="en-GB" w:eastAsia="zh-CN"/>
        </w:rPr>
        <w:tab/>
      </w:r>
      <w:r w:rsidR="008D21B4" w:rsidRPr="005B7064">
        <w:rPr>
          <w:rFonts w:asciiTheme="minorHAnsi" w:eastAsia="SimSun" w:hAnsiTheme="minorHAnsi" w:cstheme="minorHAnsi"/>
          <w:shd w:val="clear" w:color="auto" w:fill="FFFFFF"/>
          <w:lang w:val="en-GB" w:eastAsia="zh-CN"/>
        </w:rPr>
        <w:t>本通函的附录包含部分背景信息，以便</w:t>
      </w:r>
      <w:r w:rsidR="00851EEE" w:rsidRPr="005B7064">
        <w:rPr>
          <w:rFonts w:asciiTheme="minorHAnsi" w:eastAsia="SimSun" w:hAnsiTheme="minorHAnsi" w:cstheme="minorHAnsi"/>
          <w:shd w:val="clear" w:color="auto" w:fill="FFFFFF"/>
          <w:lang w:val="en-GB" w:eastAsia="zh-CN"/>
        </w:rPr>
        <w:t>让</w:t>
      </w:r>
      <w:r w:rsidR="008D21B4" w:rsidRPr="005B7064">
        <w:rPr>
          <w:rFonts w:asciiTheme="minorHAnsi" w:eastAsia="SimSun" w:hAnsiTheme="minorHAnsi" w:cstheme="minorHAnsi"/>
          <w:shd w:val="clear" w:color="auto" w:fill="FFFFFF"/>
          <w:lang w:val="en-GB" w:eastAsia="zh-CN"/>
        </w:rPr>
        <w:t>本次讲习班结合过去和当前的讨论、趋势和活动的背景</w:t>
      </w:r>
      <w:r w:rsidR="00A82BCA" w:rsidRPr="005B7064">
        <w:rPr>
          <w:rFonts w:asciiTheme="minorHAnsi" w:eastAsia="SimSun" w:hAnsiTheme="minorHAnsi" w:cstheme="minorHAnsi"/>
          <w:shd w:val="clear" w:color="auto" w:fill="FFFFFF"/>
          <w:lang w:val="en-GB" w:eastAsia="zh-CN"/>
        </w:rPr>
        <w:t>。</w:t>
      </w:r>
    </w:p>
    <w:p w14:paraId="73DC6F5A" w14:textId="3A5160EC" w:rsidR="007A7769" w:rsidRPr="005B7064" w:rsidRDefault="007A7769" w:rsidP="00761512">
      <w:pPr>
        <w:widowControl/>
        <w:tabs>
          <w:tab w:val="left" w:pos="454"/>
          <w:tab w:val="left" w:pos="794"/>
          <w:tab w:val="left" w:pos="1134"/>
          <w:tab w:val="left" w:pos="1191"/>
          <w:tab w:val="left" w:pos="1588"/>
          <w:tab w:val="left" w:pos="1871"/>
          <w:tab w:val="left" w:pos="1985"/>
          <w:tab w:val="left" w:pos="2268"/>
        </w:tabs>
        <w:overflowPunct w:val="0"/>
        <w:adjustRightInd w:val="0"/>
        <w:spacing w:before="120"/>
        <w:jc w:val="both"/>
        <w:textAlignment w:val="baseline"/>
        <w:rPr>
          <w:rFonts w:asciiTheme="minorHAnsi" w:eastAsia="Times New Roman" w:hAnsiTheme="minorHAnsi" w:cstheme="minorHAnsi"/>
          <w:b/>
          <w:lang w:val="en-GB" w:eastAsia="zh-CN"/>
        </w:rPr>
      </w:pPr>
      <w:r w:rsidRPr="005B7064">
        <w:rPr>
          <w:rFonts w:asciiTheme="minorHAnsi" w:eastAsia="Times New Roman" w:hAnsiTheme="minorHAnsi" w:cstheme="minorHAnsi"/>
          <w:lang w:val="en-GB"/>
        </w:rPr>
        <w:t>5</w:t>
      </w:r>
      <w:r w:rsidRPr="005B7064">
        <w:rPr>
          <w:rFonts w:asciiTheme="minorHAnsi" w:eastAsia="Times New Roman" w:hAnsiTheme="minorHAnsi" w:cstheme="minorHAnsi"/>
          <w:lang w:val="en-GB"/>
        </w:rPr>
        <w:tab/>
      </w:r>
      <w:r w:rsidR="00427463" w:rsidRPr="005B7064">
        <w:rPr>
          <w:rFonts w:asciiTheme="minorHAnsi" w:eastAsia="SimSun" w:hAnsiTheme="minorHAnsi" w:cstheme="minorHAnsi"/>
          <w:lang w:val="en-GB" w:eastAsia="zh-CN"/>
        </w:rPr>
        <w:t>与讲习班有关的所有相关信息（</w:t>
      </w:r>
      <w:r w:rsidR="00812AEA" w:rsidRPr="005B7064">
        <w:rPr>
          <w:rFonts w:asciiTheme="minorHAnsi" w:eastAsia="SimSun" w:hAnsiTheme="minorHAnsi" w:cstheme="minorHAnsi"/>
          <w:lang w:val="en-GB" w:eastAsia="zh-CN"/>
        </w:rPr>
        <w:t>计划草案、</w:t>
      </w:r>
      <w:r w:rsidR="00427463" w:rsidRPr="005B7064">
        <w:rPr>
          <w:rFonts w:asciiTheme="minorHAnsi" w:eastAsia="SimSun" w:hAnsiTheme="minorHAnsi" w:cstheme="minorHAnsi"/>
          <w:lang w:val="en-GB" w:eastAsia="zh-CN"/>
        </w:rPr>
        <w:t>发言者、注册链接、远程连接详情等）将在</w:t>
      </w:r>
      <w:r w:rsidR="00812AEA" w:rsidRPr="005B7064">
        <w:rPr>
          <w:rFonts w:asciiTheme="minorHAnsi" w:eastAsia="SimSun" w:hAnsiTheme="minorHAnsi" w:cstheme="minorHAnsi"/>
          <w:lang w:val="en-GB" w:eastAsia="zh-CN"/>
        </w:rPr>
        <w:t>国际电联网</w:t>
      </w:r>
      <w:r w:rsidR="001E405B" w:rsidRPr="005B7064">
        <w:rPr>
          <w:rFonts w:asciiTheme="minorHAnsi" w:eastAsia="SimSun" w:hAnsiTheme="minorHAnsi" w:cstheme="minorHAnsi"/>
          <w:lang w:val="en-GB" w:eastAsia="zh-CN"/>
        </w:rPr>
        <w:t>站</w:t>
      </w:r>
      <w:hyperlink r:id="rId9" w:history="1">
        <w:r w:rsidR="00812AEA" w:rsidRPr="005B7064">
          <w:rPr>
            <w:rFonts w:asciiTheme="minorHAnsi" w:eastAsia="Times New Roman" w:hAnsiTheme="minorHAnsi" w:cstheme="minorHAnsi"/>
            <w:color w:val="0000FF"/>
            <w:u w:val="single"/>
            <w:lang w:val="en-GB"/>
          </w:rPr>
          <w:t>https://www.itu.int/en/ITU-T/Workshops-and-Seminars/2022/1103/Pages/default.aspx</w:t>
        </w:r>
      </w:hyperlink>
      <w:r w:rsidR="00812AEA" w:rsidRPr="005B7064">
        <w:rPr>
          <w:rFonts w:asciiTheme="minorHAnsi" w:eastAsia="SimSun" w:hAnsiTheme="minorHAnsi" w:cstheme="minorHAnsi"/>
          <w:lang w:val="en-GB" w:eastAsia="zh-CN"/>
        </w:rPr>
        <w:t>上公布。</w:t>
      </w:r>
      <w:r w:rsidR="00EF0F6A" w:rsidRPr="005B7064">
        <w:rPr>
          <w:rFonts w:asciiTheme="minorHAnsi" w:eastAsia="SimSun" w:hAnsiTheme="minorHAnsi" w:cstheme="minorHAnsi"/>
          <w:lang w:val="en-GB" w:eastAsia="zh-CN"/>
        </w:rPr>
        <w:t>随着新信息或修改信息的出现，该网站</w:t>
      </w:r>
      <w:r w:rsidR="00427463" w:rsidRPr="005B7064">
        <w:rPr>
          <w:rFonts w:asciiTheme="minorHAnsi" w:eastAsia="SimSun" w:hAnsiTheme="minorHAnsi" w:cstheme="minorHAnsi"/>
          <w:lang w:val="en-GB" w:eastAsia="zh-CN"/>
        </w:rPr>
        <w:t>将定期更新。请与会者定期查看新的更新。</w:t>
      </w:r>
    </w:p>
    <w:p w14:paraId="6AA8BED0" w14:textId="1BE6D66E" w:rsidR="007A7769" w:rsidRPr="005B7064" w:rsidRDefault="007A7769" w:rsidP="00761512">
      <w:pPr>
        <w:widowControl/>
        <w:tabs>
          <w:tab w:val="left" w:pos="454"/>
          <w:tab w:val="left" w:pos="900"/>
          <w:tab w:val="left" w:pos="1871"/>
          <w:tab w:val="left" w:pos="2268"/>
        </w:tabs>
        <w:overflowPunct w:val="0"/>
        <w:adjustRightInd w:val="0"/>
        <w:spacing w:before="120"/>
        <w:jc w:val="both"/>
        <w:textAlignment w:val="baseline"/>
        <w:rPr>
          <w:rFonts w:asciiTheme="minorHAnsi" w:eastAsia="Times New Roman" w:hAnsiTheme="minorHAnsi" w:cstheme="minorHAnsi"/>
          <w:b/>
          <w:highlight w:val="green"/>
          <w:lang w:val="en-GB" w:eastAsia="zh-CN"/>
        </w:rPr>
      </w:pPr>
      <w:r w:rsidRPr="005B7064">
        <w:rPr>
          <w:rFonts w:asciiTheme="minorHAnsi" w:eastAsia="Times New Roman" w:hAnsiTheme="minorHAnsi" w:cstheme="minorHAnsi"/>
          <w:lang w:val="en-GB" w:eastAsia="zh-CN"/>
        </w:rPr>
        <w:t>6</w:t>
      </w:r>
      <w:r w:rsidRPr="005B7064">
        <w:rPr>
          <w:rFonts w:asciiTheme="minorHAnsi" w:eastAsia="Times New Roman" w:hAnsiTheme="minorHAnsi" w:cstheme="minorHAnsi"/>
          <w:lang w:val="en-GB" w:eastAsia="zh-CN"/>
        </w:rPr>
        <w:tab/>
      </w:r>
      <w:r w:rsidR="00427463" w:rsidRPr="005B7064">
        <w:rPr>
          <w:rFonts w:asciiTheme="minorHAnsi" w:eastAsia="SimSun" w:hAnsiTheme="minorHAnsi" w:cstheme="minorHAnsi"/>
          <w:lang w:val="en-GB" w:eastAsia="zh-CN"/>
        </w:rPr>
        <w:t>提供给与会者的有关</w:t>
      </w:r>
      <w:r w:rsidR="00D4265A" w:rsidRPr="005B7064">
        <w:rPr>
          <w:rFonts w:asciiTheme="minorHAnsi" w:eastAsia="SimSun" w:hAnsiTheme="minorHAnsi" w:cstheme="minorHAnsi"/>
          <w:lang w:val="en-GB" w:eastAsia="zh-CN"/>
        </w:rPr>
        <w:t>酒店住宿、交通和签证要求等的一般信息可在上述国际电联网</w:t>
      </w:r>
      <w:r w:rsidR="004D59C2" w:rsidRPr="005B7064">
        <w:rPr>
          <w:rFonts w:asciiTheme="minorHAnsi" w:eastAsia="SimSun" w:hAnsiTheme="minorHAnsi" w:cstheme="minorHAnsi"/>
          <w:lang w:val="en-GB" w:eastAsia="zh-CN"/>
        </w:rPr>
        <w:t>站</w:t>
      </w:r>
      <w:r w:rsidR="00427463" w:rsidRPr="005B7064">
        <w:rPr>
          <w:rFonts w:asciiTheme="minorHAnsi" w:eastAsia="SimSun" w:hAnsiTheme="minorHAnsi" w:cstheme="minorHAnsi"/>
          <w:lang w:val="en-GB" w:eastAsia="zh-CN"/>
        </w:rPr>
        <w:t>查询。</w:t>
      </w:r>
    </w:p>
    <w:p w14:paraId="66AD19C9" w14:textId="3D0DF13E" w:rsidR="007A7769" w:rsidRPr="005B7064" w:rsidRDefault="007A7769" w:rsidP="00761512">
      <w:pPr>
        <w:widowControl/>
        <w:tabs>
          <w:tab w:val="left" w:pos="454"/>
          <w:tab w:val="left" w:pos="900"/>
          <w:tab w:val="left" w:pos="1871"/>
          <w:tab w:val="left" w:pos="2268"/>
        </w:tabs>
        <w:overflowPunct w:val="0"/>
        <w:adjustRightInd w:val="0"/>
        <w:spacing w:before="120"/>
        <w:jc w:val="both"/>
        <w:textAlignment w:val="baseline"/>
        <w:rPr>
          <w:rFonts w:asciiTheme="minorHAnsi" w:eastAsia="Times New Roman" w:hAnsiTheme="minorHAnsi" w:cstheme="minorHAnsi"/>
          <w:b/>
          <w:lang w:val="en-GB" w:eastAsia="zh-CN"/>
        </w:rPr>
      </w:pPr>
      <w:r w:rsidRPr="005B7064">
        <w:rPr>
          <w:rFonts w:asciiTheme="minorHAnsi" w:eastAsia="Times New Roman" w:hAnsiTheme="minorHAnsi" w:cstheme="minorHAnsi"/>
          <w:lang w:val="en-GB"/>
        </w:rPr>
        <w:lastRenderedPageBreak/>
        <w:t>7</w:t>
      </w:r>
      <w:r w:rsidRPr="005B7064">
        <w:rPr>
          <w:rFonts w:asciiTheme="minorHAnsi" w:eastAsia="Times New Roman" w:hAnsiTheme="minorHAnsi" w:cstheme="minorHAnsi"/>
          <w:lang w:val="en-GB"/>
        </w:rPr>
        <w:tab/>
      </w:r>
      <w:bookmarkStart w:id="3" w:name="lt_pId074"/>
      <w:r w:rsidR="00C60DDA" w:rsidRPr="005B7064">
        <w:rPr>
          <w:rFonts w:asciiTheme="minorHAnsi" w:eastAsia="SimSun" w:hAnsiTheme="minorHAnsi" w:cstheme="minorHAnsi"/>
          <w:bCs/>
          <w:lang w:eastAsia="zh-CN"/>
        </w:rPr>
        <w:t>为便于国际电联就该讲习班的组织做出必要</w:t>
      </w:r>
      <w:r w:rsidR="00AE74AC" w:rsidRPr="005B7064">
        <w:rPr>
          <w:rFonts w:asciiTheme="minorHAnsi" w:eastAsia="SimSun" w:hAnsiTheme="minorHAnsi" w:cstheme="minorHAnsi"/>
          <w:bCs/>
          <w:lang w:eastAsia="zh-CN"/>
        </w:rPr>
        <w:t>安排，希望</w:t>
      </w:r>
      <w:r w:rsidR="000B7343" w:rsidRPr="005B7064">
        <w:rPr>
          <w:rFonts w:asciiTheme="minorHAnsi" w:eastAsia="SimSun" w:hAnsiTheme="minorHAnsi" w:cstheme="minorHAnsi"/>
          <w:bCs/>
          <w:lang w:eastAsia="zh-CN"/>
        </w:rPr>
        <w:t>您能通过</w:t>
      </w:r>
      <w:hyperlink r:id="rId10" w:history="1">
        <w:r w:rsidR="00AE74AC" w:rsidRPr="005B7064">
          <w:rPr>
            <w:rFonts w:asciiTheme="minorHAnsi" w:eastAsia="Times New Roman" w:hAnsiTheme="minorHAnsi" w:cstheme="minorHAnsi"/>
            <w:color w:val="0000FF"/>
            <w:u w:val="single"/>
            <w:lang w:val="en-GB"/>
          </w:rPr>
          <w:t>https://www.itu.int/net4/CRM/xreg/web/Login.aspx?src=Registration&amp;Event=C-00011717</w:t>
        </w:r>
      </w:hyperlink>
      <w:r w:rsidR="00AE74AC" w:rsidRPr="005B7064">
        <w:rPr>
          <w:rFonts w:asciiTheme="minorHAnsi" w:eastAsia="SimSun" w:hAnsiTheme="minorHAnsi" w:cstheme="minorHAnsi"/>
          <w:bCs/>
          <w:lang w:eastAsia="zh-CN"/>
        </w:rPr>
        <w:t>提供的</w:t>
      </w:r>
      <w:r w:rsidR="000B7343" w:rsidRPr="005B7064">
        <w:rPr>
          <w:rFonts w:asciiTheme="minorHAnsi" w:eastAsia="SimSun" w:hAnsiTheme="minorHAnsi" w:cstheme="minorHAnsi"/>
          <w:bCs/>
          <w:lang w:eastAsia="zh-CN"/>
        </w:rPr>
        <w:t>在线表格</w:t>
      </w:r>
      <w:r w:rsidR="00537FC3" w:rsidRPr="005B7064">
        <w:rPr>
          <w:rFonts w:asciiTheme="minorHAnsi" w:eastAsia="SimSun" w:hAnsiTheme="minorHAnsi" w:cstheme="minorHAnsi"/>
          <w:bCs/>
          <w:lang w:eastAsia="zh-CN"/>
        </w:rPr>
        <w:t>尽早</w:t>
      </w:r>
      <w:r w:rsidR="000B7343" w:rsidRPr="005B7064">
        <w:rPr>
          <w:rFonts w:asciiTheme="minorHAnsi" w:eastAsia="SimSun" w:hAnsiTheme="minorHAnsi" w:cstheme="minorHAnsi"/>
          <w:bCs/>
          <w:lang w:eastAsia="zh-CN"/>
        </w:rPr>
        <w:t>注册，</w:t>
      </w:r>
      <w:r w:rsidR="003E119A" w:rsidRPr="005B7064">
        <w:rPr>
          <w:rFonts w:asciiTheme="minorHAnsi" w:eastAsia="SimSun" w:hAnsiTheme="minorHAnsi" w:cstheme="minorHAnsi"/>
          <w:b/>
          <w:bCs/>
          <w:lang w:eastAsia="zh-CN"/>
        </w:rPr>
        <w:t>最晚不得迟于</w:t>
      </w:r>
      <w:r w:rsidR="003E119A" w:rsidRPr="005B7064">
        <w:rPr>
          <w:rFonts w:asciiTheme="minorHAnsi" w:eastAsia="SimSun" w:hAnsiTheme="minorHAnsi" w:cstheme="minorHAnsi"/>
          <w:b/>
          <w:bCs/>
          <w:lang w:eastAsia="zh-CN"/>
        </w:rPr>
        <w:t>2022</w:t>
      </w:r>
      <w:r w:rsidR="003E119A" w:rsidRPr="005B7064">
        <w:rPr>
          <w:rFonts w:asciiTheme="minorHAnsi" w:eastAsia="SimSun" w:hAnsiTheme="minorHAnsi" w:cstheme="minorHAnsi"/>
          <w:b/>
          <w:bCs/>
          <w:lang w:eastAsia="zh-CN"/>
        </w:rPr>
        <w:t>年</w:t>
      </w:r>
      <w:r w:rsidR="003E119A" w:rsidRPr="005B7064">
        <w:rPr>
          <w:rFonts w:asciiTheme="minorHAnsi" w:eastAsia="SimSun" w:hAnsiTheme="minorHAnsi" w:cstheme="minorHAnsi"/>
          <w:b/>
          <w:bCs/>
          <w:lang w:eastAsia="zh-CN"/>
        </w:rPr>
        <w:t>10</w:t>
      </w:r>
      <w:r w:rsidR="003E119A" w:rsidRPr="005B7064">
        <w:rPr>
          <w:rFonts w:asciiTheme="minorHAnsi" w:eastAsia="SimSun" w:hAnsiTheme="minorHAnsi" w:cstheme="minorHAnsi"/>
          <w:b/>
          <w:bCs/>
          <w:lang w:eastAsia="zh-CN"/>
        </w:rPr>
        <w:t>月</w:t>
      </w:r>
      <w:r w:rsidR="003E119A" w:rsidRPr="005B7064">
        <w:rPr>
          <w:rFonts w:asciiTheme="minorHAnsi" w:eastAsia="SimSun" w:hAnsiTheme="minorHAnsi" w:cstheme="minorHAnsi"/>
          <w:b/>
          <w:bCs/>
          <w:lang w:eastAsia="zh-CN"/>
        </w:rPr>
        <w:t>27</w:t>
      </w:r>
      <w:r w:rsidR="003E119A" w:rsidRPr="005B7064">
        <w:rPr>
          <w:rFonts w:asciiTheme="minorHAnsi" w:eastAsia="SimSun" w:hAnsiTheme="minorHAnsi" w:cstheme="minorHAnsi"/>
          <w:b/>
          <w:bCs/>
          <w:lang w:eastAsia="zh-CN"/>
        </w:rPr>
        <w:t>日。</w:t>
      </w:r>
      <w:r w:rsidR="00D41150" w:rsidRPr="005B7064">
        <w:rPr>
          <w:rFonts w:asciiTheme="minorHAnsi" w:eastAsia="SimSun" w:hAnsiTheme="minorHAnsi" w:cstheme="minorHAnsi"/>
          <w:b/>
          <w:bCs/>
          <w:lang w:val="en-GB" w:eastAsia="zh-CN"/>
        </w:rPr>
        <w:t>请注意，我们活动的与会者预注册仅以在线方式进行。</w:t>
      </w:r>
      <w:r w:rsidR="00D41150" w:rsidRPr="005B7064">
        <w:rPr>
          <w:rFonts w:asciiTheme="minorHAnsi" w:eastAsia="SimSun" w:hAnsiTheme="minorHAnsi" w:cstheme="minorHAnsi"/>
          <w:lang w:val="en-GB" w:eastAsia="zh-CN"/>
        </w:rPr>
        <w:t>与会者亦可在活动当天在现场注册。</w:t>
      </w:r>
      <w:bookmarkEnd w:id="3"/>
      <w:r w:rsidR="00D41150" w:rsidRPr="005B7064">
        <w:rPr>
          <w:rFonts w:asciiTheme="minorHAnsi" w:eastAsia="SimSun" w:hAnsiTheme="minorHAnsi" w:cstheme="minorHAnsi"/>
          <w:b/>
          <w:bCs/>
          <w:lang w:eastAsia="zh-CN"/>
        </w:rPr>
        <w:t>讲习班向所有人免费开放。</w:t>
      </w:r>
    </w:p>
    <w:p w14:paraId="19C32743" w14:textId="6FDC6886" w:rsidR="007A7769" w:rsidRPr="005B7064" w:rsidRDefault="007A7769" w:rsidP="00761512">
      <w:pPr>
        <w:widowControl/>
        <w:tabs>
          <w:tab w:val="left" w:pos="454"/>
          <w:tab w:val="left" w:pos="900"/>
          <w:tab w:val="left" w:pos="1871"/>
          <w:tab w:val="left" w:pos="2268"/>
        </w:tabs>
        <w:overflowPunct w:val="0"/>
        <w:adjustRightInd w:val="0"/>
        <w:spacing w:before="120"/>
        <w:jc w:val="both"/>
        <w:textAlignment w:val="baseline"/>
        <w:rPr>
          <w:rFonts w:asciiTheme="minorHAnsi" w:eastAsia="Times New Roman" w:hAnsiTheme="minorHAnsi" w:cstheme="minorHAnsi"/>
          <w:lang w:val="en-GB" w:eastAsia="zh-CN"/>
        </w:rPr>
      </w:pPr>
      <w:r w:rsidRPr="005B7064">
        <w:rPr>
          <w:rFonts w:asciiTheme="minorHAnsi" w:eastAsia="Times New Roman" w:hAnsiTheme="minorHAnsi" w:cstheme="minorHAnsi"/>
          <w:lang w:val="en-GB" w:eastAsia="zh-CN"/>
        </w:rPr>
        <w:t>8</w:t>
      </w:r>
      <w:r w:rsidRPr="005B7064">
        <w:rPr>
          <w:rFonts w:asciiTheme="minorHAnsi" w:eastAsia="Times New Roman" w:hAnsiTheme="minorHAnsi" w:cstheme="minorHAnsi"/>
          <w:lang w:val="en-GB" w:eastAsia="zh-CN"/>
        </w:rPr>
        <w:tab/>
      </w:r>
      <w:r w:rsidR="00D41150" w:rsidRPr="005B7064">
        <w:rPr>
          <w:rFonts w:asciiTheme="minorHAnsi" w:eastAsia="SimSun" w:hAnsiTheme="minorHAnsi" w:cstheme="minorHAnsi"/>
          <w:lang w:eastAsia="zh-CN"/>
        </w:rPr>
        <w:t>国际电联的主要会议厅内均设有无线局域网设施，供代表使用。详细信息见</w:t>
      </w:r>
      <w:r w:rsidR="00D41150" w:rsidRPr="005B7064">
        <w:rPr>
          <w:rFonts w:asciiTheme="minorHAnsi" w:eastAsia="SimSun" w:hAnsiTheme="minorHAnsi" w:cstheme="minorHAnsi"/>
          <w:lang w:eastAsia="zh-CN"/>
        </w:rPr>
        <w:t>ITU-T</w:t>
      </w:r>
      <w:r w:rsidR="00D41150" w:rsidRPr="005B7064">
        <w:rPr>
          <w:rFonts w:asciiTheme="minorHAnsi" w:eastAsia="SimSun" w:hAnsiTheme="minorHAnsi" w:cstheme="minorHAnsi"/>
          <w:lang w:eastAsia="zh-CN"/>
        </w:rPr>
        <w:t>网站（</w:t>
      </w:r>
      <w:hyperlink r:id="rId11" w:history="1">
        <w:r w:rsidR="00D41150" w:rsidRPr="005B7064">
          <w:rPr>
            <w:rFonts w:asciiTheme="minorHAnsi" w:eastAsia="SimSun" w:hAnsiTheme="minorHAnsi" w:cstheme="minorHAnsi"/>
            <w:color w:val="0000FF"/>
            <w:u w:val="single"/>
            <w:lang w:eastAsia="zh-CN"/>
          </w:rPr>
          <w:t>http://www.itu.int/ITU-T/edh/faqs-support.html</w:t>
        </w:r>
      </w:hyperlink>
      <w:r w:rsidR="00D41150" w:rsidRPr="005B7064">
        <w:rPr>
          <w:rFonts w:asciiTheme="minorHAnsi" w:eastAsia="SimSun" w:hAnsiTheme="minorHAnsi" w:cstheme="minorHAnsi"/>
          <w:lang w:eastAsia="zh-CN"/>
        </w:rPr>
        <w:t>）</w:t>
      </w:r>
      <w:r w:rsidR="00D41150" w:rsidRPr="005B7064">
        <w:rPr>
          <w:rFonts w:asciiTheme="minorHAnsi" w:eastAsia="SimSun" w:hAnsiTheme="minorHAnsi" w:cstheme="minorHAnsi"/>
          <w:color w:val="000000"/>
          <w:lang w:eastAsia="zh-CN"/>
        </w:rPr>
        <w:t>。</w:t>
      </w:r>
    </w:p>
    <w:p w14:paraId="6EC5F6C0" w14:textId="1D6B6D93" w:rsidR="007A7769" w:rsidRPr="005B7064" w:rsidRDefault="007A7769" w:rsidP="00761512">
      <w:pPr>
        <w:widowControl/>
        <w:tabs>
          <w:tab w:val="left" w:pos="454"/>
          <w:tab w:val="left" w:pos="900"/>
          <w:tab w:val="left" w:pos="1134"/>
          <w:tab w:val="left" w:pos="1871"/>
          <w:tab w:val="left" w:pos="2268"/>
        </w:tabs>
        <w:overflowPunct w:val="0"/>
        <w:adjustRightInd w:val="0"/>
        <w:spacing w:before="120"/>
        <w:jc w:val="both"/>
        <w:textAlignment w:val="baseline"/>
        <w:rPr>
          <w:rFonts w:asciiTheme="minorHAnsi" w:eastAsia="Times New Roman" w:hAnsiTheme="minorHAnsi" w:cstheme="minorHAnsi"/>
          <w:b/>
          <w:lang w:val="en-GB" w:eastAsia="zh-CN"/>
        </w:rPr>
      </w:pPr>
      <w:r w:rsidRPr="005B7064">
        <w:rPr>
          <w:rFonts w:asciiTheme="minorHAnsi" w:eastAsia="Times New Roman" w:hAnsiTheme="minorHAnsi" w:cstheme="minorHAnsi"/>
          <w:lang w:val="en-GB" w:eastAsia="zh-CN"/>
        </w:rPr>
        <w:t>9</w:t>
      </w:r>
      <w:r w:rsidRPr="005B7064">
        <w:rPr>
          <w:rFonts w:asciiTheme="minorHAnsi" w:eastAsia="Times New Roman" w:hAnsiTheme="minorHAnsi" w:cstheme="minorHAnsi"/>
          <w:lang w:val="en-GB" w:eastAsia="zh-CN"/>
        </w:rPr>
        <w:tab/>
      </w:r>
      <w:r w:rsidR="00D41150" w:rsidRPr="005B7064">
        <w:rPr>
          <w:rFonts w:asciiTheme="minorHAnsi" w:eastAsia="SimSun" w:hAnsiTheme="minorHAnsi" w:cstheme="minorHAnsi"/>
          <w:lang w:eastAsia="zh-CN"/>
        </w:rPr>
        <w:t>一些日内瓦酒店为出席国际电联会议的代表提供优惠价格，并提供一张使用日内瓦公共交通系统的免费卡。参与优惠活动的酒店名单以及如何取得折扣的指南见以下网址：</w:t>
      </w:r>
      <w:hyperlink r:id="rId12" w:history="1">
        <w:r w:rsidR="00D41150" w:rsidRPr="005B7064">
          <w:rPr>
            <w:rFonts w:asciiTheme="minorHAnsi" w:eastAsia="SimSun" w:hAnsiTheme="minorHAnsi" w:cstheme="minorHAnsi"/>
            <w:color w:val="0000FF"/>
            <w:u w:val="single"/>
            <w:lang w:eastAsia="zh-CN"/>
          </w:rPr>
          <w:t>http://itu.int/travel/</w:t>
        </w:r>
      </w:hyperlink>
      <w:r w:rsidR="00D41150" w:rsidRPr="005B7064">
        <w:rPr>
          <w:rFonts w:asciiTheme="minorHAnsi" w:eastAsia="SimSun" w:hAnsiTheme="minorHAnsi" w:cstheme="minorHAnsi"/>
          <w:lang w:eastAsia="zh-CN"/>
        </w:rPr>
        <w:t>。</w:t>
      </w:r>
    </w:p>
    <w:p w14:paraId="3B98138B" w14:textId="3F4813C8" w:rsidR="007A7769" w:rsidRPr="005B7064" w:rsidRDefault="007A7769" w:rsidP="00761512">
      <w:pPr>
        <w:widowControl/>
        <w:tabs>
          <w:tab w:val="left" w:pos="454"/>
          <w:tab w:val="left" w:pos="900"/>
          <w:tab w:val="left" w:pos="1134"/>
          <w:tab w:val="left" w:pos="1871"/>
          <w:tab w:val="left" w:pos="2268"/>
        </w:tabs>
        <w:overflowPunct w:val="0"/>
        <w:adjustRightInd w:val="0"/>
        <w:spacing w:before="120"/>
        <w:jc w:val="both"/>
        <w:textAlignment w:val="baseline"/>
        <w:rPr>
          <w:rFonts w:asciiTheme="minorHAnsi" w:eastAsia="Times New Roman" w:hAnsiTheme="minorHAnsi" w:cstheme="minorHAnsi"/>
          <w:highlight w:val="green"/>
          <w:lang w:val="en-GB" w:eastAsia="zh-CN"/>
        </w:rPr>
      </w:pPr>
      <w:r w:rsidRPr="005B7064">
        <w:rPr>
          <w:rFonts w:asciiTheme="minorHAnsi" w:eastAsia="Times New Roman" w:hAnsiTheme="minorHAnsi" w:cstheme="minorHAnsi"/>
          <w:lang w:val="en-GB" w:eastAsia="zh-CN"/>
        </w:rPr>
        <w:t>10</w:t>
      </w:r>
      <w:r w:rsidRPr="005B7064">
        <w:rPr>
          <w:rFonts w:asciiTheme="minorHAnsi" w:eastAsia="Times New Roman" w:hAnsiTheme="minorHAnsi" w:cstheme="minorHAnsi"/>
          <w:lang w:val="en-GB" w:eastAsia="zh-CN"/>
        </w:rPr>
        <w:tab/>
      </w:r>
      <w:r w:rsidR="00D41150" w:rsidRPr="005B7064">
        <w:rPr>
          <w:rFonts w:asciiTheme="minorHAnsi" w:eastAsia="SimSun" w:hAnsiTheme="minorHAnsi" w:cstheme="minorHAnsi"/>
          <w:lang w:val="fr-CH" w:eastAsia="zh-CN"/>
        </w:rPr>
        <w:t>谨</w:t>
      </w:r>
      <w:r w:rsidR="00D41150" w:rsidRPr="005B7064">
        <w:rPr>
          <w:rFonts w:asciiTheme="minorHAnsi" w:eastAsia="SimSun" w:hAnsiTheme="minorHAnsi" w:cstheme="minorHAnsi"/>
          <w:lang w:eastAsia="zh-CN"/>
        </w:rPr>
        <w:t>在此提醒您，一些国家的公民需要获得签证才能入境瑞士并逗留。</w:t>
      </w:r>
      <w:r w:rsidR="00D41150" w:rsidRPr="005B7064">
        <w:rPr>
          <w:rFonts w:asciiTheme="minorHAnsi" w:eastAsia="SimSun" w:hAnsiTheme="minorHAnsi" w:cstheme="minorHAnsi"/>
          <w:b/>
          <w:lang w:eastAsia="zh-CN"/>
        </w:rPr>
        <w:t>签证必须至少在讲习班举办日的四个星期前</w:t>
      </w:r>
      <w:r w:rsidR="00D41150" w:rsidRPr="005B7064">
        <w:rPr>
          <w:rFonts w:asciiTheme="minorHAnsi" w:eastAsia="SimSun" w:hAnsiTheme="minorHAnsi" w:cstheme="minorHAnsi"/>
          <w:bCs/>
          <w:lang w:eastAsia="zh-CN"/>
        </w:rPr>
        <w:t>向驻贵国的瑞士代表机构（使馆或领事馆）申请</w:t>
      </w:r>
      <w:r w:rsidR="002D5634" w:rsidRPr="005B7064">
        <w:rPr>
          <w:rFonts w:asciiTheme="minorHAnsi" w:eastAsia="SimSun" w:hAnsiTheme="minorHAnsi" w:cstheme="minorHAnsi"/>
          <w:bCs/>
          <w:lang w:eastAsia="zh-CN"/>
        </w:rPr>
        <w:t>获</w:t>
      </w:r>
      <w:r w:rsidR="008023D6" w:rsidRPr="005B7064">
        <w:rPr>
          <w:rFonts w:asciiTheme="minorHAnsi" w:eastAsia="SimSun" w:hAnsiTheme="minorHAnsi" w:cstheme="minorHAnsi"/>
          <w:bCs/>
          <w:lang w:eastAsia="zh-CN"/>
        </w:rPr>
        <w:t>取，</w:t>
      </w:r>
      <w:r w:rsidR="00790050" w:rsidRPr="005B7064">
        <w:rPr>
          <w:rFonts w:asciiTheme="minorHAnsi" w:eastAsia="SimSun" w:hAnsiTheme="minorHAnsi" w:cstheme="minorHAnsi"/>
          <w:lang w:eastAsia="zh-CN"/>
        </w:rPr>
        <w:t>如贵国没有此类机构，则请向驻离出发国最近的国家的此类机构申请</w:t>
      </w:r>
      <w:r w:rsidR="002D5634" w:rsidRPr="005B7064">
        <w:rPr>
          <w:rFonts w:asciiTheme="minorHAnsi" w:eastAsia="SimSun" w:hAnsiTheme="minorHAnsi" w:cstheme="minorHAnsi"/>
          <w:lang w:eastAsia="zh-CN"/>
        </w:rPr>
        <w:t>获</w:t>
      </w:r>
      <w:r w:rsidR="00D41150" w:rsidRPr="005B7064">
        <w:rPr>
          <w:rFonts w:asciiTheme="minorHAnsi" w:eastAsia="SimSun" w:hAnsiTheme="minorHAnsi" w:cstheme="minorHAnsi"/>
          <w:lang w:eastAsia="zh-CN"/>
        </w:rPr>
        <w:t>取。</w:t>
      </w:r>
    </w:p>
    <w:p w14:paraId="543295A2" w14:textId="2F283C2F" w:rsidR="007A7769" w:rsidRPr="005B7064" w:rsidRDefault="00D41150" w:rsidP="00761512">
      <w:pPr>
        <w:widowControl/>
        <w:tabs>
          <w:tab w:val="left" w:pos="900"/>
          <w:tab w:val="left" w:pos="1134"/>
          <w:tab w:val="left" w:pos="1871"/>
          <w:tab w:val="left" w:pos="2268"/>
        </w:tabs>
        <w:overflowPunct w:val="0"/>
        <w:adjustRightInd w:val="0"/>
        <w:spacing w:before="120"/>
        <w:ind w:firstLineChars="200" w:firstLine="440"/>
        <w:jc w:val="both"/>
        <w:textAlignment w:val="baseline"/>
        <w:rPr>
          <w:rFonts w:asciiTheme="minorHAnsi" w:eastAsia="Times New Roman" w:hAnsiTheme="minorHAnsi" w:cstheme="minorHAnsi"/>
          <w:b/>
          <w:lang w:val="en-GB" w:eastAsia="zh-CN"/>
        </w:rPr>
      </w:pPr>
      <w:r w:rsidRPr="005B7064">
        <w:rPr>
          <w:rFonts w:asciiTheme="minorHAnsi" w:eastAsia="SimSun" w:hAnsiTheme="minorHAnsi" w:cstheme="minorHAnsi"/>
          <w:lang w:eastAsia="zh-CN"/>
        </w:rPr>
        <w:t>如果遇到问题，国际</w:t>
      </w:r>
      <w:proofErr w:type="gramStart"/>
      <w:r w:rsidRPr="005B7064">
        <w:rPr>
          <w:rFonts w:asciiTheme="minorHAnsi" w:eastAsia="SimSun" w:hAnsiTheme="minorHAnsi" w:cstheme="minorHAnsi"/>
          <w:lang w:eastAsia="zh-CN"/>
        </w:rPr>
        <w:t>电联可根据</w:t>
      </w:r>
      <w:proofErr w:type="gramEnd"/>
      <w:r w:rsidRPr="005B7064">
        <w:rPr>
          <w:rFonts w:asciiTheme="minorHAnsi" w:eastAsia="SimSun" w:hAnsiTheme="minorHAnsi" w:cstheme="minorHAnsi"/>
          <w:b/>
          <w:bCs/>
          <w:lang w:eastAsia="zh-CN"/>
        </w:rPr>
        <w:t>国际电联成员国、部门成员、部门准成员或学术成员</w:t>
      </w:r>
      <w:r w:rsidRPr="005B7064">
        <w:rPr>
          <w:rFonts w:asciiTheme="minorHAnsi" w:eastAsia="SimSun" w:hAnsiTheme="minorHAnsi" w:cstheme="minorHAnsi"/>
          <w:lang w:eastAsia="zh-CN"/>
        </w:rPr>
        <w:t>向电信标准</w:t>
      </w:r>
      <w:r w:rsidR="00940341" w:rsidRPr="005B7064">
        <w:rPr>
          <w:rFonts w:asciiTheme="minorHAnsi" w:eastAsia="SimSun" w:hAnsiTheme="minorHAnsi" w:cstheme="minorHAnsi"/>
          <w:lang w:eastAsia="zh-CN"/>
        </w:rPr>
        <w:t>化局提出的正式请求与有权能的瑞士当局接触，以便为发放签证提供便利</w:t>
      </w:r>
      <w:r w:rsidRPr="005B7064">
        <w:rPr>
          <w:rFonts w:asciiTheme="minorHAnsi" w:eastAsia="SimSun" w:hAnsiTheme="minorHAnsi" w:cstheme="minorHAnsi"/>
          <w:lang w:eastAsia="zh-CN"/>
        </w:rPr>
        <w:t>，但仅限在所述的</w:t>
      </w:r>
      <w:r w:rsidRPr="005B7064">
        <w:rPr>
          <w:rFonts w:asciiTheme="minorHAnsi" w:eastAsia="SimSun" w:hAnsiTheme="minorHAnsi" w:cstheme="minorHAnsi"/>
          <w:b/>
          <w:bCs/>
          <w:lang w:eastAsia="zh-CN"/>
        </w:rPr>
        <w:t>四周</w:t>
      </w:r>
      <w:r w:rsidRPr="005B7064">
        <w:rPr>
          <w:rFonts w:asciiTheme="minorHAnsi" w:eastAsia="SimSun" w:hAnsiTheme="minorHAnsi" w:cstheme="minorHAnsi"/>
          <w:lang w:eastAsia="zh-CN"/>
        </w:rPr>
        <w:t>内。此类请求应至少于活动的四周前</w:t>
      </w:r>
      <w:proofErr w:type="gramStart"/>
      <w:r w:rsidRPr="005B7064">
        <w:rPr>
          <w:rFonts w:asciiTheme="minorHAnsi" w:eastAsia="SimSun" w:hAnsiTheme="minorHAnsi" w:cstheme="minorHAnsi"/>
          <w:lang w:eastAsia="zh-CN"/>
        </w:rPr>
        <w:t>通过勾选注册表</w:t>
      </w:r>
      <w:proofErr w:type="gramEnd"/>
      <w:r w:rsidRPr="005B7064">
        <w:rPr>
          <w:rFonts w:asciiTheme="minorHAnsi" w:eastAsia="SimSun" w:hAnsiTheme="minorHAnsi" w:cstheme="minorHAnsi"/>
          <w:lang w:eastAsia="zh-CN"/>
        </w:rPr>
        <w:t>中的相应方框提出。如有问题，请发送电子邮件至国际电联差旅科（</w:t>
      </w:r>
      <w:hyperlink r:id="rId13" w:history="1">
        <w:r w:rsidRPr="005B7064">
          <w:rPr>
            <w:rFonts w:asciiTheme="minorHAnsi" w:eastAsia="SimSun" w:hAnsiTheme="minorHAnsi" w:cstheme="minorHAnsi"/>
            <w:color w:val="0000FF"/>
            <w:u w:val="single"/>
            <w:lang w:eastAsia="zh-CN"/>
          </w:rPr>
          <w:t>travel@itu.int</w:t>
        </w:r>
      </w:hyperlink>
      <w:r w:rsidRPr="005B7064">
        <w:rPr>
          <w:rFonts w:asciiTheme="minorHAnsi" w:eastAsia="SimSun" w:hAnsiTheme="minorHAnsi" w:cstheme="minorHAnsi"/>
          <w:lang w:eastAsia="zh-CN"/>
        </w:rPr>
        <w:t>），并请注明</w:t>
      </w:r>
      <w:r w:rsidRPr="005B7064">
        <w:rPr>
          <w:rFonts w:asciiTheme="minorHAnsi" w:eastAsia="SimSun" w:hAnsiTheme="minorHAnsi" w:cstheme="minorHAnsi"/>
          <w:lang w:eastAsia="zh-CN"/>
        </w:rPr>
        <w:t>“</w:t>
      </w:r>
      <w:r w:rsidRPr="005B7064">
        <w:rPr>
          <w:rFonts w:asciiTheme="minorHAnsi" w:eastAsia="SimSun" w:hAnsiTheme="minorHAnsi" w:cstheme="minorHAnsi"/>
          <w:lang w:eastAsia="zh-CN"/>
        </w:rPr>
        <w:t>签证协办</w:t>
      </w:r>
      <w:r w:rsidRPr="005B7064">
        <w:rPr>
          <w:rFonts w:asciiTheme="minorHAnsi" w:eastAsia="SimSun" w:hAnsiTheme="minorHAnsi" w:cstheme="minorHAnsi"/>
          <w:lang w:eastAsia="zh-CN"/>
        </w:rPr>
        <w:t>”</w:t>
      </w:r>
      <w:r w:rsidRPr="005B7064">
        <w:rPr>
          <w:rFonts w:asciiTheme="minorHAnsi" w:eastAsia="SimSun" w:hAnsiTheme="minorHAnsi" w:cstheme="minorHAnsi"/>
          <w:lang w:eastAsia="zh-CN"/>
        </w:rPr>
        <w:t>（</w:t>
      </w:r>
      <w:r w:rsidRPr="005B7064">
        <w:rPr>
          <w:rFonts w:asciiTheme="minorHAnsi" w:eastAsia="SimSun" w:hAnsiTheme="minorHAnsi" w:cstheme="minorHAnsi"/>
          <w:lang w:eastAsia="zh-CN"/>
        </w:rPr>
        <w:t>visa support</w:t>
      </w:r>
      <w:r w:rsidRPr="005B7064">
        <w:rPr>
          <w:rFonts w:asciiTheme="minorHAnsi" w:eastAsia="SimSun" w:hAnsiTheme="minorHAnsi" w:cstheme="minorHAnsi"/>
          <w:lang w:eastAsia="zh-CN"/>
        </w:rPr>
        <w:t>）。</w:t>
      </w:r>
    </w:p>
    <w:p w14:paraId="3D7B1AD2" w14:textId="3F356D4E" w:rsidR="00335A10" w:rsidRPr="005B7064" w:rsidRDefault="002D2E16" w:rsidP="00933B15">
      <w:pPr>
        <w:widowControl/>
        <w:tabs>
          <w:tab w:val="left" w:pos="794"/>
          <w:tab w:val="left" w:pos="1191"/>
          <w:tab w:val="left" w:pos="1588"/>
          <w:tab w:val="left" w:pos="1985"/>
        </w:tabs>
        <w:overflowPunct w:val="0"/>
        <w:adjustRightInd w:val="0"/>
        <w:spacing w:before="120"/>
        <w:textAlignment w:val="baseline"/>
        <w:rPr>
          <w:rFonts w:asciiTheme="minorHAnsi" w:hAnsiTheme="minorHAnsi" w:cstheme="minorHAnsi"/>
          <w:lang w:val="en-GB" w:eastAsia="zh-CN"/>
        </w:rPr>
      </w:pPr>
      <w:r>
        <w:rPr>
          <w:rFonts w:asciiTheme="minorHAnsi" w:eastAsia="SimSun" w:hAnsiTheme="minorHAnsi" w:cstheme="minorHAnsi"/>
          <w:noProof/>
          <w:lang w:val="zh-CN" w:eastAsia="zh-CN"/>
        </w:rPr>
        <w:drawing>
          <wp:anchor distT="0" distB="0" distL="114300" distR="114300" simplePos="0" relativeHeight="251658240" behindDoc="1" locked="0" layoutInCell="1" allowOverlap="1" wp14:anchorId="7FAF2CFD" wp14:editId="49BD5666">
            <wp:simplePos x="0" y="0"/>
            <wp:positionH relativeFrom="column">
              <wp:posOffset>-635</wp:posOffset>
            </wp:positionH>
            <wp:positionV relativeFrom="paragraph">
              <wp:posOffset>368300</wp:posOffset>
            </wp:positionV>
            <wp:extent cx="836724" cy="314325"/>
            <wp:effectExtent l="0" t="0" r="1905"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4"/>
                    <a:stretch>
                      <a:fillRect/>
                    </a:stretch>
                  </pic:blipFill>
                  <pic:spPr>
                    <a:xfrm>
                      <a:off x="0" y="0"/>
                      <a:ext cx="836724" cy="314325"/>
                    </a:xfrm>
                    <a:prstGeom prst="rect">
                      <a:avLst/>
                    </a:prstGeom>
                  </pic:spPr>
                </pic:pic>
              </a:graphicData>
            </a:graphic>
            <wp14:sizeRelH relativeFrom="margin">
              <wp14:pctWidth>0</wp14:pctWidth>
            </wp14:sizeRelH>
            <wp14:sizeRelV relativeFrom="margin">
              <wp14:pctHeight>0</wp14:pctHeight>
            </wp14:sizeRelV>
          </wp:anchor>
        </w:drawing>
      </w:r>
      <w:r w:rsidR="00C961F5" w:rsidRPr="005B7064">
        <w:rPr>
          <w:rFonts w:asciiTheme="minorHAnsi" w:eastAsia="SimSun" w:hAnsiTheme="minorHAnsi" w:cstheme="minorHAnsi"/>
          <w:lang w:val="en-GB" w:eastAsia="zh-CN"/>
        </w:rPr>
        <w:t>顺致敬意！</w:t>
      </w:r>
    </w:p>
    <w:tbl>
      <w:tblPr>
        <w:tblpPr w:leftFromText="180" w:rightFromText="180" w:vertAnchor="text" w:tblpX="-142" w:tblpY="437"/>
        <w:tblW w:w="10065" w:type="dxa"/>
        <w:tblLayout w:type="fixed"/>
        <w:tblCellMar>
          <w:left w:w="0" w:type="dxa"/>
          <w:right w:w="0" w:type="dxa"/>
        </w:tblCellMar>
        <w:tblLook w:val="01E0" w:firstRow="1" w:lastRow="1" w:firstColumn="1" w:lastColumn="1" w:noHBand="0" w:noVBand="0"/>
      </w:tblPr>
      <w:tblGrid>
        <w:gridCol w:w="5032"/>
        <w:gridCol w:w="5033"/>
      </w:tblGrid>
      <w:tr w:rsidR="00335A10" w:rsidRPr="005B7064" w14:paraId="47B84411" w14:textId="77777777" w:rsidTr="000E52B5">
        <w:trPr>
          <w:trHeight w:val="971"/>
        </w:trPr>
        <w:tc>
          <w:tcPr>
            <w:tcW w:w="5032" w:type="dxa"/>
          </w:tcPr>
          <w:p w14:paraId="170A6740" w14:textId="253E23E9" w:rsidR="00335A10" w:rsidRPr="005B7064" w:rsidRDefault="00C961F5" w:rsidP="00FF76DE">
            <w:pPr>
              <w:keepNext/>
              <w:keepLines/>
              <w:widowControl/>
              <w:tabs>
                <w:tab w:val="left" w:pos="794"/>
                <w:tab w:val="left" w:pos="1191"/>
                <w:tab w:val="left" w:pos="1588"/>
                <w:tab w:val="left" w:pos="1985"/>
              </w:tabs>
              <w:overflowPunct w:val="0"/>
              <w:adjustRightInd w:val="0"/>
              <w:spacing w:before="480"/>
              <w:ind w:right="-284"/>
              <w:textAlignment w:val="baseline"/>
              <w:rPr>
                <w:rFonts w:asciiTheme="minorHAnsi" w:hAnsiTheme="minorHAnsi" w:cstheme="minorHAnsi"/>
                <w:lang w:eastAsia="zh-CN"/>
              </w:rPr>
            </w:pPr>
            <w:r w:rsidRPr="005B7064">
              <w:rPr>
                <w:rFonts w:asciiTheme="minorHAnsi" w:eastAsia="SimSun" w:hAnsiTheme="minorHAnsi" w:cstheme="minorHAnsi"/>
                <w:lang w:eastAsia="zh-CN"/>
              </w:rPr>
              <w:t>电信标准化局</w:t>
            </w:r>
            <w:r w:rsidR="001D491D" w:rsidRPr="005B7064">
              <w:rPr>
                <w:rFonts w:asciiTheme="minorHAnsi" w:eastAsia="SimSun" w:hAnsiTheme="minorHAnsi" w:cstheme="minorHAnsi"/>
                <w:lang w:eastAsia="zh-CN"/>
              </w:rPr>
              <w:t>（</w:t>
            </w:r>
            <w:r w:rsidR="001D491D" w:rsidRPr="005B7064">
              <w:rPr>
                <w:rFonts w:asciiTheme="minorHAnsi" w:eastAsia="SimSun" w:hAnsiTheme="minorHAnsi" w:cstheme="minorHAnsi"/>
                <w:lang w:eastAsia="zh-CN"/>
              </w:rPr>
              <w:t>TSB</w:t>
            </w:r>
            <w:r w:rsidR="001D491D" w:rsidRPr="005B7064">
              <w:rPr>
                <w:rFonts w:asciiTheme="minorHAnsi" w:eastAsia="SimSun" w:hAnsiTheme="minorHAnsi" w:cstheme="minorHAnsi"/>
                <w:lang w:eastAsia="zh-CN"/>
              </w:rPr>
              <w:t>）</w:t>
            </w:r>
            <w:r w:rsidRPr="005B7064">
              <w:rPr>
                <w:rFonts w:asciiTheme="minorHAnsi" w:eastAsia="SimSun" w:hAnsiTheme="minorHAnsi" w:cstheme="minorHAnsi"/>
                <w:lang w:eastAsia="zh-CN"/>
              </w:rPr>
              <w:t>主任</w:t>
            </w:r>
            <w:r w:rsidR="00FF76DE" w:rsidRPr="005B7064">
              <w:rPr>
                <w:rFonts w:asciiTheme="minorHAnsi" w:hAnsiTheme="minorHAnsi" w:cstheme="minorHAnsi"/>
                <w:lang w:eastAsia="zh-CN"/>
              </w:rPr>
              <w:br/>
            </w:r>
            <w:r w:rsidRPr="005B7064">
              <w:rPr>
                <w:rFonts w:asciiTheme="minorHAnsi" w:eastAsia="SimSun" w:hAnsiTheme="minorHAnsi" w:cstheme="minorHAnsi"/>
                <w:lang w:eastAsia="zh-CN"/>
              </w:rPr>
              <w:t>李在摄</w:t>
            </w:r>
          </w:p>
        </w:tc>
        <w:tc>
          <w:tcPr>
            <w:tcW w:w="5033" w:type="dxa"/>
          </w:tcPr>
          <w:p w14:paraId="05D14106" w14:textId="1ED3E424" w:rsidR="00335A10" w:rsidRPr="005B7064" w:rsidRDefault="00651308" w:rsidP="00FF76DE">
            <w:pPr>
              <w:keepNext/>
              <w:keepLines/>
              <w:widowControl/>
              <w:tabs>
                <w:tab w:val="left" w:pos="794"/>
                <w:tab w:val="left" w:pos="1191"/>
                <w:tab w:val="left" w:pos="1588"/>
                <w:tab w:val="left" w:pos="1985"/>
              </w:tabs>
              <w:overflowPunct w:val="0"/>
              <w:adjustRightInd w:val="0"/>
              <w:spacing w:before="480"/>
              <w:ind w:right="-284"/>
              <w:textAlignment w:val="baseline"/>
              <w:rPr>
                <w:rFonts w:asciiTheme="minorHAnsi" w:hAnsiTheme="minorHAnsi" w:cstheme="minorHAnsi"/>
                <w:lang w:eastAsia="zh-CN"/>
              </w:rPr>
            </w:pPr>
            <w:r w:rsidRPr="005B7064">
              <w:rPr>
                <w:rFonts w:asciiTheme="minorHAnsi" w:eastAsia="SimSun" w:hAnsiTheme="minorHAnsi" w:cstheme="minorHAnsi"/>
                <w:lang w:eastAsia="zh-CN"/>
              </w:rPr>
              <w:t>电信发展局</w:t>
            </w:r>
            <w:r w:rsidR="001D491D" w:rsidRPr="005B7064">
              <w:rPr>
                <w:rFonts w:asciiTheme="minorHAnsi" w:eastAsia="SimSun" w:hAnsiTheme="minorHAnsi" w:cstheme="minorHAnsi"/>
                <w:lang w:eastAsia="zh-CN"/>
              </w:rPr>
              <w:t>（</w:t>
            </w:r>
            <w:r w:rsidR="001D491D" w:rsidRPr="005B7064">
              <w:rPr>
                <w:rFonts w:asciiTheme="minorHAnsi" w:eastAsia="SimSun" w:hAnsiTheme="minorHAnsi" w:cstheme="minorHAnsi"/>
                <w:lang w:eastAsia="zh-CN"/>
              </w:rPr>
              <w:t>BDT</w:t>
            </w:r>
            <w:r w:rsidR="001D491D" w:rsidRPr="005B7064">
              <w:rPr>
                <w:rFonts w:asciiTheme="minorHAnsi" w:eastAsia="SimSun" w:hAnsiTheme="minorHAnsi" w:cstheme="minorHAnsi"/>
                <w:lang w:eastAsia="zh-CN"/>
              </w:rPr>
              <w:t>）</w:t>
            </w:r>
            <w:r w:rsidRPr="005B7064">
              <w:rPr>
                <w:rFonts w:asciiTheme="minorHAnsi" w:eastAsia="SimSun" w:hAnsiTheme="minorHAnsi" w:cstheme="minorHAnsi"/>
                <w:lang w:eastAsia="zh-CN"/>
              </w:rPr>
              <w:t>主任</w:t>
            </w:r>
            <w:r w:rsidR="00FF76DE" w:rsidRPr="005B7064">
              <w:rPr>
                <w:rFonts w:asciiTheme="minorHAnsi" w:hAnsiTheme="minorHAnsi" w:cstheme="minorHAnsi"/>
                <w:lang w:eastAsia="zh-CN"/>
              </w:rPr>
              <w:br/>
            </w:r>
            <w:r w:rsidRPr="005B7064">
              <w:rPr>
                <w:rFonts w:asciiTheme="minorHAnsi" w:eastAsia="SimSun" w:hAnsiTheme="minorHAnsi" w:cstheme="minorHAnsi"/>
                <w:lang w:eastAsia="zh-CN"/>
              </w:rPr>
              <w:t>多琳</w:t>
            </w:r>
            <w:r w:rsidR="00B65ADF" w:rsidRPr="005B7064">
              <w:rPr>
                <w:rFonts w:asciiTheme="minorHAnsi" w:eastAsia="SimSun" w:hAnsiTheme="minorHAnsi" w:cstheme="minorHAnsi"/>
                <w:lang w:eastAsia="zh-CN"/>
              </w:rPr>
              <w:t>·</w:t>
            </w:r>
            <w:r w:rsidRPr="005B7064">
              <w:rPr>
                <w:rFonts w:asciiTheme="minorHAnsi" w:eastAsia="SimSun" w:hAnsiTheme="minorHAnsi" w:cstheme="minorHAnsi"/>
                <w:lang w:eastAsia="zh-CN"/>
              </w:rPr>
              <w:t>伯格丹</w:t>
            </w:r>
            <w:r w:rsidRPr="005B7064">
              <w:rPr>
                <w:rFonts w:asciiTheme="minorHAnsi" w:hAnsiTheme="minorHAnsi" w:cstheme="minorHAnsi"/>
                <w:lang w:eastAsia="zh-CN"/>
              </w:rPr>
              <w:t>-</w:t>
            </w:r>
            <w:r w:rsidR="0069291A" w:rsidRPr="005B7064">
              <w:rPr>
                <w:rFonts w:asciiTheme="minorHAnsi" w:eastAsia="SimSun" w:hAnsiTheme="minorHAnsi" w:cstheme="minorHAnsi"/>
                <w:lang w:eastAsia="zh-CN"/>
              </w:rPr>
              <w:t>马丁</w:t>
            </w:r>
          </w:p>
        </w:tc>
      </w:tr>
    </w:tbl>
    <w:p w14:paraId="587433BD" w14:textId="77777777" w:rsidR="0085787F" w:rsidRPr="005B7064" w:rsidRDefault="0085787F" w:rsidP="0085787F">
      <w:pPr>
        <w:pageBreakBefore/>
        <w:widowControl/>
        <w:tabs>
          <w:tab w:val="left" w:pos="1134"/>
          <w:tab w:val="left" w:pos="1871"/>
          <w:tab w:val="left" w:pos="2268"/>
        </w:tabs>
        <w:overflowPunct w:val="0"/>
        <w:adjustRightInd w:val="0"/>
        <w:spacing w:before="120"/>
        <w:ind w:right="-11"/>
        <w:jc w:val="center"/>
        <w:textAlignment w:val="baseline"/>
        <w:rPr>
          <w:rFonts w:asciiTheme="minorHAnsi" w:eastAsia="Times New Roman" w:hAnsiTheme="minorHAnsi" w:cstheme="minorHAnsi"/>
          <w:b/>
          <w:bCs/>
          <w:lang w:val="en-GB"/>
        </w:rPr>
      </w:pPr>
      <w:r w:rsidRPr="005B7064">
        <w:rPr>
          <w:rFonts w:asciiTheme="minorHAnsi" w:eastAsia="Times New Roman" w:hAnsiTheme="minorHAnsi" w:cstheme="minorHAnsi"/>
          <w:b/>
          <w:bCs/>
          <w:lang w:val="en-GB"/>
        </w:rPr>
        <w:lastRenderedPageBreak/>
        <w:t>Annex – Outline of workshop sessions</w:t>
      </w:r>
    </w:p>
    <w:p w14:paraId="7CF1C1F5" w14:textId="77777777" w:rsidR="0085787F" w:rsidRPr="005B7064" w:rsidRDefault="0085787F" w:rsidP="0085787F">
      <w:pPr>
        <w:widowControl/>
        <w:autoSpaceDE/>
        <w:autoSpaceDN/>
        <w:spacing w:before="240" w:after="120"/>
        <w:jc w:val="both"/>
        <w:rPr>
          <w:rFonts w:asciiTheme="minorHAnsi" w:eastAsia="Times New Roman" w:hAnsiTheme="minorHAnsi" w:cstheme="minorHAnsi"/>
          <w:lang w:val="en-GB"/>
        </w:rPr>
      </w:pPr>
      <w:r w:rsidRPr="005B7064">
        <w:rPr>
          <w:rFonts w:asciiTheme="minorHAnsi" w:eastAsia="Times New Roman" w:hAnsiTheme="minorHAnsi" w:cstheme="minorHAnsi"/>
          <w:lang w:val="en-GB"/>
        </w:rPr>
        <w:t xml:space="preserve">In total, nine sessions (subject to change) are planned during the workshop. For any updates, please see webpage at </w:t>
      </w:r>
      <w:hyperlink r:id="rId15" w:history="1">
        <w:r w:rsidRPr="005B7064">
          <w:rPr>
            <w:rFonts w:asciiTheme="minorHAnsi" w:eastAsia="Times New Roman" w:hAnsiTheme="minorHAnsi" w:cstheme="minorHAnsi"/>
            <w:color w:val="0000FF"/>
            <w:u w:val="single"/>
            <w:lang w:val="en-GB"/>
          </w:rPr>
          <w:t>https://www.itu.int/en/ITU-T/Workshops-and-Seminars/2022/1103/Pages/default.aspx</w:t>
        </w:r>
      </w:hyperlink>
    </w:p>
    <w:p w14:paraId="61AACE36" w14:textId="77777777" w:rsidR="0085787F" w:rsidRPr="005B7064" w:rsidRDefault="0085787F" w:rsidP="0085787F">
      <w:pPr>
        <w:widowControl/>
        <w:autoSpaceDE/>
        <w:autoSpaceDN/>
        <w:spacing w:before="240" w:after="120"/>
        <w:jc w:val="both"/>
        <w:rPr>
          <w:rFonts w:asciiTheme="minorHAnsi" w:eastAsia="Times New Roman" w:hAnsiTheme="minorHAnsi" w:cstheme="minorHAnsi"/>
          <w:b/>
          <w:bCs/>
          <w:lang w:val="en-GB"/>
        </w:rPr>
      </w:pPr>
      <w:r w:rsidRPr="005B7064">
        <w:rPr>
          <w:rFonts w:asciiTheme="minorHAnsi" w:eastAsia="Times New Roman" w:hAnsiTheme="minorHAnsi" w:cstheme="minorHAnsi"/>
          <w:b/>
          <w:bCs/>
          <w:lang w:val="en-GB"/>
        </w:rPr>
        <w:t>Session 1 – Opening</w:t>
      </w:r>
    </w:p>
    <w:p w14:paraId="70B5D158" w14:textId="77777777" w:rsidR="0085787F" w:rsidRPr="005B7064" w:rsidRDefault="0085787F" w:rsidP="0085787F">
      <w:pPr>
        <w:widowControl/>
        <w:autoSpaceDE/>
        <w:autoSpaceDN/>
        <w:spacing w:before="240" w:after="120"/>
        <w:jc w:val="both"/>
        <w:rPr>
          <w:rFonts w:asciiTheme="minorHAnsi" w:eastAsia="Times New Roman" w:hAnsiTheme="minorHAnsi" w:cstheme="minorHAnsi"/>
          <w:b/>
          <w:bCs/>
          <w:lang w:val="en-GB"/>
        </w:rPr>
      </w:pPr>
      <w:r w:rsidRPr="005B7064">
        <w:rPr>
          <w:rFonts w:asciiTheme="minorHAnsi" w:eastAsia="Times New Roman" w:hAnsiTheme="minorHAnsi" w:cstheme="minorHAnsi"/>
          <w:b/>
          <w:bCs/>
          <w:lang w:val="en-GB"/>
        </w:rPr>
        <w:t>Session 2 – Introduction to ITU-T Study Group 3</w:t>
      </w:r>
    </w:p>
    <w:p w14:paraId="0A2D141C" w14:textId="77777777" w:rsidR="0085787F" w:rsidRPr="005B7064" w:rsidRDefault="0085787F" w:rsidP="0085787F">
      <w:pPr>
        <w:widowControl/>
        <w:autoSpaceDE/>
        <w:autoSpaceDN/>
        <w:spacing w:before="240" w:after="120"/>
        <w:jc w:val="both"/>
        <w:rPr>
          <w:rFonts w:asciiTheme="minorHAnsi" w:eastAsia="Times New Roman" w:hAnsiTheme="minorHAnsi" w:cstheme="minorHAnsi"/>
          <w:b/>
          <w:bCs/>
          <w:lang w:val="en-GB"/>
        </w:rPr>
      </w:pPr>
      <w:r w:rsidRPr="005B7064">
        <w:rPr>
          <w:rFonts w:asciiTheme="minorHAnsi" w:eastAsia="Times New Roman" w:hAnsiTheme="minorHAnsi" w:cstheme="minorHAnsi"/>
          <w:b/>
          <w:bCs/>
          <w:lang w:val="en-GB"/>
        </w:rPr>
        <w:t>Session 3 – Industry’s perspectives on the economic and fiscal landscape</w:t>
      </w:r>
    </w:p>
    <w:p w14:paraId="7E692273" w14:textId="77777777" w:rsidR="0085787F" w:rsidRPr="005B7064" w:rsidRDefault="0085787F" w:rsidP="0085787F">
      <w:pPr>
        <w:widowControl/>
        <w:tabs>
          <w:tab w:val="left" w:pos="1134"/>
          <w:tab w:val="left" w:pos="1871"/>
          <w:tab w:val="left" w:pos="2268"/>
        </w:tabs>
        <w:overflowPunct w:val="0"/>
        <w:adjustRightInd w:val="0"/>
        <w:spacing w:before="120" w:after="120"/>
        <w:ind w:left="720"/>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t>In recent years, user demand has driven outstanding growth of data and applications over telecommunication infrastructure, which broadens options of virtual interaction, content consumption and remote communication for people all over the globe.</w:t>
      </w:r>
    </w:p>
    <w:p w14:paraId="225BA365" w14:textId="77777777" w:rsidR="0085787F" w:rsidRPr="005B7064" w:rsidRDefault="0085787F" w:rsidP="0085787F">
      <w:pPr>
        <w:widowControl/>
        <w:tabs>
          <w:tab w:val="left" w:pos="1134"/>
          <w:tab w:val="left" w:pos="1871"/>
          <w:tab w:val="left" w:pos="2268"/>
        </w:tabs>
        <w:overflowPunct w:val="0"/>
        <w:adjustRightInd w:val="0"/>
        <w:spacing w:before="120" w:after="120"/>
        <w:ind w:left="720"/>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t xml:space="preserve">With the increasing presence of these new digital firms, issues arise on the economic impacts of new fiscal </w:t>
      </w:r>
      <w:proofErr w:type="gramStart"/>
      <w:r w:rsidRPr="005B7064">
        <w:rPr>
          <w:rFonts w:asciiTheme="minorHAnsi" w:eastAsia="Times New Roman" w:hAnsiTheme="minorHAnsi" w:cstheme="minorHAnsi"/>
          <w:lang w:val="en-GB"/>
        </w:rPr>
        <w:t>instruments;</w:t>
      </w:r>
      <w:proofErr w:type="gramEnd"/>
      <w:r w:rsidRPr="005B7064">
        <w:rPr>
          <w:rFonts w:asciiTheme="minorHAnsi" w:eastAsia="Times New Roman" w:hAnsiTheme="minorHAnsi" w:cstheme="minorHAnsi"/>
          <w:lang w:val="en-GB"/>
        </w:rPr>
        <w:t xml:space="preserve"> for instance, on investments, forms of cooperation between traditional telecommunication operators and OTT application service providers, among others.</w:t>
      </w:r>
    </w:p>
    <w:p w14:paraId="309818DB" w14:textId="77777777" w:rsidR="0085787F" w:rsidRPr="005B7064" w:rsidRDefault="0085787F" w:rsidP="0085787F">
      <w:pPr>
        <w:widowControl/>
        <w:tabs>
          <w:tab w:val="left" w:pos="1134"/>
          <w:tab w:val="left" w:pos="1871"/>
          <w:tab w:val="left" w:pos="2268"/>
        </w:tabs>
        <w:overflowPunct w:val="0"/>
        <w:adjustRightInd w:val="0"/>
        <w:spacing w:before="120" w:after="120"/>
        <w:ind w:left="720"/>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t xml:space="preserve">Some parts of the telecommunications industry have proposed to apply the “sending-party-network-pays system” (SPNP) and have called for some form of an Internet usage/traffic tax, </w:t>
      </w:r>
      <w:proofErr w:type="gramStart"/>
      <w:r w:rsidRPr="005B7064">
        <w:rPr>
          <w:rFonts w:asciiTheme="minorHAnsi" w:eastAsia="Times New Roman" w:hAnsiTheme="minorHAnsi" w:cstheme="minorHAnsi"/>
          <w:lang w:val="en-GB"/>
        </w:rPr>
        <w:t>levies</w:t>
      </w:r>
      <w:proofErr w:type="gramEnd"/>
      <w:r w:rsidRPr="005B7064">
        <w:rPr>
          <w:rFonts w:asciiTheme="minorHAnsi" w:eastAsia="Times New Roman" w:hAnsiTheme="minorHAnsi" w:cstheme="minorHAnsi"/>
          <w:lang w:val="en-GB"/>
        </w:rPr>
        <w:t xml:space="preserve"> or fees on “big technology content and service provider companies” and ISPs to help provide cost recovery for telecom service providers’ investments. However, some parts of the wider Internet ecosystem have cautioned that such approaches could be counterproductive.</w:t>
      </w:r>
    </w:p>
    <w:p w14:paraId="55FE681E" w14:textId="77777777" w:rsidR="0085787F" w:rsidRPr="005B7064" w:rsidRDefault="0085787F" w:rsidP="0085787F">
      <w:pPr>
        <w:widowControl/>
        <w:tabs>
          <w:tab w:val="left" w:pos="1134"/>
          <w:tab w:val="left" w:pos="1871"/>
          <w:tab w:val="left" w:pos="2268"/>
        </w:tabs>
        <w:overflowPunct w:val="0"/>
        <w:adjustRightInd w:val="0"/>
        <w:spacing w:before="120" w:after="120"/>
        <w:ind w:left="720"/>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t>This session aims to gather the various industry perspectives on the economic, regulatory, and fiscal landscape in which telecom operators and content and application providers operate.</w:t>
      </w:r>
    </w:p>
    <w:p w14:paraId="1BED2995" w14:textId="77777777" w:rsidR="0085787F" w:rsidRPr="005B7064" w:rsidRDefault="0085787F" w:rsidP="0085787F">
      <w:pPr>
        <w:widowControl/>
        <w:autoSpaceDE/>
        <w:autoSpaceDN/>
        <w:spacing w:before="240" w:after="120"/>
        <w:jc w:val="both"/>
        <w:rPr>
          <w:rFonts w:asciiTheme="minorHAnsi" w:eastAsia="Times New Roman" w:hAnsiTheme="minorHAnsi" w:cstheme="minorHAnsi"/>
          <w:b/>
          <w:bCs/>
          <w:lang w:val="en-GB"/>
        </w:rPr>
      </w:pPr>
      <w:r w:rsidRPr="005B7064">
        <w:rPr>
          <w:rFonts w:asciiTheme="minorHAnsi" w:eastAsia="Times New Roman" w:hAnsiTheme="minorHAnsi" w:cstheme="minorHAnsi"/>
          <w:b/>
          <w:bCs/>
          <w:lang w:val="en-GB"/>
        </w:rPr>
        <w:t>Session 4 – ICT market impacts of international tax agreements</w:t>
      </w:r>
    </w:p>
    <w:p w14:paraId="7460F512" w14:textId="77777777" w:rsidR="0085787F" w:rsidRPr="005B7064" w:rsidRDefault="0085787F" w:rsidP="0085787F">
      <w:pPr>
        <w:widowControl/>
        <w:tabs>
          <w:tab w:val="left" w:pos="1134"/>
          <w:tab w:val="left" w:pos="1871"/>
          <w:tab w:val="left" w:pos="2268"/>
        </w:tabs>
        <w:overflowPunct w:val="0"/>
        <w:adjustRightInd w:val="0"/>
        <w:spacing w:before="120" w:after="120"/>
        <w:ind w:left="720"/>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t xml:space="preserve">As investments around the world advance towards globalized intangible digital service-based assets, so do tax systems </w:t>
      </w:r>
      <w:proofErr w:type="gramStart"/>
      <w:r w:rsidRPr="005B7064">
        <w:rPr>
          <w:rFonts w:asciiTheme="minorHAnsi" w:eastAsia="Times New Roman" w:hAnsiTheme="minorHAnsi" w:cstheme="minorHAnsi"/>
          <w:lang w:val="en-GB"/>
        </w:rPr>
        <w:t>in order to</w:t>
      </w:r>
      <w:proofErr w:type="gramEnd"/>
      <w:r w:rsidRPr="005B7064">
        <w:rPr>
          <w:rFonts w:asciiTheme="minorHAnsi" w:eastAsia="Times New Roman" w:hAnsiTheme="minorHAnsi" w:cstheme="minorHAnsi"/>
          <w:lang w:val="en-GB"/>
        </w:rPr>
        <w:t xml:space="preserve"> adapt to the 21st century production structure. Given the importance of cross-border transactions, a commitment for international coordination on taxation was made through the OECD/G20 Inclusive Framework on Base Erosion and Profit Shifting (BEPS).</w:t>
      </w:r>
    </w:p>
    <w:p w14:paraId="46A6995E" w14:textId="77777777" w:rsidR="0085787F" w:rsidRPr="005B7064" w:rsidRDefault="0085787F" w:rsidP="0085787F">
      <w:pPr>
        <w:widowControl/>
        <w:tabs>
          <w:tab w:val="left" w:pos="1134"/>
          <w:tab w:val="left" w:pos="1871"/>
          <w:tab w:val="left" w:pos="2268"/>
        </w:tabs>
        <w:overflowPunct w:val="0"/>
        <w:adjustRightInd w:val="0"/>
        <w:spacing w:before="120" w:after="120"/>
        <w:ind w:left="720"/>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t>The OECD/G20 Inclusive Framework on BEPS has agreed a two-pillar solution to address the tax challenges arising from the digitalisation of the economy. Agreed by more than 135 countries and jurisdictions, representing more than 90 per cent of global GDP, this landmark deal represents a historic achievement towards a more stable and fairer international tax system.</w:t>
      </w:r>
    </w:p>
    <w:p w14:paraId="00567F4C" w14:textId="77777777" w:rsidR="0085787F" w:rsidRPr="005B7064" w:rsidRDefault="0085787F" w:rsidP="0085787F">
      <w:pPr>
        <w:widowControl/>
        <w:tabs>
          <w:tab w:val="left" w:pos="1134"/>
          <w:tab w:val="left" w:pos="1871"/>
          <w:tab w:val="left" w:pos="2268"/>
        </w:tabs>
        <w:overflowPunct w:val="0"/>
        <w:adjustRightInd w:val="0"/>
        <w:spacing w:before="120" w:after="120"/>
        <w:ind w:left="720"/>
        <w:contextualSpacing/>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t>This session aims to provide participants with a thorough understanding of the efforts undertaken in this initiative in terms of the tax challenges arising from the digitalization of the economy such as on automated digital services and on multinational enterprise business taxation. It also has the objective of broadening the knowledge on relevant aspects which relate to the ICT and telecommunication sector, as well as to possible outcomes on companies that operate over telecommunication infrastructure.</w:t>
      </w:r>
    </w:p>
    <w:p w14:paraId="115E396A" w14:textId="77777777" w:rsidR="0085787F" w:rsidRPr="005B7064" w:rsidRDefault="0085787F" w:rsidP="004034FE">
      <w:pPr>
        <w:pageBreakBefore/>
        <w:widowControl/>
        <w:autoSpaceDE/>
        <w:autoSpaceDN/>
        <w:spacing w:before="240" w:after="120"/>
        <w:jc w:val="both"/>
        <w:rPr>
          <w:rFonts w:asciiTheme="minorHAnsi" w:eastAsia="Times New Roman" w:hAnsiTheme="minorHAnsi" w:cstheme="minorHAnsi"/>
          <w:b/>
          <w:lang w:val="en-GB"/>
        </w:rPr>
      </w:pPr>
      <w:r w:rsidRPr="005B7064">
        <w:rPr>
          <w:rFonts w:asciiTheme="minorHAnsi" w:eastAsia="Times New Roman" w:hAnsiTheme="minorHAnsi" w:cstheme="minorHAnsi"/>
          <w:b/>
          <w:lang w:val="en-GB"/>
        </w:rPr>
        <w:lastRenderedPageBreak/>
        <w:t>Session 5 – International aspects, and multistakeholder impacts of established and new fiscal instruments</w:t>
      </w:r>
    </w:p>
    <w:p w14:paraId="66CD50D4" w14:textId="77777777" w:rsidR="0085787F" w:rsidRPr="005B7064" w:rsidRDefault="0085787F" w:rsidP="0085787F">
      <w:pPr>
        <w:widowControl/>
        <w:tabs>
          <w:tab w:val="left" w:pos="1134"/>
          <w:tab w:val="left" w:pos="1871"/>
          <w:tab w:val="left" w:pos="2268"/>
        </w:tabs>
        <w:overflowPunct w:val="0"/>
        <w:adjustRightInd w:val="0"/>
        <w:spacing w:before="120" w:after="120"/>
        <w:ind w:left="720"/>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t xml:space="preserve">There is an ongoing need to encourage investment in telecom infrastructure, particularly in new deployments and continual upgrades, especially in rural areas, to help close the digital divide. This raises the question of which funds, fiscal instruments, </w:t>
      </w:r>
      <w:proofErr w:type="gramStart"/>
      <w:r w:rsidRPr="005B7064">
        <w:rPr>
          <w:rFonts w:asciiTheme="minorHAnsi" w:eastAsia="Times New Roman" w:hAnsiTheme="minorHAnsi" w:cstheme="minorHAnsi"/>
          <w:lang w:val="en-GB"/>
        </w:rPr>
        <w:t>incentives</w:t>
      </w:r>
      <w:proofErr w:type="gramEnd"/>
      <w:r w:rsidRPr="005B7064">
        <w:rPr>
          <w:rFonts w:asciiTheme="minorHAnsi" w:eastAsia="Times New Roman" w:hAnsiTheme="minorHAnsi" w:cstheme="minorHAnsi"/>
          <w:lang w:val="en-GB"/>
        </w:rPr>
        <w:t xml:space="preserve"> and other measures could be most appropriate and effective in bridging the digital divide and in supporting the digital transformation.</w:t>
      </w:r>
    </w:p>
    <w:p w14:paraId="6DA2BB7F" w14:textId="77777777" w:rsidR="0085787F" w:rsidRPr="005B7064" w:rsidRDefault="0085787F" w:rsidP="0085787F">
      <w:pPr>
        <w:widowControl/>
        <w:tabs>
          <w:tab w:val="left" w:pos="1134"/>
          <w:tab w:val="left" w:pos="1871"/>
          <w:tab w:val="left" w:pos="2268"/>
        </w:tabs>
        <w:overflowPunct w:val="0"/>
        <w:adjustRightInd w:val="0"/>
        <w:spacing w:before="120" w:after="120"/>
        <w:ind w:left="720"/>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t>There are challenges to Universal Service Funds (USF), which are shrinking as they are derived from telecom voice service revenues, affecting especially developing countries with varying economic consequences. Suggestions have been made to rescope or reform the service funds and derive them from broadband data service revenues, as well as to request “Big Tech” companies to contribute to universal service obligations.</w:t>
      </w:r>
    </w:p>
    <w:p w14:paraId="16FFEB6E" w14:textId="77777777" w:rsidR="0085787F" w:rsidRPr="005B7064" w:rsidRDefault="0085787F" w:rsidP="0085787F">
      <w:pPr>
        <w:widowControl/>
        <w:tabs>
          <w:tab w:val="left" w:pos="1134"/>
          <w:tab w:val="left" w:pos="1871"/>
          <w:tab w:val="left" w:pos="2268"/>
        </w:tabs>
        <w:overflowPunct w:val="0"/>
        <w:adjustRightInd w:val="0"/>
        <w:spacing w:before="120" w:after="120"/>
        <w:ind w:left="720"/>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t xml:space="preserve">There are also debates surrounding applying the “sending-party-network-pays system” (SPNP) and/or some form of an Internet usage/traffic tax, levies or fees on “big technology content and service provider </w:t>
      </w:r>
      <w:proofErr w:type="gramStart"/>
      <w:r w:rsidRPr="005B7064">
        <w:rPr>
          <w:rFonts w:asciiTheme="minorHAnsi" w:eastAsia="Times New Roman" w:hAnsiTheme="minorHAnsi" w:cstheme="minorHAnsi"/>
          <w:lang w:val="en-GB"/>
        </w:rPr>
        <w:t>companies“ and</w:t>
      </w:r>
      <w:proofErr w:type="gramEnd"/>
      <w:r w:rsidRPr="005B7064">
        <w:rPr>
          <w:rFonts w:asciiTheme="minorHAnsi" w:eastAsia="Times New Roman" w:hAnsiTheme="minorHAnsi" w:cstheme="minorHAnsi"/>
          <w:lang w:val="en-GB"/>
        </w:rPr>
        <w:t xml:space="preserve"> ISPs to help provide cost recovery for telecom service providers’ investments. </w:t>
      </w:r>
    </w:p>
    <w:p w14:paraId="72F78AD6" w14:textId="77777777" w:rsidR="0085787F" w:rsidRPr="005B7064" w:rsidRDefault="0085787F" w:rsidP="0085787F">
      <w:pPr>
        <w:widowControl/>
        <w:tabs>
          <w:tab w:val="left" w:pos="1134"/>
          <w:tab w:val="left" w:pos="1871"/>
          <w:tab w:val="left" w:pos="2268"/>
        </w:tabs>
        <w:overflowPunct w:val="0"/>
        <w:adjustRightInd w:val="0"/>
        <w:spacing w:before="120" w:after="120"/>
        <w:ind w:left="720"/>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t>Recently established European regulations such as the Digital Market Act and Digital Service Act that address digital/online platforms will be considered in this session, as well as the WTO moratorium not to impose customs duties on electronic transmissions, and an expected Connectivity Infrastructure Act.</w:t>
      </w:r>
    </w:p>
    <w:p w14:paraId="1D963692" w14:textId="77777777" w:rsidR="0085787F" w:rsidRPr="005B7064" w:rsidRDefault="0085787F" w:rsidP="0085787F">
      <w:pPr>
        <w:widowControl/>
        <w:tabs>
          <w:tab w:val="left" w:pos="1134"/>
          <w:tab w:val="left" w:pos="1871"/>
          <w:tab w:val="left" w:pos="2268"/>
        </w:tabs>
        <w:overflowPunct w:val="0"/>
        <w:adjustRightInd w:val="0"/>
        <w:spacing w:before="120" w:after="120"/>
        <w:ind w:left="720"/>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t xml:space="preserve">A key objective of the session is to facilitate a dialogue among the experts regarding how they understand the economic consequences and regulatory implications of some Internet usage/traffic tax compared with other fiscal instruments such as tax relief, incentives and subsidies, and alternatives or other cost-sharing approaches. This includes considering compatibility with net-neutrality principles, the potential impact on innovation and competition, and the relationship with other forms of digital taxes, as well as the risk of double/over-taxation.  </w:t>
      </w:r>
    </w:p>
    <w:p w14:paraId="26B83836" w14:textId="77777777" w:rsidR="0085787F" w:rsidRPr="005B7064" w:rsidRDefault="0085787F" w:rsidP="0085787F">
      <w:pPr>
        <w:widowControl/>
        <w:tabs>
          <w:tab w:val="left" w:pos="794"/>
          <w:tab w:val="left" w:pos="1134"/>
          <w:tab w:val="left" w:pos="1191"/>
          <w:tab w:val="left" w:pos="1588"/>
          <w:tab w:val="left" w:pos="1871"/>
          <w:tab w:val="left" w:pos="1985"/>
          <w:tab w:val="left" w:pos="2268"/>
        </w:tabs>
        <w:overflowPunct w:val="0"/>
        <w:adjustRightInd w:val="0"/>
        <w:spacing w:before="240"/>
        <w:jc w:val="both"/>
        <w:textAlignment w:val="baseline"/>
        <w:rPr>
          <w:rFonts w:asciiTheme="minorHAnsi" w:eastAsia="Times New Roman" w:hAnsiTheme="minorHAnsi" w:cstheme="minorHAnsi"/>
          <w:b/>
          <w:bCs/>
          <w:lang w:val="en-GB"/>
        </w:rPr>
      </w:pPr>
      <w:r w:rsidRPr="005B7064">
        <w:rPr>
          <w:rFonts w:asciiTheme="minorHAnsi" w:eastAsia="Times New Roman" w:hAnsiTheme="minorHAnsi" w:cstheme="minorHAnsi"/>
          <w:b/>
          <w:bCs/>
          <w:lang w:val="en-GB"/>
        </w:rPr>
        <w:t>Session 6 – Digital Inclusion in the Civil Society</w:t>
      </w:r>
    </w:p>
    <w:p w14:paraId="045139CD" w14:textId="77777777" w:rsidR="0085787F" w:rsidRPr="005B7064" w:rsidRDefault="0085787F" w:rsidP="0085787F">
      <w:pPr>
        <w:widowControl/>
        <w:tabs>
          <w:tab w:val="left" w:pos="1134"/>
          <w:tab w:val="left" w:pos="1871"/>
          <w:tab w:val="left" w:pos="2268"/>
        </w:tabs>
        <w:overflowPunct w:val="0"/>
        <w:adjustRightInd w:val="0"/>
        <w:spacing w:before="120" w:after="120"/>
        <w:ind w:left="720"/>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t>As the world becomes increasingly digital, and new forms of fiscal instrument potentially arise in response, it is vital to consider the issue of digital inclusion – and especially views on this matter from the perspective of Civil Society.</w:t>
      </w:r>
    </w:p>
    <w:p w14:paraId="3B231A35" w14:textId="77777777" w:rsidR="0085787F" w:rsidRPr="005B7064" w:rsidRDefault="0085787F" w:rsidP="0085787F">
      <w:pPr>
        <w:widowControl/>
        <w:tabs>
          <w:tab w:val="left" w:pos="1134"/>
          <w:tab w:val="left" w:pos="1871"/>
          <w:tab w:val="left" w:pos="2268"/>
        </w:tabs>
        <w:overflowPunct w:val="0"/>
        <w:adjustRightInd w:val="0"/>
        <w:spacing w:before="120" w:after="120"/>
        <w:ind w:left="720"/>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t>For instance, recent pandemics put into perspective the importance of connectivity to the people and the economy. It is, therefore, vital to consider economic barriers, regulatory measures and fiscal incentives which could help address digital inclusion, including affordability and availability of traditional and digital services.</w:t>
      </w:r>
    </w:p>
    <w:p w14:paraId="4CB12797" w14:textId="77777777" w:rsidR="0085787F" w:rsidRPr="005B7064" w:rsidRDefault="0085787F" w:rsidP="0085787F">
      <w:pPr>
        <w:widowControl/>
        <w:tabs>
          <w:tab w:val="left" w:pos="1134"/>
          <w:tab w:val="left" w:pos="1871"/>
          <w:tab w:val="left" w:pos="2268"/>
        </w:tabs>
        <w:overflowPunct w:val="0"/>
        <w:adjustRightInd w:val="0"/>
        <w:spacing w:before="120" w:after="120"/>
        <w:ind w:left="720"/>
        <w:contextualSpacing/>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t>The objective of this session is to gather information on these issues through the lens of Civil Society, and especially from the perspective of consumers.</w:t>
      </w:r>
    </w:p>
    <w:p w14:paraId="43489882" w14:textId="77777777" w:rsidR="0085787F" w:rsidRPr="005B7064" w:rsidRDefault="0085787F" w:rsidP="0085787F">
      <w:pPr>
        <w:widowControl/>
        <w:tabs>
          <w:tab w:val="left" w:pos="794"/>
          <w:tab w:val="left" w:pos="1134"/>
          <w:tab w:val="left" w:pos="1191"/>
          <w:tab w:val="left" w:pos="1588"/>
          <w:tab w:val="left" w:pos="1871"/>
          <w:tab w:val="left" w:pos="1985"/>
          <w:tab w:val="left" w:pos="2268"/>
        </w:tabs>
        <w:overflowPunct w:val="0"/>
        <w:adjustRightInd w:val="0"/>
        <w:spacing w:before="240"/>
        <w:jc w:val="both"/>
        <w:textAlignment w:val="baseline"/>
        <w:rPr>
          <w:rFonts w:asciiTheme="minorHAnsi" w:eastAsia="Times New Roman" w:hAnsiTheme="minorHAnsi" w:cstheme="minorHAnsi"/>
          <w:b/>
          <w:bCs/>
          <w:lang w:val="en-GB"/>
        </w:rPr>
      </w:pPr>
      <w:r w:rsidRPr="005B7064">
        <w:rPr>
          <w:rFonts w:asciiTheme="minorHAnsi" w:eastAsia="Times New Roman" w:hAnsiTheme="minorHAnsi" w:cstheme="minorHAnsi"/>
          <w:b/>
          <w:bCs/>
          <w:lang w:val="en-GB"/>
        </w:rPr>
        <w:t>Session 7 – Diversity of fiscal incentives in the world</w:t>
      </w:r>
    </w:p>
    <w:p w14:paraId="530F8619" w14:textId="77777777" w:rsidR="0085787F" w:rsidRPr="005B7064" w:rsidRDefault="0085787F" w:rsidP="0085787F">
      <w:pPr>
        <w:widowControl/>
        <w:tabs>
          <w:tab w:val="left" w:pos="1134"/>
          <w:tab w:val="left" w:pos="1871"/>
          <w:tab w:val="left" w:pos="2268"/>
        </w:tabs>
        <w:overflowPunct w:val="0"/>
        <w:adjustRightInd w:val="0"/>
        <w:spacing w:before="120" w:after="120"/>
        <w:ind w:left="720"/>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t xml:space="preserve">The 2011 ITU Workshop on “Taxation of Telecommunication Services and Related Products” examined the desirability of taxing telecommunications services, especially in developing countries, and discussed factors that should be considered </w:t>
      </w:r>
      <w:proofErr w:type="gramStart"/>
      <w:r w:rsidRPr="005B7064">
        <w:rPr>
          <w:rFonts w:asciiTheme="minorHAnsi" w:eastAsia="Times New Roman" w:hAnsiTheme="minorHAnsi" w:cstheme="minorHAnsi"/>
          <w:lang w:val="en-GB"/>
        </w:rPr>
        <w:t>in order to</w:t>
      </w:r>
      <w:proofErr w:type="gramEnd"/>
      <w:r w:rsidRPr="005B7064">
        <w:rPr>
          <w:rFonts w:asciiTheme="minorHAnsi" w:eastAsia="Times New Roman" w:hAnsiTheme="minorHAnsi" w:cstheme="minorHAnsi"/>
          <w:lang w:val="en-GB"/>
        </w:rPr>
        <w:t xml:space="preserve"> strike an appropriate balance between the goals of raising revenues and facilitating economic expansion throughout the telecommunications sector.</w:t>
      </w:r>
    </w:p>
    <w:p w14:paraId="159842E1" w14:textId="77777777" w:rsidR="0085787F" w:rsidRPr="005B7064" w:rsidRDefault="0085787F" w:rsidP="0085787F">
      <w:pPr>
        <w:widowControl/>
        <w:tabs>
          <w:tab w:val="left" w:pos="1134"/>
          <w:tab w:val="left" w:pos="1871"/>
          <w:tab w:val="left" w:pos="2268"/>
        </w:tabs>
        <w:overflowPunct w:val="0"/>
        <w:adjustRightInd w:val="0"/>
        <w:spacing w:before="120" w:after="120"/>
        <w:ind w:left="720"/>
        <w:contextualSpacing/>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t>That workshop received presentations from countries and ITU members reporting on their experiences with taxation of telecommunications. More than a decade later, there have been outstanding technological innovations and the emergence of new business models and new forms of taxation.</w:t>
      </w:r>
    </w:p>
    <w:p w14:paraId="0D4A6465" w14:textId="77777777" w:rsidR="0085787F" w:rsidRPr="005B7064" w:rsidRDefault="0085787F" w:rsidP="0085787F">
      <w:pPr>
        <w:widowControl/>
        <w:tabs>
          <w:tab w:val="left" w:pos="1134"/>
          <w:tab w:val="left" w:pos="1871"/>
          <w:tab w:val="left" w:pos="2268"/>
        </w:tabs>
        <w:overflowPunct w:val="0"/>
        <w:adjustRightInd w:val="0"/>
        <w:spacing w:before="120" w:after="120"/>
        <w:ind w:left="720"/>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t xml:space="preserve">In this context, the objective of this session is to explore some of the various approaches to fiscal instruments that relate to telecommunications/ICT and OTTs in recent </w:t>
      </w:r>
      <w:proofErr w:type="gramStart"/>
      <w:r w:rsidRPr="005B7064">
        <w:rPr>
          <w:rFonts w:asciiTheme="minorHAnsi" w:eastAsia="Times New Roman" w:hAnsiTheme="minorHAnsi" w:cstheme="minorHAnsi"/>
          <w:lang w:val="en-GB"/>
        </w:rPr>
        <w:t>years, and</w:t>
      </w:r>
      <w:proofErr w:type="gramEnd"/>
      <w:r w:rsidRPr="005B7064">
        <w:rPr>
          <w:rFonts w:asciiTheme="minorHAnsi" w:eastAsia="Times New Roman" w:hAnsiTheme="minorHAnsi" w:cstheme="minorHAnsi"/>
          <w:lang w:val="en-GB"/>
        </w:rPr>
        <w:t xml:space="preserve"> considering how these national experiences can support collaboration at the regional and international levels.</w:t>
      </w:r>
    </w:p>
    <w:p w14:paraId="79FA2212" w14:textId="77777777" w:rsidR="0085787F" w:rsidRPr="005B7064" w:rsidRDefault="0085787F" w:rsidP="0085787F">
      <w:pPr>
        <w:widowControl/>
        <w:tabs>
          <w:tab w:val="left" w:pos="794"/>
          <w:tab w:val="left" w:pos="1134"/>
          <w:tab w:val="left" w:pos="1191"/>
          <w:tab w:val="left" w:pos="1588"/>
          <w:tab w:val="left" w:pos="1871"/>
          <w:tab w:val="left" w:pos="1985"/>
          <w:tab w:val="left" w:pos="2268"/>
        </w:tabs>
        <w:overflowPunct w:val="0"/>
        <w:adjustRightInd w:val="0"/>
        <w:spacing w:before="240"/>
        <w:jc w:val="both"/>
        <w:textAlignment w:val="baseline"/>
        <w:rPr>
          <w:rFonts w:asciiTheme="minorHAnsi" w:eastAsia="Times New Roman" w:hAnsiTheme="minorHAnsi" w:cstheme="minorHAnsi"/>
          <w:b/>
          <w:bCs/>
          <w:lang w:val="en-GB"/>
        </w:rPr>
      </w:pPr>
      <w:r w:rsidRPr="005B7064">
        <w:rPr>
          <w:rFonts w:asciiTheme="minorHAnsi" w:eastAsia="Times New Roman" w:hAnsiTheme="minorHAnsi" w:cstheme="minorHAnsi"/>
          <w:b/>
          <w:bCs/>
          <w:lang w:val="en-GB"/>
        </w:rPr>
        <w:t>Session 8 – Research perspectives on challenges for the digital transformation</w:t>
      </w:r>
    </w:p>
    <w:p w14:paraId="0BFA1343" w14:textId="77777777" w:rsidR="0085787F" w:rsidRPr="005B7064" w:rsidRDefault="0085787F" w:rsidP="0085787F">
      <w:pPr>
        <w:widowControl/>
        <w:tabs>
          <w:tab w:val="left" w:pos="1134"/>
          <w:tab w:val="left" w:pos="1871"/>
          <w:tab w:val="left" w:pos="2268"/>
        </w:tabs>
        <w:overflowPunct w:val="0"/>
        <w:adjustRightInd w:val="0"/>
        <w:spacing w:before="120" w:after="120"/>
        <w:ind w:left="720"/>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t>As the digital transformation advances, featuring in this context the emergence and development of OTTs, new forms of fiscal policy and regulatory apparatus have appeared, each based on different premises for how state intervention can be shaped to address pertinent public policy issues.</w:t>
      </w:r>
    </w:p>
    <w:p w14:paraId="13C1BB99" w14:textId="77777777" w:rsidR="0085787F" w:rsidRPr="005B7064" w:rsidRDefault="0085787F" w:rsidP="0085787F">
      <w:pPr>
        <w:widowControl/>
        <w:tabs>
          <w:tab w:val="left" w:pos="1134"/>
          <w:tab w:val="left" w:pos="1871"/>
          <w:tab w:val="left" w:pos="2268"/>
        </w:tabs>
        <w:overflowPunct w:val="0"/>
        <w:adjustRightInd w:val="0"/>
        <w:spacing w:before="120" w:after="120"/>
        <w:ind w:left="720"/>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lastRenderedPageBreak/>
        <w:t>Theoretically, these forms of economic and fiscal incentives should be based on their predicted impact on society. In this analysis, there is a space for the technical consideration of several issues that represent common international challenges. These issues may encompass competition and a level playing field, digital divide, macro and microeconomic effects of those state instruments, economic tax burden and others. Eventually, these various conclusions may lead to policy implications and best practices.</w:t>
      </w:r>
    </w:p>
    <w:p w14:paraId="0A469049" w14:textId="77777777" w:rsidR="0085787F" w:rsidRPr="005B7064" w:rsidRDefault="0085787F" w:rsidP="0085787F">
      <w:pPr>
        <w:widowControl/>
        <w:tabs>
          <w:tab w:val="left" w:pos="1134"/>
          <w:tab w:val="left" w:pos="1871"/>
          <w:tab w:val="left" w:pos="2268"/>
        </w:tabs>
        <w:overflowPunct w:val="0"/>
        <w:adjustRightInd w:val="0"/>
        <w:spacing w:before="120" w:after="120"/>
        <w:ind w:left="720"/>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t>This session aims to explore some of these issues through the perspective of independent researchers, focusing on technical points relevant to this debate.</w:t>
      </w:r>
    </w:p>
    <w:p w14:paraId="501A00BC" w14:textId="77777777" w:rsidR="0085787F" w:rsidRPr="005B7064" w:rsidRDefault="0085787F" w:rsidP="0085787F">
      <w:pPr>
        <w:widowControl/>
        <w:tabs>
          <w:tab w:val="left" w:pos="1134"/>
          <w:tab w:val="left" w:pos="1871"/>
          <w:tab w:val="left" w:pos="2268"/>
        </w:tabs>
        <w:overflowPunct w:val="0"/>
        <w:adjustRightInd w:val="0"/>
        <w:spacing w:before="120"/>
        <w:jc w:val="both"/>
        <w:textAlignment w:val="baseline"/>
        <w:rPr>
          <w:rFonts w:asciiTheme="minorHAnsi" w:eastAsia="Times New Roman" w:hAnsiTheme="minorHAnsi" w:cstheme="minorHAnsi"/>
          <w:b/>
          <w:bCs/>
          <w:lang w:val="en-GB"/>
        </w:rPr>
      </w:pPr>
      <w:r w:rsidRPr="005B7064">
        <w:rPr>
          <w:rFonts w:asciiTheme="minorHAnsi" w:eastAsia="Times New Roman" w:hAnsiTheme="minorHAnsi" w:cstheme="minorHAnsi"/>
          <w:b/>
          <w:bCs/>
          <w:lang w:val="en-GB"/>
        </w:rPr>
        <w:t>Session 9 – Closing.</w:t>
      </w:r>
    </w:p>
    <w:p w14:paraId="109AF954" w14:textId="77777777" w:rsidR="0085787F" w:rsidRPr="005B7064" w:rsidRDefault="0085787F" w:rsidP="0085787F">
      <w:pPr>
        <w:pageBreakBefore/>
        <w:widowControl/>
        <w:tabs>
          <w:tab w:val="left" w:pos="1134"/>
          <w:tab w:val="left" w:pos="1871"/>
          <w:tab w:val="left" w:pos="2268"/>
        </w:tabs>
        <w:overflowPunct w:val="0"/>
        <w:adjustRightInd w:val="0"/>
        <w:spacing w:before="120"/>
        <w:ind w:right="-11"/>
        <w:jc w:val="center"/>
        <w:textAlignment w:val="baseline"/>
        <w:rPr>
          <w:rFonts w:asciiTheme="minorHAnsi" w:eastAsia="Times New Roman" w:hAnsiTheme="minorHAnsi" w:cstheme="minorHAnsi"/>
          <w:b/>
          <w:bCs/>
          <w:lang w:val="en-GB"/>
        </w:rPr>
      </w:pPr>
      <w:r w:rsidRPr="005B7064">
        <w:rPr>
          <w:rFonts w:asciiTheme="minorHAnsi" w:eastAsia="Times New Roman" w:hAnsiTheme="minorHAnsi" w:cstheme="minorHAnsi"/>
          <w:b/>
          <w:bCs/>
          <w:lang w:val="en-GB"/>
        </w:rPr>
        <w:lastRenderedPageBreak/>
        <w:t>Appendix – Background information</w:t>
      </w:r>
    </w:p>
    <w:p w14:paraId="245BB481" w14:textId="77777777" w:rsidR="0085787F" w:rsidRPr="005B7064" w:rsidRDefault="0085787F" w:rsidP="0085787F">
      <w:pPr>
        <w:widowControl/>
        <w:tabs>
          <w:tab w:val="left" w:pos="1134"/>
          <w:tab w:val="left" w:pos="1871"/>
          <w:tab w:val="left" w:pos="2268"/>
        </w:tabs>
        <w:overflowPunct w:val="0"/>
        <w:adjustRightInd w:val="0"/>
        <w:spacing w:before="120"/>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t>In 2011, ITU held a workshop on “</w:t>
      </w:r>
      <w:hyperlink r:id="rId16" w:history="1">
        <w:r w:rsidRPr="005B7064">
          <w:rPr>
            <w:rFonts w:asciiTheme="minorHAnsi" w:eastAsia="Times New Roman" w:hAnsiTheme="minorHAnsi" w:cstheme="minorHAnsi"/>
            <w:color w:val="0000FF"/>
            <w:u w:val="single"/>
            <w:lang w:val="en-GB"/>
          </w:rPr>
          <w:t>Taxation of Telecommunication Services and Related Products</w:t>
        </w:r>
      </w:hyperlink>
      <w:r w:rsidRPr="005B7064">
        <w:rPr>
          <w:rFonts w:asciiTheme="minorHAnsi" w:eastAsia="Times New Roman" w:hAnsiTheme="minorHAnsi" w:cstheme="minorHAnsi"/>
          <w:lang w:val="en-GB"/>
        </w:rPr>
        <w:t xml:space="preserve">”, which was organized jointly by the Telecommunications Development Bureau (BDT) and the Telecommunications Standardization Bureau (TSB). The workshop took place prior to the 2012 World Conference on International Telecommunications (WCIT), in preparation of inputs for provisions on taxation matters. This workshop considered the desirability of taxing telecommunication services, especially in developing countries, and discussed factors that should be </w:t>
      </w:r>
      <w:proofErr w:type="gramStart"/>
      <w:r w:rsidRPr="005B7064">
        <w:rPr>
          <w:rFonts w:asciiTheme="minorHAnsi" w:eastAsia="Times New Roman" w:hAnsiTheme="minorHAnsi" w:cstheme="minorHAnsi"/>
          <w:lang w:val="en-GB"/>
        </w:rPr>
        <w:t>taken into account</w:t>
      </w:r>
      <w:proofErr w:type="gramEnd"/>
      <w:r w:rsidRPr="005B7064">
        <w:rPr>
          <w:rFonts w:asciiTheme="minorHAnsi" w:eastAsia="Times New Roman" w:hAnsiTheme="minorHAnsi" w:cstheme="minorHAnsi"/>
          <w:lang w:val="en-GB"/>
        </w:rPr>
        <w:t xml:space="preserve"> in order to strike an appropriate balance between the goals of raising revenues and facilitating economic expansion throughout the telecommunication sector.</w:t>
      </w:r>
    </w:p>
    <w:p w14:paraId="6D287A0C" w14:textId="77777777" w:rsidR="0085787F" w:rsidRPr="005B7064" w:rsidRDefault="0085787F" w:rsidP="0085787F">
      <w:pPr>
        <w:widowControl/>
        <w:tabs>
          <w:tab w:val="left" w:pos="1134"/>
          <w:tab w:val="left" w:pos="1871"/>
          <w:tab w:val="left" w:pos="2268"/>
        </w:tabs>
        <w:overflowPunct w:val="0"/>
        <w:adjustRightInd w:val="0"/>
        <w:spacing w:before="120"/>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t xml:space="preserve">The workshop recognized a wider variation in the level of telecommunication taxation across the world. The workshop also received presentations from countries and members reporting on their experiences with the taxation of telecommunications. The workshop recognized the specificality of the telecommunication sector in that it generates externalities, which are relevant for considering taxation but was also aware of the risk of over-taxing the ICT sector, </w:t>
      </w:r>
      <w:proofErr w:type="gramStart"/>
      <w:r w:rsidRPr="005B7064">
        <w:rPr>
          <w:rFonts w:asciiTheme="minorHAnsi" w:eastAsia="Times New Roman" w:hAnsiTheme="minorHAnsi" w:cstheme="minorHAnsi"/>
          <w:lang w:val="en-GB"/>
        </w:rPr>
        <w:t>in particular by</w:t>
      </w:r>
      <w:proofErr w:type="gramEnd"/>
      <w:r w:rsidRPr="005B7064">
        <w:rPr>
          <w:rFonts w:asciiTheme="minorHAnsi" w:eastAsia="Times New Roman" w:hAnsiTheme="minorHAnsi" w:cstheme="minorHAnsi"/>
          <w:lang w:val="en-GB"/>
        </w:rPr>
        <w:t xml:space="preserve"> using tax revenues on ICTs to develop the national ICT infrastructure. The workshop also identified that cross-border activities could be at risk of double </w:t>
      </w:r>
      <w:proofErr w:type="gramStart"/>
      <w:r w:rsidRPr="005B7064">
        <w:rPr>
          <w:rFonts w:asciiTheme="minorHAnsi" w:eastAsia="Times New Roman" w:hAnsiTheme="minorHAnsi" w:cstheme="minorHAnsi"/>
          <w:lang w:val="en-GB"/>
        </w:rPr>
        <w:t>taxation, and</w:t>
      </w:r>
      <w:proofErr w:type="gramEnd"/>
      <w:r w:rsidRPr="005B7064">
        <w:rPr>
          <w:rFonts w:asciiTheme="minorHAnsi" w:eastAsia="Times New Roman" w:hAnsiTheme="minorHAnsi" w:cstheme="minorHAnsi"/>
          <w:lang w:val="en-GB"/>
        </w:rPr>
        <w:t xml:space="preserve"> discussed some principal mechanisms for avoiding it.</w:t>
      </w:r>
    </w:p>
    <w:p w14:paraId="44DF1F9C" w14:textId="77777777" w:rsidR="0085787F" w:rsidRPr="005B7064" w:rsidRDefault="0085787F" w:rsidP="0085787F">
      <w:pPr>
        <w:widowControl/>
        <w:tabs>
          <w:tab w:val="left" w:pos="1134"/>
          <w:tab w:val="left" w:pos="1871"/>
          <w:tab w:val="left" w:pos="2268"/>
        </w:tabs>
        <w:overflowPunct w:val="0"/>
        <w:adjustRightInd w:val="0"/>
        <w:spacing w:before="120"/>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t>Conclusions reached were to prefer simple and uniform tax regimes over regimes that include many special cases or exceptions. Public-private partnerships were felt likely to be the best method to ensure adequate investments in broadband infrastructure; in addition, this could be a better method than imposing excise taxes on telecommunications services and could include financial contributions from operators. It was concluded that governments should think carefully before imposing new telecommunications (or other) taxes, and only do so when there is no alternative way of increasing tax revenue that would be less damaging to the economy in terms of market distortions and negative impacts on economic growth. For the telecommunications industry to yield the maximum benefits as a source of growth, tax authorities, regulatory authorities and operators need to work together. Overall, more research and studies on taxation and the usage of tax revenues for telecommunications were deemed useful.</w:t>
      </w:r>
    </w:p>
    <w:p w14:paraId="3ECC8A40" w14:textId="77777777" w:rsidR="0085787F" w:rsidRPr="005B7064" w:rsidRDefault="0085787F" w:rsidP="0085787F">
      <w:pPr>
        <w:widowControl/>
        <w:tabs>
          <w:tab w:val="left" w:pos="1134"/>
          <w:tab w:val="left" w:pos="1871"/>
          <w:tab w:val="left" w:pos="2268"/>
        </w:tabs>
        <w:overflowPunct w:val="0"/>
        <w:adjustRightInd w:val="0"/>
        <w:spacing w:before="120"/>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bdr w:val="none" w:sz="0" w:space="0" w:color="auto" w:frame="1"/>
          <w:lang w:val="en-GB"/>
        </w:rPr>
        <w:t xml:space="preserve">Since that time, the telecommunication/ICT market has evolved considerably, leading to interest in this topic in the ITU Telecommunication Standardization Sector (ITU-T) – particularly in ITU-T Study Group 3 – and in the ITU Telecommunication Development Sector (ITU-D). New market structures, business models in a data-driven economy for </w:t>
      </w:r>
      <w:r w:rsidRPr="005B7064">
        <w:rPr>
          <w:rFonts w:asciiTheme="minorHAnsi" w:eastAsia="Times New Roman" w:hAnsiTheme="minorHAnsi" w:cstheme="minorHAnsi"/>
          <w:lang w:val="en-GB"/>
        </w:rPr>
        <w:t xml:space="preserve">OTTs or </w:t>
      </w:r>
      <w:bookmarkStart w:id="4" w:name="_Hlk114587805"/>
      <w:r w:rsidRPr="005B7064">
        <w:rPr>
          <w:rFonts w:asciiTheme="minorHAnsi" w:eastAsia="Times New Roman" w:hAnsiTheme="minorHAnsi" w:cstheme="minorHAnsi"/>
          <w:lang w:val="en-GB"/>
        </w:rPr>
        <w:t xml:space="preserve">over-the-top services and new services and applications </w:t>
      </w:r>
      <w:bookmarkEnd w:id="4"/>
      <w:r w:rsidRPr="005B7064">
        <w:rPr>
          <w:rFonts w:asciiTheme="minorHAnsi" w:eastAsia="Times New Roman" w:hAnsiTheme="minorHAnsi" w:cstheme="minorHAnsi"/>
          <w:lang w:val="en-GB"/>
        </w:rPr>
        <w:t xml:space="preserve">have emerged on a </w:t>
      </w:r>
      <w:proofErr w:type="gramStart"/>
      <w:r w:rsidRPr="005B7064">
        <w:rPr>
          <w:rFonts w:asciiTheme="minorHAnsi" w:eastAsia="Times New Roman" w:hAnsiTheme="minorHAnsi" w:cstheme="minorHAnsi"/>
          <w:lang w:val="en-GB"/>
        </w:rPr>
        <w:t>massive  scale</w:t>
      </w:r>
      <w:proofErr w:type="gramEnd"/>
      <w:r w:rsidRPr="005B7064">
        <w:rPr>
          <w:rFonts w:asciiTheme="minorHAnsi" w:eastAsia="Times New Roman" w:hAnsiTheme="minorHAnsi" w:cstheme="minorHAnsi"/>
          <w:lang w:val="en-GB"/>
        </w:rPr>
        <w:t xml:space="preserve">; such over-the-top services and new services and applications are typically provided by “big technology content and service provider companies” and Internet Service Providers (ISPs). Discussions and debates by stakeholders and proponents, who are following </w:t>
      </w:r>
      <w:r w:rsidRPr="005B7064">
        <w:rPr>
          <w:rFonts w:asciiTheme="minorHAnsi" w:eastAsia="SimSun" w:hAnsiTheme="minorHAnsi" w:cstheme="minorHAnsi"/>
          <w:lang w:val="en-GB"/>
        </w:rPr>
        <w:t xml:space="preserve">to apply the “sending-party-network-pays system” (SPNP), </w:t>
      </w:r>
      <w:r w:rsidRPr="005B7064">
        <w:rPr>
          <w:rFonts w:asciiTheme="minorHAnsi" w:eastAsia="Times New Roman" w:hAnsiTheme="minorHAnsi" w:cstheme="minorHAnsi"/>
          <w:lang w:val="en-GB"/>
        </w:rPr>
        <w:t>have called for some form of an Internet usage/traffic tax, levies or fees that are attributed to fair, equitable and proportionate cost recovery for the benefit of the telecom service providers, to be imposed to the “big technology content and service provider companies” and to ISPs.</w:t>
      </w:r>
    </w:p>
    <w:p w14:paraId="47E08647" w14:textId="77777777" w:rsidR="0085787F" w:rsidRPr="005B7064" w:rsidRDefault="0085787F" w:rsidP="007E7EEB">
      <w:pPr>
        <w:pageBreakBefore/>
        <w:widowControl/>
        <w:tabs>
          <w:tab w:val="left" w:pos="1134"/>
          <w:tab w:val="left" w:pos="1871"/>
          <w:tab w:val="left" w:pos="2268"/>
        </w:tabs>
        <w:overflowPunct w:val="0"/>
        <w:adjustRightInd w:val="0"/>
        <w:spacing w:before="120"/>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lastRenderedPageBreak/>
        <w:t>Digital transformation and digitization in many sectors using all-IP platforms and tools, new IP-based applications and services, including those competing with traditional telecommunication communications services, Internet of Things (IoT), cloud computing services, new mobile communication technologies (4G, 5G) and high-speed fibre/optical fixed networks, virtual mobile/network operators, video streaming with video now accounting for way more than half of the Internet protocol bandwidth, sophisticated online gaming applications and real-time, virtual reality applications in a “meta verse”, and a drastic ongoing increase of Internet traffic, are just a few among the many new developments and phenomena that the last decade has unleashed, and which put ambitious technical and economic requirements upon the underlying IP network and transport infrastructure.</w:t>
      </w:r>
    </w:p>
    <w:p w14:paraId="0B8C2125" w14:textId="77777777" w:rsidR="0085787F" w:rsidRPr="005B7064" w:rsidRDefault="0085787F" w:rsidP="0085787F">
      <w:pPr>
        <w:widowControl/>
        <w:tabs>
          <w:tab w:val="left" w:pos="1134"/>
          <w:tab w:val="left" w:pos="1871"/>
          <w:tab w:val="left" w:pos="2268"/>
        </w:tabs>
        <w:overflowPunct w:val="0"/>
        <w:adjustRightInd w:val="0"/>
        <w:spacing w:before="120"/>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t>Given the acceleration of this phenomena, various political and regulatory discussions are ongoing in several jurisdictions about the modification of the economic and fiscal landscape in response to this digitalisation. Therefore, a new Workshop on these issues would serve as a relevant source of information as the previous one was more than a decade ago.</w:t>
      </w:r>
    </w:p>
    <w:p w14:paraId="19E049A2" w14:textId="77777777" w:rsidR="0085787F" w:rsidRPr="005B7064" w:rsidRDefault="0085787F" w:rsidP="0085787F">
      <w:pPr>
        <w:widowControl/>
        <w:tabs>
          <w:tab w:val="left" w:pos="1134"/>
          <w:tab w:val="left" w:pos="1871"/>
          <w:tab w:val="left" w:pos="2268"/>
        </w:tabs>
        <w:overflowPunct w:val="0"/>
        <w:adjustRightInd w:val="0"/>
        <w:spacing w:before="120"/>
        <w:jc w:val="both"/>
        <w:textAlignment w:val="baseline"/>
        <w:rPr>
          <w:rFonts w:asciiTheme="minorHAnsi" w:eastAsia="Times New Roman" w:hAnsiTheme="minorHAnsi" w:cstheme="minorHAnsi"/>
          <w:lang w:val="en-GB"/>
        </w:rPr>
      </w:pPr>
      <w:r w:rsidRPr="005B7064">
        <w:rPr>
          <w:rFonts w:asciiTheme="minorHAnsi" w:eastAsia="Times New Roman" w:hAnsiTheme="minorHAnsi" w:cstheme="minorHAnsi"/>
          <w:lang w:val="en-GB"/>
        </w:rPr>
        <w:t>Various political and regulatory discussions are ongoing in several jurisdictions on the desire to tax OTTs or Big Techs such as by charging content and application providers for the use of the Internet infrastructure.</w:t>
      </w:r>
    </w:p>
    <w:p w14:paraId="4C758060" w14:textId="77777777" w:rsidR="0085787F" w:rsidRPr="007E7EEB" w:rsidRDefault="0085787F" w:rsidP="0085787F">
      <w:pPr>
        <w:widowControl/>
        <w:tabs>
          <w:tab w:val="left" w:pos="900"/>
          <w:tab w:val="left" w:pos="1871"/>
          <w:tab w:val="left" w:pos="2268"/>
        </w:tabs>
        <w:overflowPunct w:val="0"/>
        <w:adjustRightInd w:val="0"/>
        <w:spacing w:before="120"/>
        <w:jc w:val="center"/>
        <w:textAlignment w:val="baseline"/>
        <w:rPr>
          <w:rFonts w:asciiTheme="minorHAnsi" w:eastAsia="Times New Roman" w:hAnsiTheme="minorHAnsi" w:cs="Times New Roman"/>
          <w:sz w:val="24"/>
          <w:szCs w:val="24"/>
          <w:lang w:val="en-GB"/>
        </w:rPr>
      </w:pPr>
      <w:r w:rsidRPr="007E7EEB">
        <w:rPr>
          <w:rFonts w:asciiTheme="minorHAnsi" w:eastAsia="Times New Roman" w:hAnsiTheme="minorHAnsi" w:cs="Times New Roman"/>
          <w:sz w:val="24"/>
          <w:szCs w:val="24"/>
          <w:lang w:val="en-GB"/>
        </w:rPr>
        <w:t>______________________</w:t>
      </w:r>
    </w:p>
    <w:sectPr w:rsidR="0085787F" w:rsidRPr="007E7EEB" w:rsidSect="00222504">
      <w:headerReference w:type="default" r:id="rId17"/>
      <w:headerReference w:type="first" r:id="rId18"/>
      <w:footerReference w:type="first" r:id="rId19"/>
      <w:pgSz w:w="11910" w:h="16840"/>
      <w:pgMar w:top="782" w:right="995" w:bottom="278" w:left="862" w:header="584"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C027E" w14:textId="77777777" w:rsidR="00C102E4" w:rsidRDefault="00C102E4">
      <w:r>
        <w:separator/>
      </w:r>
    </w:p>
  </w:endnote>
  <w:endnote w:type="continuationSeparator" w:id="0">
    <w:p w14:paraId="537BEE6D" w14:textId="77777777" w:rsidR="00C102E4" w:rsidRDefault="00C102E4">
      <w:r>
        <w:continuationSeparator/>
      </w:r>
    </w:p>
  </w:endnote>
  <w:endnote w:type="continuationNotice" w:id="1">
    <w:p w14:paraId="690E5054" w14:textId="77777777" w:rsidR="00C102E4" w:rsidRDefault="00C10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7C81" w14:textId="77777777" w:rsidR="0048641A" w:rsidRPr="008F6DEA" w:rsidRDefault="0048641A" w:rsidP="00E9693F">
    <w:pPr>
      <w:spacing w:before="64" w:line="219" w:lineRule="exact"/>
      <w:ind w:left="485" w:right="317"/>
      <w:jc w:val="center"/>
      <w:rPr>
        <w:rFonts w:asciiTheme="minorHAnsi" w:hAnsiTheme="minorHAnsi" w:cstheme="minorHAnsi"/>
        <w:sz w:val="18"/>
        <w:szCs w:val="18"/>
      </w:rPr>
    </w:pPr>
    <w:r w:rsidRPr="008F6DEA">
      <w:rPr>
        <w:rFonts w:asciiTheme="minorHAnsi" w:hAnsiTheme="minorHAnsi" w:cstheme="minorHAnsi"/>
        <w:sz w:val="18"/>
        <w:szCs w:val="18"/>
      </w:rPr>
      <w:t>International Telecommunication Union • Place des Nations • CH-1211 Geneva 20 • Switzerland</w:t>
    </w:r>
  </w:p>
  <w:p w14:paraId="78AEC6B9" w14:textId="25052F4C" w:rsidR="0048641A" w:rsidRPr="008F6DEA" w:rsidRDefault="0048641A" w:rsidP="008F6DEA">
    <w:pPr>
      <w:spacing w:line="219" w:lineRule="exact"/>
      <w:ind w:left="480" w:right="317"/>
      <w:jc w:val="center"/>
      <w:rPr>
        <w:rFonts w:asciiTheme="minorHAnsi" w:hAnsiTheme="minorHAnsi" w:cstheme="minorHAnsi"/>
        <w:color w:val="0000FF"/>
        <w:sz w:val="18"/>
        <w:szCs w:val="18"/>
        <w:u w:val="single" w:color="0000FF"/>
      </w:rPr>
    </w:pPr>
    <w:r w:rsidRPr="008F6DEA">
      <w:rPr>
        <w:rFonts w:asciiTheme="minorHAnsi" w:hAnsiTheme="minorHAnsi" w:cstheme="minorHAnsi"/>
        <w:sz w:val="18"/>
        <w:szCs w:val="18"/>
      </w:rPr>
      <w:t xml:space="preserve">Tel: +41 22 730 5111 • Fax: +41 22 733 7256 • E-mail: </w:t>
    </w:r>
    <w:hyperlink r:id="rId1">
      <w:r w:rsidRPr="008F6DEA">
        <w:rPr>
          <w:rFonts w:asciiTheme="minorHAnsi" w:hAnsiTheme="minorHAnsi" w:cstheme="minorHAnsi"/>
          <w:color w:val="0000FF"/>
          <w:sz w:val="18"/>
          <w:szCs w:val="18"/>
          <w:u w:val="single" w:color="0000FF"/>
        </w:rPr>
        <w:t xml:space="preserve">itumail@itu.int </w:t>
      </w:r>
    </w:hyperlink>
    <w:r w:rsidRPr="008F6DEA">
      <w:rPr>
        <w:rFonts w:asciiTheme="minorHAnsi" w:hAnsiTheme="minorHAnsi" w:cstheme="minorHAnsi"/>
        <w:sz w:val="18"/>
        <w:szCs w:val="18"/>
      </w:rPr>
      <w:t xml:space="preserve">• </w:t>
    </w:r>
    <w:hyperlink r:id="rId2">
      <w:r w:rsidRPr="008F6DEA">
        <w:rPr>
          <w:rFonts w:asciiTheme="minorHAnsi" w:hAnsiTheme="minorHAnsi" w:cstheme="minorHAnsi"/>
          <w:color w:val="0000FF"/>
          <w:sz w:val="18"/>
          <w:szCs w:val="18"/>
          <w:u w:val="single" w:color="0000FF"/>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BAEE" w14:textId="77777777" w:rsidR="00C102E4" w:rsidRDefault="00C102E4">
      <w:r>
        <w:separator/>
      </w:r>
    </w:p>
  </w:footnote>
  <w:footnote w:type="continuationSeparator" w:id="0">
    <w:p w14:paraId="4BFB1C90" w14:textId="77777777" w:rsidR="00C102E4" w:rsidRDefault="00C102E4">
      <w:r>
        <w:continuationSeparator/>
      </w:r>
    </w:p>
  </w:footnote>
  <w:footnote w:type="continuationNotice" w:id="1">
    <w:p w14:paraId="01A3E885" w14:textId="77777777" w:rsidR="00C102E4" w:rsidRDefault="00C102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718674616"/>
      <w:docPartObj>
        <w:docPartGallery w:val="Page Numbers (Top of Page)"/>
        <w:docPartUnique/>
      </w:docPartObj>
    </w:sdtPr>
    <w:sdtEndPr>
      <w:rPr>
        <w:noProof/>
      </w:rPr>
    </w:sdtEndPr>
    <w:sdtContent>
      <w:p w14:paraId="28E33A74" w14:textId="628C6647" w:rsidR="0048641A" w:rsidRPr="005B7064" w:rsidRDefault="0048641A" w:rsidP="00FD6809">
        <w:pPr>
          <w:pStyle w:val="Header"/>
          <w:widowControl/>
          <w:tabs>
            <w:tab w:val="clear" w:pos="4513"/>
            <w:tab w:val="clear" w:pos="9026"/>
          </w:tabs>
          <w:overflowPunct w:val="0"/>
          <w:adjustRightInd w:val="0"/>
          <w:spacing w:after="240"/>
          <w:jc w:val="center"/>
          <w:textAlignment w:val="baseline"/>
          <w:rPr>
            <w:rFonts w:asciiTheme="minorHAnsi" w:hAnsiTheme="minorHAnsi" w:cstheme="minorHAnsi"/>
            <w:sz w:val="18"/>
            <w:szCs w:val="18"/>
            <w:lang w:eastAsia="zh-CN"/>
          </w:rPr>
        </w:pPr>
        <w:r w:rsidRPr="005B7064">
          <w:rPr>
            <w:rFonts w:asciiTheme="minorHAnsi" w:hAnsiTheme="minorHAnsi" w:cstheme="minorHAnsi"/>
            <w:sz w:val="18"/>
            <w:szCs w:val="18"/>
            <w:lang w:eastAsia="zh-CN"/>
          </w:rPr>
          <w:t xml:space="preserve">- </w:t>
        </w:r>
        <w:r w:rsidRPr="005B7064">
          <w:rPr>
            <w:rFonts w:asciiTheme="minorHAnsi" w:hAnsiTheme="minorHAnsi" w:cstheme="minorHAnsi"/>
            <w:sz w:val="18"/>
            <w:szCs w:val="18"/>
          </w:rPr>
          <w:fldChar w:fldCharType="begin"/>
        </w:r>
        <w:r w:rsidRPr="005B7064">
          <w:rPr>
            <w:rFonts w:asciiTheme="minorHAnsi" w:hAnsiTheme="minorHAnsi" w:cstheme="minorHAnsi"/>
            <w:sz w:val="18"/>
            <w:szCs w:val="18"/>
            <w:lang w:eastAsia="zh-CN"/>
          </w:rPr>
          <w:instrText xml:space="preserve"> PAGE   \* MERGEFORMAT </w:instrText>
        </w:r>
        <w:r w:rsidRPr="005B7064">
          <w:rPr>
            <w:rFonts w:asciiTheme="minorHAnsi" w:hAnsiTheme="minorHAnsi" w:cstheme="minorHAnsi"/>
            <w:sz w:val="18"/>
            <w:szCs w:val="18"/>
          </w:rPr>
          <w:fldChar w:fldCharType="separate"/>
        </w:r>
        <w:r w:rsidR="00C969A1" w:rsidRPr="005B7064">
          <w:rPr>
            <w:rFonts w:asciiTheme="minorHAnsi" w:hAnsiTheme="minorHAnsi" w:cstheme="minorHAnsi"/>
            <w:noProof/>
            <w:sz w:val="18"/>
            <w:szCs w:val="18"/>
            <w:lang w:eastAsia="zh-CN"/>
          </w:rPr>
          <w:t>2</w:t>
        </w:r>
        <w:r w:rsidRPr="005B7064">
          <w:rPr>
            <w:rFonts w:asciiTheme="minorHAnsi" w:hAnsiTheme="minorHAnsi" w:cstheme="minorHAnsi"/>
            <w:noProof/>
            <w:sz w:val="18"/>
            <w:szCs w:val="18"/>
          </w:rPr>
          <w:fldChar w:fldCharType="end"/>
        </w:r>
        <w:r w:rsidRPr="005B7064">
          <w:rPr>
            <w:rFonts w:asciiTheme="minorHAnsi" w:hAnsiTheme="minorHAnsi" w:cstheme="minorHAnsi"/>
            <w:noProof/>
            <w:sz w:val="18"/>
            <w:szCs w:val="18"/>
            <w:lang w:eastAsia="zh-CN"/>
          </w:rPr>
          <w:t xml:space="preserve"> -</w:t>
        </w:r>
        <w:r w:rsidRPr="005B7064">
          <w:rPr>
            <w:rFonts w:asciiTheme="minorHAnsi" w:hAnsiTheme="minorHAnsi" w:cstheme="minorHAnsi"/>
            <w:noProof/>
            <w:sz w:val="18"/>
            <w:szCs w:val="18"/>
            <w:lang w:eastAsia="zh-CN"/>
          </w:rPr>
          <w:br/>
          <w:t>TSB</w:t>
        </w:r>
        <w:r w:rsidRPr="005B7064">
          <w:rPr>
            <w:rFonts w:asciiTheme="minorHAnsi" w:eastAsia="SimSun" w:hAnsiTheme="minorHAnsi" w:cstheme="minorHAnsi"/>
            <w:noProof/>
            <w:sz w:val="18"/>
            <w:szCs w:val="18"/>
            <w:lang w:eastAsia="zh-CN"/>
          </w:rPr>
          <w:t>第</w:t>
        </w:r>
        <w:r w:rsidRPr="005B7064">
          <w:rPr>
            <w:rFonts w:asciiTheme="minorHAnsi" w:hAnsiTheme="minorHAnsi" w:cstheme="minorHAnsi"/>
            <w:noProof/>
            <w:sz w:val="18"/>
            <w:szCs w:val="18"/>
            <w:lang w:eastAsia="zh-CN"/>
          </w:rPr>
          <w:t>29</w:t>
        </w:r>
        <w:r w:rsidRPr="005B7064">
          <w:rPr>
            <w:rFonts w:asciiTheme="minorHAnsi" w:eastAsia="SimSun" w:hAnsiTheme="minorHAnsi" w:cstheme="minorHAnsi"/>
            <w:noProof/>
            <w:sz w:val="18"/>
            <w:szCs w:val="18"/>
            <w:lang w:eastAsia="zh-CN"/>
          </w:rPr>
          <w:t>号通函</w:t>
        </w:r>
        <w:r w:rsidRPr="005B7064">
          <w:rPr>
            <w:rFonts w:asciiTheme="minorHAnsi" w:hAnsiTheme="minorHAnsi" w:cstheme="minorHAnsi"/>
            <w:noProof/>
            <w:sz w:val="18"/>
            <w:szCs w:val="18"/>
            <w:lang w:eastAsia="zh-CN"/>
          </w:rPr>
          <w:br/>
          <w:t>BDT</w:t>
        </w:r>
        <w:r w:rsidRPr="005B7064">
          <w:rPr>
            <w:rFonts w:asciiTheme="minorHAnsi" w:eastAsia="SimSun" w:hAnsiTheme="minorHAnsi" w:cstheme="minorHAnsi"/>
            <w:noProof/>
            <w:sz w:val="18"/>
            <w:szCs w:val="18"/>
            <w:lang w:eastAsia="zh-CN"/>
          </w:rPr>
          <w:t>第</w:t>
        </w:r>
        <w:r w:rsidRPr="005B7064">
          <w:rPr>
            <w:rFonts w:asciiTheme="minorHAnsi" w:hAnsiTheme="minorHAnsi" w:cstheme="minorHAnsi"/>
            <w:noProof/>
            <w:sz w:val="18"/>
            <w:szCs w:val="18"/>
            <w:lang w:eastAsia="zh-CN"/>
          </w:rPr>
          <w:t>128</w:t>
        </w:r>
        <w:r w:rsidRPr="005B7064">
          <w:rPr>
            <w:rFonts w:asciiTheme="minorHAnsi" w:eastAsia="SimSun" w:hAnsiTheme="minorHAnsi" w:cstheme="minorHAnsi"/>
            <w:noProof/>
            <w:sz w:val="18"/>
            <w:szCs w:val="18"/>
            <w:lang w:eastAsia="zh-CN"/>
          </w:rPr>
          <w:t>号通函</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31A2" w14:textId="7D28097C" w:rsidR="0048641A" w:rsidRPr="00912CDE" w:rsidRDefault="0048641A" w:rsidP="00533A55">
    <w:pPr>
      <w:pStyle w:val="Header"/>
      <w:jc w:val="center"/>
      <w:rPr>
        <w:lang w:eastAsia="zh-CN"/>
      </w:rPr>
    </w:pPr>
    <w:r w:rsidRPr="00912CDE">
      <w:rPr>
        <w:noProof/>
        <w:lang w:eastAsia="zh-CN"/>
      </w:rPr>
      <w:drawing>
        <wp:inline distT="0" distB="0" distL="0" distR="0" wp14:anchorId="0400E0FF" wp14:editId="5C9D1F21">
          <wp:extent cx="895350" cy="895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p w14:paraId="4B3A8D2C" w14:textId="2046B28B" w:rsidR="0048641A" w:rsidRPr="00903478" w:rsidRDefault="0048641A" w:rsidP="00533A55">
    <w:pPr>
      <w:pStyle w:val="Header"/>
      <w:jc w:val="center"/>
      <w:rPr>
        <w:rFonts w:ascii="SimSun" w:eastAsia="SimSun" w:hAnsi="SimSun"/>
        <w:sz w:val="36"/>
        <w:szCs w:val="36"/>
        <w:lang w:eastAsia="zh-CN"/>
      </w:rPr>
    </w:pPr>
    <w:r w:rsidRPr="00912CDE">
      <w:rPr>
        <w:rFonts w:ascii="SimSun" w:eastAsia="SimSun" w:hAnsi="SimSun" w:hint="eastAsia"/>
        <w:sz w:val="36"/>
        <w:szCs w:val="36"/>
        <w:lang w:eastAsia="zh-CN"/>
      </w:rPr>
      <w:t>国际电信联盟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F916B55"/>
    <w:multiLevelType w:val="hybridMultilevel"/>
    <w:tmpl w:val="10947F26"/>
    <w:lvl w:ilvl="0" w:tplc="F84AB1CA">
      <w:numFmt w:val="bullet"/>
      <w:lvlText w:val="-"/>
      <w:lvlJc w:val="left"/>
      <w:pPr>
        <w:ind w:left="4956" w:hanging="360"/>
      </w:pPr>
      <w:rPr>
        <w:rFonts w:ascii="Carlito" w:eastAsia="Carlito" w:hAnsi="Carlito" w:cs="Carlito" w:hint="default"/>
      </w:rPr>
    </w:lvl>
    <w:lvl w:ilvl="1" w:tplc="08090003" w:tentative="1">
      <w:start w:val="1"/>
      <w:numFmt w:val="bullet"/>
      <w:lvlText w:val="o"/>
      <w:lvlJc w:val="left"/>
      <w:pPr>
        <w:ind w:left="5676" w:hanging="360"/>
      </w:pPr>
      <w:rPr>
        <w:rFonts w:ascii="Courier New" w:hAnsi="Courier New" w:cs="Courier New" w:hint="default"/>
      </w:rPr>
    </w:lvl>
    <w:lvl w:ilvl="2" w:tplc="08090005" w:tentative="1">
      <w:start w:val="1"/>
      <w:numFmt w:val="bullet"/>
      <w:lvlText w:val=""/>
      <w:lvlJc w:val="left"/>
      <w:pPr>
        <w:ind w:left="6396" w:hanging="360"/>
      </w:pPr>
      <w:rPr>
        <w:rFonts w:ascii="Wingdings" w:hAnsi="Wingdings" w:hint="default"/>
      </w:rPr>
    </w:lvl>
    <w:lvl w:ilvl="3" w:tplc="08090001" w:tentative="1">
      <w:start w:val="1"/>
      <w:numFmt w:val="bullet"/>
      <w:lvlText w:val=""/>
      <w:lvlJc w:val="left"/>
      <w:pPr>
        <w:ind w:left="7116" w:hanging="360"/>
      </w:pPr>
      <w:rPr>
        <w:rFonts w:ascii="Symbol" w:hAnsi="Symbol" w:hint="default"/>
      </w:rPr>
    </w:lvl>
    <w:lvl w:ilvl="4" w:tplc="08090003" w:tentative="1">
      <w:start w:val="1"/>
      <w:numFmt w:val="bullet"/>
      <w:lvlText w:val="o"/>
      <w:lvlJc w:val="left"/>
      <w:pPr>
        <w:ind w:left="7836" w:hanging="360"/>
      </w:pPr>
      <w:rPr>
        <w:rFonts w:ascii="Courier New" w:hAnsi="Courier New" w:cs="Courier New" w:hint="default"/>
      </w:rPr>
    </w:lvl>
    <w:lvl w:ilvl="5" w:tplc="08090005" w:tentative="1">
      <w:start w:val="1"/>
      <w:numFmt w:val="bullet"/>
      <w:lvlText w:val=""/>
      <w:lvlJc w:val="left"/>
      <w:pPr>
        <w:ind w:left="8556" w:hanging="360"/>
      </w:pPr>
      <w:rPr>
        <w:rFonts w:ascii="Wingdings" w:hAnsi="Wingdings" w:hint="default"/>
      </w:rPr>
    </w:lvl>
    <w:lvl w:ilvl="6" w:tplc="08090001" w:tentative="1">
      <w:start w:val="1"/>
      <w:numFmt w:val="bullet"/>
      <w:lvlText w:val=""/>
      <w:lvlJc w:val="left"/>
      <w:pPr>
        <w:ind w:left="9276" w:hanging="360"/>
      </w:pPr>
      <w:rPr>
        <w:rFonts w:ascii="Symbol" w:hAnsi="Symbol" w:hint="default"/>
      </w:rPr>
    </w:lvl>
    <w:lvl w:ilvl="7" w:tplc="08090003" w:tentative="1">
      <w:start w:val="1"/>
      <w:numFmt w:val="bullet"/>
      <w:lvlText w:val="o"/>
      <w:lvlJc w:val="left"/>
      <w:pPr>
        <w:ind w:left="9996" w:hanging="360"/>
      </w:pPr>
      <w:rPr>
        <w:rFonts w:ascii="Courier New" w:hAnsi="Courier New" w:cs="Courier New" w:hint="default"/>
      </w:rPr>
    </w:lvl>
    <w:lvl w:ilvl="8" w:tplc="08090005" w:tentative="1">
      <w:start w:val="1"/>
      <w:numFmt w:val="bullet"/>
      <w:lvlText w:val=""/>
      <w:lvlJc w:val="left"/>
      <w:pPr>
        <w:ind w:left="10716" w:hanging="360"/>
      </w:pPr>
      <w:rPr>
        <w:rFonts w:ascii="Wingdings" w:hAnsi="Wingdings" w:hint="default"/>
      </w:rPr>
    </w:lvl>
  </w:abstractNum>
  <w:abstractNum w:abstractNumId="2" w15:restartNumberingAfterBreak="0">
    <w:nsid w:val="2F660CA8"/>
    <w:multiLevelType w:val="hybridMultilevel"/>
    <w:tmpl w:val="5C906382"/>
    <w:lvl w:ilvl="0" w:tplc="C6FC32B2">
      <w:numFmt w:val="bullet"/>
      <w:lvlText w:val="-"/>
      <w:lvlJc w:val="left"/>
      <w:pPr>
        <w:ind w:left="483" w:hanging="284"/>
      </w:pPr>
      <w:rPr>
        <w:rFonts w:ascii="Carlito" w:eastAsia="Carlito" w:hAnsi="Carlito" w:cs="Carlito" w:hint="default"/>
        <w:w w:val="100"/>
        <w:sz w:val="22"/>
        <w:szCs w:val="22"/>
        <w:lang w:val="en-US" w:eastAsia="en-US" w:bidi="ar-SA"/>
      </w:rPr>
    </w:lvl>
    <w:lvl w:ilvl="1" w:tplc="1F7C36DC">
      <w:numFmt w:val="bullet"/>
      <w:lvlText w:val="•"/>
      <w:lvlJc w:val="left"/>
      <w:pPr>
        <w:ind w:left="1101" w:hanging="284"/>
      </w:pPr>
      <w:rPr>
        <w:rFonts w:hint="default"/>
        <w:lang w:val="en-US" w:eastAsia="en-US" w:bidi="ar-SA"/>
      </w:rPr>
    </w:lvl>
    <w:lvl w:ilvl="2" w:tplc="1F6E212C">
      <w:numFmt w:val="bullet"/>
      <w:lvlText w:val="•"/>
      <w:lvlJc w:val="left"/>
      <w:pPr>
        <w:ind w:left="1723" w:hanging="284"/>
      </w:pPr>
      <w:rPr>
        <w:rFonts w:hint="default"/>
        <w:lang w:val="en-US" w:eastAsia="en-US" w:bidi="ar-SA"/>
      </w:rPr>
    </w:lvl>
    <w:lvl w:ilvl="3" w:tplc="F2F08A1C">
      <w:numFmt w:val="bullet"/>
      <w:lvlText w:val="•"/>
      <w:lvlJc w:val="left"/>
      <w:pPr>
        <w:ind w:left="2344" w:hanging="284"/>
      </w:pPr>
      <w:rPr>
        <w:rFonts w:hint="default"/>
        <w:lang w:val="en-US" w:eastAsia="en-US" w:bidi="ar-SA"/>
      </w:rPr>
    </w:lvl>
    <w:lvl w:ilvl="4" w:tplc="DEDE812C">
      <w:numFmt w:val="bullet"/>
      <w:lvlText w:val="•"/>
      <w:lvlJc w:val="left"/>
      <w:pPr>
        <w:ind w:left="2966" w:hanging="284"/>
      </w:pPr>
      <w:rPr>
        <w:rFonts w:hint="default"/>
        <w:lang w:val="en-US" w:eastAsia="en-US" w:bidi="ar-SA"/>
      </w:rPr>
    </w:lvl>
    <w:lvl w:ilvl="5" w:tplc="13EA5FAC">
      <w:numFmt w:val="bullet"/>
      <w:lvlText w:val="•"/>
      <w:lvlJc w:val="left"/>
      <w:pPr>
        <w:ind w:left="3587" w:hanging="284"/>
      </w:pPr>
      <w:rPr>
        <w:rFonts w:hint="default"/>
        <w:lang w:val="en-US" w:eastAsia="en-US" w:bidi="ar-SA"/>
      </w:rPr>
    </w:lvl>
    <w:lvl w:ilvl="6" w:tplc="AD0E74F4">
      <w:numFmt w:val="bullet"/>
      <w:lvlText w:val="•"/>
      <w:lvlJc w:val="left"/>
      <w:pPr>
        <w:ind w:left="4209" w:hanging="284"/>
      </w:pPr>
      <w:rPr>
        <w:rFonts w:hint="default"/>
        <w:lang w:val="en-US" w:eastAsia="en-US" w:bidi="ar-SA"/>
      </w:rPr>
    </w:lvl>
    <w:lvl w:ilvl="7" w:tplc="2B6E6FF4">
      <w:numFmt w:val="bullet"/>
      <w:lvlText w:val="•"/>
      <w:lvlJc w:val="left"/>
      <w:pPr>
        <w:ind w:left="4830" w:hanging="284"/>
      </w:pPr>
      <w:rPr>
        <w:rFonts w:hint="default"/>
        <w:lang w:val="en-US" w:eastAsia="en-US" w:bidi="ar-SA"/>
      </w:rPr>
    </w:lvl>
    <w:lvl w:ilvl="8" w:tplc="4DA8814C">
      <w:numFmt w:val="bullet"/>
      <w:lvlText w:val="•"/>
      <w:lvlJc w:val="left"/>
      <w:pPr>
        <w:ind w:left="5452" w:hanging="284"/>
      </w:pPr>
      <w:rPr>
        <w:rFonts w:hint="default"/>
        <w:lang w:val="en-US" w:eastAsia="en-US" w:bidi="ar-SA"/>
      </w:rPr>
    </w:lvl>
  </w:abstractNum>
  <w:abstractNum w:abstractNumId="3" w15:restartNumberingAfterBreak="0">
    <w:nsid w:val="45520AD6"/>
    <w:multiLevelType w:val="hybridMultilevel"/>
    <w:tmpl w:val="03BA6092"/>
    <w:lvl w:ilvl="0" w:tplc="1E506234">
      <w:numFmt w:val="bullet"/>
      <w:lvlText w:val="-"/>
      <w:lvlJc w:val="left"/>
      <w:pPr>
        <w:ind w:left="4873" w:hanging="360"/>
      </w:pPr>
      <w:rPr>
        <w:rFonts w:ascii="Carlito" w:eastAsia="Carlito" w:hAnsi="Carlito" w:cs="Carlito" w:hint="default"/>
      </w:rPr>
    </w:lvl>
    <w:lvl w:ilvl="1" w:tplc="08090003" w:tentative="1">
      <w:start w:val="1"/>
      <w:numFmt w:val="bullet"/>
      <w:lvlText w:val="o"/>
      <w:lvlJc w:val="left"/>
      <w:pPr>
        <w:ind w:left="5593" w:hanging="360"/>
      </w:pPr>
      <w:rPr>
        <w:rFonts w:ascii="Courier New" w:hAnsi="Courier New" w:cs="Courier New" w:hint="default"/>
      </w:rPr>
    </w:lvl>
    <w:lvl w:ilvl="2" w:tplc="08090005" w:tentative="1">
      <w:start w:val="1"/>
      <w:numFmt w:val="bullet"/>
      <w:lvlText w:val=""/>
      <w:lvlJc w:val="left"/>
      <w:pPr>
        <w:ind w:left="6313" w:hanging="360"/>
      </w:pPr>
      <w:rPr>
        <w:rFonts w:ascii="Wingdings" w:hAnsi="Wingdings" w:hint="default"/>
      </w:rPr>
    </w:lvl>
    <w:lvl w:ilvl="3" w:tplc="08090001" w:tentative="1">
      <w:start w:val="1"/>
      <w:numFmt w:val="bullet"/>
      <w:lvlText w:val=""/>
      <w:lvlJc w:val="left"/>
      <w:pPr>
        <w:ind w:left="7033" w:hanging="360"/>
      </w:pPr>
      <w:rPr>
        <w:rFonts w:ascii="Symbol" w:hAnsi="Symbol" w:hint="default"/>
      </w:rPr>
    </w:lvl>
    <w:lvl w:ilvl="4" w:tplc="08090003" w:tentative="1">
      <w:start w:val="1"/>
      <w:numFmt w:val="bullet"/>
      <w:lvlText w:val="o"/>
      <w:lvlJc w:val="left"/>
      <w:pPr>
        <w:ind w:left="7753" w:hanging="360"/>
      </w:pPr>
      <w:rPr>
        <w:rFonts w:ascii="Courier New" w:hAnsi="Courier New" w:cs="Courier New" w:hint="default"/>
      </w:rPr>
    </w:lvl>
    <w:lvl w:ilvl="5" w:tplc="08090005" w:tentative="1">
      <w:start w:val="1"/>
      <w:numFmt w:val="bullet"/>
      <w:lvlText w:val=""/>
      <w:lvlJc w:val="left"/>
      <w:pPr>
        <w:ind w:left="8473" w:hanging="360"/>
      </w:pPr>
      <w:rPr>
        <w:rFonts w:ascii="Wingdings" w:hAnsi="Wingdings" w:hint="default"/>
      </w:rPr>
    </w:lvl>
    <w:lvl w:ilvl="6" w:tplc="08090001" w:tentative="1">
      <w:start w:val="1"/>
      <w:numFmt w:val="bullet"/>
      <w:lvlText w:val=""/>
      <w:lvlJc w:val="left"/>
      <w:pPr>
        <w:ind w:left="9193" w:hanging="360"/>
      </w:pPr>
      <w:rPr>
        <w:rFonts w:ascii="Symbol" w:hAnsi="Symbol" w:hint="default"/>
      </w:rPr>
    </w:lvl>
    <w:lvl w:ilvl="7" w:tplc="08090003" w:tentative="1">
      <w:start w:val="1"/>
      <w:numFmt w:val="bullet"/>
      <w:lvlText w:val="o"/>
      <w:lvlJc w:val="left"/>
      <w:pPr>
        <w:ind w:left="9913" w:hanging="360"/>
      </w:pPr>
      <w:rPr>
        <w:rFonts w:ascii="Courier New" w:hAnsi="Courier New" w:cs="Courier New" w:hint="default"/>
      </w:rPr>
    </w:lvl>
    <w:lvl w:ilvl="8" w:tplc="08090005" w:tentative="1">
      <w:start w:val="1"/>
      <w:numFmt w:val="bullet"/>
      <w:lvlText w:val=""/>
      <w:lvlJc w:val="left"/>
      <w:pPr>
        <w:ind w:left="10633" w:hanging="360"/>
      </w:pPr>
      <w:rPr>
        <w:rFonts w:ascii="Wingdings" w:hAnsi="Wingdings" w:hint="default"/>
      </w:rPr>
    </w:lvl>
  </w:abstractNum>
  <w:abstractNum w:abstractNumId="4" w15:restartNumberingAfterBreak="0">
    <w:nsid w:val="4AD91FA9"/>
    <w:multiLevelType w:val="hybridMultilevel"/>
    <w:tmpl w:val="B02E8676"/>
    <w:lvl w:ilvl="0" w:tplc="EDD8F990">
      <w:numFmt w:val="bullet"/>
      <w:lvlText w:val="–"/>
      <w:lvlJc w:val="left"/>
      <w:pPr>
        <w:ind w:left="1067" w:hanging="795"/>
      </w:pPr>
      <w:rPr>
        <w:rFonts w:ascii="Carlito" w:eastAsia="Carlito" w:hAnsi="Carlito" w:cs="Carlito" w:hint="default"/>
        <w:w w:val="100"/>
        <w:sz w:val="22"/>
        <w:szCs w:val="22"/>
        <w:lang w:val="en-US" w:eastAsia="en-US" w:bidi="ar-SA"/>
      </w:rPr>
    </w:lvl>
    <w:lvl w:ilvl="1" w:tplc="B28C15C8">
      <w:numFmt w:val="bullet"/>
      <w:lvlText w:val="•"/>
      <w:lvlJc w:val="left"/>
      <w:pPr>
        <w:ind w:left="2018" w:hanging="795"/>
      </w:pPr>
      <w:rPr>
        <w:rFonts w:hint="default"/>
        <w:lang w:val="en-US" w:eastAsia="en-US" w:bidi="ar-SA"/>
      </w:rPr>
    </w:lvl>
    <w:lvl w:ilvl="2" w:tplc="E6889EDA">
      <w:numFmt w:val="bullet"/>
      <w:lvlText w:val="•"/>
      <w:lvlJc w:val="left"/>
      <w:pPr>
        <w:ind w:left="2977" w:hanging="795"/>
      </w:pPr>
      <w:rPr>
        <w:rFonts w:hint="default"/>
        <w:lang w:val="en-US" w:eastAsia="en-US" w:bidi="ar-SA"/>
      </w:rPr>
    </w:lvl>
    <w:lvl w:ilvl="3" w:tplc="7F6E439E">
      <w:numFmt w:val="bullet"/>
      <w:lvlText w:val="•"/>
      <w:lvlJc w:val="left"/>
      <w:pPr>
        <w:ind w:left="3935" w:hanging="795"/>
      </w:pPr>
      <w:rPr>
        <w:rFonts w:hint="default"/>
        <w:lang w:val="en-US" w:eastAsia="en-US" w:bidi="ar-SA"/>
      </w:rPr>
    </w:lvl>
    <w:lvl w:ilvl="4" w:tplc="687CFE0E">
      <w:numFmt w:val="bullet"/>
      <w:lvlText w:val="•"/>
      <w:lvlJc w:val="left"/>
      <w:pPr>
        <w:ind w:left="4894" w:hanging="795"/>
      </w:pPr>
      <w:rPr>
        <w:rFonts w:hint="default"/>
        <w:lang w:val="en-US" w:eastAsia="en-US" w:bidi="ar-SA"/>
      </w:rPr>
    </w:lvl>
    <w:lvl w:ilvl="5" w:tplc="0838B2CA">
      <w:numFmt w:val="bullet"/>
      <w:lvlText w:val="•"/>
      <w:lvlJc w:val="left"/>
      <w:pPr>
        <w:ind w:left="5853" w:hanging="795"/>
      </w:pPr>
      <w:rPr>
        <w:rFonts w:hint="default"/>
        <w:lang w:val="en-US" w:eastAsia="en-US" w:bidi="ar-SA"/>
      </w:rPr>
    </w:lvl>
    <w:lvl w:ilvl="6" w:tplc="831E892E">
      <w:numFmt w:val="bullet"/>
      <w:lvlText w:val="•"/>
      <w:lvlJc w:val="left"/>
      <w:pPr>
        <w:ind w:left="6811" w:hanging="795"/>
      </w:pPr>
      <w:rPr>
        <w:rFonts w:hint="default"/>
        <w:lang w:val="en-US" w:eastAsia="en-US" w:bidi="ar-SA"/>
      </w:rPr>
    </w:lvl>
    <w:lvl w:ilvl="7" w:tplc="0A98E2E8">
      <w:numFmt w:val="bullet"/>
      <w:lvlText w:val="•"/>
      <w:lvlJc w:val="left"/>
      <w:pPr>
        <w:ind w:left="7770" w:hanging="795"/>
      </w:pPr>
      <w:rPr>
        <w:rFonts w:hint="default"/>
        <w:lang w:val="en-US" w:eastAsia="en-US" w:bidi="ar-SA"/>
      </w:rPr>
    </w:lvl>
    <w:lvl w:ilvl="8" w:tplc="9444963E">
      <w:numFmt w:val="bullet"/>
      <w:lvlText w:val="•"/>
      <w:lvlJc w:val="left"/>
      <w:pPr>
        <w:ind w:left="8729" w:hanging="795"/>
      </w:pPr>
      <w:rPr>
        <w:rFonts w:hint="default"/>
        <w:lang w:val="en-US" w:eastAsia="en-US" w:bidi="ar-SA"/>
      </w:rPr>
    </w:lvl>
  </w:abstractNum>
  <w:abstractNum w:abstractNumId="5" w15:restartNumberingAfterBreak="0">
    <w:nsid w:val="722E293B"/>
    <w:multiLevelType w:val="hybridMultilevel"/>
    <w:tmpl w:val="E80CB6B0"/>
    <w:lvl w:ilvl="0" w:tplc="D272E3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5148906">
    <w:abstractNumId w:val="4"/>
  </w:num>
  <w:num w:numId="2" w16cid:durableId="1871914011">
    <w:abstractNumId w:val="2"/>
  </w:num>
  <w:num w:numId="3" w16cid:durableId="2017878915">
    <w:abstractNumId w:val="5"/>
  </w:num>
  <w:num w:numId="4" w16cid:durableId="34476797">
    <w:abstractNumId w:val="0"/>
  </w:num>
  <w:num w:numId="5" w16cid:durableId="322122346">
    <w:abstractNumId w:val="1"/>
  </w:num>
  <w:num w:numId="6" w16cid:durableId="367607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168"/>
    <w:rsid w:val="0000150F"/>
    <w:rsid w:val="00013B6A"/>
    <w:rsid w:val="00020E6E"/>
    <w:rsid w:val="000230EB"/>
    <w:rsid w:val="00025853"/>
    <w:rsid w:val="000301C3"/>
    <w:rsid w:val="00050BD8"/>
    <w:rsid w:val="00053A3F"/>
    <w:rsid w:val="00053A81"/>
    <w:rsid w:val="0007342E"/>
    <w:rsid w:val="0009102C"/>
    <w:rsid w:val="00097024"/>
    <w:rsid w:val="000A571A"/>
    <w:rsid w:val="000B172E"/>
    <w:rsid w:val="000B7343"/>
    <w:rsid w:val="000D1CC4"/>
    <w:rsid w:val="000E52B5"/>
    <w:rsid w:val="000F26AC"/>
    <w:rsid w:val="000F4B9E"/>
    <w:rsid w:val="00104907"/>
    <w:rsid w:val="00107243"/>
    <w:rsid w:val="00117D02"/>
    <w:rsid w:val="00123C68"/>
    <w:rsid w:val="00145EA5"/>
    <w:rsid w:val="00152B9E"/>
    <w:rsid w:val="00153FAC"/>
    <w:rsid w:val="001641C6"/>
    <w:rsid w:val="00164D39"/>
    <w:rsid w:val="00165D61"/>
    <w:rsid w:val="001735C6"/>
    <w:rsid w:val="0017470E"/>
    <w:rsid w:val="00192CA5"/>
    <w:rsid w:val="001A62D3"/>
    <w:rsid w:val="001B43D4"/>
    <w:rsid w:val="001C2FEB"/>
    <w:rsid w:val="001D491D"/>
    <w:rsid w:val="001D6395"/>
    <w:rsid w:val="001E405B"/>
    <w:rsid w:val="001F3590"/>
    <w:rsid w:val="001F4022"/>
    <w:rsid w:val="0021434C"/>
    <w:rsid w:val="00222504"/>
    <w:rsid w:val="002369F3"/>
    <w:rsid w:val="002433E6"/>
    <w:rsid w:val="0024647B"/>
    <w:rsid w:val="00251786"/>
    <w:rsid w:val="00267800"/>
    <w:rsid w:val="00276600"/>
    <w:rsid w:val="0028347D"/>
    <w:rsid w:val="002A3528"/>
    <w:rsid w:val="002B2757"/>
    <w:rsid w:val="002D24F2"/>
    <w:rsid w:val="002D2E16"/>
    <w:rsid w:val="002D5634"/>
    <w:rsid w:val="002E1ABB"/>
    <w:rsid w:val="002F1F74"/>
    <w:rsid w:val="002F6B6A"/>
    <w:rsid w:val="00304384"/>
    <w:rsid w:val="00311ECC"/>
    <w:rsid w:val="003225E0"/>
    <w:rsid w:val="00335A10"/>
    <w:rsid w:val="0035177C"/>
    <w:rsid w:val="0037527E"/>
    <w:rsid w:val="003805A4"/>
    <w:rsid w:val="00385464"/>
    <w:rsid w:val="00385BB5"/>
    <w:rsid w:val="003942E8"/>
    <w:rsid w:val="003966F3"/>
    <w:rsid w:val="003A1C54"/>
    <w:rsid w:val="003A26B0"/>
    <w:rsid w:val="003B01E8"/>
    <w:rsid w:val="003B2404"/>
    <w:rsid w:val="003B4AB1"/>
    <w:rsid w:val="003B625E"/>
    <w:rsid w:val="003C5ADF"/>
    <w:rsid w:val="003E119A"/>
    <w:rsid w:val="003E2EDE"/>
    <w:rsid w:val="004034FE"/>
    <w:rsid w:val="004049AE"/>
    <w:rsid w:val="00412BBA"/>
    <w:rsid w:val="00417671"/>
    <w:rsid w:val="00427463"/>
    <w:rsid w:val="00446DCB"/>
    <w:rsid w:val="00470853"/>
    <w:rsid w:val="00482215"/>
    <w:rsid w:val="00482F95"/>
    <w:rsid w:val="0048641A"/>
    <w:rsid w:val="00492F44"/>
    <w:rsid w:val="00494196"/>
    <w:rsid w:val="004A64A7"/>
    <w:rsid w:val="004B15AA"/>
    <w:rsid w:val="004B2FC0"/>
    <w:rsid w:val="004C1DE8"/>
    <w:rsid w:val="004C2B2E"/>
    <w:rsid w:val="004C4E8E"/>
    <w:rsid w:val="004D1250"/>
    <w:rsid w:val="004D59C2"/>
    <w:rsid w:val="004D5E2F"/>
    <w:rsid w:val="004F1576"/>
    <w:rsid w:val="004F33DE"/>
    <w:rsid w:val="00515A9D"/>
    <w:rsid w:val="005312CC"/>
    <w:rsid w:val="00533A55"/>
    <w:rsid w:val="00537792"/>
    <w:rsid w:val="00537FC3"/>
    <w:rsid w:val="00573FE4"/>
    <w:rsid w:val="005901D7"/>
    <w:rsid w:val="005B5412"/>
    <w:rsid w:val="005B7064"/>
    <w:rsid w:val="005D3210"/>
    <w:rsid w:val="005D38AC"/>
    <w:rsid w:val="005D4BFC"/>
    <w:rsid w:val="005D788D"/>
    <w:rsid w:val="005E286A"/>
    <w:rsid w:val="005F4930"/>
    <w:rsid w:val="00605D8D"/>
    <w:rsid w:val="006130A4"/>
    <w:rsid w:val="006163AF"/>
    <w:rsid w:val="006201EE"/>
    <w:rsid w:val="00623A93"/>
    <w:rsid w:val="00640548"/>
    <w:rsid w:val="00646520"/>
    <w:rsid w:val="006465CA"/>
    <w:rsid w:val="00651308"/>
    <w:rsid w:val="00654F62"/>
    <w:rsid w:val="006800A7"/>
    <w:rsid w:val="00680FC9"/>
    <w:rsid w:val="00683F0B"/>
    <w:rsid w:val="0069291A"/>
    <w:rsid w:val="006B19CD"/>
    <w:rsid w:val="006B3356"/>
    <w:rsid w:val="006B418E"/>
    <w:rsid w:val="006C0EE5"/>
    <w:rsid w:val="006C1E56"/>
    <w:rsid w:val="006C2A1C"/>
    <w:rsid w:val="006C527A"/>
    <w:rsid w:val="006D17B4"/>
    <w:rsid w:val="006D7266"/>
    <w:rsid w:val="006E0BEA"/>
    <w:rsid w:val="006E7E02"/>
    <w:rsid w:val="006F7B2F"/>
    <w:rsid w:val="00701078"/>
    <w:rsid w:val="007045F7"/>
    <w:rsid w:val="00722F5A"/>
    <w:rsid w:val="00730783"/>
    <w:rsid w:val="007310CD"/>
    <w:rsid w:val="00735172"/>
    <w:rsid w:val="00744546"/>
    <w:rsid w:val="00744A34"/>
    <w:rsid w:val="00761512"/>
    <w:rsid w:val="00762C0C"/>
    <w:rsid w:val="00762E11"/>
    <w:rsid w:val="007665FD"/>
    <w:rsid w:val="0078383F"/>
    <w:rsid w:val="00790050"/>
    <w:rsid w:val="007961FD"/>
    <w:rsid w:val="007A18C3"/>
    <w:rsid w:val="007A2C62"/>
    <w:rsid w:val="007A63D7"/>
    <w:rsid w:val="007A6AD0"/>
    <w:rsid w:val="007A7769"/>
    <w:rsid w:val="007B4128"/>
    <w:rsid w:val="007C396B"/>
    <w:rsid w:val="007C6603"/>
    <w:rsid w:val="007D70BE"/>
    <w:rsid w:val="007E7EEB"/>
    <w:rsid w:val="008002F2"/>
    <w:rsid w:val="008023D6"/>
    <w:rsid w:val="00812AEA"/>
    <w:rsid w:val="00814985"/>
    <w:rsid w:val="00821EF3"/>
    <w:rsid w:val="00851EEE"/>
    <w:rsid w:val="0085787F"/>
    <w:rsid w:val="00876D8A"/>
    <w:rsid w:val="008A3C56"/>
    <w:rsid w:val="008B6D4F"/>
    <w:rsid w:val="008D21B4"/>
    <w:rsid w:val="008F6DEA"/>
    <w:rsid w:val="00900D58"/>
    <w:rsid w:val="009010D4"/>
    <w:rsid w:val="00903478"/>
    <w:rsid w:val="00911AE9"/>
    <w:rsid w:val="00912CDE"/>
    <w:rsid w:val="00933B15"/>
    <w:rsid w:val="00937DC3"/>
    <w:rsid w:val="00940341"/>
    <w:rsid w:val="00943A4A"/>
    <w:rsid w:val="00950E78"/>
    <w:rsid w:val="00956BEF"/>
    <w:rsid w:val="00961FF2"/>
    <w:rsid w:val="009752DB"/>
    <w:rsid w:val="00984E8A"/>
    <w:rsid w:val="00986114"/>
    <w:rsid w:val="009C2CC9"/>
    <w:rsid w:val="009D1BCC"/>
    <w:rsid w:val="009F19C2"/>
    <w:rsid w:val="00A01F57"/>
    <w:rsid w:val="00A476A6"/>
    <w:rsid w:val="00A526A2"/>
    <w:rsid w:val="00A6467F"/>
    <w:rsid w:val="00A65541"/>
    <w:rsid w:val="00A82BCA"/>
    <w:rsid w:val="00A87691"/>
    <w:rsid w:val="00AB2BF9"/>
    <w:rsid w:val="00AB574D"/>
    <w:rsid w:val="00AC0B54"/>
    <w:rsid w:val="00AC23B2"/>
    <w:rsid w:val="00AE74AC"/>
    <w:rsid w:val="00B060A8"/>
    <w:rsid w:val="00B16879"/>
    <w:rsid w:val="00B335D9"/>
    <w:rsid w:val="00B5245F"/>
    <w:rsid w:val="00B6338D"/>
    <w:rsid w:val="00B65ADF"/>
    <w:rsid w:val="00B8285D"/>
    <w:rsid w:val="00B84344"/>
    <w:rsid w:val="00B859BB"/>
    <w:rsid w:val="00B91AE2"/>
    <w:rsid w:val="00BA3F97"/>
    <w:rsid w:val="00BA6E7E"/>
    <w:rsid w:val="00BB4FAA"/>
    <w:rsid w:val="00BC719D"/>
    <w:rsid w:val="00BE5132"/>
    <w:rsid w:val="00BE6C35"/>
    <w:rsid w:val="00C002AF"/>
    <w:rsid w:val="00C01776"/>
    <w:rsid w:val="00C102E4"/>
    <w:rsid w:val="00C15397"/>
    <w:rsid w:val="00C17168"/>
    <w:rsid w:val="00C1779F"/>
    <w:rsid w:val="00C2792D"/>
    <w:rsid w:val="00C37209"/>
    <w:rsid w:val="00C37A11"/>
    <w:rsid w:val="00C37F25"/>
    <w:rsid w:val="00C46D79"/>
    <w:rsid w:val="00C5342B"/>
    <w:rsid w:val="00C60DDA"/>
    <w:rsid w:val="00C961F5"/>
    <w:rsid w:val="00C969A1"/>
    <w:rsid w:val="00C96AFE"/>
    <w:rsid w:val="00CC19F9"/>
    <w:rsid w:val="00CC46E0"/>
    <w:rsid w:val="00CD1614"/>
    <w:rsid w:val="00CD19F9"/>
    <w:rsid w:val="00CD5401"/>
    <w:rsid w:val="00CD6D26"/>
    <w:rsid w:val="00CE4745"/>
    <w:rsid w:val="00CE78E0"/>
    <w:rsid w:val="00CF0AF2"/>
    <w:rsid w:val="00D00E37"/>
    <w:rsid w:val="00D25C7A"/>
    <w:rsid w:val="00D27C71"/>
    <w:rsid w:val="00D41150"/>
    <w:rsid w:val="00D4265A"/>
    <w:rsid w:val="00D515E9"/>
    <w:rsid w:val="00D550F4"/>
    <w:rsid w:val="00D749A0"/>
    <w:rsid w:val="00DA584E"/>
    <w:rsid w:val="00DA653D"/>
    <w:rsid w:val="00DB64BA"/>
    <w:rsid w:val="00DB7FD3"/>
    <w:rsid w:val="00DD48DC"/>
    <w:rsid w:val="00DF31A0"/>
    <w:rsid w:val="00E00CD6"/>
    <w:rsid w:val="00E1109B"/>
    <w:rsid w:val="00E115F0"/>
    <w:rsid w:val="00E11D6C"/>
    <w:rsid w:val="00E132ED"/>
    <w:rsid w:val="00E151AE"/>
    <w:rsid w:val="00E32CE3"/>
    <w:rsid w:val="00E67E3B"/>
    <w:rsid w:val="00E91A9E"/>
    <w:rsid w:val="00E9693F"/>
    <w:rsid w:val="00E97579"/>
    <w:rsid w:val="00EA744C"/>
    <w:rsid w:val="00EE77FC"/>
    <w:rsid w:val="00EF0F6A"/>
    <w:rsid w:val="00EF6155"/>
    <w:rsid w:val="00F06E32"/>
    <w:rsid w:val="00F106F1"/>
    <w:rsid w:val="00F17B83"/>
    <w:rsid w:val="00F230E7"/>
    <w:rsid w:val="00F245A2"/>
    <w:rsid w:val="00F25D70"/>
    <w:rsid w:val="00F357C5"/>
    <w:rsid w:val="00F65D1E"/>
    <w:rsid w:val="00F86136"/>
    <w:rsid w:val="00F9733F"/>
    <w:rsid w:val="00FA2059"/>
    <w:rsid w:val="00FA67E5"/>
    <w:rsid w:val="00FC131B"/>
    <w:rsid w:val="00FC21D3"/>
    <w:rsid w:val="00FC2AAB"/>
    <w:rsid w:val="00FD6809"/>
    <w:rsid w:val="00FE166F"/>
    <w:rsid w:val="00FF76DE"/>
    <w:rsid w:val="051F8F24"/>
    <w:rsid w:val="0B6F75E2"/>
    <w:rsid w:val="151B477B"/>
    <w:rsid w:val="27E2D173"/>
    <w:rsid w:val="29431860"/>
    <w:rsid w:val="2BFCCA2D"/>
    <w:rsid w:val="2E87F5F6"/>
    <w:rsid w:val="2EBA87F3"/>
    <w:rsid w:val="376A3A46"/>
    <w:rsid w:val="3B2B119E"/>
    <w:rsid w:val="3B9C074D"/>
    <w:rsid w:val="4626F076"/>
    <w:rsid w:val="4DAB67BD"/>
    <w:rsid w:val="4DF78D1A"/>
    <w:rsid w:val="53B62429"/>
    <w:rsid w:val="59C64DFA"/>
    <w:rsid w:val="5A593BF7"/>
    <w:rsid w:val="5D5DE197"/>
    <w:rsid w:val="6572BA67"/>
    <w:rsid w:val="6CE038E9"/>
    <w:rsid w:val="7279D805"/>
    <w:rsid w:val="7604835F"/>
    <w:rsid w:val="766173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53D2BF"/>
  <w15:docId w15:val="{88BDF4DC-A26F-409F-81D3-DC70149F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272" w:right="317"/>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67" w:hanging="796"/>
    </w:pPr>
  </w:style>
  <w:style w:type="paragraph" w:customStyle="1" w:styleId="TableParagraph">
    <w:name w:val="Table Paragraph"/>
    <w:basedOn w:val="Normal"/>
    <w:uiPriority w:val="1"/>
    <w:qFormat/>
    <w:pPr>
      <w:ind w:left="126"/>
    </w:pPr>
  </w:style>
  <w:style w:type="character" w:styleId="Hyperlink">
    <w:name w:val="Hyperlink"/>
    <w:rsid w:val="006465CA"/>
    <w:rPr>
      <w:color w:val="0000FF"/>
      <w:u w:val="single"/>
    </w:rPr>
  </w:style>
  <w:style w:type="paragraph" w:styleId="Header">
    <w:name w:val="header"/>
    <w:basedOn w:val="Normal"/>
    <w:link w:val="HeaderChar"/>
    <w:uiPriority w:val="99"/>
    <w:unhideWhenUsed/>
    <w:rsid w:val="006465CA"/>
    <w:pPr>
      <w:tabs>
        <w:tab w:val="center" w:pos="4513"/>
        <w:tab w:val="right" w:pos="9026"/>
      </w:tabs>
    </w:pPr>
  </w:style>
  <w:style w:type="character" w:customStyle="1" w:styleId="HeaderChar">
    <w:name w:val="Header Char"/>
    <w:basedOn w:val="DefaultParagraphFont"/>
    <w:link w:val="Header"/>
    <w:uiPriority w:val="99"/>
    <w:rsid w:val="006465CA"/>
    <w:rPr>
      <w:rFonts w:ascii="Carlito" w:eastAsia="Carlito" w:hAnsi="Carlito" w:cs="Carlito"/>
    </w:rPr>
  </w:style>
  <w:style w:type="paragraph" w:styleId="Footer">
    <w:name w:val="footer"/>
    <w:basedOn w:val="Normal"/>
    <w:link w:val="FooterChar"/>
    <w:uiPriority w:val="99"/>
    <w:unhideWhenUsed/>
    <w:rsid w:val="006465CA"/>
    <w:pPr>
      <w:tabs>
        <w:tab w:val="center" w:pos="4513"/>
        <w:tab w:val="right" w:pos="9026"/>
      </w:tabs>
    </w:pPr>
  </w:style>
  <w:style w:type="character" w:customStyle="1" w:styleId="FooterChar">
    <w:name w:val="Footer Char"/>
    <w:basedOn w:val="DefaultParagraphFont"/>
    <w:link w:val="Footer"/>
    <w:uiPriority w:val="99"/>
    <w:rsid w:val="006465CA"/>
    <w:rPr>
      <w:rFonts w:ascii="Carlito" w:eastAsia="Carlito" w:hAnsi="Carlito" w:cs="Carlito"/>
    </w:rPr>
  </w:style>
  <w:style w:type="character" w:styleId="CommentReference">
    <w:name w:val="annotation reference"/>
    <w:basedOn w:val="DefaultParagraphFont"/>
    <w:uiPriority w:val="99"/>
    <w:semiHidden/>
    <w:unhideWhenUsed/>
    <w:rsid w:val="00CD1614"/>
    <w:rPr>
      <w:sz w:val="16"/>
      <w:szCs w:val="16"/>
    </w:rPr>
  </w:style>
  <w:style w:type="paragraph" w:styleId="CommentText">
    <w:name w:val="annotation text"/>
    <w:basedOn w:val="Normal"/>
    <w:link w:val="CommentTextChar"/>
    <w:uiPriority w:val="99"/>
    <w:semiHidden/>
    <w:unhideWhenUsed/>
    <w:rsid w:val="00CD1614"/>
    <w:rPr>
      <w:sz w:val="20"/>
      <w:szCs w:val="20"/>
    </w:rPr>
  </w:style>
  <w:style w:type="character" w:customStyle="1" w:styleId="CommentTextChar">
    <w:name w:val="Comment Text Char"/>
    <w:basedOn w:val="DefaultParagraphFont"/>
    <w:link w:val="CommentText"/>
    <w:uiPriority w:val="99"/>
    <w:semiHidden/>
    <w:rsid w:val="00CD1614"/>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CD1614"/>
    <w:rPr>
      <w:b/>
      <w:bCs/>
    </w:rPr>
  </w:style>
  <w:style w:type="character" w:customStyle="1" w:styleId="CommentSubjectChar">
    <w:name w:val="Comment Subject Char"/>
    <w:basedOn w:val="CommentTextChar"/>
    <w:link w:val="CommentSubject"/>
    <w:uiPriority w:val="99"/>
    <w:semiHidden/>
    <w:rsid w:val="00CD1614"/>
    <w:rPr>
      <w:rFonts w:ascii="Carlito" w:eastAsia="Carlito" w:hAnsi="Carlito" w:cs="Carlito"/>
      <w:b/>
      <w:bCs/>
      <w:sz w:val="20"/>
      <w:szCs w:val="20"/>
    </w:rPr>
  </w:style>
  <w:style w:type="paragraph" w:styleId="BalloonText">
    <w:name w:val="Balloon Text"/>
    <w:basedOn w:val="Normal"/>
    <w:link w:val="BalloonTextChar"/>
    <w:uiPriority w:val="99"/>
    <w:semiHidden/>
    <w:unhideWhenUsed/>
    <w:rsid w:val="00CD1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614"/>
    <w:rPr>
      <w:rFonts w:ascii="Segoe UI" w:eastAsia="Carlito" w:hAnsi="Segoe UI" w:cs="Segoe UI"/>
      <w:sz w:val="18"/>
      <w:szCs w:val="18"/>
    </w:rPr>
  </w:style>
  <w:style w:type="character" w:customStyle="1" w:styleId="UnresolvedMention1">
    <w:name w:val="Unresolved Mention1"/>
    <w:basedOn w:val="DefaultParagraphFont"/>
    <w:uiPriority w:val="99"/>
    <w:semiHidden/>
    <w:unhideWhenUsed/>
    <w:rsid w:val="004F1576"/>
    <w:rPr>
      <w:color w:val="605E5C"/>
      <w:shd w:val="clear" w:color="auto" w:fill="E1DFDD"/>
    </w:rPr>
  </w:style>
  <w:style w:type="paragraph" w:customStyle="1" w:styleId="ArtNo">
    <w:name w:val="Art_No"/>
    <w:basedOn w:val="Normal"/>
    <w:next w:val="Normal"/>
    <w:rsid w:val="003B01E8"/>
    <w:pPr>
      <w:keepNext/>
      <w:keepLines/>
      <w:widowControl/>
      <w:tabs>
        <w:tab w:val="left" w:pos="794"/>
        <w:tab w:val="left" w:pos="1191"/>
        <w:tab w:val="left" w:pos="1588"/>
        <w:tab w:val="left" w:pos="1985"/>
      </w:tabs>
      <w:overflowPunct w:val="0"/>
      <w:adjustRightInd w:val="0"/>
      <w:spacing w:before="480"/>
      <w:jc w:val="center"/>
      <w:textAlignment w:val="baseline"/>
    </w:pPr>
    <w:rPr>
      <w:rFonts w:ascii="Calibri" w:eastAsia="Times New Roman" w:hAnsi="Calibri" w:cs="Times New Roman"/>
      <w:caps/>
      <w:sz w:val="28"/>
      <w:szCs w:val="20"/>
      <w:lang w:val="en-GB"/>
    </w:rPr>
  </w:style>
  <w:style w:type="character" w:styleId="FollowedHyperlink">
    <w:name w:val="FollowedHyperlink"/>
    <w:basedOn w:val="DefaultParagraphFont"/>
    <w:uiPriority w:val="99"/>
    <w:semiHidden/>
    <w:unhideWhenUsed/>
    <w:rsid w:val="006C2A1C"/>
    <w:rPr>
      <w:color w:val="800080" w:themeColor="followedHyperlink"/>
      <w:u w:val="single"/>
    </w:rPr>
  </w:style>
  <w:style w:type="paragraph" w:customStyle="1" w:styleId="Tabletext">
    <w:name w:val="Table_text"/>
    <w:basedOn w:val="Normal"/>
    <w:rsid w:val="008F6DEA"/>
    <w:pPr>
      <w:widowControl/>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djustRightInd w:val="0"/>
      <w:spacing w:before="40" w:after="40"/>
      <w:textAlignment w:val="baseline"/>
    </w:pPr>
    <w:rPr>
      <w:rFonts w:ascii="Calibri" w:eastAsia="Times New Roman" w:hAnsi="Calibri" w:cs="Times New Roman"/>
      <w:sz w:val="24"/>
      <w:szCs w:val="20"/>
      <w:lang w:val="en-GB"/>
    </w:rPr>
  </w:style>
  <w:style w:type="table" w:styleId="TableGrid">
    <w:name w:val="Table Grid"/>
    <w:basedOn w:val="TableNormal"/>
    <w:uiPriority w:val="39"/>
    <w:rsid w:val="00956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571A"/>
    <w:pPr>
      <w:widowControl/>
      <w:autoSpaceDE/>
      <w:autoSpaceDN/>
    </w:pPr>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514345">
      <w:bodyDiv w:val="1"/>
      <w:marLeft w:val="0"/>
      <w:marRight w:val="0"/>
      <w:marTop w:val="0"/>
      <w:marBottom w:val="0"/>
      <w:divBdr>
        <w:top w:val="none" w:sz="0" w:space="0" w:color="auto"/>
        <w:left w:val="none" w:sz="0" w:space="0" w:color="auto"/>
        <w:bottom w:val="none" w:sz="0" w:space="0" w:color="auto"/>
        <w:right w:val="none" w:sz="0" w:space="0" w:color="auto"/>
      </w:divBdr>
      <w:divsChild>
        <w:div w:id="11652411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T/studygroups/2022-2024/03" TargetMode="External"/><Relationship Id="rId13" Type="http://schemas.openxmlformats.org/officeDocument/2006/relationships/hyperlink" Target="mailto:travel@itu.in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tsbevents@itu.int" TargetMode="External"/><Relationship Id="rId12" Type="http://schemas.openxmlformats.org/officeDocument/2006/relationships/hyperlink" Target="http://itu.int/trave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ITU-D/finance/work-cost-tariffs/events/tariff-seminars/Geneva_Taxation/Agenda.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edh/faqs-support.html" TargetMode="External"/><Relationship Id="rId5" Type="http://schemas.openxmlformats.org/officeDocument/2006/relationships/footnotes" Target="footnotes.xml"/><Relationship Id="rId15" Type="http://schemas.openxmlformats.org/officeDocument/2006/relationships/hyperlink" Target="https://www.itu.int/en/ITU-T/Workshops-and-Seminars/2022/1103/Pages/default.aspx" TargetMode="External"/><Relationship Id="rId10" Type="http://schemas.openxmlformats.org/officeDocument/2006/relationships/hyperlink" Target="https://www.itu.int/net4/CRM/xreg/web/Login.aspx?src=Registration&amp;Event=C-0001171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en/ITU-T/Workshops-and-Seminars/2022/1103/Pages/default.aspx"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Rosheen</dc:creator>
  <cp:keywords/>
  <cp:lastModifiedBy>Braud, Olivia</cp:lastModifiedBy>
  <cp:revision>84</cp:revision>
  <cp:lastPrinted>2022-12-15T13:59:00Z</cp:lastPrinted>
  <dcterms:created xsi:type="dcterms:W3CDTF">2022-09-28T07:06:00Z</dcterms:created>
  <dcterms:modified xsi:type="dcterms:W3CDTF">2022-12-15T13:59:00Z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2017-11-02T00:00:00Z</vt:filetime>
  </property>
  <property fmtid="{D5CDD505-2E9C-101B-9397-08002B2CF9AE}" pid="3" name="Creator">
    <vt:lpwstr>Microsoft® Word 2013</vt:lpwstr>
  </property>
  <property fmtid="{D5CDD505-2E9C-101B-9397-08002B2CF9AE}" pid="4" name="LastSaved">
    <vt:filetime>2020-02-04T00:00:00Z</vt:filetime>
  </property>
</Properties>
</file>