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9B7E" w14:textId="7A0B2CD8" w:rsidR="00076489" w:rsidRPr="00A669D1" w:rsidRDefault="00076489" w:rsidP="00076489">
      <w:pPr>
        <w:jc w:val="center"/>
      </w:pPr>
      <w:r w:rsidRPr="00A669D1">
        <w:rPr>
          <w:noProof/>
          <w:lang w:val="fr-CH" w:eastAsia="fr-CH"/>
        </w:rPr>
        <w:drawing>
          <wp:inline distT="0" distB="0" distL="0" distR="0" wp14:anchorId="75A36E40" wp14:editId="19C995C6">
            <wp:extent cx="895350" cy="8953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7AB20E41" w14:textId="77777777" w:rsidR="00076489" w:rsidRPr="00A669D1" w:rsidRDefault="00076489" w:rsidP="00D76D8C">
      <w:pPr>
        <w:spacing w:before="0"/>
        <w:jc w:val="center"/>
        <w:rPr>
          <w:rFonts w:cs="Times New Roman Bold"/>
          <w:b/>
          <w:bCs/>
          <w:smallCaps/>
          <w:sz w:val="26"/>
          <w:szCs w:val="26"/>
        </w:rPr>
      </w:pPr>
      <w:r w:rsidRPr="00A669D1">
        <w:rPr>
          <w:rFonts w:cs="Times New Roman Bold"/>
          <w:b/>
          <w:bCs/>
          <w:smallCaps/>
          <w:sz w:val="36"/>
          <w:szCs w:val="36"/>
        </w:rPr>
        <w:t>International telecommunication union</w:t>
      </w:r>
    </w:p>
    <w:tbl>
      <w:tblPr>
        <w:tblW w:w="9781" w:type="dxa"/>
        <w:tblLayout w:type="fixed"/>
        <w:tblLook w:val="0000" w:firstRow="0" w:lastRow="0" w:firstColumn="0" w:lastColumn="0" w:noHBand="0" w:noVBand="0"/>
      </w:tblPr>
      <w:tblGrid>
        <w:gridCol w:w="1134"/>
        <w:gridCol w:w="3544"/>
        <w:gridCol w:w="5103"/>
      </w:tblGrid>
      <w:tr w:rsidR="00E45914" w:rsidRPr="00A669D1" w14:paraId="5F7C7050" w14:textId="77777777" w:rsidTr="00790CCF">
        <w:trPr>
          <w:cantSplit/>
          <w:trHeight w:val="80"/>
        </w:trPr>
        <w:tc>
          <w:tcPr>
            <w:tcW w:w="4678" w:type="dxa"/>
            <w:gridSpan w:val="2"/>
            <w:vAlign w:val="bottom"/>
          </w:tcPr>
          <w:p w14:paraId="35A8C968" w14:textId="0CEACD51" w:rsidR="00E45914" w:rsidRPr="00A669D1" w:rsidRDefault="00E45914" w:rsidP="00D76D8C">
            <w:pPr>
              <w:pStyle w:val="Tabletext"/>
              <w:spacing w:before="0" w:after="120"/>
              <w:rPr>
                <w:rFonts w:ascii="Carlito" w:hAnsi="Carlito"/>
                <w:b/>
                <w:color w:val="808080"/>
                <w:szCs w:val="18"/>
              </w:rPr>
            </w:pPr>
            <w:bookmarkStart w:id="0" w:name="_Hlk50992771"/>
            <w:r w:rsidRPr="00A669D1">
              <w:rPr>
                <w:rFonts w:ascii="Carlito" w:hAnsi="Carlito"/>
                <w:b/>
                <w:color w:val="808080"/>
                <w:szCs w:val="18"/>
              </w:rPr>
              <w:t>Telecommunication Standardization Bureau (TSB)</w:t>
            </w:r>
          </w:p>
        </w:tc>
        <w:tc>
          <w:tcPr>
            <w:tcW w:w="5103" w:type="dxa"/>
            <w:vAlign w:val="bottom"/>
          </w:tcPr>
          <w:p w14:paraId="274364BD" w14:textId="77777777" w:rsidR="00E45914" w:rsidRPr="00A669D1" w:rsidRDefault="00E45914" w:rsidP="00D76D8C">
            <w:pPr>
              <w:pStyle w:val="Tabletext"/>
              <w:spacing w:before="0" w:after="120"/>
              <w:rPr>
                <w:rFonts w:ascii="Carlito" w:hAnsi="Carlito"/>
                <w:b/>
                <w:color w:val="808080"/>
                <w:szCs w:val="18"/>
              </w:rPr>
            </w:pPr>
            <w:r w:rsidRPr="00A669D1">
              <w:rPr>
                <w:rFonts w:ascii="Carlito" w:hAnsi="Carlito"/>
                <w:b/>
                <w:color w:val="808080"/>
                <w:szCs w:val="18"/>
              </w:rPr>
              <w:t>Telecommunication Development Bureau (BDT)</w:t>
            </w:r>
          </w:p>
        </w:tc>
      </w:tr>
      <w:tr w:rsidR="003C3D1E" w:rsidRPr="00A669D1" w14:paraId="191C124E" w14:textId="77777777" w:rsidTr="00790CCF">
        <w:trPr>
          <w:cantSplit/>
          <w:trHeight w:val="80"/>
        </w:trPr>
        <w:tc>
          <w:tcPr>
            <w:tcW w:w="4678" w:type="dxa"/>
            <w:gridSpan w:val="2"/>
            <w:vAlign w:val="center"/>
          </w:tcPr>
          <w:p w14:paraId="43ED9C1B" w14:textId="77777777" w:rsidR="003C3D1E" w:rsidRPr="00A669D1" w:rsidRDefault="003C3D1E" w:rsidP="00790CCF">
            <w:pPr>
              <w:pStyle w:val="Tabletext"/>
              <w:jc w:val="right"/>
              <w:rPr>
                <w:rFonts w:cs="Calibri"/>
              </w:rPr>
            </w:pPr>
          </w:p>
        </w:tc>
        <w:tc>
          <w:tcPr>
            <w:tcW w:w="5103" w:type="dxa"/>
            <w:vAlign w:val="center"/>
          </w:tcPr>
          <w:p w14:paraId="0D8A98FE" w14:textId="0ABDFC9A" w:rsidR="003C3D1E" w:rsidRPr="00A669D1" w:rsidRDefault="003C3D1E" w:rsidP="00790CCF">
            <w:pPr>
              <w:pStyle w:val="Tabletext"/>
              <w:spacing w:before="480" w:after="120"/>
              <w:rPr>
                <w:rFonts w:cs="Calibri"/>
              </w:rPr>
            </w:pPr>
            <w:r w:rsidRPr="00A669D1">
              <w:rPr>
                <w:sz w:val="22"/>
                <w:szCs w:val="22"/>
              </w:rPr>
              <w:t xml:space="preserve">Geneva, </w:t>
            </w:r>
            <w:r w:rsidR="00974DBB">
              <w:rPr>
                <w:sz w:val="22"/>
                <w:szCs w:val="22"/>
              </w:rPr>
              <w:t>20</w:t>
            </w:r>
            <w:r w:rsidR="001E78C8" w:rsidRPr="003D7A25">
              <w:rPr>
                <w:sz w:val="22"/>
                <w:szCs w:val="22"/>
              </w:rPr>
              <w:t xml:space="preserve"> September</w:t>
            </w:r>
            <w:r w:rsidRPr="003D7A25">
              <w:rPr>
                <w:sz w:val="22"/>
                <w:szCs w:val="22"/>
              </w:rPr>
              <w:t xml:space="preserve"> </w:t>
            </w:r>
            <w:r w:rsidRPr="00A669D1">
              <w:rPr>
                <w:sz w:val="22"/>
                <w:szCs w:val="22"/>
              </w:rPr>
              <w:t>2022</w:t>
            </w:r>
          </w:p>
        </w:tc>
      </w:tr>
      <w:tr w:rsidR="003C3D1E" w:rsidRPr="00A669D1" w14:paraId="6E7FCF49" w14:textId="77777777" w:rsidTr="00790CCF">
        <w:trPr>
          <w:cantSplit/>
          <w:trHeight w:val="1417"/>
        </w:trPr>
        <w:tc>
          <w:tcPr>
            <w:tcW w:w="1134" w:type="dxa"/>
            <w:tcBorders>
              <w:bottom w:val="nil"/>
            </w:tcBorders>
          </w:tcPr>
          <w:p w14:paraId="64F6FF7E" w14:textId="77777777" w:rsidR="003C3D1E" w:rsidRPr="00A669D1" w:rsidRDefault="003C3D1E" w:rsidP="00790CCF">
            <w:pPr>
              <w:pStyle w:val="Tabletext"/>
              <w:rPr>
                <w:rFonts w:cstheme="minorHAnsi"/>
                <w:bCs/>
              </w:rPr>
            </w:pPr>
            <w:r w:rsidRPr="00A669D1">
              <w:rPr>
                <w:rFonts w:cstheme="minorHAnsi"/>
                <w:bCs/>
              </w:rPr>
              <w:t>Ref:</w:t>
            </w:r>
          </w:p>
          <w:p w14:paraId="72B477B6" w14:textId="77777777" w:rsidR="003C3D1E" w:rsidRPr="00A669D1" w:rsidRDefault="003C3D1E" w:rsidP="00790CCF">
            <w:pPr>
              <w:pStyle w:val="Tabletext"/>
              <w:rPr>
                <w:rFonts w:cstheme="minorHAnsi"/>
              </w:rPr>
            </w:pPr>
          </w:p>
          <w:p w14:paraId="10617363" w14:textId="77777777" w:rsidR="003C3D1E" w:rsidRPr="00A669D1" w:rsidRDefault="003C3D1E" w:rsidP="00790CCF">
            <w:pPr>
              <w:pStyle w:val="Tabletext"/>
              <w:rPr>
                <w:rFonts w:cstheme="minorHAnsi"/>
              </w:rPr>
            </w:pPr>
          </w:p>
        </w:tc>
        <w:tc>
          <w:tcPr>
            <w:tcW w:w="3544" w:type="dxa"/>
            <w:tcBorders>
              <w:bottom w:val="nil"/>
            </w:tcBorders>
          </w:tcPr>
          <w:p w14:paraId="05945098" w14:textId="3FD921CB" w:rsidR="003C3D1E" w:rsidRPr="00A669D1" w:rsidRDefault="003C3D1E" w:rsidP="00790CCF">
            <w:pPr>
              <w:pStyle w:val="Tabletext"/>
              <w:rPr>
                <w:rFonts w:cs="Calibri"/>
                <w:b/>
                <w:bCs/>
              </w:rPr>
            </w:pPr>
            <w:r w:rsidRPr="00A669D1">
              <w:rPr>
                <w:rFonts w:cs="Calibri"/>
                <w:b/>
                <w:bCs/>
              </w:rPr>
              <w:t>Circular BDT/</w:t>
            </w:r>
            <w:r w:rsidRPr="008B47B2">
              <w:rPr>
                <w:rFonts w:cs="Calibri"/>
                <w:b/>
                <w:bCs/>
              </w:rPr>
              <w:t>DKH/RME/</w:t>
            </w:r>
            <w:r w:rsidR="008B47B2" w:rsidRPr="008B47B2">
              <w:rPr>
                <w:rFonts w:cs="Calibri"/>
                <w:b/>
                <w:bCs/>
              </w:rPr>
              <w:t>128</w:t>
            </w:r>
          </w:p>
          <w:p w14:paraId="4C86F661" w14:textId="265DEB93" w:rsidR="003C3D1E" w:rsidRPr="00A669D1" w:rsidRDefault="003C3D1E" w:rsidP="004E5EAF">
            <w:pPr>
              <w:pStyle w:val="Tabletext"/>
              <w:rPr>
                <w:rFonts w:cs="Calibri"/>
                <w:b/>
                <w:bCs/>
              </w:rPr>
            </w:pPr>
            <w:r w:rsidRPr="00A669D1">
              <w:rPr>
                <w:rFonts w:cs="Calibri"/>
                <w:b/>
                <w:bCs/>
              </w:rPr>
              <w:t>TSB Circular 29</w:t>
            </w:r>
          </w:p>
        </w:tc>
        <w:tc>
          <w:tcPr>
            <w:tcW w:w="5103" w:type="dxa"/>
          </w:tcPr>
          <w:p w14:paraId="70A6B636" w14:textId="77777777" w:rsidR="003C3D1E" w:rsidRPr="00A669D1" w:rsidRDefault="003C3D1E" w:rsidP="00790CCF">
            <w:pPr>
              <w:tabs>
                <w:tab w:val="left" w:pos="241"/>
              </w:tabs>
              <w:ind w:left="283" w:hanging="391"/>
              <w:rPr>
                <w:rFonts w:ascii="Calibri" w:hAnsi="Calibri" w:cs="Calibri"/>
                <w:b/>
                <w:szCs w:val="24"/>
              </w:rPr>
            </w:pPr>
            <w:r w:rsidRPr="00A669D1">
              <w:rPr>
                <w:rFonts w:ascii="Calibri" w:hAnsi="Calibri" w:cs="Calibri"/>
                <w:b/>
                <w:szCs w:val="24"/>
              </w:rPr>
              <w:t>To:</w:t>
            </w:r>
          </w:p>
          <w:p w14:paraId="46A920B1" w14:textId="11FA5133" w:rsidR="003C3D1E" w:rsidRPr="00A669D1" w:rsidRDefault="003C3D1E" w:rsidP="00790CCF">
            <w:pPr>
              <w:tabs>
                <w:tab w:val="left" w:pos="241"/>
              </w:tabs>
              <w:ind w:left="283" w:hanging="391"/>
              <w:rPr>
                <w:rFonts w:ascii="Calibri" w:hAnsi="Calibri" w:cs="Calibri"/>
                <w:bCs/>
                <w:szCs w:val="24"/>
              </w:rPr>
            </w:pPr>
            <w:r w:rsidRPr="00A669D1">
              <w:rPr>
                <w:rFonts w:ascii="Calibri" w:hAnsi="Calibri" w:cs="Calibri"/>
                <w:bCs/>
                <w:szCs w:val="24"/>
              </w:rPr>
              <w:t>-</w:t>
            </w:r>
            <w:r w:rsidRPr="00A669D1">
              <w:rPr>
                <w:rFonts w:ascii="Calibri" w:hAnsi="Calibri" w:cs="Calibri"/>
                <w:bCs/>
                <w:szCs w:val="24"/>
              </w:rPr>
              <w:tab/>
              <w:t>Administrations of Member States of the Union</w:t>
            </w:r>
          </w:p>
          <w:p w14:paraId="6157EF81" w14:textId="4B09C60D" w:rsidR="003C3D1E" w:rsidRPr="00A669D1" w:rsidRDefault="003C3D1E" w:rsidP="00790CCF">
            <w:pPr>
              <w:tabs>
                <w:tab w:val="left" w:pos="241"/>
              </w:tabs>
              <w:ind w:left="283" w:hanging="391"/>
              <w:rPr>
                <w:rFonts w:ascii="Calibri" w:hAnsi="Calibri" w:cs="Calibri"/>
                <w:bCs/>
                <w:szCs w:val="24"/>
              </w:rPr>
            </w:pPr>
            <w:r w:rsidRPr="00A669D1">
              <w:rPr>
                <w:rFonts w:ascii="Calibri" w:hAnsi="Calibri" w:cs="Calibri"/>
                <w:bCs/>
                <w:szCs w:val="24"/>
              </w:rPr>
              <w:t>-</w:t>
            </w:r>
            <w:r w:rsidRPr="00A669D1">
              <w:rPr>
                <w:rFonts w:ascii="Calibri" w:hAnsi="Calibri" w:cs="Calibri"/>
                <w:bCs/>
                <w:szCs w:val="24"/>
              </w:rPr>
              <w:tab/>
              <w:t>ITU-T and ITU-D Sector Members</w:t>
            </w:r>
          </w:p>
          <w:p w14:paraId="058C1377" w14:textId="50FFC739" w:rsidR="003C3D1E" w:rsidRPr="007754C4" w:rsidRDefault="003C3D1E" w:rsidP="00790CCF">
            <w:pPr>
              <w:tabs>
                <w:tab w:val="left" w:pos="241"/>
              </w:tabs>
              <w:ind w:left="283" w:hanging="391"/>
              <w:rPr>
                <w:rFonts w:ascii="Calibri" w:hAnsi="Calibri" w:cs="Calibri"/>
                <w:bCs/>
                <w:szCs w:val="24"/>
                <w:lang w:val="fr-CH"/>
              </w:rPr>
            </w:pPr>
            <w:r w:rsidRPr="007754C4">
              <w:rPr>
                <w:rFonts w:ascii="Calibri" w:hAnsi="Calibri" w:cs="Calibri"/>
                <w:bCs/>
                <w:szCs w:val="24"/>
                <w:lang w:val="fr-CH"/>
              </w:rPr>
              <w:t>-</w:t>
            </w:r>
            <w:r w:rsidRPr="007754C4">
              <w:rPr>
                <w:rFonts w:ascii="Calibri" w:hAnsi="Calibri" w:cs="Calibri"/>
                <w:bCs/>
                <w:szCs w:val="24"/>
                <w:lang w:val="fr-CH"/>
              </w:rPr>
              <w:tab/>
              <w:t>ITU-T and ITU-D Associates</w:t>
            </w:r>
          </w:p>
          <w:p w14:paraId="69D36969" w14:textId="77777777" w:rsidR="003C3D1E" w:rsidRPr="00A669D1" w:rsidRDefault="003C3D1E" w:rsidP="00790CCF">
            <w:pPr>
              <w:tabs>
                <w:tab w:val="left" w:pos="241"/>
              </w:tabs>
              <w:ind w:left="283" w:hanging="391"/>
              <w:rPr>
                <w:rFonts w:ascii="Calibri" w:hAnsi="Calibri" w:cs="Calibri"/>
                <w:bCs/>
                <w:szCs w:val="24"/>
              </w:rPr>
            </w:pPr>
            <w:r w:rsidRPr="00A669D1">
              <w:rPr>
                <w:rFonts w:ascii="Calibri" w:hAnsi="Calibri" w:cs="Calibri"/>
                <w:bCs/>
                <w:szCs w:val="24"/>
              </w:rPr>
              <w:t>-</w:t>
            </w:r>
            <w:r w:rsidRPr="00A669D1">
              <w:rPr>
                <w:rFonts w:ascii="Calibri" w:hAnsi="Calibri" w:cs="Calibri"/>
                <w:bCs/>
                <w:szCs w:val="24"/>
              </w:rPr>
              <w:tab/>
              <w:t>ITU Academia</w:t>
            </w:r>
          </w:p>
        </w:tc>
      </w:tr>
      <w:tr w:rsidR="003C3D1E" w:rsidRPr="00A669D1" w14:paraId="6D1C9925" w14:textId="77777777" w:rsidTr="00790CCF">
        <w:trPr>
          <w:cantSplit/>
          <w:trHeight w:val="2235"/>
        </w:trPr>
        <w:tc>
          <w:tcPr>
            <w:tcW w:w="1134" w:type="dxa"/>
          </w:tcPr>
          <w:p w14:paraId="3840242C" w14:textId="77777777" w:rsidR="003C3D1E" w:rsidRPr="00A669D1" w:rsidRDefault="003C3D1E" w:rsidP="00790CCF">
            <w:pPr>
              <w:pStyle w:val="Tabletext"/>
              <w:rPr>
                <w:rFonts w:cstheme="minorHAnsi"/>
              </w:rPr>
            </w:pPr>
            <w:r w:rsidRPr="00A669D1">
              <w:rPr>
                <w:sz w:val="22"/>
                <w:szCs w:val="22"/>
              </w:rPr>
              <w:t>E-mail:</w:t>
            </w:r>
          </w:p>
        </w:tc>
        <w:tc>
          <w:tcPr>
            <w:tcW w:w="3544" w:type="dxa"/>
          </w:tcPr>
          <w:p w14:paraId="0FB8812E" w14:textId="77777777" w:rsidR="003C3D1E" w:rsidRPr="00A669D1" w:rsidRDefault="00000000" w:rsidP="00790CCF">
            <w:pPr>
              <w:pStyle w:val="Tabletext"/>
              <w:rPr>
                <w:rFonts w:cs="Calibri"/>
              </w:rPr>
            </w:pPr>
            <w:hyperlink r:id="rId12" w:history="1">
              <w:r w:rsidR="003C3D1E" w:rsidRPr="00A669D1">
                <w:rPr>
                  <w:rFonts w:cs="Calibri"/>
                  <w:color w:val="0000FF"/>
                  <w:sz w:val="22"/>
                  <w:szCs w:val="22"/>
                  <w:u w:val="single"/>
                </w:rPr>
                <w:t>tsbevents@itu.int</w:t>
              </w:r>
            </w:hyperlink>
          </w:p>
        </w:tc>
        <w:tc>
          <w:tcPr>
            <w:tcW w:w="5103" w:type="dxa"/>
          </w:tcPr>
          <w:p w14:paraId="34408958" w14:textId="77777777" w:rsidR="003C3D1E" w:rsidRPr="00A669D1" w:rsidRDefault="003C3D1E" w:rsidP="00790CCF">
            <w:pPr>
              <w:pStyle w:val="Tabletext"/>
              <w:ind w:left="283" w:hanging="391"/>
              <w:rPr>
                <w:rFonts w:cs="Calibri"/>
                <w:szCs w:val="24"/>
              </w:rPr>
            </w:pPr>
            <w:r w:rsidRPr="00A669D1">
              <w:rPr>
                <w:rFonts w:cs="Calibri"/>
                <w:b/>
                <w:szCs w:val="24"/>
              </w:rPr>
              <w:t>Copy to:</w:t>
            </w:r>
          </w:p>
          <w:p w14:paraId="2AE1C153" w14:textId="7F8AC220" w:rsidR="003C3D1E" w:rsidRPr="00A669D1" w:rsidRDefault="003C3D1E" w:rsidP="00790CCF">
            <w:pPr>
              <w:pStyle w:val="Tabletext"/>
              <w:ind w:left="283" w:hanging="391"/>
              <w:rPr>
                <w:rFonts w:cs="Calibri"/>
                <w:szCs w:val="24"/>
              </w:rPr>
            </w:pPr>
            <w:r w:rsidRPr="00A669D1">
              <w:rPr>
                <w:rFonts w:cs="Calibri"/>
                <w:szCs w:val="24"/>
              </w:rPr>
              <w:t>-</w:t>
            </w:r>
            <w:r w:rsidRPr="00A669D1">
              <w:rPr>
                <w:rFonts w:cs="Calibri"/>
                <w:szCs w:val="24"/>
              </w:rPr>
              <w:tab/>
              <w:t>The Chairmen and Vice-Chairmen of ITU-T and ITU-D Study Groups</w:t>
            </w:r>
          </w:p>
          <w:p w14:paraId="31C24427" w14:textId="09463F76" w:rsidR="003C3D1E" w:rsidRPr="00A669D1" w:rsidRDefault="003C3D1E" w:rsidP="00790CCF">
            <w:pPr>
              <w:pStyle w:val="Tabletext"/>
              <w:ind w:left="283" w:hanging="391"/>
              <w:rPr>
                <w:rFonts w:cs="Calibri"/>
                <w:szCs w:val="24"/>
              </w:rPr>
            </w:pPr>
            <w:r w:rsidRPr="00A669D1">
              <w:rPr>
                <w:rFonts w:cs="Calibri"/>
                <w:szCs w:val="24"/>
              </w:rPr>
              <w:t>-</w:t>
            </w:r>
            <w:r w:rsidRPr="00A669D1">
              <w:rPr>
                <w:rFonts w:cs="Calibri"/>
                <w:szCs w:val="24"/>
              </w:rPr>
              <w:tab/>
              <w:t>The Director of the Radiocommunication Bureau</w:t>
            </w:r>
          </w:p>
          <w:p w14:paraId="04BD4C16" w14:textId="057D08C1" w:rsidR="00874417" w:rsidRPr="00A669D1" w:rsidRDefault="003C3D1E" w:rsidP="00874417">
            <w:pPr>
              <w:pStyle w:val="Tabletext"/>
              <w:ind w:left="283" w:hanging="391"/>
              <w:rPr>
                <w:rFonts w:cs="Calibri"/>
                <w:b/>
                <w:szCs w:val="24"/>
              </w:rPr>
            </w:pPr>
            <w:r w:rsidRPr="00A669D1">
              <w:rPr>
                <w:rFonts w:cs="Calibri"/>
              </w:rPr>
              <w:t>-</w:t>
            </w:r>
            <w:r w:rsidRPr="00A669D1">
              <w:rPr>
                <w:rFonts w:cs="Calibri"/>
              </w:rPr>
              <w:tab/>
              <w:t>The Regional Directors of the ITU regional offices</w:t>
            </w:r>
          </w:p>
        </w:tc>
      </w:tr>
      <w:tr w:rsidR="003C3D1E" w:rsidRPr="00A669D1" w14:paraId="2EDF2E9B" w14:textId="77777777" w:rsidTr="00790CCF">
        <w:trPr>
          <w:cantSplit/>
          <w:trHeight w:val="624"/>
        </w:trPr>
        <w:tc>
          <w:tcPr>
            <w:tcW w:w="1134" w:type="dxa"/>
          </w:tcPr>
          <w:p w14:paraId="7D2C0045" w14:textId="7B32EAD4" w:rsidR="003C3D1E" w:rsidRPr="00A669D1" w:rsidRDefault="003C3D1E" w:rsidP="00790CCF">
            <w:pPr>
              <w:pStyle w:val="Tabletext"/>
              <w:rPr>
                <w:rFonts w:cs="Calibri"/>
              </w:rPr>
            </w:pPr>
            <w:r w:rsidRPr="00A669D1">
              <w:rPr>
                <w:rFonts w:cs="Calibri"/>
                <w:b/>
                <w:bCs/>
                <w:szCs w:val="24"/>
              </w:rPr>
              <w:t>Subject:</w:t>
            </w:r>
          </w:p>
        </w:tc>
        <w:tc>
          <w:tcPr>
            <w:tcW w:w="8647" w:type="dxa"/>
            <w:gridSpan w:val="2"/>
          </w:tcPr>
          <w:p w14:paraId="1C13638F" w14:textId="66FD52D4" w:rsidR="003C3D1E" w:rsidRPr="00A669D1" w:rsidRDefault="003C3D1E" w:rsidP="00790CCF">
            <w:pPr>
              <w:pStyle w:val="Tabletext"/>
              <w:ind w:left="-108"/>
              <w:rPr>
                <w:rFonts w:cs="Calibri"/>
                <w:b/>
                <w:bCs/>
              </w:rPr>
            </w:pPr>
            <w:r w:rsidRPr="00A669D1">
              <w:rPr>
                <w:rFonts w:cs="Calibri"/>
                <w:b/>
                <w:bCs/>
              </w:rPr>
              <w:t>ITU Workshop on “Economic and fiscal incentives to accelerate digital transformation of data and applications over telecommunication infrastructure”</w:t>
            </w:r>
            <w:r w:rsidRPr="00A669D1">
              <w:rPr>
                <w:rFonts w:cs="Calibri"/>
                <w:b/>
                <w:bCs/>
              </w:rPr>
              <w:br/>
              <w:t>(Geneva, Switzerland, 3</w:t>
            </w:r>
            <w:r w:rsidR="009D7A7F">
              <w:rPr>
                <w:rFonts w:cs="Calibri"/>
                <w:b/>
                <w:bCs/>
              </w:rPr>
              <w:t>–</w:t>
            </w:r>
            <w:r w:rsidRPr="00A669D1">
              <w:rPr>
                <w:rFonts w:cs="Calibri"/>
                <w:b/>
                <w:bCs/>
              </w:rPr>
              <w:t>4 November 2022)</w:t>
            </w:r>
          </w:p>
        </w:tc>
      </w:tr>
    </w:tbl>
    <w:p w14:paraId="1A973907" w14:textId="63E71DEF" w:rsidR="0087300D" w:rsidRPr="00A669D1" w:rsidRDefault="0087300D" w:rsidP="001C2D1A">
      <w:pPr>
        <w:pStyle w:val="Normalaftertitle0"/>
        <w:spacing w:before="240"/>
        <w:rPr>
          <w:sz w:val="22"/>
          <w:szCs w:val="22"/>
        </w:rPr>
      </w:pPr>
      <w:bookmarkStart w:id="1" w:name="StartTyping_E"/>
      <w:bookmarkEnd w:id="0"/>
      <w:bookmarkEnd w:id="1"/>
      <w:r w:rsidRPr="00A669D1">
        <w:rPr>
          <w:sz w:val="22"/>
          <w:szCs w:val="22"/>
        </w:rPr>
        <w:t>Dear Sir/Madam,</w:t>
      </w:r>
    </w:p>
    <w:p w14:paraId="3957E503" w14:textId="1678D2A3" w:rsidR="00841DA9" w:rsidRPr="00A669D1" w:rsidRDefault="0087300D" w:rsidP="00974DBB">
      <w:pPr>
        <w:tabs>
          <w:tab w:val="clear" w:pos="1134"/>
          <w:tab w:val="left" w:pos="900"/>
        </w:tabs>
        <w:jc w:val="both"/>
        <w:rPr>
          <w:rFonts w:ascii="Calibri" w:hAnsi="Calibri"/>
          <w:sz w:val="22"/>
          <w:szCs w:val="22"/>
        </w:rPr>
      </w:pPr>
      <w:bookmarkStart w:id="2" w:name="suitetext"/>
      <w:bookmarkStart w:id="3" w:name="text"/>
      <w:bookmarkEnd w:id="2"/>
      <w:bookmarkEnd w:id="3"/>
      <w:r w:rsidRPr="00A669D1">
        <w:rPr>
          <w:bCs/>
          <w:sz w:val="22"/>
          <w:szCs w:val="22"/>
        </w:rPr>
        <w:t>1</w:t>
      </w:r>
      <w:r w:rsidRPr="00A669D1">
        <w:rPr>
          <w:sz w:val="22"/>
          <w:szCs w:val="22"/>
        </w:rPr>
        <w:tab/>
      </w:r>
      <w:r w:rsidR="00B90A8E" w:rsidRPr="00A669D1">
        <w:rPr>
          <w:rFonts w:ascii="Calibri" w:hAnsi="Calibri"/>
          <w:sz w:val="22"/>
          <w:szCs w:val="22"/>
        </w:rPr>
        <w:t xml:space="preserve">The International Telecommunication Union (ITU) is organizing a workshop on </w:t>
      </w:r>
      <w:r w:rsidR="00B90A8E" w:rsidRPr="00A669D1">
        <w:rPr>
          <w:rFonts w:ascii="Calibri" w:hAnsi="Calibri"/>
          <w:b/>
          <w:bCs/>
          <w:sz w:val="22"/>
          <w:szCs w:val="22"/>
        </w:rPr>
        <w:t>"Economic and fiscal incentives to accelerate digital transformation of data and applications over telecommunication infrastructure"</w:t>
      </w:r>
      <w:r w:rsidR="00B90A8E" w:rsidRPr="00A669D1">
        <w:rPr>
          <w:rFonts w:ascii="Calibri" w:hAnsi="Calibri"/>
          <w:sz w:val="22"/>
          <w:szCs w:val="22"/>
        </w:rPr>
        <w:t xml:space="preserve"> from 3 to 4 November 2022 at ITU headquarters in Geneva, Switzerland. The workshop will be </w:t>
      </w:r>
      <w:r w:rsidR="009D7A7F">
        <w:rPr>
          <w:rFonts w:ascii="Calibri" w:hAnsi="Calibri"/>
          <w:sz w:val="22"/>
          <w:szCs w:val="22"/>
        </w:rPr>
        <w:t>held</w:t>
      </w:r>
      <w:r w:rsidR="009D7A7F" w:rsidRPr="00A669D1">
        <w:rPr>
          <w:rFonts w:ascii="Calibri" w:hAnsi="Calibri"/>
          <w:sz w:val="22"/>
          <w:szCs w:val="22"/>
        </w:rPr>
        <w:t xml:space="preserve"> </w:t>
      </w:r>
      <w:r w:rsidR="00B90A8E" w:rsidRPr="00A669D1">
        <w:rPr>
          <w:rFonts w:ascii="Calibri" w:hAnsi="Calibri"/>
          <w:sz w:val="22"/>
          <w:szCs w:val="22"/>
        </w:rPr>
        <w:t>as a physical event with remote participation.</w:t>
      </w:r>
    </w:p>
    <w:p w14:paraId="0594FE20" w14:textId="39F6566C" w:rsidR="00B90A8E" w:rsidRPr="00A669D1" w:rsidRDefault="00B90A8E" w:rsidP="00974DBB">
      <w:pPr>
        <w:tabs>
          <w:tab w:val="clear" w:pos="1134"/>
          <w:tab w:val="left" w:pos="900"/>
        </w:tabs>
        <w:jc w:val="both"/>
        <w:rPr>
          <w:sz w:val="22"/>
          <w:szCs w:val="22"/>
        </w:rPr>
      </w:pPr>
      <w:r w:rsidRPr="009001DE">
        <w:rPr>
          <w:rFonts w:ascii="Calibri" w:hAnsi="Calibri"/>
          <w:sz w:val="22"/>
          <w:szCs w:val="22"/>
        </w:rPr>
        <w:t xml:space="preserve">The workshop </w:t>
      </w:r>
      <w:r w:rsidR="00F423BC" w:rsidRPr="009001DE">
        <w:rPr>
          <w:rFonts w:ascii="Calibri" w:hAnsi="Calibri"/>
          <w:sz w:val="22"/>
          <w:szCs w:val="22"/>
        </w:rPr>
        <w:t>will be held in English only</w:t>
      </w:r>
      <w:r w:rsidR="009D7A7F">
        <w:rPr>
          <w:rFonts w:ascii="Calibri" w:hAnsi="Calibri"/>
          <w:sz w:val="22"/>
          <w:szCs w:val="22"/>
        </w:rPr>
        <w:t>,</w:t>
      </w:r>
      <w:r w:rsidR="00F423BC" w:rsidRPr="00A669D1">
        <w:rPr>
          <w:rFonts w:ascii="Calibri" w:hAnsi="Calibri"/>
          <w:sz w:val="22"/>
          <w:szCs w:val="22"/>
        </w:rPr>
        <w:t xml:space="preserve"> with live captioning</w:t>
      </w:r>
      <w:r w:rsidR="009D7A7F">
        <w:rPr>
          <w:rFonts w:ascii="Calibri" w:hAnsi="Calibri"/>
          <w:sz w:val="22"/>
          <w:szCs w:val="22"/>
        </w:rPr>
        <w:t>,</w:t>
      </w:r>
      <w:r w:rsidR="00F423BC" w:rsidRPr="00A669D1">
        <w:rPr>
          <w:rFonts w:ascii="Calibri" w:hAnsi="Calibri"/>
          <w:sz w:val="22"/>
          <w:szCs w:val="22"/>
        </w:rPr>
        <w:t xml:space="preserve"> and </w:t>
      </w:r>
      <w:r w:rsidRPr="00A669D1">
        <w:rPr>
          <w:rFonts w:ascii="Calibri" w:hAnsi="Calibri"/>
          <w:sz w:val="22"/>
          <w:szCs w:val="22"/>
        </w:rPr>
        <w:t xml:space="preserve">will be followed by the </w:t>
      </w:r>
      <w:hyperlink r:id="rId13" w:history="1">
        <w:r w:rsidRPr="00A669D1">
          <w:rPr>
            <w:rStyle w:val="Hyperlink"/>
            <w:rFonts w:ascii="Calibri" w:hAnsi="Calibri"/>
            <w:sz w:val="22"/>
            <w:szCs w:val="22"/>
          </w:rPr>
          <w:t xml:space="preserve">ITU-T Study </w:t>
        </w:r>
        <w:r w:rsidR="003F3C2F">
          <w:rPr>
            <w:rStyle w:val="Hyperlink"/>
            <w:rFonts w:ascii="Calibri" w:hAnsi="Calibri"/>
            <w:sz w:val="22"/>
            <w:szCs w:val="22"/>
          </w:rPr>
          <w:br/>
        </w:r>
        <w:r w:rsidRPr="00A669D1">
          <w:rPr>
            <w:rStyle w:val="Hyperlink"/>
            <w:rFonts w:ascii="Calibri" w:hAnsi="Calibri"/>
            <w:sz w:val="22"/>
            <w:szCs w:val="22"/>
          </w:rPr>
          <w:t>Group 3</w:t>
        </w:r>
      </w:hyperlink>
      <w:r w:rsidRPr="00A669D1">
        <w:rPr>
          <w:rFonts w:ascii="Calibri" w:hAnsi="Calibri"/>
          <w:sz w:val="22"/>
          <w:szCs w:val="22"/>
        </w:rPr>
        <w:t xml:space="preserve"> </w:t>
      </w:r>
      <w:r w:rsidR="00170E70" w:rsidRPr="00A669D1">
        <w:rPr>
          <w:rFonts w:ascii="Calibri" w:hAnsi="Calibri"/>
          <w:sz w:val="22"/>
          <w:szCs w:val="22"/>
        </w:rPr>
        <w:t xml:space="preserve">series of Rapporteur Group meetings </w:t>
      </w:r>
      <w:r w:rsidR="00383B23" w:rsidRPr="00A669D1">
        <w:rPr>
          <w:rFonts w:ascii="Calibri" w:hAnsi="Calibri"/>
          <w:sz w:val="22"/>
          <w:szCs w:val="22"/>
        </w:rPr>
        <w:t>fr</w:t>
      </w:r>
      <w:r w:rsidR="00170E70" w:rsidRPr="00A669D1">
        <w:rPr>
          <w:rFonts w:ascii="Calibri" w:hAnsi="Calibri"/>
          <w:sz w:val="22"/>
          <w:szCs w:val="22"/>
        </w:rPr>
        <w:t>om 7 to 10 November 2022</w:t>
      </w:r>
      <w:r w:rsidR="009D7A7F">
        <w:rPr>
          <w:rFonts w:ascii="Calibri" w:hAnsi="Calibri"/>
          <w:sz w:val="22"/>
          <w:szCs w:val="22"/>
        </w:rPr>
        <w:t>,</w:t>
      </w:r>
      <w:r w:rsidR="00170E70" w:rsidRPr="00A669D1">
        <w:rPr>
          <w:rFonts w:ascii="Calibri" w:hAnsi="Calibri"/>
          <w:sz w:val="22"/>
          <w:szCs w:val="22"/>
        </w:rPr>
        <w:t xml:space="preserve"> and by the ITU-T SG3 </w:t>
      </w:r>
      <w:r w:rsidRPr="00A669D1">
        <w:rPr>
          <w:rFonts w:ascii="Calibri" w:hAnsi="Calibri"/>
          <w:sz w:val="22"/>
          <w:szCs w:val="22"/>
        </w:rPr>
        <w:t>plenary meeting taking place on 11 November 2022 at the same venue.</w:t>
      </w:r>
    </w:p>
    <w:p w14:paraId="0AD23F26" w14:textId="343569A5" w:rsidR="00103503" w:rsidRPr="00A669D1" w:rsidRDefault="00F97E32" w:rsidP="00974DBB">
      <w:pPr>
        <w:tabs>
          <w:tab w:val="clear" w:pos="1134"/>
          <w:tab w:val="left" w:pos="900"/>
        </w:tabs>
        <w:jc w:val="both"/>
        <w:rPr>
          <w:rFonts w:ascii="Calibri" w:hAnsi="Calibri"/>
          <w:sz w:val="22"/>
          <w:szCs w:val="22"/>
        </w:rPr>
      </w:pPr>
      <w:r w:rsidRPr="00A669D1">
        <w:rPr>
          <w:rFonts w:ascii="Calibri" w:hAnsi="Calibri"/>
          <w:sz w:val="22"/>
          <w:szCs w:val="22"/>
        </w:rPr>
        <w:t>2</w:t>
      </w:r>
      <w:r w:rsidRPr="00A669D1">
        <w:rPr>
          <w:rFonts w:ascii="Calibri" w:hAnsi="Calibri"/>
          <w:sz w:val="22"/>
          <w:szCs w:val="22"/>
        </w:rPr>
        <w:tab/>
      </w:r>
      <w:r w:rsidR="005F2ED8" w:rsidRPr="00A669D1">
        <w:rPr>
          <w:rFonts w:ascii="Calibri" w:hAnsi="Calibri"/>
          <w:sz w:val="22"/>
          <w:szCs w:val="22"/>
        </w:rPr>
        <w:t xml:space="preserve">Participation in the </w:t>
      </w:r>
      <w:r w:rsidR="00FB0CF9" w:rsidRPr="00A669D1">
        <w:rPr>
          <w:rFonts w:ascii="Calibri" w:hAnsi="Calibri"/>
          <w:sz w:val="22"/>
          <w:szCs w:val="22"/>
        </w:rPr>
        <w:t xml:space="preserve">workshop </w:t>
      </w:r>
      <w:r w:rsidR="005F2ED8" w:rsidRPr="00A669D1">
        <w:rPr>
          <w:rFonts w:ascii="Calibri" w:hAnsi="Calibri"/>
          <w:sz w:val="22"/>
          <w:szCs w:val="22"/>
        </w:rPr>
        <w:t>is open to ITU Member States, Sector Members, Associates, Academic Institutions</w:t>
      </w:r>
      <w:r w:rsidR="003E7D7F" w:rsidRPr="00A669D1">
        <w:rPr>
          <w:rFonts w:ascii="Calibri" w:hAnsi="Calibri"/>
          <w:sz w:val="22"/>
          <w:szCs w:val="22"/>
        </w:rPr>
        <w:t>,</w:t>
      </w:r>
      <w:r w:rsidR="005F2ED8" w:rsidRPr="00A669D1">
        <w:rPr>
          <w:rFonts w:ascii="Calibri" w:hAnsi="Calibri"/>
          <w:sz w:val="22"/>
          <w:szCs w:val="22"/>
        </w:rPr>
        <w:t xml:space="preserve"> and to any individual from a country which is a member of ITU who wishes to contribute to the work. This includes individuals who are also members of international, </w:t>
      </w:r>
      <w:proofErr w:type="gramStart"/>
      <w:r w:rsidR="005F2ED8" w:rsidRPr="00A669D1">
        <w:rPr>
          <w:rFonts w:ascii="Calibri" w:hAnsi="Calibri"/>
          <w:sz w:val="22"/>
          <w:szCs w:val="22"/>
        </w:rPr>
        <w:t>regional</w:t>
      </w:r>
      <w:proofErr w:type="gramEnd"/>
      <w:r w:rsidR="005F2ED8" w:rsidRPr="00A669D1">
        <w:rPr>
          <w:rFonts w:ascii="Calibri" w:hAnsi="Calibri"/>
          <w:sz w:val="22"/>
          <w:szCs w:val="22"/>
        </w:rPr>
        <w:t xml:space="preserve"> and national organizations. Participation is free of charge.</w:t>
      </w:r>
    </w:p>
    <w:p w14:paraId="5B79B6E1" w14:textId="08F7A049" w:rsidR="002665AD" w:rsidRPr="00A669D1" w:rsidRDefault="00F55A66" w:rsidP="00974DBB">
      <w:pPr>
        <w:tabs>
          <w:tab w:val="clear" w:pos="1134"/>
          <w:tab w:val="left" w:pos="900"/>
        </w:tabs>
        <w:jc w:val="both"/>
        <w:rPr>
          <w:rFonts w:ascii="Calibri" w:hAnsi="Calibri" w:cs="Arial"/>
          <w:sz w:val="22"/>
          <w:szCs w:val="22"/>
        </w:rPr>
      </w:pPr>
      <w:r w:rsidRPr="00A669D1">
        <w:rPr>
          <w:rFonts w:ascii="Calibri" w:hAnsi="Calibri"/>
          <w:sz w:val="22"/>
          <w:szCs w:val="22"/>
        </w:rPr>
        <w:t>3</w:t>
      </w:r>
      <w:r w:rsidR="00424D56" w:rsidRPr="00A669D1">
        <w:rPr>
          <w:rFonts w:ascii="Calibri" w:hAnsi="Calibri"/>
          <w:sz w:val="22"/>
          <w:szCs w:val="22"/>
        </w:rPr>
        <w:tab/>
      </w:r>
      <w:r w:rsidR="005F2ED8" w:rsidRPr="00A669D1">
        <w:rPr>
          <w:rFonts w:ascii="Calibri" w:hAnsi="Calibri" w:cs="Arial"/>
          <w:sz w:val="22"/>
          <w:szCs w:val="22"/>
        </w:rPr>
        <w:t xml:space="preserve">The main objective of the </w:t>
      </w:r>
      <w:r w:rsidR="00B167CB" w:rsidRPr="00A669D1">
        <w:rPr>
          <w:rFonts w:ascii="Calibri" w:hAnsi="Calibri" w:cs="Arial"/>
          <w:sz w:val="22"/>
          <w:szCs w:val="22"/>
        </w:rPr>
        <w:t>workshop</w:t>
      </w:r>
      <w:r w:rsidR="00A65449" w:rsidRPr="00A669D1">
        <w:rPr>
          <w:rFonts w:ascii="Calibri" w:hAnsi="Calibri" w:cs="Arial"/>
          <w:sz w:val="22"/>
          <w:szCs w:val="22"/>
        </w:rPr>
        <w:t xml:space="preserve"> </w:t>
      </w:r>
      <w:r w:rsidR="00B167CB" w:rsidRPr="00A669D1">
        <w:rPr>
          <w:rFonts w:ascii="Calibri" w:hAnsi="Calibri" w:cs="Arial"/>
          <w:sz w:val="22"/>
          <w:szCs w:val="22"/>
        </w:rPr>
        <w:t>is to discuss</w:t>
      </w:r>
      <w:r w:rsidR="00E75B96">
        <w:rPr>
          <w:rFonts w:ascii="Calibri" w:hAnsi="Calibri" w:cs="Arial"/>
          <w:sz w:val="22"/>
          <w:szCs w:val="22"/>
        </w:rPr>
        <w:t xml:space="preserve"> economic and fiscal incentives to accelerate digital transformation of data and applications over telecommunications infrastructure in the context of</w:t>
      </w:r>
      <w:r w:rsidR="00B167CB" w:rsidRPr="00A669D1">
        <w:rPr>
          <w:rFonts w:ascii="Calibri" w:hAnsi="Calibri" w:cs="Arial"/>
          <w:sz w:val="22"/>
          <w:szCs w:val="22"/>
        </w:rPr>
        <w:t xml:space="preserve"> the new digital economy taxation, its international coordination, </w:t>
      </w:r>
      <w:r w:rsidR="009D7A7F">
        <w:rPr>
          <w:rFonts w:ascii="Calibri" w:hAnsi="Calibri" w:cs="Arial"/>
          <w:sz w:val="22"/>
          <w:szCs w:val="22"/>
        </w:rPr>
        <w:t xml:space="preserve">and the views of </w:t>
      </w:r>
      <w:r w:rsidR="00B167CB" w:rsidRPr="00A669D1">
        <w:rPr>
          <w:rFonts w:ascii="Calibri" w:hAnsi="Calibri" w:cs="Arial"/>
          <w:sz w:val="22"/>
          <w:szCs w:val="22"/>
        </w:rPr>
        <w:t>industry</w:t>
      </w:r>
      <w:r w:rsidR="00A65449" w:rsidRPr="00A669D1">
        <w:rPr>
          <w:rFonts w:ascii="Calibri" w:hAnsi="Calibri" w:cs="Arial"/>
          <w:sz w:val="22"/>
          <w:szCs w:val="22"/>
        </w:rPr>
        <w:t xml:space="preserve">, </w:t>
      </w:r>
      <w:proofErr w:type="gramStart"/>
      <w:r w:rsidR="00B167CB" w:rsidRPr="00A669D1">
        <w:rPr>
          <w:rFonts w:ascii="Calibri" w:hAnsi="Calibri" w:cs="Arial"/>
          <w:sz w:val="22"/>
          <w:szCs w:val="22"/>
        </w:rPr>
        <w:t>academia</w:t>
      </w:r>
      <w:proofErr w:type="gramEnd"/>
      <w:r w:rsidR="00A65449" w:rsidRPr="00A669D1">
        <w:rPr>
          <w:rFonts w:ascii="Calibri" w:hAnsi="Calibri" w:cs="Arial"/>
          <w:sz w:val="22"/>
          <w:szCs w:val="22"/>
        </w:rPr>
        <w:t xml:space="preserve"> and society</w:t>
      </w:r>
      <w:r w:rsidR="009D7A7F">
        <w:rPr>
          <w:rFonts w:ascii="Calibri" w:hAnsi="Calibri" w:cs="Arial"/>
          <w:sz w:val="22"/>
          <w:szCs w:val="22"/>
        </w:rPr>
        <w:t>.</w:t>
      </w:r>
      <w:r w:rsidR="00B167CB" w:rsidRPr="00A669D1">
        <w:rPr>
          <w:rFonts w:ascii="Calibri" w:hAnsi="Calibri" w:cs="Arial"/>
          <w:sz w:val="22"/>
          <w:szCs w:val="22"/>
        </w:rPr>
        <w:t xml:space="preserve"> The objective is to bring clarity and new information from relevant organizations regarding those economic, fiscal and policy aspects.</w:t>
      </w:r>
      <w:r w:rsidR="00874417">
        <w:rPr>
          <w:rFonts w:ascii="Calibri" w:hAnsi="Calibri" w:cs="Arial"/>
          <w:sz w:val="22"/>
          <w:szCs w:val="22"/>
        </w:rPr>
        <w:t xml:space="preserve"> </w:t>
      </w:r>
      <w:r w:rsidR="002665AD" w:rsidRPr="00A669D1">
        <w:rPr>
          <w:rFonts w:ascii="Calibri" w:hAnsi="Calibri" w:cs="Arial"/>
          <w:sz w:val="22"/>
          <w:szCs w:val="22"/>
        </w:rPr>
        <w:t xml:space="preserve">This workshop </w:t>
      </w:r>
      <w:r w:rsidR="00636941" w:rsidRPr="00A669D1">
        <w:rPr>
          <w:rFonts w:ascii="Calibri" w:hAnsi="Calibri" w:cs="Arial"/>
          <w:sz w:val="22"/>
          <w:szCs w:val="22"/>
        </w:rPr>
        <w:t xml:space="preserve">will </w:t>
      </w:r>
      <w:r w:rsidR="002665AD" w:rsidRPr="00A669D1">
        <w:rPr>
          <w:rFonts w:ascii="Calibri" w:hAnsi="Calibri" w:cs="Arial"/>
          <w:sz w:val="22"/>
          <w:szCs w:val="22"/>
        </w:rPr>
        <w:t>provide an opportunity to bring together diverse experts to share perspectives and exchange information on the latest developments in this field, with a view to advancing international cooperation and coordination.</w:t>
      </w:r>
    </w:p>
    <w:p w14:paraId="31A1B11D" w14:textId="31203875" w:rsidR="002665AD" w:rsidRPr="00A669D1" w:rsidRDefault="002665AD" w:rsidP="00974DBB">
      <w:pPr>
        <w:tabs>
          <w:tab w:val="clear" w:pos="1134"/>
          <w:tab w:val="left" w:pos="900"/>
        </w:tabs>
        <w:jc w:val="both"/>
        <w:rPr>
          <w:rFonts w:ascii="Calibri" w:hAnsi="Calibri" w:cs="Arial"/>
          <w:sz w:val="22"/>
          <w:szCs w:val="22"/>
        </w:rPr>
      </w:pPr>
      <w:r w:rsidRPr="00A669D1">
        <w:rPr>
          <w:rFonts w:ascii="Calibri" w:hAnsi="Calibri" w:cs="Arial"/>
          <w:sz w:val="22"/>
          <w:szCs w:val="22"/>
        </w:rPr>
        <w:lastRenderedPageBreak/>
        <w:t>The workshop will provide a platform for discussions between  policy makers, regulators, economists, standardization experts</w:t>
      </w:r>
      <w:r w:rsidR="00013DC5">
        <w:rPr>
          <w:rFonts w:ascii="Calibri" w:hAnsi="Calibri" w:cs="Arial"/>
          <w:sz w:val="22"/>
          <w:szCs w:val="22"/>
        </w:rPr>
        <w:t>, taxation experts</w:t>
      </w:r>
      <w:r w:rsidRPr="00A669D1">
        <w:rPr>
          <w:rFonts w:ascii="Calibri" w:hAnsi="Calibri" w:cs="Arial"/>
          <w:sz w:val="22"/>
          <w:szCs w:val="22"/>
        </w:rPr>
        <w:t xml:space="preserve"> and other interested participants from the membership of ITU</w:t>
      </w:r>
      <w:r w:rsidR="009D7A7F">
        <w:rPr>
          <w:rFonts w:ascii="Calibri" w:hAnsi="Calibri" w:cs="Arial"/>
          <w:sz w:val="22"/>
          <w:szCs w:val="22"/>
        </w:rPr>
        <w:t>,</w:t>
      </w:r>
      <w:r w:rsidRPr="00A669D1">
        <w:rPr>
          <w:rFonts w:ascii="Calibri" w:hAnsi="Calibri" w:cs="Arial"/>
          <w:sz w:val="22"/>
          <w:szCs w:val="22"/>
        </w:rPr>
        <w:t xml:space="preserve"> and other non-members from developing and developed countries, including economies in transition, academia and research entities, industry, telecommunication/ICT </w:t>
      </w:r>
      <w:r w:rsidR="00D039BE" w:rsidRPr="00A669D1">
        <w:rPr>
          <w:rFonts w:ascii="Calibri" w:hAnsi="Calibri" w:cs="Arial"/>
          <w:sz w:val="22"/>
          <w:szCs w:val="22"/>
        </w:rPr>
        <w:t xml:space="preserve">operators and </w:t>
      </w:r>
      <w:r w:rsidRPr="00A669D1">
        <w:rPr>
          <w:rFonts w:ascii="Calibri" w:hAnsi="Calibri" w:cs="Arial"/>
          <w:sz w:val="22"/>
          <w:szCs w:val="22"/>
        </w:rPr>
        <w:t>service providers</w:t>
      </w:r>
      <w:r w:rsidR="00ED1C8A" w:rsidRPr="00A669D1">
        <w:rPr>
          <w:rFonts w:ascii="Calibri" w:hAnsi="Calibri" w:cs="Arial"/>
          <w:sz w:val="22"/>
          <w:szCs w:val="22"/>
        </w:rPr>
        <w:t xml:space="preserve">, </w:t>
      </w:r>
      <w:r w:rsidR="00D039BE" w:rsidRPr="00A669D1">
        <w:rPr>
          <w:rFonts w:ascii="Calibri" w:hAnsi="Calibri" w:cs="Arial"/>
          <w:sz w:val="22"/>
          <w:szCs w:val="22"/>
        </w:rPr>
        <w:t xml:space="preserve">digital </w:t>
      </w:r>
      <w:r w:rsidRPr="00A669D1">
        <w:rPr>
          <w:rFonts w:ascii="Calibri" w:hAnsi="Calibri" w:cs="Arial"/>
          <w:sz w:val="22"/>
          <w:szCs w:val="22"/>
        </w:rPr>
        <w:t xml:space="preserve">platforms, other international organizations, and interested </w:t>
      </w:r>
      <w:r w:rsidR="00ED1C8A" w:rsidRPr="00A669D1">
        <w:rPr>
          <w:rFonts w:ascii="Calibri" w:hAnsi="Calibri" w:cs="Arial"/>
          <w:sz w:val="22"/>
          <w:szCs w:val="22"/>
        </w:rPr>
        <w:t>stakeholders</w:t>
      </w:r>
      <w:r w:rsidRPr="00A669D1">
        <w:rPr>
          <w:rFonts w:ascii="Calibri" w:hAnsi="Calibri" w:cs="Arial"/>
          <w:sz w:val="22"/>
          <w:szCs w:val="22"/>
        </w:rPr>
        <w:t>.</w:t>
      </w:r>
    </w:p>
    <w:p w14:paraId="4E174901" w14:textId="77777777" w:rsidR="00EC090B" w:rsidRPr="00A669D1" w:rsidRDefault="00EC090B" w:rsidP="00974DBB">
      <w:pPr>
        <w:tabs>
          <w:tab w:val="clear" w:pos="1134"/>
          <w:tab w:val="left" w:pos="900"/>
        </w:tabs>
        <w:jc w:val="both"/>
        <w:rPr>
          <w:rFonts w:ascii="Calibri" w:hAnsi="Calibri" w:cs="Arial"/>
          <w:sz w:val="22"/>
          <w:szCs w:val="22"/>
        </w:rPr>
      </w:pPr>
      <w:r w:rsidRPr="00A669D1">
        <w:rPr>
          <w:rFonts w:ascii="Calibri" w:hAnsi="Calibri" w:cs="Arial"/>
          <w:sz w:val="22"/>
          <w:szCs w:val="22"/>
        </w:rPr>
        <w:t>The Annex of the Circular letter provides an initial outline of the workshop programme and its planned sessions.</w:t>
      </w:r>
    </w:p>
    <w:p w14:paraId="16B30833" w14:textId="23BA8373" w:rsidR="003060A9" w:rsidRPr="00A669D1" w:rsidRDefault="00C152C6" w:rsidP="00974DBB">
      <w:pPr>
        <w:tabs>
          <w:tab w:val="left" w:pos="794"/>
          <w:tab w:val="left" w:pos="1191"/>
          <w:tab w:val="left" w:pos="1588"/>
          <w:tab w:val="left" w:pos="1985"/>
        </w:tabs>
        <w:jc w:val="both"/>
        <w:rPr>
          <w:rFonts w:cs="Calibri"/>
          <w:sz w:val="22"/>
          <w:szCs w:val="22"/>
        </w:rPr>
      </w:pPr>
      <w:r w:rsidRPr="00A669D1">
        <w:rPr>
          <w:rFonts w:cs="Calibri"/>
          <w:sz w:val="22"/>
          <w:szCs w:val="22"/>
        </w:rPr>
        <w:t>4</w:t>
      </w:r>
      <w:r w:rsidRPr="00A669D1">
        <w:rPr>
          <w:rFonts w:cs="Calibri"/>
          <w:sz w:val="22"/>
          <w:szCs w:val="22"/>
        </w:rPr>
        <w:tab/>
      </w:r>
      <w:r w:rsidR="005B04DE" w:rsidRPr="00A669D1">
        <w:rPr>
          <w:rFonts w:cs="Calibri"/>
          <w:sz w:val="22"/>
          <w:szCs w:val="22"/>
        </w:rPr>
        <w:t xml:space="preserve">The Appendix of this Circular letter contains some background information to put this workshop into </w:t>
      </w:r>
      <w:r w:rsidR="009D7A7F">
        <w:rPr>
          <w:rFonts w:cs="Calibri"/>
          <w:sz w:val="22"/>
          <w:szCs w:val="22"/>
        </w:rPr>
        <w:t xml:space="preserve">the </w:t>
      </w:r>
      <w:r w:rsidR="005B04DE" w:rsidRPr="00A669D1">
        <w:rPr>
          <w:rFonts w:cs="Calibri"/>
          <w:sz w:val="22"/>
          <w:szCs w:val="22"/>
        </w:rPr>
        <w:t xml:space="preserve">context of </w:t>
      </w:r>
      <w:r w:rsidR="006F04CC" w:rsidRPr="00A669D1">
        <w:rPr>
          <w:rFonts w:cs="Calibri"/>
          <w:sz w:val="22"/>
          <w:szCs w:val="22"/>
        </w:rPr>
        <w:t>past and present discussions, trends and activities.</w:t>
      </w:r>
    </w:p>
    <w:p w14:paraId="61A5B266" w14:textId="1745E254" w:rsidR="005F2ED8" w:rsidRPr="00A669D1" w:rsidRDefault="006A37AC" w:rsidP="00974DBB">
      <w:pPr>
        <w:tabs>
          <w:tab w:val="left" w:pos="794"/>
          <w:tab w:val="left" w:pos="1191"/>
          <w:tab w:val="left" w:pos="1588"/>
          <w:tab w:val="left" w:pos="1985"/>
        </w:tabs>
        <w:jc w:val="both"/>
      </w:pPr>
      <w:r w:rsidRPr="00A669D1">
        <w:rPr>
          <w:rFonts w:ascii="Calibri" w:hAnsi="Calibri"/>
          <w:sz w:val="22"/>
          <w:szCs w:val="22"/>
        </w:rPr>
        <w:t>5</w:t>
      </w:r>
      <w:r w:rsidR="006F04CC" w:rsidRPr="00A669D1">
        <w:rPr>
          <w:rFonts w:ascii="Calibri" w:hAnsi="Calibri"/>
          <w:sz w:val="22"/>
          <w:szCs w:val="22"/>
        </w:rPr>
        <w:tab/>
      </w:r>
      <w:r w:rsidR="00FB0CF9" w:rsidRPr="00A669D1">
        <w:rPr>
          <w:rFonts w:ascii="Calibri" w:hAnsi="Calibri"/>
          <w:sz w:val="22"/>
          <w:szCs w:val="22"/>
        </w:rPr>
        <w:t>All relevant information pertaining to the workshop (</w:t>
      </w:r>
      <w:r w:rsidR="009D7A7F">
        <w:rPr>
          <w:rFonts w:ascii="Calibri" w:hAnsi="Calibri"/>
          <w:sz w:val="22"/>
          <w:szCs w:val="22"/>
        </w:rPr>
        <w:t xml:space="preserve">e.g., </w:t>
      </w:r>
      <w:r w:rsidR="00FB0CF9" w:rsidRPr="00A669D1">
        <w:rPr>
          <w:sz w:val="22"/>
          <w:szCs w:val="22"/>
        </w:rPr>
        <w:t xml:space="preserve">draft programme, </w:t>
      </w:r>
      <w:r w:rsidR="00FB0CF9" w:rsidRPr="00A669D1">
        <w:rPr>
          <w:rFonts w:ascii="Calibri" w:hAnsi="Calibri"/>
          <w:sz w:val="22"/>
          <w:szCs w:val="22"/>
        </w:rPr>
        <w:t xml:space="preserve">speakers, registration links, remote connection details) </w:t>
      </w:r>
      <w:r w:rsidR="005F2ED8" w:rsidRPr="00A669D1">
        <w:rPr>
          <w:sz w:val="22"/>
          <w:szCs w:val="22"/>
        </w:rPr>
        <w:t>will be made available on the ITU</w:t>
      </w:r>
      <w:r w:rsidR="005F2ED8" w:rsidRPr="00A669D1" w:rsidDel="005D3859">
        <w:rPr>
          <w:sz w:val="22"/>
          <w:szCs w:val="22"/>
        </w:rPr>
        <w:t xml:space="preserve"> </w:t>
      </w:r>
      <w:r w:rsidR="005F2ED8" w:rsidRPr="00A669D1">
        <w:rPr>
          <w:sz w:val="22"/>
          <w:szCs w:val="22"/>
        </w:rPr>
        <w:t>website:</w:t>
      </w:r>
      <w:r w:rsidR="00A659CD" w:rsidRPr="00A669D1">
        <w:t xml:space="preserve"> </w:t>
      </w:r>
      <w:hyperlink r:id="rId14" w:history="1">
        <w:r w:rsidR="00A659CD" w:rsidRPr="00A669D1">
          <w:rPr>
            <w:rStyle w:val="Hyperlink"/>
            <w:sz w:val="22"/>
            <w:szCs w:val="18"/>
          </w:rPr>
          <w:t>https://www.itu.int/en/ITU-T/Workshops-and-Seminars/2022/1103/Pages/default.aspx</w:t>
        </w:r>
      </w:hyperlink>
      <w:r w:rsidR="00D14C1B" w:rsidRPr="00A669D1">
        <w:rPr>
          <w:sz w:val="22"/>
          <w:szCs w:val="18"/>
        </w:rPr>
        <w:t>.</w:t>
      </w:r>
      <w:r w:rsidR="007B4029" w:rsidRPr="00A669D1">
        <w:t xml:space="preserve"> </w:t>
      </w:r>
      <w:r w:rsidR="005F2ED8" w:rsidRPr="00A669D1">
        <w:rPr>
          <w:sz w:val="22"/>
          <w:szCs w:val="22"/>
        </w:rPr>
        <w:t xml:space="preserve">This website will be updated </w:t>
      </w:r>
      <w:r w:rsidR="009D7A7F" w:rsidRPr="00A669D1">
        <w:rPr>
          <w:sz w:val="22"/>
          <w:szCs w:val="22"/>
        </w:rPr>
        <w:t xml:space="preserve">regularly </w:t>
      </w:r>
      <w:r w:rsidR="005F2ED8" w:rsidRPr="00A669D1">
        <w:rPr>
          <w:sz w:val="22"/>
          <w:szCs w:val="22"/>
        </w:rPr>
        <w:t>as new or modified information becomes available. Participants are requested to check periodically for new updates.</w:t>
      </w:r>
    </w:p>
    <w:p w14:paraId="2CB9D3B7" w14:textId="6F088170" w:rsidR="005F2ED8" w:rsidRPr="00A669D1" w:rsidRDefault="00910730" w:rsidP="00974DBB">
      <w:pPr>
        <w:tabs>
          <w:tab w:val="clear" w:pos="1134"/>
          <w:tab w:val="left" w:pos="900"/>
        </w:tabs>
        <w:jc w:val="both"/>
        <w:rPr>
          <w:sz w:val="22"/>
          <w:szCs w:val="22"/>
        </w:rPr>
      </w:pPr>
      <w:r w:rsidRPr="00A669D1">
        <w:rPr>
          <w:sz w:val="22"/>
          <w:szCs w:val="22"/>
        </w:rPr>
        <w:t>6</w:t>
      </w:r>
      <w:r w:rsidR="005F2ED8" w:rsidRPr="00A669D1">
        <w:rPr>
          <w:sz w:val="22"/>
          <w:szCs w:val="22"/>
        </w:rPr>
        <w:tab/>
        <w:t>General information for participants</w:t>
      </w:r>
      <w:r w:rsidR="00883E32">
        <w:rPr>
          <w:sz w:val="22"/>
          <w:szCs w:val="22"/>
        </w:rPr>
        <w:t>,</w:t>
      </w:r>
      <w:r w:rsidR="005F2ED8" w:rsidRPr="00A669D1">
        <w:rPr>
          <w:sz w:val="22"/>
          <w:szCs w:val="22"/>
        </w:rPr>
        <w:t xml:space="preserve"> including hotel accommodation, </w:t>
      </w:r>
      <w:proofErr w:type="gramStart"/>
      <w:r w:rsidR="005F2ED8" w:rsidRPr="00A669D1">
        <w:rPr>
          <w:sz w:val="22"/>
          <w:szCs w:val="22"/>
        </w:rPr>
        <w:t>transportation</w:t>
      </w:r>
      <w:proofErr w:type="gramEnd"/>
      <w:r w:rsidR="005F2ED8" w:rsidRPr="00A669D1">
        <w:rPr>
          <w:sz w:val="22"/>
          <w:szCs w:val="22"/>
        </w:rPr>
        <w:t xml:space="preserve"> and visa requirements</w:t>
      </w:r>
      <w:r w:rsidR="00883E32">
        <w:rPr>
          <w:sz w:val="22"/>
          <w:szCs w:val="22"/>
        </w:rPr>
        <w:t>,</w:t>
      </w:r>
      <w:r w:rsidR="005F2ED8" w:rsidRPr="00A669D1">
        <w:rPr>
          <w:sz w:val="22"/>
          <w:szCs w:val="22"/>
        </w:rPr>
        <w:t xml:space="preserve"> will be made available on the ITU website</w:t>
      </w:r>
      <w:r w:rsidR="00883E32">
        <w:rPr>
          <w:sz w:val="22"/>
          <w:szCs w:val="22"/>
        </w:rPr>
        <w:t xml:space="preserve"> </w:t>
      </w:r>
      <w:r w:rsidR="00883E32" w:rsidRPr="00A669D1">
        <w:rPr>
          <w:sz w:val="22"/>
          <w:szCs w:val="22"/>
        </w:rPr>
        <w:t>mentioned</w:t>
      </w:r>
      <w:r w:rsidR="00883E32" w:rsidRPr="00883E32">
        <w:rPr>
          <w:sz w:val="22"/>
          <w:szCs w:val="22"/>
        </w:rPr>
        <w:t xml:space="preserve"> </w:t>
      </w:r>
      <w:r w:rsidR="00883E32" w:rsidRPr="00A669D1">
        <w:rPr>
          <w:sz w:val="22"/>
          <w:szCs w:val="22"/>
        </w:rPr>
        <w:t>above</w:t>
      </w:r>
      <w:r w:rsidR="005F2ED8" w:rsidRPr="00A669D1">
        <w:rPr>
          <w:sz w:val="22"/>
          <w:szCs w:val="22"/>
        </w:rPr>
        <w:t>.</w:t>
      </w:r>
    </w:p>
    <w:p w14:paraId="6FFBD318" w14:textId="0FD8246A" w:rsidR="005F2ED8" w:rsidRPr="00A02764" w:rsidRDefault="00910730" w:rsidP="00974DBB">
      <w:pPr>
        <w:tabs>
          <w:tab w:val="clear" w:pos="1134"/>
          <w:tab w:val="left" w:pos="900"/>
        </w:tabs>
        <w:jc w:val="both"/>
        <w:rPr>
          <w:sz w:val="22"/>
          <w:szCs w:val="22"/>
        </w:rPr>
      </w:pPr>
      <w:r w:rsidRPr="00A669D1">
        <w:rPr>
          <w:sz w:val="22"/>
          <w:szCs w:val="22"/>
        </w:rPr>
        <w:t>7</w:t>
      </w:r>
      <w:r w:rsidR="005F2ED8" w:rsidRPr="00A669D1">
        <w:rPr>
          <w:sz w:val="22"/>
          <w:szCs w:val="22"/>
        </w:rPr>
        <w:tab/>
        <w:t xml:space="preserve">To enable ITU to make the necessary arrangements concerning the organization of the </w:t>
      </w:r>
      <w:r w:rsidR="00D14C1B" w:rsidRPr="00A669D1">
        <w:rPr>
          <w:sz w:val="22"/>
          <w:szCs w:val="22"/>
        </w:rPr>
        <w:t>workshop</w:t>
      </w:r>
      <w:r w:rsidR="005F2ED8" w:rsidRPr="00A669D1">
        <w:rPr>
          <w:sz w:val="22"/>
          <w:szCs w:val="22"/>
        </w:rPr>
        <w:t xml:space="preserve">, </w:t>
      </w:r>
      <w:r w:rsidR="002B341B">
        <w:rPr>
          <w:sz w:val="22"/>
          <w:szCs w:val="22"/>
        </w:rPr>
        <w:t>We</w:t>
      </w:r>
      <w:r w:rsidR="002B341B" w:rsidRPr="00A669D1">
        <w:rPr>
          <w:sz w:val="22"/>
          <w:szCs w:val="22"/>
        </w:rPr>
        <w:t> </w:t>
      </w:r>
      <w:r w:rsidR="00883E32">
        <w:rPr>
          <w:sz w:val="22"/>
          <w:szCs w:val="22"/>
        </w:rPr>
        <w:t>w</w:t>
      </w:r>
      <w:r w:rsidR="005F2ED8" w:rsidRPr="00A669D1">
        <w:rPr>
          <w:sz w:val="22"/>
          <w:szCs w:val="22"/>
        </w:rPr>
        <w:t>ould be grateful if you would register via the online form at:</w:t>
      </w:r>
      <w:r w:rsidR="00E379D4" w:rsidRPr="00A669D1">
        <w:rPr>
          <w:sz w:val="22"/>
          <w:szCs w:val="22"/>
        </w:rPr>
        <w:t xml:space="preserve"> </w:t>
      </w:r>
      <w:hyperlink r:id="rId15" w:history="1">
        <w:r w:rsidR="00E379D4" w:rsidRPr="00A02764">
          <w:rPr>
            <w:rStyle w:val="Hyperlink"/>
            <w:sz w:val="22"/>
            <w:szCs w:val="22"/>
          </w:rPr>
          <w:t>https://www.itu.int/net4/CRM/xreg/web/Login.aspx?src=Registration&amp;Event=C-00011717</w:t>
        </w:r>
      </w:hyperlink>
      <w:r w:rsidR="00E379D4" w:rsidRPr="00A02764">
        <w:rPr>
          <w:sz w:val="22"/>
          <w:szCs w:val="22"/>
        </w:rPr>
        <w:t xml:space="preserve"> </w:t>
      </w:r>
      <w:r w:rsidR="005F2ED8" w:rsidRPr="00A669D1">
        <w:rPr>
          <w:sz w:val="22"/>
          <w:szCs w:val="22"/>
        </w:rPr>
        <w:t xml:space="preserve">as soon as possible, but </w:t>
      </w:r>
      <w:r w:rsidR="005F2ED8" w:rsidRPr="00A669D1">
        <w:rPr>
          <w:b/>
          <w:sz w:val="22"/>
          <w:szCs w:val="22"/>
        </w:rPr>
        <w:t xml:space="preserve">no later than </w:t>
      </w:r>
      <w:r w:rsidR="00E379D4" w:rsidRPr="00A669D1">
        <w:rPr>
          <w:b/>
          <w:sz w:val="22"/>
          <w:szCs w:val="22"/>
        </w:rPr>
        <w:t>27 October</w:t>
      </w:r>
      <w:r w:rsidR="00D14C1B" w:rsidRPr="00A669D1">
        <w:rPr>
          <w:b/>
          <w:sz w:val="22"/>
          <w:szCs w:val="22"/>
        </w:rPr>
        <w:t xml:space="preserve"> </w:t>
      </w:r>
      <w:r w:rsidR="005F2ED8" w:rsidRPr="00A669D1">
        <w:rPr>
          <w:b/>
          <w:sz w:val="22"/>
          <w:szCs w:val="22"/>
        </w:rPr>
        <w:t>2022.</w:t>
      </w:r>
      <w:r w:rsidR="005F2ED8" w:rsidRPr="00A669D1">
        <w:rPr>
          <w:sz w:val="22"/>
          <w:szCs w:val="22"/>
        </w:rPr>
        <w:t xml:space="preserve"> </w:t>
      </w:r>
      <w:r w:rsidR="005F2ED8" w:rsidRPr="00A669D1">
        <w:rPr>
          <w:b/>
          <w:bCs/>
          <w:sz w:val="22"/>
          <w:szCs w:val="22"/>
        </w:rPr>
        <w:t xml:space="preserve">Please note that pre-registration of participants for our events is carried out exclusively online. </w:t>
      </w:r>
      <w:r w:rsidR="005F2ED8" w:rsidRPr="00A669D1">
        <w:rPr>
          <w:sz w:val="22"/>
          <w:szCs w:val="22"/>
        </w:rPr>
        <w:t>Participants will also be able to register on-site on the day of the event.</w:t>
      </w:r>
      <w:r w:rsidR="005B05F5" w:rsidRPr="00A669D1">
        <w:rPr>
          <w:sz w:val="22"/>
          <w:szCs w:val="22"/>
        </w:rPr>
        <w:t xml:space="preserve"> </w:t>
      </w:r>
      <w:r w:rsidR="005B05F5" w:rsidRPr="00A669D1">
        <w:rPr>
          <w:b/>
          <w:bCs/>
          <w:sz w:val="22"/>
          <w:szCs w:val="22"/>
        </w:rPr>
        <w:t>This workshop is free of charge and open to all</w:t>
      </w:r>
      <w:r w:rsidR="005B05F5" w:rsidRPr="00A669D1">
        <w:rPr>
          <w:sz w:val="22"/>
          <w:szCs w:val="22"/>
        </w:rPr>
        <w:t>.</w:t>
      </w:r>
    </w:p>
    <w:p w14:paraId="48A3557B" w14:textId="274899B9" w:rsidR="003F60FB" w:rsidRPr="00A669D1" w:rsidRDefault="00910730" w:rsidP="00974DBB">
      <w:pPr>
        <w:tabs>
          <w:tab w:val="clear" w:pos="1134"/>
          <w:tab w:val="left" w:pos="900"/>
        </w:tabs>
        <w:jc w:val="both"/>
        <w:rPr>
          <w:sz w:val="22"/>
          <w:szCs w:val="22"/>
        </w:rPr>
      </w:pPr>
      <w:r w:rsidRPr="00A669D1">
        <w:rPr>
          <w:sz w:val="22"/>
          <w:szCs w:val="22"/>
        </w:rPr>
        <w:t>8</w:t>
      </w:r>
      <w:r w:rsidR="005F2ED8" w:rsidRPr="00A669D1">
        <w:rPr>
          <w:sz w:val="22"/>
          <w:szCs w:val="22"/>
        </w:rPr>
        <w:tab/>
      </w:r>
      <w:r w:rsidR="003F60FB" w:rsidRPr="00A669D1">
        <w:rPr>
          <w:sz w:val="22"/>
          <w:szCs w:val="22"/>
        </w:rPr>
        <w:t>Wireless LAN facilities are available for use by delegates in the main ITU conference room areas. Detailed information is available on the ITU-T website (</w:t>
      </w:r>
      <w:hyperlink r:id="rId16" w:history="1">
        <w:r w:rsidR="003F60FB" w:rsidRPr="00A669D1">
          <w:rPr>
            <w:rStyle w:val="Hyperlink"/>
            <w:sz w:val="22"/>
            <w:szCs w:val="22"/>
          </w:rPr>
          <w:t>http://www.itu.int/ITU-T/edh/faqs-support.html</w:t>
        </w:r>
      </w:hyperlink>
      <w:r w:rsidR="003F60FB" w:rsidRPr="00A669D1">
        <w:rPr>
          <w:sz w:val="22"/>
          <w:szCs w:val="22"/>
        </w:rPr>
        <w:t>).</w:t>
      </w:r>
    </w:p>
    <w:p w14:paraId="3D133B5B" w14:textId="64AF15A7" w:rsidR="003F60FB" w:rsidRPr="00A669D1" w:rsidRDefault="00910730" w:rsidP="00974DBB">
      <w:pPr>
        <w:tabs>
          <w:tab w:val="left" w:pos="900"/>
        </w:tabs>
        <w:jc w:val="both"/>
        <w:rPr>
          <w:sz w:val="22"/>
          <w:szCs w:val="22"/>
        </w:rPr>
      </w:pPr>
      <w:r w:rsidRPr="00A669D1">
        <w:rPr>
          <w:sz w:val="22"/>
          <w:szCs w:val="22"/>
        </w:rPr>
        <w:t>9</w:t>
      </w:r>
      <w:r w:rsidR="003F60FB" w:rsidRPr="00A669D1">
        <w:rPr>
          <w:sz w:val="22"/>
          <w:szCs w:val="22"/>
        </w:rPr>
        <w:tab/>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7" w:history="1">
        <w:r w:rsidR="003F60FB" w:rsidRPr="00A669D1">
          <w:rPr>
            <w:rStyle w:val="Hyperlink"/>
            <w:sz w:val="22"/>
            <w:szCs w:val="22"/>
          </w:rPr>
          <w:t>http://itu.int/travel/</w:t>
        </w:r>
      </w:hyperlink>
      <w:r w:rsidR="003F60FB" w:rsidRPr="00A669D1">
        <w:rPr>
          <w:sz w:val="22"/>
          <w:szCs w:val="22"/>
        </w:rPr>
        <w:t>.</w:t>
      </w:r>
    </w:p>
    <w:p w14:paraId="0DF88711" w14:textId="105A2CF9" w:rsidR="003F60FB" w:rsidRPr="00A669D1" w:rsidRDefault="00614CF8" w:rsidP="00974DBB">
      <w:pPr>
        <w:tabs>
          <w:tab w:val="left" w:pos="900"/>
        </w:tabs>
        <w:jc w:val="both"/>
        <w:rPr>
          <w:sz w:val="22"/>
          <w:szCs w:val="22"/>
        </w:rPr>
      </w:pPr>
      <w:r w:rsidRPr="00A669D1">
        <w:rPr>
          <w:sz w:val="22"/>
          <w:szCs w:val="22"/>
        </w:rPr>
        <w:t>1</w:t>
      </w:r>
      <w:r w:rsidR="00910730" w:rsidRPr="00A669D1">
        <w:rPr>
          <w:sz w:val="22"/>
          <w:szCs w:val="22"/>
        </w:rPr>
        <w:t>0</w:t>
      </w:r>
      <w:r w:rsidR="003F60FB" w:rsidRPr="00A669D1">
        <w:rPr>
          <w:sz w:val="22"/>
          <w:szCs w:val="22"/>
        </w:rPr>
        <w:tab/>
      </w:r>
      <w:r w:rsidR="009A5F31" w:rsidRPr="00A669D1">
        <w:rPr>
          <w:sz w:val="22"/>
          <w:szCs w:val="22"/>
        </w:rPr>
        <w:t>We</w:t>
      </w:r>
      <w:r w:rsidR="003F60FB" w:rsidRPr="00A669D1">
        <w:rPr>
          <w:sz w:val="22"/>
          <w:szCs w:val="22"/>
        </w:rPr>
        <w:t xml:space="preserve"> would remind you that citizens of some countries are required to obtain a visa in order to enter and spend any time in Switzerland. </w:t>
      </w:r>
      <w:r w:rsidR="003F60FB" w:rsidRPr="00A669D1">
        <w:rPr>
          <w:b/>
          <w:bCs/>
          <w:sz w:val="22"/>
          <w:szCs w:val="22"/>
        </w:rPr>
        <w:t xml:space="preserve">The visa must be requested at least four weeks before the date </w:t>
      </w:r>
      <w:r w:rsidR="00883E32">
        <w:rPr>
          <w:b/>
          <w:bCs/>
          <w:sz w:val="22"/>
          <w:szCs w:val="22"/>
        </w:rPr>
        <w:t>on which</w:t>
      </w:r>
      <w:r w:rsidR="003F60FB" w:rsidRPr="00A669D1">
        <w:rPr>
          <w:b/>
          <w:bCs/>
          <w:sz w:val="22"/>
          <w:szCs w:val="22"/>
        </w:rPr>
        <w:t xml:space="preserve"> the workshop</w:t>
      </w:r>
      <w:r w:rsidR="00883E32">
        <w:rPr>
          <w:b/>
          <w:bCs/>
          <w:sz w:val="22"/>
          <w:szCs w:val="22"/>
        </w:rPr>
        <w:t xml:space="preserve"> starts</w:t>
      </w:r>
      <w:r w:rsidR="003F60FB" w:rsidRPr="00A669D1">
        <w:rPr>
          <w:sz w:val="22"/>
          <w:szCs w:val="22"/>
        </w:rPr>
        <w:t xml:space="preserve"> and </w:t>
      </w:r>
      <w:r w:rsidR="00883E32">
        <w:rPr>
          <w:sz w:val="22"/>
          <w:szCs w:val="22"/>
        </w:rPr>
        <w:t xml:space="preserve">can be </w:t>
      </w:r>
      <w:r w:rsidR="003F60FB" w:rsidRPr="00A669D1">
        <w:rPr>
          <w:sz w:val="22"/>
          <w:szCs w:val="22"/>
        </w:rPr>
        <w:t>obtained from the office (embassy or consulate) representing Switzerland in your country or, if there is no such office in your country, from the one that is closest to the country of departure.</w:t>
      </w:r>
    </w:p>
    <w:p w14:paraId="323DDFC6" w14:textId="6E7C15A9" w:rsidR="003F60FB" w:rsidRPr="00A669D1" w:rsidRDefault="003F60FB" w:rsidP="00974DBB">
      <w:pPr>
        <w:tabs>
          <w:tab w:val="left" w:pos="900"/>
        </w:tabs>
        <w:jc w:val="both"/>
        <w:rPr>
          <w:sz w:val="22"/>
          <w:szCs w:val="22"/>
        </w:rPr>
      </w:pPr>
      <w:r w:rsidRPr="00A669D1">
        <w:rPr>
          <w:sz w:val="22"/>
          <w:szCs w:val="22"/>
        </w:rPr>
        <w:t xml:space="preserve">If problems are encountered by </w:t>
      </w:r>
      <w:r w:rsidRPr="00A669D1">
        <w:rPr>
          <w:b/>
          <w:bCs/>
          <w:sz w:val="22"/>
          <w:szCs w:val="22"/>
        </w:rPr>
        <w:t>ITU Member States, Sector Members, Associates or Academia members</w:t>
      </w:r>
      <w:r w:rsidRPr="00A669D1">
        <w:rPr>
          <w:sz w:val="22"/>
          <w:szCs w:val="22"/>
        </w:rPr>
        <w:t xml:space="preserve">, and at the official request made by them to TSB, the Union can approach the competent Swiss authorities </w:t>
      </w:r>
      <w:proofErr w:type="gramStart"/>
      <w:r w:rsidRPr="00A669D1">
        <w:rPr>
          <w:sz w:val="22"/>
          <w:szCs w:val="22"/>
        </w:rPr>
        <w:t>in order to</w:t>
      </w:r>
      <w:proofErr w:type="gramEnd"/>
      <w:r w:rsidRPr="00A669D1">
        <w:rPr>
          <w:sz w:val="22"/>
          <w:szCs w:val="22"/>
        </w:rPr>
        <w:t xml:space="preserve"> facilitate </w:t>
      </w:r>
      <w:r w:rsidR="00883E32">
        <w:rPr>
          <w:sz w:val="22"/>
          <w:szCs w:val="22"/>
        </w:rPr>
        <w:t>the issuing</w:t>
      </w:r>
      <w:r w:rsidR="00883E32" w:rsidRPr="00A669D1">
        <w:rPr>
          <w:sz w:val="22"/>
          <w:szCs w:val="22"/>
        </w:rPr>
        <w:t xml:space="preserve"> </w:t>
      </w:r>
      <w:r w:rsidRPr="00A669D1">
        <w:rPr>
          <w:sz w:val="22"/>
          <w:szCs w:val="22"/>
        </w:rPr>
        <w:t xml:space="preserve">of the visa, but only within the period mentioned of </w:t>
      </w:r>
      <w:r w:rsidRPr="00A669D1">
        <w:rPr>
          <w:b/>
          <w:bCs/>
          <w:sz w:val="22"/>
          <w:szCs w:val="22"/>
        </w:rPr>
        <w:t>four weeks</w:t>
      </w:r>
      <w:r w:rsidRPr="00A669D1">
        <w:rPr>
          <w:sz w:val="22"/>
          <w:szCs w:val="22"/>
        </w:rPr>
        <w:t>. Any such request should be made by checking the corresponding box on the registration form no later than four weeks before the event. Enquiries should be sent to the ITU Travel Section (</w:t>
      </w:r>
      <w:hyperlink r:id="rId18" w:history="1">
        <w:r w:rsidRPr="00A669D1">
          <w:rPr>
            <w:rStyle w:val="Hyperlink"/>
            <w:sz w:val="22"/>
            <w:szCs w:val="22"/>
          </w:rPr>
          <w:t>travel@itu.int</w:t>
        </w:r>
      </w:hyperlink>
      <w:r w:rsidRPr="00A669D1">
        <w:rPr>
          <w:sz w:val="22"/>
          <w:szCs w:val="22"/>
        </w:rPr>
        <w:t>) bearing the words “visa support”.</w:t>
      </w:r>
    </w:p>
    <w:p w14:paraId="07476052" w14:textId="696DBCBC" w:rsidR="00D93A17" w:rsidRPr="00A669D1" w:rsidRDefault="00D93A17" w:rsidP="00D93A17">
      <w:pPr>
        <w:snapToGrid w:val="0"/>
        <w:rPr>
          <w:rFonts w:ascii="Calibri" w:hAnsi="Calibri"/>
          <w:szCs w:val="24"/>
        </w:rPr>
      </w:pPr>
      <w:r w:rsidRPr="00A669D1">
        <w:rPr>
          <w:rFonts w:ascii="Calibri" w:hAnsi="Calibri"/>
          <w:szCs w:val="24"/>
        </w:rPr>
        <w:t>Yours faithfully,</w:t>
      </w:r>
    </w:p>
    <w:tbl>
      <w:tblPr>
        <w:tblW w:w="10065" w:type="dxa"/>
        <w:tblLayout w:type="fixed"/>
        <w:tblCellMar>
          <w:left w:w="0" w:type="dxa"/>
          <w:right w:w="0" w:type="dxa"/>
        </w:tblCellMar>
        <w:tblLook w:val="01E0" w:firstRow="1" w:lastRow="1" w:firstColumn="1" w:lastColumn="1" w:noHBand="0" w:noVBand="0"/>
      </w:tblPr>
      <w:tblGrid>
        <w:gridCol w:w="5032"/>
        <w:gridCol w:w="5033"/>
      </w:tblGrid>
      <w:tr w:rsidR="00471DC1" w:rsidRPr="00A669D1" w14:paraId="3C2644F6" w14:textId="77777777" w:rsidTr="00471DC1">
        <w:trPr>
          <w:trHeight w:val="971"/>
        </w:trPr>
        <w:tc>
          <w:tcPr>
            <w:tcW w:w="5032" w:type="dxa"/>
          </w:tcPr>
          <w:p w14:paraId="39EC096C" w14:textId="77777777" w:rsidR="00471DC1" w:rsidRPr="00A669D1" w:rsidRDefault="00471DC1" w:rsidP="00471DC1">
            <w:pPr>
              <w:pStyle w:val="TableParagraph"/>
              <w:spacing w:before="169"/>
              <w:ind w:left="200"/>
              <w:rPr>
                <w:rFonts w:ascii="Calibri" w:hAnsi="Calibri" w:cs="Calibri"/>
                <w:sz w:val="24"/>
                <w:szCs w:val="24"/>
                <w:lang w:val="en-GB"/>
              </w:rPr>
            </w:pPr>
            <w:r w:rsidRPr="00A669D1">
              <w:rPr>
                <w:rFonts w:ascii="Calibri" w:hAnsi="Calibri" w:cs="Calibri"/>
                <w:noProof/>
                <w:sz w:val="24"/>
                <w:szCs w:val="24"/>
                <w:lang w:val="fr-CH" w:eastAsia="fr-CH"/>
              </w:rPr>
              <w:drawing>
                <wp:anchor distT="0" distB="0" distL="114300" distR="114300" simplePos="0" relativeHeight="251658240" behindDoc="1" locked="0" layoutInCell="1" allowOverlap="1" wp14:anchorId="233058ED" wp14:editId="10D0417C">
                  <wp:simplePos x="0" y="0"/>
                  <wp:positionH relativeFrom="column">
                    <wp:posOffset>127635</wp:posOffset>
                  </wp:positionH>
                  <wp:positionV relativeFrom="paragraph">
                    <wp:posOffset>221615</wp:posOffset>
                  </wp:positionV>
                  <wp:extent cx="763660" cy="3225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771587" cy="325928"/>
                          </a:xfrm>
                          <a:prstGeom prst="rect">
                            <a:avLst/>
                          </a:prstGeom>
                        </pic:spPr>
                      </pic:pic>
                    </a:graphicData>
                  </a:graphic>
                  <wp14:sizeRelH relativeFrom="margin">
                    <wp14:pctWidth>0</wp14:pctWidth>
                  </wp14:sizeRelH>
                  <wp14:sizeRelV relativeFrom="margin">
                    <wp14:pctHeight>0</wp14:pctHeight>
                  </wp14:sizeRelV>
                </wp:anchor>
              </w:drawing>
            </w:r>
          </w:p>
          <w:p w14:paraId="2F3240F6" w14:textId="77777777" w:rsidR="00471DC1" w:rsidRPr="00A669D1" w:rsidRDefault="00471DC1" w:rsidP="00471DC1">
            <w:pPr>
              <w:pStyle w:val="TableParagraph"/>
              <w:spacing w:before="169"/>
              <w:ind w:left="200"/>
              <w:rPr>
                <w:rFonts w:ascii="Calibri" w:hAnsi="Calibri" w:cs="Calibri"/>
                <w:sz w:val="24"/>
                <w:szCs w:val="24"/>
                <w:lang w:val="en-GB"/>
              </w:rPr>
            </w:pPr>
          </w:p>
          <w:p w14:paraId="35F2F735" w14:textId="77777777" w:rsidR="00471DC1" w:rsidRPr="00A669D1" w:rsidRDefault="00471DC1" w:rsidP="00471DC1">
            <w:pPr>
              <w:pStyle w:val="TableParagraph"/>
              <w:spacing w:before="169"/>
              <w:ind w:left="200"/>
              <w:rPr>
                <w:rFonts w:ascii="Calibri" w:hAnsi="Calibri" w:cs="Calibri"/>
                <w:sz w:val="24"/>
                <w:szCs w:val="24"/>
                <w:lang w:val="en-GB"/>
              </w:rPr>
            </w:pPr>
          </w:p>
          <w:p w14:paraId="45027DED" w14:textId="77777777" w:rsidR="00471DC1" w:rsidRPr="00A669D1" w:rsidRDefault="00471DC1" w:rsidP="00471DC1">
            <w:pPr>
              <w:pStyle w:val="TableParagraph"/>
              <w:spacing w:before="169"/>
              <w:ind w:left="200"/>
              <w:rPr>
                <w:rFonts w:ascii="Calibri" w:hAnsi="Calibri" w:cs="Calibri"/>
                <w:sz w:val="24"/>
                <w:szCs w:val="24"/>
                <w:lang w:val="en-GB"/>
              </w:rPr>
            </w:pPr>
            <w:r w:rsidRPr="00A669D1">
              <w:rPr>
                <w:rFonts w:ascii="Calibri" w:hAnsi="Calibri" w:cs="Calibri"/>
                <w:sz w:val="24"/>
                <w:szCs w:val="24"/>
                <w:lang w:val="en-GB"/>
              </w:rPr>
              <w:t>Chaesub Lee</w:t>
            </w:r>
          </w:p>
          <w:p w14:paraId="0BA5C67E" w14:textId="77777777" w:rsidR="00471DC1" w:rsidRPr="00A669D1" w:rsidRDefault="00471DC1" w:rsidP="00471DC1">
            <w:pPr>
              <w:pStyle w:val="TableParagraph"/>
              <w:spacing w:line="270" w:lineRule="atLeast"/>
              <w:ind w:left="200" w:right="1244"/>
              <w:rPr>
                <w:rFonts w:ascii="Calibri" w:hAnsi="Calibri" w:cs="Calibri"/>
                <w:sz w:val="24"/>
                <w:szCs w:val="24"/>
                <w:lang w:val="en-GB"/>
              </w:rPr>
            </w:pPr>
            <w:r w:rsidRPr="00A669D1">
              <w:rPr>
                <w:rFonts w:ascii="Calibri" w:hAnsi="Calibri" w:cs="Calibri"/>
                <w:sz w:val="24"/>
                <w:szCs w:val="24"/>
                <w:lang w:val="en-GB"/>
              </w:rPr>
              <w:t>Director of the Telecommunication Standardization Bureau (TSB)</w:t>
            </w:r>
          </w:p>
        </w:tc>
        <w:tc>
          <w:tcPr>
            <w:tcW w:w="5033" w:type="dxa"/>
          </w:tcPr>
          <w:p w14:paraId="71BC77A2" w14:textId="77777777" w:rsidR="00471DC1" w:rsidRPr="00A669D1" w:rsidRDefault="00471DC1" w:rsidP="00471DC1">
            <w:pPr>
              <w:pStyle w:val="TableParagraph"/>
              <w:spacing w:before="169"/>
              <w:ind w:left="1264"/>
              <w:rPr>
                <w:rFonts w:ascii="Calibri" w:hAnsi="Calibri" w:cs="Calibri"/>
                <w:sz w:val="24"/>
                <w:szCs w:val="24"/>
                <w:lang w:val="en-GB"/>
              </w:rPr>
            </w:pPr>
            <w:r w:rsidRPr="00A669D1">
              <w:rPr>
                <w:rFonts w:ascii="Calibri" w:hAnsi="Calibri" w:cs="Calibri"/>
                <w:noProof/>
                <w:sz w:val="24"/>
                <w:szCs w:val="24"/>
                <w:lang w:val="fr-CH" w:eastAsia="fr-CH"/>
              </w:rPr>
              <w:drawing>
                <wp:anchor distT="0" distB="0" distL="114300" distR="114300" simplePos="0" relativeHeight="251658241" behindDoc="1" locked="0" layoutInCell="1" allowOverlap="1" wp14:anchorId="206CED2B" wp14:editId="0DD34A2A">
                  <wp:simplePos x="0" y="0"/>
                  <wp:positionH relativeFrom="column">
                    <wp:posOffset>49530</wp:posOffset>
                  </wp:positionH>
                  <wp:positionV relativeFrom="paragraph">
                    <wp:posOffset>219875</wp:posOffset>
                  </wp:positionV>
                  <wp:extent cx="763660" cy="3225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763660" cy="322580"/>
                          </a:xfrm>
                          <a:prstGeom prst="rect">
                            <a:avLst/>
                          </a:prstGeom>
                        </pic:spPr>
                      </pic:pic>
                    </a:graphicData>
                  </a:graphic>
                  <wp14:sizeRelH relativeFrom="margin">
                    <wp14:pctWidth>0</wp14:pctWidth>
                  </wp14:sizeRelH>
                  <wp14:sizeRelV relativeFrom="margin">
                    <wp14:pctHeight>0</wp14:pctHeight>
                  </wp14:sizeRelV>
                </wp:anchor>
              </w:drawing>
            </w:r>
          </w:p>
          <w:p w14:paraId="664673F7" w14:textId="77777777" w:rsidR="00471DC1" w:rsidRPr="00A669D1" w:rsidRDefault="00471DC1" w:rsidP="00471DC1">
            <w:pPr>
              <w:pStyle w:val="TableParagraph"/>
              <w:spacing w:before="169"/>
              <w:ind w:left="1264"/>
              <w:rPr>
                <w:rFonts w:ascii="Calibri" w:hAnsi="Calibri" w:cs="Calibri"/>
                <w:sz w:val="24"/>
                <w:szCs w:val="24"/>
                <w:lang w:val="en-GB"/>
              </w:rPr>
            </w:pPr>
          </w:p>
          <w:p w14:paraId="37DBBD26" w14:textId="77777777" w:rsidR="00471DC1" w:rsidRPr="00A669D1" w:rsidRDefault="00471DC1" w:rsidP="00471DC1">
            <w:pPr>
              <w:pStyle w:val="TableParagraph"/>
              <w:spacing w:before="169"/>
              <w:ind w:left="1264"/>
              <w:rPr>
                <w:rFonts w:ascii="Calibri" w:hAnsi="Calibri" w:cs="Calibri"/>
                <w:sz w:val="24"/>
                <w:szCs w:val="24"/>
                <w:lang w:val="en-GB"/>
              </w:rPr>
            </w:pPr>
          </w:p>
          <w:p w14:paraId="03F41C4C" w14:textId="77777777" w:rsidR="00471DC1" w:rsidRPr="00A669D1" w:rsidRDefault="00471DC1" w:rsidP="00471DC1">
            <w:pPr>
              <w:pStyle w:val="TableParagraph"/>
              <w:spacing w:before="169"/>
              <w:rPr>
                <w:rFonts w:ascii="Calibri" w:hAnsi="Calibri" w:cs="Calibri"/>
                <w:sz w:val="24"/>
                <w:szCs w:val="24"/>
                <w:lang w:val="en-GB"/>
              </w:rPr>
            </w:pPr>
            <w:r w:rsidRPr="00A669D1">
              <w:rPr>
                <w:rFonts w:ascii="Calibri" w:hAnsi="Calibri" w:cs="Calibri"/>
                <w:sz w:val="24"/>
                <w:szCs w:val="24"/>
                <w:lang w:val="en-GB"/>
              </w:rPr>
              <w:t>Doreen Bogdan-Martin</w:t>
            </w:r>
          </w:p>
          <w:p w14:paraId="46EE39A5" w14:textId="77777777" w:rsidR="00471DC1" w:rsidRPr="00A669D1" w:rsidRDefault="00471DC1" w:rsidP="00471DC1">
            <w:pPr>
              <w:pStyle w:val="TableParagraph"/>
              <w:spacing w:line="270" w:lineRule="atLeast"/>
              <w:ind w:right="181"/>
              <w:rPr>
                <w:rFonts w:ascii="Calibri" w:hAnsi="Calibri" w:cs="Calibri"/>
                <w:sz w:val="24"/>
                <w:szCs w:val="24"/>
                <w:lang w:val="en-GB"/>
              </w:rPr>
            </w:pPr>
            <w:r w:rsidRPr="00A669D1">
              <w:rPr>
                <w:rFonts w:ascii="Calibri" w:hAnsi="Calibri" w:cs="Calibri"/>
                <w:sz w:val="24"/>
                <w:szCs w:val="24"/>
                <w:lang w:val="en-GB"/>
              </w:rPr>
              <w:t>Director of the Telecommunication Development Bureau (BDT)</w:t>
            </w:r>
          </w:p>
        </w:tc>
      </w:tr>
    </w:tbl>
    <w:p w14:paraId="3E995ADE" w14:textId="77777777" w:rsidR="00D93A17" w:rsidRPr="00A669D1" w:rsidRDefault="00D93A17" w:rsidP="00D93A17">
      <w:pPr>
        <w:ind w:right="-9"/>
        <w:rPr>
          <w:rFonts w:cstheme="minorHAnsi"/>
          <w:szCs w:val="24"/>
        </w:rPr>
      </w:pPr>
    </w:p>
    <w:p w14:paraId="5C6F7B93" w14:textId="029BA4B8" w:rsidR="00B72F90" w:rsidRPr="00A669D1" w:rsidRDefault="00B72F90" w:rsidP="00471DC1">
      <w:pPr>
        <w:pageBreakBefore/>
        <w:ind w:right="-11"/>
        <w:jc w:val="center"/>
        <w:rPr>
          <w:rFonts w:cstheme="minorHAnsi"/>
          <w:b/>
          <w:bCs/>
          <w:szCs w:val="24"/>
        </w:rPr>
      </w:pPr>
      <w:r w:rsidRPr="00A669D1">
        <w:rPr>
          <w:rFonts w:cstheme="minorHAnsi"/>
          <w:b/>
          <w:bCs/>
          <w:szCs w:val="24"/>
        </w:rPr>
        <w:lastRenderedPageBreak/>
        <w:t xml:space="preserve">Annex – </w:t>
      </w:r>
      <w:r w:rsidR="005216C6" w:rsidRPr="00A669D1">
        <w:rPr>
          <w:rFonts w:cstheme="minorHAnsi"/>
          <w:b/>
          <w:bCs/>
          <w:szCs w:val="24"/>
        </w:rPr>
        <w:t>Outline of workshop sessions</w:t>
      </w:r>
    </w:p>
    <w:p w14:paraId="5D3FA920" w14:textId="0766E9DD" w:rsidR="00EF1258" w:rsidRPr="00A669D1" w:rsidRDefault="00C12C01" w:rsidP="009014DD">
      <w:pPr>
        <w:tabs>
          <w:tab w:val="clear" w:pos="1134"/>
          <w:tab w:val="clear" w:pos="1871"/>
          <w:tab w:val="clear" w:pos="2268"/>
        </w:tabs>
        <w:overflowPunct/>
        <w:autoSpaceDE/>
        <w:autoSpaceDN/>
        <w:adjustRightInd/>
        <w:spacing w:before="240" w:after="120"/>
        <w:jc w:val="both"/>
        <w:textAlignment w:val="auto"/>
      </w:pPr>
      <w:r w:rsidRPr="00A669D1">
        <w:t xml:space="preserve">In total, </w:t>
      </w:r>
      <w:r w:rsidR="007E0162" w:rsidRPr="00A669D1">
        <w:t>nine</w:t>
      </w:r>
      <w:r w:rsidRPr="00A669D1">
        <w:t xml:space="preserve"> sessions </w:t>
      </w:r>
      <w:r w:rsidR="00D66D2B" w:rsidRPr="00A669D1">
        <w:t xml:space="preserve">(subject to change) </w:t>
      </w:r>
      <w:r w:rsidRPr="00A669D1">
        <w:t>are planned during the workshop.</w:t>
      </w:r>
      <w:r w:rsidR="00F704B0" w:rsidRPr="00A669D1">
        <w:t xml:space="preserve"> For any updates, please </w:t>
      </w:r>
      <w:r w:rsidR="006C63F3" w:rsidRPr="00A669D1">
        <w:t>s</w:t>
      </w:r>
      <w:r w:rsidR="00F704B0" w:rsidRPr="00A669D1">
        <w:t>ee webpage at</w:t>
      </w:r>
      <w:r w:rsidR="006C63F3" w:rsidRPr="00A669D1">
        <w:t xml:space="preserve"> </w:t>
      </w:r>
      <w:hyperlink r:id="rId20" w:history="1">
        <w:r w:rsidR="006C63F3" w:rsidRPr="00A669D1">
          <w:rPr>
            <w:rStyle w:val="Hyperlink"/>
            <w:sz w:val="22"/>
            <w:szCs w:val="18"/>
          </w:rPr>
          <w:t>https://www.itu.int/en/ITU-T/Workshops-and-Seminars/2022/1103/Pages/default.aspx</w:t>
        </w:r>
      </w:hyperlink>
    </w:p>
    <w:p w14:paraId="4CBA9918" w14:textId="74E87D05" w:rsidR="004E0323" w:rsidRPr="00A669D1" w:rsidRDefault="004E0323" w:rsidP="009014DD">
      <w:pPr>
        <w:tabs>
          <w:tab w:val="clear" w:pos="1134"/>
          <w:tab w:val="clear" w:pos="1871"/>
          <w:tab w:val="clear" w:pos="2268"/>
        </w:tabs>
        <w:overflowPunct/>
        <w:autoSpaceDE/>
        <w:autoSpaceDN/>
        <w:adjustRightInd/>
        <w:spacing w:before="240" w:after="120"/>
        <w:jc w:val="both"/>
        <w:textAlignment w:val="auto"/>
        <w:rPr>
          <w:b/>
          <w:bCs/>
        </w:rPr>
      </w:pPr>
      <w:r w:rsidRPr="00A669D1">
        <w:rPr>
          <w:b/>
          <w:bCs/>
        </w:rPr>
        <w:t xml:space="preserve">Session 1 – </w:t>
      </w:r>
      <w:r w:rsidR="007B16A5" w:rsidRPr="00A669D1">
        <w:rPr>
          <w:b/>
          <w:bCs/>
        </w:rPr>
        <w:t>Opening</w:t>
      </w:r>
    </w:p>
    <w:p w14:paraId="07147A84" w14:textId="283F4547" w:rsidR="007B16A5" w:rsidRPr="00A669D1" w:rsidRDefault="007B16A5" w:rsidP="009014DD">
      <w:pPr>
        <w:tabs>
          <w:tab w:val="clear" w:pos="1134"/>
          <w:tab w:val="clear" w:pos="1871"/>
          <w:tab w:val="clear" w:pos="2268"/>
        </w:tabs>
        <w:overflowPunct/>
        <w:autoSpaceDE/>
        <w:autoSpaceDN/>
        <w:adjustRightInd/>
        <w:spacing w:before="240" w:after="120"/>
        <w:jc w:val="both"/>
        <w:textAlignment w:val="auto"/>
        <w:rPr>
          <w:b/>
          <w:bCs/>
        </w:rPr>
      </w:pPr>
      <w:r w:rsidRPr="00A669D1">
        <w:rPr>
          <w:b/>
          <w:bCs/>
        </w:rPr>
        <w:t xml:space="preserve">Session 2 – </w:t>
      </w:r>
      <w:r w:rsidR="007903E9" w:rsidRPr="00A669D1">
        <w:rPr>
          <w:b/>
          <w:bCs/>
        </w:rPr>
        <w:t>Introduction to ITU-T Study Group 3</w:t>
      </w:r>
    </w:p>
    <w:p w14:paraId="619FFDF9" w14:textId="5C9D0E0A" w:rsidR="005003AC" w:rsidRPr="00A669D1" w:rsidRDefault="005003AC" w:rsidP="009014DD">
      <w:pPr>
        <w:tabs>
          <w:tab w:val="clear" w:pos="1134"/>
          <w:tab w:val="clear" w:pos="1871"/>
          <w:tab w:val="clear" w:pos="2268"/>
        </w:tabs>
        <w:overflowPunct/>
        <w:autoSpaceDE/>
        <w:autoSpaceDN/>
        <w:adjustRightInd/>
        <w:spacing w:before="240" w:after="120"/>
        <w:jc w:val="both"/>
        <w:textAlignment w:val="auto"/>
        <w:rPr>
          <w:b/>
          <w:bCs/>
        </w:rPr>
      </w:pPr>
      <w:r w:rsidRPr="00A669D1">
        <w:rPr>
          <w:b/>
          <w:bCs/>
        </w:rPr>
        <w:t xml:space="preserve">Session 3 – </w:t>
      </w:r>
      <w:r w:rsidR="007B4F74" w:rsidRPr="00A669D1">
        <w:rPr>
          <w:b/>
          <w:bCs/>
        </w:rPr>
        <w:t>Industry’s perspectives on the economic and fiscal landscape</w:t>
      </w:r>
    </w:p>
    <w:p w14:paraId="7E6FC93E" w14:textId="06A15944" w:rsidR="00336815" w:rsidRDefault="00336815" w:rsidP="00974DBB">
      <w:pPr>
        <w:pStyle w:val="ListParagraph"/>
        <w:spacing w:after="120"/>
        <w:contextualSpacing w:val="0"/>
        <w:jc w:val="both"/>
      </w:pPr>
      <w:r>
        <w:t>In recent years, user demand has driven outstanding growth of data and applications over telecommunication infrastructure</w:t>
      </w:r>
      <w:r w:rsidR="006071E4">
        <w:t>,</w:t>
      </w:r>
      <w:r>
        <w:t xml:space="preserve"> which broadens options of virtual interaction, content consumption and remote communication for people all over the globe.</w:t>
      </w:r>
    </w:p>
    <w:p w14:paraId="391756DC" w14:textId="2B38E6D2" w:rsidR="00336815" w:rsidRDefault="00336815" w:rsidP="00974DBB">
      <w:pPr>
        <w:pStyle w:val="ListParagraph"/>
        <w:spacing w:after="120"/>
        <w:contextualSpacing w:val="0"/>
        <w:jc w:val="both"/>
      </w:pPr>
      <w:r>
        <w:t xml:space="preserve">With the increasing presence of these new digital firms, issues arise on </w:t>
      </w:r>
      <w:r w:rsidR="006071E4">
        <w:t xml:space="preserve">the </w:t>
      </w:r>
      <w:r>
        <w:t xml:space="preserve">economic impacts of new fiscal </w:t>
      </w:r>
      <w:proofErr w:type="gramStart"/>
      <w:r>
        <w:t>instruments</w:t>
      </w:r>
      <w:r w:rsidR="006071E4">
        <w:t>;</w:t>
      </w:r>
      <w:proofErr w:type="gramEnd"/>
      <w:r>
        <w:t xml:space="preserve"> for instance</w:t>
      </w:r>
      <w:r w:rsidR="006071E4">
        <w:t>,</w:t>
      </w:r>
      <w:r>
        <w:t xml:space="preserve"> on investments, forms of cooperation between traditional telecommunication operators and OTT application service providers, among others.</w:t>
      </w:r>
    </w:p>
    <w:p w14:paraId="26EC117A" w14:textId="5D653422" w:rsidR="00336815" w:rsidRDefault="00336815" w:rsidP="00974DBB">
      <w:pPr>
        <w:pStyle w:val="ListParagraph"/>
        <w:spacing w:after="120"/>
        <w:contextualSpacing w:val="0"/>
        <w:jc w:val="both"/>
      </w:pPr>
      <w:r>
        <w:t xml:space="preserve">Some parts of the telecommunications industry have proposed to apply the “sending-party-network-pays system” (SPNP) and have called for some form of an Internet usage/traffic tax, </w:t>
      </w:r>
      <w:proofErr w:type="gramStart"/>
      <w:r>
        <w:t>levies</w:t>
      </w:r>
      <w:proofErr w:type="gramEnd"/>
      <w:r>
        <w:t xml:space="preserve"> or fees on “big technology content and service provider companies</w:t>
      </w:r>
      <w:r w:rsidR="0049445E">
        <w:t>”</w:t>
      </w:r>
      <w:r w:rsidR="006071E4">
        <w:t xml:space="preserve"> </w:t>
      </w:r>
      <w:r>
        <w:t xml:space="preserve">and ISPs to help provide cost recovery for telecom service providers’ investments. However, some parts of the wider </w:t>
      </w:r>
      <w:r w:rsidR="006071E4">
        <w:t>I</w:t>
      </w:r>
      <w:r>
        <w:t>nternet ecosystem have cautioned that such approaches could be counterproductive.</w:t>
      </w:r>
    </w:p>
    <w:p w14:paraId="3A89B1BF" w14:textId="7EA54F9C" w:rsidR="00336815" w:rsidRPr="00A669D1" w:rsidRDefault="00336815" w:rsidP="00974DBB">
      <w:pPr>
        <w:pStyle w:val="ListParagraph"/>
        <w:spacing w:after="120"/>
        <w:contextualSpacing w:val="0"/>
        <w:jc w:val="both"/>
      </w:pPr>
      <w:r>
        <w:t>This session aims to gather the various industry perspectives on the economic, regulatory, and fiscal landscape in which telecom operators and content and application providers operate.</w:t>
      </w:r>
    </w:p>
    <w:p w14:paraId="01CCAD28" w14:textId="63427DBA" w:rsidR="00EF1258" w:rsidRPr="00A669D1" w:rsidRDefault="00604D3F" w:rsidP="009014DD">
      <w:pPr>
        <w:tabs>
          <w:tab w:val="clear" w:pos="1134"/>
          <w:tab w:val="clear" w:pos="1871"/>
          <w:tab w:val="clear" w:pos="2268"/>
        </w:tabs>
        <w:overflowPunct/>
        <w:autoSpaceDE/>
        <w:autoSpaceDN/>
        <w:adjustRightInd/>
        <w:spacing w:before="240" w:after="120"/>
        <w:jc w:val="both"/>
        <w:textAlignment w:val="auto"/>
        <w:rPr>
          <w:b/>
          <w:bCs/>
        </w:rPr>
      </w:pPr>
      <w:r w:rsidRPr="00A669D1">
        <w:rPr>
          <w:b/>
          <w:bCs/>
        </w:rPr>
        <w:t xml:space="preserve">Session </w:t>
      </w:r>
      <w:r w:rsidR="004971AF" w:rsidRPr="00A669D1">
        <w:rPr>
          <w:b/>
          <w:bCs/>
        </w:rPr>
        <w:t>4</w:t>
      </w:r>
      <w:r w:rsidRPr="00A669D1">
        <w:rPr>
          <w:b/>
          <w:bCs/>
        </w:rPr>
        <w:t xml:space="preserve"> – </w:t>
      </w:r>
      <w:r w:rsidR="00EF1258" w:rsidRPr="00A669D1">
        <w:rPr>
          <w:b/>
          <w:bCs/>
        </w:rPr>
        <w:t>ICT market impacts of international tax agreements</w:t>
      </w:r>
    </w:p>
    <w:p w14:paraId="7FB6246A" w14:textId="763B66B1" w:rsidR="00793AB6" w:rsidRDefault="00793AB6" w:rsidP="00974DBB">
      <w:pPr>
        <w:spacing w:after="120"/>
        <w:ind w:left="720"/>
        <w:jc w:val="both"/>
      </w:pPr>
      <w:r>
        <w:t>As investments around the world advance towards globalized intangible digital service-based assets, so do tax systems in order to adapt to the 21st century production structure. Given the importance of cross-border transactions, a commitment for international coordination on taxation was made through the OECD/G20 Inclusive Framework on Base Erosion and Profit Shifting (BEPS).</w:t>
      </w:r>
    </w:p>
    <w:p w14:paraId="4C671767" w14:textId="7458D0B5" w:rsidR="00793AB6" w:rsidRDefault="00793AB6" w:rsidP="00974DBB">
      <w:pPr>
        <w:spacing w:after="120"/>
        <w:ind w:left="720"/>
        <w:jc w:val="both"/>
      </w:pPr>
      <w:r>
        <w:t xml:space="preserve">The OECD/G20 Inclusive Framework on BEPS has agreed a two-pillar solution to address the tax challenges arising from the digitalisation of the economy. Agreed by </w:t>
      </w:r>
      <w:r w:rsidR="006071E4">
        <w:t xml:space="preserve">more than </w:t>
      </w:r>
      <w:r>
        <w:t>135 countries and jurisdictions, representing more than 90</w:t>
      </w:r>
      <w:r w:rsidR="006071E4">
        <w:t xml:space="preserve"> per cent</w:t>
      </w:r>
      <w:r>
        <w:t xml:space="preserve"> of global GDP, this landmark deal represents a historic achievement towards a more stable and fairer international tax system.</w:t>
      </w:r>
    </w:p>
    <w:p w14:paraId="130F7044" w14:textId="0922D653" w:rsidR="00793AB6" w:rsidRPr="00A669D1" w:rsidRDefault="00793AB6" w:rsidP="00974DBB">
      <w:pPr>
        <w:pStyle w:val="ListParagraph"/>
        <w:spacing w:after="120"/>
        <w:jc w:val="both"/>
      </w:pPr>
      <w:r>
        <w:t xml:space="preserve">This session aims to provide participants with a thorough understanding of the efforts undertaken in this initiative in terms of the tax challenges arising from the digitalization of the economy such as on automated digital services and on multinational enterprise business taxation. It also has the objective </w:t>
      </w:r>
      <w:r w:rsidR="006071E4">
        <w:t xml:space="preserve">of </w:t>
      </w:r>
      <w:r>
        <w:t>broaden</w:t>
      </w:r>
      <w:r w:rsidR="006071E4">
        <w:t>ing</w:t>
      </w:r>
      <w:r>
        <w:t xml:space="preserve"> the knowledge on relevant aspects which relate to the ICT and telecommunication sector, as well as to possible outcomes on companies that operate over telecommunication infrastructure.</w:t>
      </w:r>
    </w:p>
    <w:p w14:paraId="6BABB3DD" w14:textId="32C1EEE4" w:rsidR="00FA4CBD" w:rsidRPr="00A669D1" w:rsidRDefault="0027079D" w:rsidP="00974DBB">
      <w:pPr>
        <w:tabs>
          <w:tab w:val="clear" w:pos="1134"/>
          <w:tab w:val="clear" w:pos="1871"/>
          <w:tab w:val="clear" w:pos="2268"/>
        </w:tabs>
        <w:overflowPunct/>
        <w:autoSpaceDE/>
        <w:autoSpaceDN/>
        <w:adjustRightInd/>
        <w:spacing w:before="240" w:after="120"/>
        <w:jc w:val="both"/>
        <w:textAlignment w:val="auto"/>
        <w:rPr>
          <w:b/>
        </w:rPr>
      </w:pPr>
      <w:r w:rsidRPr="00A669D1">
        <w:rPr>
          <w:b/>
        </w:rPr>
        <w:t xml:space="preserve">Session </w:t>
      </w:r>
      <w:r w:rsidR="00FA4CBD" w:rsidRPr="00A669D1">
        <w:rPr>
          <w:b/>
        </w:rPr>
        <w:t>5</w:t>
      </w:r>
      <w:r w:rsidRPr="00A669D1">
        <w:rPr>
          <w:b/>
        </w:rPr>
        <w:t xml:space="preserve"> – </w:t>
      </w:r>
      <w:r w:rsidR="00FA4CBD" w:rsidRPr="00A669D1">
        <w:rPr>
          <w:b/>
        </w:rPr>
        <w:t>International aspects, and multistakeholder impacts of established and new fiscal instruments</w:t>
      </w:r>
    </w:p>
    <w:p w14:paraId="014C433D" w14:textId="30451091" w:rsidR="00C96B39" w:rsidRDefault="00C96B39" w:rsidP="00974DBB">
      <w:pPr>
        <w:spacing w:after="120"/>
        <w:ind w:left="720"/>
        <w:jc w:val="both"/>
      </w:pPr>
      <w:r>
        <w:t xml:space="preserve">There is an ongoing need to encourage investment in telecom infrastructure, </w:t>
      </w:r>
      <w:r w:rsidR="006071E4">
        <w:t>particular</w:t>
      </w:r>
      <w:r w:rsidR="00F812F7">
        <w:t>ly</w:t>
      </w:r>
      <w:r w:rsidR="006071E4">
        <w:t xml:space="preserve"> </w:t>
      </w:r>
      <w:r>
        <w:t>in new deployments and continual upgrades, especially in rural areas</w:t>
      </w:r>
      <w:r w:rsidR="006071E4">
        <w:t>,</w:t>
      </w:r>
      <w:r>
        <w:t xml:space="preserve"> to help close the digital </w:t>
      </w:r>
      <w:r>
        <w:lastRenderedPageBreak/>
        <w:t xml:space="preserve">divide. This raises the question of which funds, fiscal instruments, </w:t>
      </w:r>
      <w:proofErr w:type="gramStart"/>
      <w:r>
        <w:t>incentives</w:t>
      </w:r>
      <w:proofErr w:type="gramEnd"/>
      <w:r>
        <w:t xml:space="preserve"> and other measures could be most appropriate and effective in bridging the digital divide and in support</w:t>
      </w:r>
      <w:r w:rsidR="006071E4">
        <w:t>ing</w:t>
      </w:r>
      <w:r>
        <w:t xml:space="preserve"> the digital transformation.</w:t>
      </w:r>
    </w:p>
    <w:p w14:paraId="65BC3F0B" w14:textId="6499566D" w:rsidR="00C96B39" w:rsidRDefault="00C96B39" w:rsidP="00974DBB">
      <w:pPr>
        <w:spacing w:after="120"/>
        <w:ind w:left="720"/>
        <w:jc w:val="both"/>
      </w:pPr>
      <w:r>
        <w:t>There are challenges to Universal Service Funds (USF)</w:t>
      </w:r>
      <w:r w:rsidR="0031359E">
        <w:t>,</w:t>
      </w:r>
      <w:r>
        <w:t xml:space="preserve"> which are shrinking as they are derived from telecom voice service revenues, affecting especially developing countries with varying economic consequences. Suggestions have been made to rescope or reform the service funds and derive them from broadband data service revenues</w:t>
      </w:r>
      <w:r w:rsidR="0031359E">
        <w:t>,</w:t>
      </w:r>
      <w:r>
        <w:t xml:space="preserve"> as well as </w:t>
      </w:r>
      <w:r w:rsidR="0031359E">
        <w:t xml:space="preserve">to </w:t>
      </w:r>
      <w:r>
        <w:t>request “Big Tech” companies to contribute to universal service obligations.</w:t>
      </w:r>
    </w:p>
    <w:p w14:paraId="01CB7892" w14:textId="77777777" w:rsidR="00C96B39" w:rsidRDefault="00C96B39" w:rsidP="00974DBB">
      <w:pPr>
        <w:spacing w:after="120"/>
        <w:ind w:left="720"/>
        <w:jc w:val="both"/>
      </w:pPr>
      <w:r>
        <w:t xml:space="preserve">There are also debates surrounding applying the “sending-party-network-pays system” (SPNP) and/or some form of an Internet usage/traffic tax, levies or fees on “big technology content and service provider companies“ and ISPs to help provide cost recovery for telecom service providers’ investments. </w:t>
      </w:r>
    </w:p>
    <w:p w14:paraId="75DD235F" w14:textId="77777777" w:rsidR="00C96B39" w:rsidRDefault="00C96B39" w:rsidP="00974DBB">
      <w:pPr>
        <w:spacing w:after="120"/>
        <w:ind w:left="720"/>
        <w:jc w:val="both"/>
      </w:pPr>
      <w:r>
        <w:t>Recently established European regulations such as the Digital Market Act and Digital Service Act that address digital/online platforms will be considered in this session, as well as the WTO moratorium not to impose customs duties on electronic transmissions, and an expected Connectivity Infrastructure Act.</w:t>
      </w:r>
    </w:p>
    <w:p w14:paraId="3E44CC42" w14:textId="28402912" w:rsidR="00C96B39" w:rsidRPr="00A669D1" w:rsidRDefault="00C96B39" w:rsidP="00974DBB">
      <w:pPr>
        <w:spacing w:after="120"/>
        <w:ind w:left="720"/>
        <w:jc w:val="both"/>
      </w:pPr>
      <w:r>
        <w:t>A key objective of the session is to facilitate a dialogue among the experts regarding how they understand the economic consequences and regulatory implications of some Internet usage/traffic tax compared with other fiscal instruments such as tax relief, incentives and subsidies, and alternatives or other cost</w:t>
      </w:r>
      <w:r w:rsidR="006239A6">
        <w:t>-</w:t>
      </w:r>
      <w:r>
        <w:t xml:space="preserve">sharing approaches. This includes considering compatibility with net-neutrality principles, the potential impact on innovation and competition, and the relationship with other forms of digital taxes, </w:t>
      </w:r>
      <w:r w:rsidR="006239A6">
        <w:t xml:space="preserve">as well as </w:t>
      </w:r>
      <w:r>
        <w:t xml:space="preserve">the risk of double/over-taxation.  </w:t>
      </w:r>
    </w:p>
    <w:p w14:paraId="491BE7F4" w14:textId="7273A920" w:rsidR="008F291B" w:rsidRPr="00A669D1" w:rsidRDefault="0027079D" w:rsidP="00974DBB">
      <w:pPr>
        <w:tabs>
          <w:tab w:val="left" w:pos="794"/>
          <w:tab w:val="left" w:pos="1191"/>
          <w:tab w:val="left" w:pos="1588"/>
          <w:tab w:val="left" w:pos="1985"/>
        </w:tabs>
        <w:spacing w:before="240"/>
        <w:jc w:val="both"/>
        <w:rPr>
          <w:rFonts w:cs="Calibri"/>
          <w:b/>
          <w:bCs/>
          <w:szCs w:val="24"/>
        </w:rPr>
      </w:pPr>
      <w:r w:rsidRPr="00A669D1">
        <w:rPr>
          <w:rFonts w:cs="Calibri"/>
          <w:b/>
          <w:bCs/>
          <w:szCs w:val="24"/>
        </w:rPr>
        <w:t xml:space="preserve">Session 6 – </w:t>
      </w:r>
      <w:r w:rsidR="008839B3" w:rsidRPr="00A669D1">
        <w:rPr>
          <w:rFonts w:cs="Calibri"/>
          <w:b/>
          <w:bCs/>
          <w:szCs w:val="24"/>
        </w:rPr>
        <w:t>Digital Inclusion in the Civil Society</w:t>
      </w:r>
    </w:p>
    <w:p w14:paraId="118912B6" w14:textId="1B495294" w:rsidR="005E1D0E" w:rsidRDefault="005E1D0E" w:rsidP="00974DBB">
      <w:pPr>
        <w:pStyle w:val="ListParagraph"/>
        <w:spacing w:after="120"/>
        <w:contextualSpacing w:val="0"/>
        <w:jc w:val="both"/>
      </w:pPr>
      <w:r>
        <w:t>As the world becomes increasingly digital, and new forms of fiscal instrument potentially arise in response, it is vital to consider the issue of digital inclusion – and especially views on this matter from the perspective of Civil Society.</w:t>
      </w:r>
    </w:p>
    <w:p w14:paraId="60473664" w14:textId="43DC6108" w:rsidR="005E1D0E" w:rsidRDefault="005E1D0E" w:rsidP="00974DBB">
      <w:pPr>
        <w:pStyle w:val="ListParagraph"/>
        <w:spacing w:after="120"/>
        <w:contextualSpacing w:val="0"/>
        <w:jc w:val="both"/>
      </w:pPr>
      <w:r>
        <w:t>For instance, recent pandemics put into perspective the importance of connectivity to the people and the economy. It is</w:t>
      </w:r>
      <w:r w:rsidR="006239A6">
        <w:t>,</w:t>
      </w:r>
      <w:r>
        <w:t xml:space="preserve"> therefore</w:t>
      </w:r>
      <w:r w:rsidR="006239A6">
        <w:t>,</w:t>
      </w:r>
      <w:r>
        <w:t xml:space="preserve"> vital to consider economic barriers, regulatory measures and fiscal incentives which could help address digital inclusion, including affordability and availability of traditional and digital services.</w:t>
      </w:r>
    </w:p>
    <w:p w14:paraId="4A278A52" w14:textId="626538F7" w:rsidR="005E1D0E" w:rsidRPr="00A669D1" w:rsidRDefault="005E1D0E" w:rsidP="00974DBB">
      <w:pPr>
        <w:pStyle w:val="ListParagraph"/>
        <w:spacing w:after="120"/>
        <w:jc w:val="both"/>
      </w:pPr>
      <w:r>
        <w:t>The objective of this session is to gather information on these issues through the lens of Civil Society, and especially from the perspective of consumers.</w:t>
      </w:r>
    </w:p>
    <w:p w14:paraId="648CE849" w14:textId="08359E0F" w:rsidR="00EF1258" w:rsidRPr="00A669D1" w:rsidRDefault="00CC0744" w:rsidP="00974DBB">
      <w:pPr>
        <w:tabs>
          <w:tab w:val="left" w:pos="794"/>
          <w:tab w:val="left" w:pos="1191"/>
          <w:tab w:val="left" w:pos="1588"/>
          <w:tab w:val="left" w:pos="1985"/>
        </w:tabs>
        <w:spacing w:before="240"/>
        <w:jc w:val="both"/>
        <w:rPr>
          <w:rFonts w:cs="Calibri"/>
          <w:b/>
          <w:bCs/>
          <w:szCs w:val="24"/>
        </w:rPr>
      </w:pPr>
      <w:r w:rsidRPr="00A669D1">
        <w:rPr>
          <w:rFonts w:cs="Calibri"/>
          <w:b/>
          <w:bCs/>
          <w:szCs w:val="24"/>
        </w:rPr>
        <w:t xml:space="preserve">Session 7 – </w:t>
      </w:r>
      <w:r w:rsidR="00EF1D96" w:rsidRPr="00A669D1">
        <w:rPr>
          <w:rFonts w:cs="Calibri"/>
          <w:b/>
          <w:bCs/>
          <w:szCs w:val="24"/>
        </w:rPr>
        <w:t>Diversity of fiscal incentives in the world</w:t>
      </w:r>
    </w:p>
    <w:p w14:paraId="5788FC58" w14:textId="2D588F80" w:rsidR="00F41FE2" w:rsidRDefault="00F41FE2" w:rsidP="00974DBB">
      <w:pPr>
        <w:pStyle w:val="ListParagraph"/>
        <w:spacing w:after="120"/>
        <w:contextualSpacing w:val="0"/>
        <w:jc w:val="both"/>
      </w:pPr>
      <w:r>
        <w:t>The 2011 ITU Workshop on “Taxation of Telecommunication Services and Related Products” examined the desirability of taxing telecommunications services, especially in developing countries, and discussed factors that should be considered in order to strike an appropriate balance between the goals of raising revenues and facilitating economic expansion throughout the telecommunications sector.</w:t>
      </w:r>
    </w:p>
    <w:p w14:paraId="223E7FF9" w14:textId="3861369F" w:rsidR="00F41FE2" w:rsidRDefault="00F41FE2" w:rsidP="00974DBB">
      <w:pPr>
        <w:pStyle w:val="ListParagraph"/>
        <w:spacing w:after="120"/>
        <w:jc w:val="both"/>
      </w:pPr>
      <w:r>
        <w:t xml:space="preserve">That workshop received presentations from countries and </w:t>
      </w:r>
      <w:r w:rsidR="00F812F7">
        <w:t xml:space="preserve">ITU </w:t>
      </w:r>
      <w:r>
        <w:t>members reporting on their experiences with taxation of telecommunications. More than a decade later, there have been outstanding technological innovations and the emergence of new business models and new forms of taxation.</w:t>
      </w:r>
    </w:p>
    <w:p w14:paraId="56FD6A33" w14:textId="40746C0F" w:rsidR="00F41FE2" w:rsidRPr="00A669D1" w:rsidRDefault="00F41FE2" w:rsidP="00974DBB">
      <w:pPr>
        <w:pStyle w:val="ListParagraph"/>
        <w:spacing w:after="120"/>
        <w:contextualSpacing w:val="0"/>
        <w:jc w:val="both"/>
      </w:pPr>
      <w:r>
        <w:t xml:space="preserve">In this context, the objective of this session is to explore some of the various approaches </w:t>
      </w:r>
      <w:r w:rsidR="0049445E">
        <w:t>to fiscal</w:t>
      </w:r>
      <w:r>
        <w:t xml:space="preserve"> instruments that relate to telecommunications/ICT and OTTs in recent </w:t>
      </w:r>
      <w:proofErr w:type="gramStart"/>
      <w:r>
        <w:t>years, and</w:t>
      </w:r>
      <w:proofErr w:type="gramEnd"/>
      <w:r>
        <w:t xml:space="preserve"> </w:t>
      </w:r>
      <w:r>
        <w:lastRenderedPageBreak/>
        <w:t>considering how these national experiences can support collaboration at the regional and international level</w:t>
      </w:r>
      <w:r w:rsidR="003E5661">
        <w:t>s</w:t>
      </w:r>
      <w:r>
        <w:t>.</w:t>
      </w:r>
    </w:p>
    <w:p w14:paraId="44275BDB" w14:textId="4EB6F1BC" w:rsidR="00EF1258" w:rsidRPr="00A669D1" w:rsidRDefault="007B467A" w:rsidP="00974DBB">
      <w:pPr>
        <w:tabs>
          <w:tab w:val="left" w:pos="794"/>
          <w:tab w:val="left" w:pos="1191"/>
          <w:tab w:val="left" w:pos="1588"/>
          <w:tab w:val="left" w:pos="1985"/>
        </w:tabs>
        <w:spacing w:before="240"/>
        <w:jc w:val="both"/>
        <w:rPr>
          <w:rFonts w:cs="Calibri"/>
          <w:b/>
          <w:bCs/>
          <w:szCs w:val="24"/>
        </w:rPr>
      </w:pPr>
      <w:r w:rsidRPr="00A669D1">
        <w:rPr>
          <w:rFonts w:cs="Calibri"/>
          <w:b/>
          <w:bCs/>
          <w:szCs w:val="24"/>
        </w:rPr>
        <w:t>Session 8 – Research perspectives on challenges for the digital transformation</w:t>
      </w:r>
    </w:p>
    <w:p w14:paraId="6B1F0A7B" w14:textId="3985FEDD" w:rsidR="00DA22DC" w:rsidRDefault="00DA22DC" w:rsidP="00974DBB">
      <w:pPr>
        <w:pStyle w:val="ListParagraph"/>
        <w:spacing w:after="120"/>
        <w:contextualSpacing w:val="0"/>
        <w:jc w:val="both"/>
      </w:pPr>
      <w:r>
        <w:t>As the digital transformation advances, featuring in this context the emergence and development of OTTs, new forms of fiscal policy and regulatory apparatus have appeared, each based on different premises for how state intervention can be shaped to address pertinent public policy issues.</w:t>
      </w:r>
    </w:p>
    <w:p w14:paraId="75E68102" w14:textId="10175B87" w:rsidR="00DA22DC" w:rsidRDefault="00DA22DC" w:rsidP="00974DBB">
      <w:pPr>
        <w:pStyle w:val="ListParagraph"/>
        <w:spacing w:after="120"/>
        <w:contextualSpacing w:val="0"/>
        <w:jc w:val="both"/>
      </w:pPr>
      <w:r>
        <w:t>Theoretically, these forms of economic and fiscal incentives should be based on their predicted impact on society. In this analysis, there is a space for the technical consideration of several issues that represent common international challenges. These issues may encompass competition and a level playing field, digital divide, macro and microeconomic effects of those state instruments, economic tax burden and others. Eventually, these various conclusions may lead to policy implications and best practices.</w:t>
      </w:r>
    </w:p>
    <w:p w14:paraId="2B1EB422" w14:textId="7533F49E" w:rsidR="00BF27FA" w:rsidRPr="00A669D1" w:rsidRDefault="00DA22DC" w:rsidP="00974DBB">
      <w:pPr>
        <w:pStyle w:val="ListParagraph"/>
        <w:spacing w:after="120"/>
        <w:contextualSpacing w:val="0"/>
        <w:jc w:val="both"/>
      </w:pPr>
      <w:r>
        <w:t>This session aims to explore some of these issues through the perspective of independent researchers, focusing on technical points relevant to this debate.</w:t>
      </w:r>
    </w:p>
    <w:p w14:paraId="46012F76" w14:textId="07EB5544" w:rsidR="005216C6" w:rsidRPr="00A669D1" w:rsidRDefault="009E73AE" w:rsidP="00974DBB">
      <w:pPr>
        <w:jc w:val="both"/>
        <w:rPr>
          <w:rFonts w:cstheme="minorHAnsi"/>
          <w:b/>
          <w:bCs/>
          <w:szCs w:val="24"/>
        </w:rPr>
      </w:pPr>
      <w:r w:rsidRPr="00A669D1">
        <w:rPr>
          <w:rFonts w:cs="Calibri"/>
          <w:b/>
          <w:bCs/>
          <w:szCs w:val="24"/>
        </w:rPr>
        <w:t>Session 9 – Closing.</w:t>
      </w:r>
    </w:p>
    <w:p w14:paraId="6BAD1C59" w14:textId="63B2C654" w:rsidR="00471DC1" w:rsidRPr="00A669D1" w:rsidRDefault="00471DC1" w:rsidP="00EF17C4">
      <w:pPr>
        <w:pageBreakBefore/>
        <w:ind w:right="-11"/>
        <w:jc w:val="center"/>
        <w:rPr>
          <w:rFonts w:cstheme="minorHAnsi"/>
          <w:b/>
          <w:bCs/>
          <w:szCs w:val="24"/>
        </w:rPr>
      </w:pPr>
      <w:r w:rsidRPr="00A669D1">
        <w:rPr>
          <w:rFonts w:cstheme="minorHAnsi"/>
          <w:b/>
          <w:bCs/>
          <w:szCs w:val="24"/>
        </w:rPr>
        <w:lastRenderedPageBreak/>
        <w:t>Appendix – Background information</w:t>
      </w:r>
    </w:p>
    <w:p w14:paraId="292D50DF" w14:textId="4D625117" w:rsidR="00B73AC2" w:rsidRPr="00A669D1" w:rsidRDefault="00703E94" w:rsidP="00974DBB">
      <w:pPr>
        <w:jc w:val="both"/>
        <w:rPr>
          <w:rFonts w:cs="Calibri"/>
          <w:sz w:val="22"/>
          <w:szCs w:val="22"/>
        </w:rPr>
      </w:pPr>
      <w:r w:rsidRPr="00A669D1">
        <w:rPr>
          <w:rFonts w:cs="Calibri"/>
          <w:sz w:val="22"/>
          <w:szCs w:val="22"/>
        </w:rPr>
        <w:t>I</w:t>
      </w:r>
      <w:r w:rsidR="00BE074E" w:rsidRPr="00A669D1">
        <w:rPr>
          <w:rFonts w:cs="Calibri"/>
          <w:sz w:val="22"/>
          <w:szCs w:val="22"/>
        </w:rPr>
        <w:t>n 2011, ITU held a workshop on “</w:t>
      </w:r>
      <w:hyperlink r:id="rId21" w:history="1">
        <w:r w:rsidR="00BE074E" w:rsidRPr="00A669D1">
          <w:rPr>
            <w:rStyle w:val="Hyperlink"/>
            <w:rFonts w:cs="Calibri"/>
            <w:sz w:val="22"/>
            <w:szCs w:val="22"/>
          </w:rPr>
          <w:t>Taxation of Telecommunication Services and Related Products</w:t>
        </w:r>
      </w:hyperlink>
      <w:r w:rsidR="00BE074E" w:rsidRPr="00A669D1">
        <w:rPr>
          <w:rFonts w:cs="Calibri"/>
          <w:sz w:val="22"/>
          <w:szCs w:val="22"/>
        </w:rPr>
        <w:t xml:space="preserve">”, which was organized </w:t>
      </w:r>
      <w:r w:rsidR="00923237" w:rsidRPr="00A669D1">
        <w:rPr>
          <w:rFonts w:cs="Calibri"/>
          <w:sz w:val="22"/>
          <w:szCs w:val="22"/>
        </w:rPr>
        <w:t xml:space="preserve">jointly </w:t>
      </w:r>
      <w:r w:rsidR="00BE074E" w:rsidRPr="00A669D1">
        <w:rPr>
          <w:rFonts w:cs="Calibri"/>
          <w:sz w:val="22"/>
          <w:szCs w:val="22"/>
        </w:rPr>
        <w:t>by the Telecommunications Development Bureau (BDT) and the Telecommunications Standardization Bureau (TSB). The workshop took place prior to the 2012 World Conference on International Telecommunications (WCIT), in preparation of inputs for provisions on taxation matters. This workshop considered the desirability of taxing telecommunication services, especially in developing countries, and discussed factors that should be taken into account in order to strike an appropriate balance between the goals of raising revenues and facilitating economic expansion throughout the telecommunication sector.</w:t>
      </w:r>
    </w:p>
    <w:p w14:paraId="0E0631F1" w14:textId="25CFFC1A" w:rsidR="00EF10AF" w:rsidRPr="00A669D1" w:rsidRDefault="00BE074E" w:rsidP="00974DBB">
      <w:pPr>
        <w:jc w:val="both"/>
        <w:rPr>
          <w:rFonts w:cs="Calibri"/>
          <w:sz w:val="22"/>
          <w:szCs w:val="22"/>
        </w:rPr>
      </w:pPr>
      <w:r w:rsidRPr="00A669D1">
        <w:rPr>
          <w:rFonts w:cs="Calibri"/>
          <w:sz w:val="22"/>
          <w:szCs w:val="22"/>
        </w:rPr>
        <w:t>The workshop recogni</w:t>
      </w:r>
      <w:r w:rsidR="00923237">
        <w:rPr>
          <w:rFonts w:cs="Calibri"/>
          <w:sz w:val="22"/>
          <w:szCs w:val="22"/>
        </w:rPr>
        <w:t>z</w:t>
      </w:r>
      <w:r w:rsidRPr="00A669D1">
        <w:rPr>
          <w:rFonts w:cs="Calibri"/>
          <w:sz w:val="22"/>
          <w:szCs w:val="22"/>
        </w:rPr>
        <w:t xml:space="preserve">ed a wider variation in the level of telecommunication taxation across the world. The workshop also received presentations from countries and members reporting on their experiences with </w:t>
      </w:r>
      <w:r w:rsidR="00923237">
        <w:rPr>
          <w:rFonts w:cs="Calibri"/>
          <w:sz w:val="22"/>
          <w:szCs w:val="22"/>
        </w:rPr>
        <w:t xml:space="preserve">the </w:t>
      </w:r>
      <w:r w:rsidRPr="00A669D1">
        <w:rPr>
          <w:rFonts w:cs="Calibri"/>
          <w:sz w:val="22"/>
          <w:szCs w:val="22"/>
        </w:rPr>
        <w:t xml:space="preserve">taxation of telecommunications. The workshop recognized the specificality of the telecommunication sector in that it generates externalities, which are relevant for considering taxation but </w:t>
      </w:r>
      <w:r w:rsidR="00923237" w:rsidRPr="00A669D1">
        <w:rPr>
          <w:rFonts w:cs="Calibri"/>
          <w:sz w:val="22"/>
          <w:szCs w:val="22"/>
        </w:rPr>
        <w:t xml:space="preserve">was </w:t>
      </w:r>
      <w:r w:rsidRPr="00A669D1">
        <w:rPr>
          <w:rFonts w:cs="Calibri"/>
          <w:sz w:val="22"/>
          <w:szCs w:val="22"/>
        </w:rPr>
        <w:t xml:space="preserve">also aware of the risk of over-taxing the ICT sector, </w:t>
      </w:r>
      <w:proofErr w:type="gramStart"/>
      <w:r w:rsidRPr="00A669D1">
        <w:rPr>
          <w:rFonts w:cs="Calibri"/>
          <w:sz w:val="22"/>
          <w:szCs w:val="22"/>
        </w:rPr>
        <w:t>in particular by</w:t>
      </w:r>
      <w:proofErr w:type="gramEnd"/>
      <w:r w:rsidRPr="00A669D1">
        <w:rPr>
          <w:rFonts w:cs="Calibri"/>
          <w:sz w:val="22"/>
          <w:szCs w:val="22"/>
        </w:rPr>
        <w:t xml:space="preserve"> using tax revenues on ICTs to develop the national ICT infrastructure. The workshop </w:t>
      </w:r>
      <w:r w:rsidR="00EF10AF" w:rsidRPr="00A669D1">
        <w:rPr>
          <w:rFonts w:cs="Calibri"/>
          <w:sz w:val="22"/>
          <w:szCs w:val="22"/>
        </w:rPr>
        <w:t xml:space="preserve">also </w:t>
      </w:r>
      <w:r w:rsidRPr="00A669D1">
        <w:rPr>
          <w:rFonts w:cs="Calibri"/>
          <w:sz w:val="22"/>
          <w:szCs w:val="22"/>
        </w:rPr>
        <w:t xml:space="preserve">identified that cross-border activities could be at risk of double taxation, and discussed some principal mechanisms for avoiding </w:t>
      </w:r>
      <w:r w:rsidR="00FE7EDA" w:rsidRPr="00A669D1">
        <w:rPr>
          <w:rFonts w:cs="Calibri"/>
          <w:sz w:val="22"/>
          <w:szCs w:val="22"/>
        </w:rPr>
        <w:t>it</w:t>
      </w:r>
      <w:r w:rsidRPr="00A669D1">
        <w:rPr>
          <w:rFonts w:cs="Calibri"/>
          <w:sz w:val="22"/>
          <w:szCs w:val="22"/>
        </w:rPr>
        <w:t>.</w:t>
      </w:r>
    </w:p>
    <w:p w14:paraId="7F3901B1" w14:textId="59409349" w:rsidR="00BE074E" w:rsidRPr="00A669D1" w:rsidRDefault="00BE074E" w:rsidP="00974DBB">
      <w:pPr>
        <w:jc w:val="both"/>
        <w:rPr>
          <w:rFonts w:cs="Calibri"/>
          <w:sz w:val="22"/>
          <w:szCs w:val="22"/>
        </w:rPr>
      </w:pPr>
      <w:r w:rsidRPr="00A669D1">
        <w:rPr>
          <w:rFonts w:cs="Calibri"/>
          <w:sz w:val="22"/>
          <w:szCs w:val="22"/>
        </w:rPr>
        <w:t>Conclusions reached were to prefer simple and uniform tax regimes over regimes that include many special cases or exceptions. Public</w:t>
      </w:r>
      <w:r w:rsidR="00923237">
        <w:rPr>
          <w:rFonts w:cs="Calibri"/>
          <w:sz w:val="22"/>
          <w:szCs w:val="22"/>
        </w:rPr>
        <w:t>-</w:t>
      </w:r>
      <w:r w:rsidRPr="00A669D1">
        <w:rPr>
          <w:rFonts w:cs="Calibri"/>
          <w:sz w:val="22"/>
          <w:szCs w:val="22"/>
        </w:rPr>
        <w:t xml:space="preserve">private partnerships were felt </w:t>
      </w:r>
      <w:r w:rsidR="00923237" w:rsidRPr="00A669D1">
        <w:rPr>
          <w:rFonts w:cs="Calibri"/>
          <w:sz w:val="22"/>
          <w:szCs w:val="22"/>
        </w:rPr>
        <w:t xml:space="preserve">likely </w:t>
      </w:r>
      <w:r w:rsidRPr="00A669D1">
        <w:rPr>
          <w:rFonts w:cs="Calibri"/>
          <w:sz w:val="22"/>
          <w:szCs w:val="22"/>
        </w:rPr>
        <w:t>to be the best method to ensure adequate investments in broadband infrastructure</w:t>
      </w:r>
      <w:r w:rsidR="00923237">
        <w:rPr>
          <w:rFonts w:cs="Calibri"/>
          <w:sz w:val="22"/>
          <w:szCs w:val="22"/>
        </w:rPr>
        <w:t>;</w:t>
      </w:r>
      <w:r w:rsidRPr="00A669D1">
        <w:rPr>
          <w:rFonts w:cs="Calibri"/>
          <w:sz w:val="22"/>
          <w:szCs w:val="22"/>
        </w:rPr>
        <w:t xml:space="preserve"> </w:t>
      </w:r>
      <w:r w:rsidR="00923237">
        <w:rPr>
          <w:rFonts w:cs="Calibri"/>
          <w:sz w:val="22"/>
          <w:szCs w:val="22"/>
        </w:rPr>
        <w:t>in addition,</w:t>
      </w:r>
      <w:r w:rsidR="00923237" w:rsidRPr="00A669D1">
        <w:rPr>
          <w:rFonts w:cs="Calibri"/>
          <w:sz w:val="22"/>
          <w:szCs w:val="22"/>
        </w:rPr>
        <w:t xml:space="preserve"> </w:t>
      </w:r>
      <w:r w:rsidRPr="00A669D1">
        <w:rPr>
          <w:rFonts w:cs="Calibri"/>
          <w:sz w:val="22"/>
          <w:szCs w:val="22"/>
        </w:rPr>
        <w:t xml:space="preserve">this could be a better method than imposing excise taxes on telecommunications services and could include financial contributions from operators. It was concluded that governments should think carefully before imposing new telecommunications (or other) taxes, and only do so when there is no alternative way of increasing tax revenue </w:t>
      </w:r>
      <w:r w:rsidR="00923237">
        <w:rPr>
          <w:rFonts w:cs="Calibri"/>
          <w:sz w:val="22"/>
          <w:szCs w:val="22"/>
        </w:rPr>
        <w:t>that</w:t>
      </w:r>
      <w:r w:rsidR="00923237" w:rsidRPr="00A669D1">
        <w:rPr>
          <w:rFonts w:cs="Calibri"/>
          <w:sz w:val="22"/>
          <w:szCs w:val="22"/>
        </w:rPr>
        <w:t xml:space="preserve"> </w:t>
      </w:r>
      <w:r w:rsidRPr="00A669D1">
        <w:rPr>
          <w:rFonts w:cs="Calibri"/>
          <w:sz w:val="22"/>
          <w:szCs w:val="22"/>
        </w:rPr>
        <w:t>would be less damaging to the economy in terms of market distortions and negative impacts on economic growth. For the telecommunications industry to yield the maximum benefits as a source of growth, tax authorities, regulatory authorities and operators need to work together. Overall, more research and studies on taxation and the usage of tax revenues for telecommunications were deemed useful.</w:t>
      </w:r>
    </w:p>
    <w:p w14:paraId="4902E05B" w14:textId="212F391C" w:rsidR="00BE074E" w:rsidRPr="00A669D1" w:rsidRDefault="00BE074E" w:rsidP="00974DBB">
      <w:pPr>
        <w:jc w:val="both"/>
        <w:rPr>
          <w:rFonts w:cs="Calibri"/>
          <w:sz w:val="22"/>
          <w:szCs w:val="22"/>
        </w:rPr>
      </w:pPr>
      <w:r w:rsidRPr="00A669D1">
        <w:rPr>
          <w:rFonts w:cstheme="minorHAnsi"/>
          <w:sz w:val="22"/>
          <w:szCs w:val="22"/>
          <w:bdr w:val="none" w:sz="0" w:space="0" w:color="auto" w:frame="1"/>
        </w:rPr>
        <w:t>Since that time, the telecommunication/ICT market has evolved considerably, leading to interest in this topic in the ITU Telecommunication Standardization Sector (ITU-T)</w:t>
      </w:r>
      <w:r w:rsidR="00923237">
        <w:rPr>
          <w:rFonts w:cstheme="minorHAnsi"/>
          <w:sz w:val="22"/>
          <w:szCs w:val="22"/>
          <w:bdr w:val="none" w:sz="0" w:space="0" w:color="auto" w:frame="1"/>
        </w:rPr>
        <w:t xml:space="preserve"> – </w:t>
      </w:r>
      <w:r w:rsidRPr="00A669D1">
        <w:rPr>
          <w:rFonts w:cstheme="minorHAnsi"/>
          <w:sz w:val="22"/>
          <w:szCs w:val="22"/>
          <w:bdr w:val="none" w:sz="0" w:space="0" w:color="auto" w:frame="1"/>
        </w:rPr>
        <w:t>particularly in ITU-T Study Group 3</w:t>
      </w:r>
      <w:r w:rsidR="00923237">
        <w:rPr>
          <w:rFonts w:cstheme="minorHAnsi"/>
          <w:sz w:val="22"/>
          <w:szCs w:val="22"/>
          <w:bdr w:val="none" w:sz="0" w:space="0" w:color="auto" w:frame="1"/>
        </w:rPr>
        <w:t xml:space="preserve"> – </w:t>
      </w:r>
      <w:r w:rsidRPr="00A669D1">
        <w:rPr>
          <w:rFonts w:cstheme="minorHAnsi"/>
          <w:sz w:val="22"/>
          <w:szCs w:val="22"/>
          <w:bdr w:val="none" w:sz="0" w:space="0" w:color="auto" w:frame="1"/>
        </w:rPr>
        <w:t xml:space="preserve">and in the ITU Telecommunication Development Sector (ITU-D). </w:t>
      </w:r>
      <w:r w:rsidR="00E26FBB" w:rsidRPr="00A669D1">
        <w:rPr>
          <w:rFonts w:cstheme="minorHAnsi"/>
          <w:sz w:val="22"/>
          <w:szCs w:val="22"/>
          <w:bdr w:val="none" w:sz="0" w:space="0" w:color="auto" w:frame="1"/>
        </w:rPr>
        <w:t xml:space="preserve">New market structures, </w:t>
      </w:r>
      <w:r w:rsidR="008D344F" w:rsidRPr="00A669D1">
        <w:rPr>
          <w:rFonts w:cstheme="minorHAnsi"/>
          <w:sz w:val="22"/>
          <w:szCs w:val="22"/>
          <w:bdr w:val="none" w:sz="0" w:space="0" w:color="auto" w:frame="1"/>
        </w:rPr>
        <w:t>business models</w:t>
      </w:r>
      <w:r w:rsidR="00F03A66" w:rsidRPr="00A669D1">
        <w:rPr>
          <w:rFonts w:cstheme="minorHAnsi"/>
          <w:sz w:val="22"/>
          <w:szCs w:val="22"/>
          <w:bdr w:val="none" w:sz="0" w:space="0" w:color="auto" w:frame="1"/>
        </w:rPr>
        <w:t xml:space="preserve"> </w:t>
      </w:r>
      <w:r w:rsidR="00A64429" w:rsidRPr="00A669D1">
        <w:rPr>
          <w:rFonts w:cstheme="minorHAnsi"/>
          <w:sz w:val="22"/>
          <w:szCs w:val="22"/>
          <w:bdr w:val="none" w:sz="0" w:space="0" w:color="auto" w:frame="1"/>
        </w:rPr>
        <w:t>in a data-driven eco</w:t>
      </w:r>
      <w:r w:rsidR="007462F7" w:rsidRPr="00A669D1">
        <w:rPr>
          <w:rFonts w:cstheme="minorHAnsi"/>
          <w:sz w:val="22"/>
          <w:szCs w:val="22"/>
          <w:bdr w:val="none" w:sz="0" w:space="0" w:color="auto" w:frame="1"/>
        </w:rPr>
        <w:t xml:space="preserve">nomy </w:t>
      </w:r>
      <w:r w:rsidR="00EE3019" w:rsidRPr="00A669D1">
        <w:rPr>
          <w:rFonts w:cstheme="minorHAnsi"/>
          <w:sz w:val="22"/>
          <w:szCs w:val="22"/>
          <w:bdr w:val="none" w:sz="0" w:space="0" w:color="auto" w:frame="1"/>
        </w:rPr>
        <w:t xml:space="preserve">for </w:t>
      </w:r>
      <w:r w:rsidRPr="00A669D1">
        <w:rPr>
          <w:rFonts w:cs="Calibri"/>
          <w:sz w:val="22"/>
          <w:szCs w:val="22"/>
        </w:rPr>
        <w:t>OTTs</w:t>
      </w:r>
      <w:r w:rsidR="00A2658C" w:rsidRPr="00A669D1">
        <w:rPr>
          <w:rFonts w:cs="Calibri"/>
          <w:sz w:val="22"/>
          <w:szCs w:val="22"/>
        </w:rPr>
        <w:t xml:space="preserve"> or </w:t>
      </w:r>
      <w:bookmarkStart w:id="4" w:name="_Hlk114587805"/>
      <w:r w:rsidR="00A2658C" w:rsidRPr="00A669D1">
        <w:rPr>
          <w:rFonts w:cs="Calibri"/>
          <w:sz w:val="22"/>
          <w:szCs w:val="22"/>
        </w:rPr>
        <w:t>over-the-top services</w:t>
      </w:r>
      <w:r w:rsidRPr="00A669D1">
        <w:rPr>
          <w:rFonts w:cs="Calibri"/>
          <w:sz w:val="22"/>
          <w:szCs w:val="22"/>
        </w:rPr>
        <w:t xml:space="preserve"> and new services and applications </w:t>
      </w:r>
      <w:bookmarkEnd w:id="4"/>
      <w:r w:rsidRPr="00A669D1">
        <w:rPr>
          <w:rFonts w:cs="Calibri"/>
          <w:sz w:val="22"/>
          <w:szCs w:val="22"/>
        </w:rPr>
        <w:t>have emerged</w:t>
      </w:r>
      <w:r w:rsidR="00A2658C" w:rsidRPr="00A669D1">
        <w:rPr>
          <w:rFonts w:cs="Calibri"/>
          <w:sz w:val="22"/>
          <w:szCs w:val="22"/>
        </w:rPr>
        <w:t xml:space="preserve"> </w:t>
      </w:r>
      <w:r w:rsidR="00923237">
        <w:rPr>
          <w:rFonts w:cs="Calibri"/>
          <w:sz w:val="22"/>
          <w:szCs w:val="22"/>
        </w:rPr>
        <w:t>on a massive</w:t>
      </w:r>
      <w:r w:rsidR="00923237" w:rsidRPr="00A669D1">
        <w:rPr>
          <w:rFonts w:cs="Calibri"/>
          <w:sz w:val="22"/>
          <w:szCs w:val="22"/>
        </w:rPr>
        <w:t xml:space="preserve"> </w:t>
      </w:r>
      <w:r w:rsidR="00923237">
        <w:rPr>
          <w:rFonts w:cs="Calibri"/>
          <w:sz w:val="22"/>
          <w:szCs w:val="22"/>
        </w:rPr>
        <w:t xml:space="preserve"> scale; </w:t>
      </w:r>
      <w:r w:rsidR="00A2658C" w:rsidRPr="00A669D1">
        <w:rPr>
          <w:rFonts w:cs="Calibri"/>
          <w:sz w:val="22"/>
          <w:szCs w:val="22"/>
        </w:rPr>
        <w:t xml:space="preserve">such </w:t>
      </w:r>
      <w:r w:rsidR="00A31646" w:rsidRPr="00A31646">
        <w:rPr>
          <w:rFonts w:cs="Calibri"/>
          <w:sz w:val="22"/>
          <w:szCs w:val="22"/>
        </w:rPr>
        <w:t>over-the-top services and new services and applications</w:t>
      </w:r>
      <w:r w:rsidR="006835AB">
        <w:rPr>
          <w:rFonts w:cs="Calibri"/>
          <w:sz w:val="22"/>
          <w:szCs w:val="22"/>
        </w:rPr>
        <w:t xml:space="preserve"> are typically</w:t>
      </w:r>
      <w:r w:rsidR="006835AB" w:rsidRPr="00A669D1">
        <w:rPr>
          <w:rFonts w:cs="Calibri"/>
          <w:sz w:val="22"/>
          <w:szCs w:val="22"/>
        </w:rPr>
        <w:t xml:space="preserve"> provided</w:t>
      </w:r>
      <w:r w:rsidR="00263133" w:rsidRPr="00A669D1">
        <w:rPr>
          <w:rFonts w:cs="Calibri"/>
          <w:sz w:val="22"/>
          <w:szCs w:val="22"/>
        </w:rPr>
        <w:t xml:space="preserve"> by “big technology content and service provider companies” and </w:t>
      </w:r>
      <w:r w:rsidR="003F5F6B" w:rsidRPr="00A669D1">
        <w:rPr>
          <w:rFonts w:cs="Calibri"/>
          <w:sz w:val="22"/>
          <w:szCs w:val="22"/>
        </w:rPr>
        <w:t>Internet Service Providers (ISPs)</w:t>
      </w:r>
      <w:r w:rsidRPr="00A669D1">
        <w:rPr>
          <w:rFonts w:cs="Calibri"/>
          <w:sz w:val="22"/>
          <w:szCs w:val="22"/>
        </w:rPr>
        <w:t>.</w:t>
      </w:r>
      <w:r w:rsidR="005F6E02" w:rsidRPr="00A669D1">
        <w:rPr>
          <w:sz w:val="22"/>
          <w:szCs w:val="22"/>
        </w:rPr>
        <w:t xml:space="preserve"> </w:t>
      </w:r>
      <w:r w:rsidR="005F6E02" w:rsidRPr="004E6323">
        <w:rPr>
          <w:sz w:val="22"/>
          <w:szCs w:val="22"/>
        </w:rPr>
        <w:t xml:space="preserve">Discussions and debates by stakeholders and proponents, who are following </w:t>
      </w:r>
      <w:r w:rsidR="005F6E02" w:rsidRPr="004E6323">
        <w:rPr>
          <w:rFonts w:eastAsia="SimSun"/>
          <w:sz w:val="22"/>
          <w:szCs w:val="22"/>
        </w:rPr>
        <w:t xml:space="preserve">to apply the “sending-party-network-pays system” (SPNP), </w:t>
      </w:r>
      <w:r w:rsidR="005F6E02" w:rsidRPr="004E6323">
        <w:rPr>
          <w:sz w:val="22"/>
          <w:szCs w:val="22"/>
        </w:rPr>
        <w:t>have called for some form of an Internet usage/traffic tax, levies or fees that are attributed to fair, equitable and proportionate cost recovery for the benefit of the telecom service providers, to be imposed to the “big technology content and service provider companies</w:t>
      </w:r>
      <w:r w:rsidR="00923237">
        <w:rPr>
          <w:sz w:val="22"/>
          <w:szCs w:val="22"/>
        </w:rPr>
        <w:t>”</w:t>
      </w:r>
      <w:r w:rsidR="005F6E02" w:rsidRPr="004E6323">
        <w:rPr>
          <w:sz w:val="22"/>
          <w:szCs w:val="22"/>
        </w:rPr>
        <w:t xml:space="preserve"> and to ISPs.</w:t>
      </w:r>
    </w:p>
    <w:p w14:paraId="0E65E30C" w14:textId="27AAF383" w:rsidR="00BE074E" w:rsidRPr="00A669D1" w:rsidRDefault="00BE074E" w:rsidP="00974DBB">
      <w:pPr>
        <w:jc w:val="both"/>
        <w:rPr>
          <w:rFonts w:cs="Calibri"/>
          <w:sz w:val="22"/>
          <w:szCs w:val="22"/>
        </w:rPr>
      </w:pPr>
      <w:r w:rsidRPr="00A669D1">
        <w:rPr>
          <w:rFonts w:cs="Calibri"/>
          <w:sz w:val="22"/>
          <w:szCs w:val="22"/>
        </w:rPr>
        <w:t>Digital transformation and digitization in many sectors using all-IP platforms and tools, new IP-based applications and services</w:t>
      </w:r>
      <w:r w:rsidR="00923237">
        <w:rPr>
          <w:rFonts w:cs="Calibri"/>
          <w:sz w:val="22"/>
          <w:szCs w:val="22"/>
        </w:rPr>
        <w:t>,</w:t>
      </w:r>
      <w:r w:rsidRPr="00A669D1">
        <w:rPr>
          <w:rFonts w:cs="Calibri"/>
          <w:sz w:val="22"/>
          <w:szCs w:val="22"/>
        </w:rPr>
        <w:t xml:space="preserve"> including those competing with traditional telecommunication communications services, Internet of Things (IoT), cloud computing services, new mobile communication technologies (4G, 5G) and high-speed fibre/optical fixed networks, virtual mobile/network operators, video streaming with video now accounting for way more than half of the Internet protocol bandwidth, sophisticated online gaming applications and real-time, virtual reality applications in a “meta verse”, and a drastic ongoing increase of Internet traffic, are just </w:t>
      </w:r>
      <w:r w:rsidR="00923237">
        <w:rPr>
          <w:rFonts w:cs="Calibri"/>
          <w:sz w:val="22"/>
          <w:szCs w:val="22"/>
        </w:rPr>
        <w:t xml:space="preserve">a few </w:t>
      </w:r>
      <w:r w:rsidRPr="00A669D1">
        <w:rPr>
          <w:rFonts w:cs="Calibri"/>
          <w:sz w:val="22"/>
          <w:szCs w:val="22"/>
        </w:rPr>
        <w:t>among the many new developments and phenomena that the last decade has unleashed</w:t>
      </w:r>
      <w:r w:rsidR="00923237">
        <w:rPr>
          <w:rFonts w:cs="Calibri"/>
          <w:sz w:val="22"/>
          <w:szCs w:val="22"/>
        </w:rPr>
        <w:t>,</w:t>
      </w:r>
      <w:r w:rsidRPr="00A669D1">
        <w:rPr>
          <w:rFonts w:cs="Calibri"/>
          <w:sz w:val="22"/>
          <w:szCs w:val="22"/>
        </w:rPr>
        <w:t xml:space="preserve"> and which put ambitious technical and economic requirements upon the underlying IP network and transport infrastructure.</w:t>
      </w:r>
    </w:p>
    <w:p w14:paraId="4F719D06" w14:textId="77777777" w:rsidR="0071786F" w:rsidRPr="00A669D1" w:rsidRDefault="0071786F" w:rsidP="00974DBB">
      <w:pPr>
        <w:jc w:val="both"/>
        <w:rPr>
          <w:rFonts w:cs="Calibri"/>
          <w:sz w:val="22"/>
          <w:szCs w:val="22"/>
        </w:rPr>
      </w:pPr>
      <w:r w:rsidRPr="00A669D1">
        <w:rPr>
          <w:rFonts w:cs="Calibri"/>
          <w:sz w:val="22"/>
          <w:szCs w:val="22"/>
        </w:rPr>
        <w:t>Given the acceleration of this phenomena, various political and regulatory discussions are ongoing in several jurisdictions about the modification of the economic and fiscal landscape in response to this digitalisation. Therefore, a new Workshop on these issues would serve as a relevant source of information as the previous one was more than a decade ago.</w:t>
      </w:r>
    </w:p>
    <w:p w14:paraId="1CA60CAD" w14:textId="6E56D7FD" w:rsidR="00BE074E" w:rsidRPr="00A669D1" w:rsidRDefault="00BE074E" w:rsidP="00974DBB">
      <w:pPr>
        <w:jc w:val="both"/>
        <w:rPr>
          <w:rFonts w:ascii="Calibri" w:hAnsi="Calibri" w:cs="Arial"/>
          <w:sz w:val="22"/>
          <w:szCs w:val="22"/>
        </w:rPr>
      </w:pPr>
      <w:r w:rsidRPr="00A669D1">
        <w:rPr>
          <w:rFonts w:cs="Calibri"/>
          <w:sz w:val="22"/>
          <w:szCs w:val="22"/>
        </w:rPr>
        <w:t>Various political and regulatory discussions are ongoing in several jurisdictions on the desire to tax OTTs or Big Techs such as by charging content and application providers for the use of the Internet infrastructure.</w:t>
      </w:r>
    </w:p>
    <w:p w14:paraId="09859534" w14:textId="2CAC9C81" w:rsidR="00CC3B1C" w:rsidRPr="00A669D1" w:rsidRDefault="005F3F52" w:rsidP="005F3F52">
      <w:pPr>
        <w:tabs>
          <w:tab w:val="clear" w:pos="1134"/>
          <w:tab w:val="left" w:pos="900"/>
        </w:tabs>
        <w:jc w:val="center"/>
        <w:rPr>
          <w:sz w:val="22"/>
          <w:szCs w:val="22"/>
        </w:rPr>
      </w:pPr>
      <w:r w:rsidRPr="00A669D1">
        <w:rPr>
          <w:sz w:val="22"/>
          <w:szCs w:val="22"/>
        </w:rPr>
        <w:t>______________________</w:t>
      </w:r>
    </w:p>
    <w:sectPr w:rsidR="00CC3B1C" w:rsidRPr="00A669D1" w:rsidSect="00AD7192">
      <w:head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4D95" w14:textId="77777777" w:rsidR="009E1CEA" w:rsidRDefault="009E1CEA">
      <w:r>
        <w:separator/>
      </w:r>
    </w:p>
  </w:endnote>
  <w:endnote w:type="continuationSeparator" w:id="0">
    <w:p w14:paraId="26C20AF3" w14:textId="77777777" w:rsidR="009E1CEA" w:rsidRDefault="009E1CEA">
      <w:r>
        <w:continuationSeparator/>
      </w:r>
    </w:p>
  </w:endnote>
  <w:endnote w:type="continuationNotice" w:id="1">
    <w:p w14:paraId="6CC8D83F" w14:textId="77777777" w:rsidR="009E1CEA" w:rsidRDefault="009E1C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1896" w14:textId="77777777" w:rsidR="009E1CEA" w:rsidRDefault="009E1CEA">
      <w:r>
        <w:t>____________________</w:t>
      </w:r>
    </w:p>
  </w:footnote>
  <w:footnote w:type="continuationSeparator" w:id="0">
    <w:p w14:paraId="61902CB5" w14:textId="77777777" w:rsidR="009E1CEA" w:rsidRDefault="009E1CEA">
      <w:r>
        <w:continuationSeparator/>
      </w:r>
    </w:p>
  </w:footnote>
  <w:footnote w:type="continuationNotice" w:id="1">
    <w:p w14:paraId="494D175C" w14:textId="77777777" w:rsidR="009E1CEA" w:rsidRDefault="009E1CE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5883D1B6"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9445E">
      <w:rPr>
        <w:rStyle w:val="PageNumber"/>
        <w:noProof/>
      </w:rPr>
      <w:t>5</w:t>
    </w:r>
    <w:r>
      <w:rPr>
        <w:rStyle w:val="PageNumber"/>
      </w:rPr>
      <w:fldChar w:fldCharType="end"/>
    </w:r>
    <w:r>
      <w:rPr>
        <w:rStyle w:val="PageNumber"/>
      </w:rPr>
      <w:t xml:space="preserve"> -</w:t>
    </w:r>
    <w:r>
      <w:rPr>
        <w:rStyle w:val="PageNumber"/>
      </w:rPr>
      <w:br/>
    </w:r>
    <w:r w:rsidRPr="00C92B11">
      <w:rPr>
        <w:rStyle w:val="PageNumber"/>
      </w:rPr>
      <w:t xml:space="preserve">TSB Circular </w:t>
    </w:r>
    <w:r w:rsidR="00C92B11" w:rsidRPr="00C92B11">
      <w:rPr>
        <w:rStyle w:val="PageNumber"/>
      </w:rPr>
      <w:t>2</w:t>
    </w:r>
    <w:r w:rsidR="006524C3">
      <w:rPr>
        <w:rStyle w:val="PageNumber"/>
      </w:rPr>
      <w:t>9</w:t>
    </w:r>
    <w:r w:rsidR="008A5571">
      <w:rPr>
        <w:rStyle w:val="PageNumber"/>
      </w:rPr>
      <w:br/>
      <w:t>BDT Circular</w:t>
    </w:r>
    <w:r w:rsidR="008B47B2">
      <w:rPr>
        <w:rStyle w:val="PageNumber"/>
      </w:rPr>
      <w:t xml:space="preserve"> 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48F3"/>
    <w:multiLevelType w:val="hybridMultilevel"/>
    <w:tmpl w:val="3C282CA2"/>
    <w:lvl w:ilvl="0" w:tplc="B6F09A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40769"/>
    <w:multiLevelType w:val="hybridMultilevel"/>
    <w:tmpl w:val="F1C47EC4"/>
    <w:lvl w:ilvl="0" w:tplc="31FCFD2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56B72"/>
    <w:multiLevelType w:val="hybridMultilevel"/>
    <w:tmpl w:val="A44C838E"/>
    <w:lvl w:ilvl="0" w:tplc="49A6BC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E25E29"/>
    <w:multiLevelType w:val="multilevel"/>
    <w:tmpl w:val="0416001F"/>
    <w:lvl w:ilvl="0">
      <w:start w:val="1"/>
      <w:numFmt w:val="decimal"/>
      <w:lvlText w:val="%1."/>
      <w:lvlJc w:val="left"/>
      <w:pPr>
        <w:ind w:left="360" w:hanging="360"/>
      </w:pPr>
    </w:lvl>
    <w:lvl w:ilvl="1">
      <w:start w:val="1"/>
      <w:numFmt w:val="decimal"/>
      <w:lvlText w:val="%1.%2."/>
      <w:lvlJc w:val="left"/>
      <w:pPr>
        <w:ind w:left="27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15:restartNumberingAfterBreak="0">
    <w:nsid w:val="5D87456F"/>
    <w:multiLevelType w:val="hybridMultilevel"/>
    <w:tmpl w:val="EDE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B1763A"/>
    <w:multiLevelType w:val="hybridMultilevel"/>
    <w:tmpl w:val="D0A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46917"/>
    <w:multiLevelType w:val="hybridMultilevel"/>
    <w:tmpl w:val="35B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239009">
    <w:abstractNumId w:val="6"/>
  </w:num>
  <w:num w:numId="2" w16cid:durableId="1406030770">
    <w:abstractNumId w:val="1"/>
  </w:num>
  <w:num w:numId="3" w16cid:durableId="1229220759">
    <w:abstractNumId w:val="0"/>
  </w:num>
  <w:num w:numId="4" w16cid:durableId="1593931655">
    <w:abstractNumId w:val="14"/>
  </w:num>
  <w:num w:numId="5" w16cid:durableId="1568147394">
    <w:abstractNumId w:val="16"/>
  </w:num>
  <w:num w:numId="6" w16cid:durableId="959267255">
    <w:abstractNumId w:val="17"/>
  </w:num>
  <w:num w:numId="7" w16cid:durableId="1352534591">
    <w:abstractNumId w:val="20"/>
  </w:num>
  <w:num w:numId="8" w16cid:durableId="1593975619">
    <w:abstractNumId w:val="4"/>
  </w:num>
  <w:num w:numId="9" w16cid:durableId="186725332">
    <w:abstractNumId w:val="11"/>
  </w:num>
  <w:num w:numId="10" w16cid:durableId="437021809">
    <w:abstractNumId w:val="24"/>
  </w:num>
  <w:num w:numId="11" w16cid:durableId="925308050">
    <w:abstractNumId w:val="7"/>
  </w:num>
  <w:num w:numId="12" w16cid:durableId="1137069947">
    <w:abstractNumId w:val="19"/>
  </w:num>
  <w:num w:numId="13" w16cid:durableId="70735753">
    <w:abstractNumId w:val="22"/>
  </w:num>
  <w:num w:numId="14" w16cid:durableId="1012953690">
    <w:abstractNumId w:val="23"/>
  </w:num>
  <w:num w:numId="15" w16cid:durableId="1495028964">
    <w:abstractNumId w:val="18"/>
  </w:num>
  <w:num w:numId="16" w16cid:durableId="1543713274">
    <w:abstractNumId w:val="15"/>
  </w:num>
  <w:num w:numId="17" w16cid:durableId="897520636">
    <w:abstractNumId w:val="21"/>
  </w:num>
  <w:num w:numId="18" w16cid:durableId="448819517">
    <w:abstractNumId w:val="10"/>
  </w:num>
  <w:num w:numId="19" w16cid:durableId="710610730">
    <w:abstractNumId w:val="8"/>
  </w:num>
  <w:num w:numId="20" w16cid:durableId="1873108501">
    <w:abstractNumId w:val="5"/>
  </w:num>
  <w:num w:numId="21" w16cid:durableId="1726833986">
    <w:abstractNumId w:val="2"/>
  </w:num>
  <w:num w:numId="22" w16cid:durableId="721171923">
    <w:abstractNumId w:val="13"/>
  </w:num>
  <w:num w:numId="23" w16cid:durableId="1192304620">
    <w:abstractNumId w:val="12"/>
  </w:num>
  <w:num w:numId="24" w16cid:durableId="1493107281">
    <w:abstractNumId w:val="9"/>
  </w:num>
  <w:num w:numId="25" w16cid:durableId="1242106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tTQzNzQzNzM0NzBT0lEKTi0uzszPAykwqgUAx0s28iwAAAA="/>
  </w:docVars>
  <w:rsids>
    <w:rsidRoot w:val="002F4914"/>
    <w:rsid w:val="000029EB"/>
    <w:rsid w:val="00002D4B"/>
    <w:rsid w:val="00005959"/>
    <w:rsid w:val="0000612C"/>
    <w:rsid w:val="000069D4"/>
    <w:rsid w:val="00013DC5"/>
    <w:rsid w:val="00015F65"/>
    <w:rsid w:val="00016865"/>
    <w:rsid w:val="000174AD"/>
    <w:rsid w:val="00021AFF"/>
    <w:rsid w:val="00023277"/>
    <w:rsid w:val="00027F69"/>
    <w:rsid w:val="00034325"/>
    <w:rsid w:val="00037236"/>
    <w:rsid w:val="00041572"/>
    <w:rsid w:val="00047042"/>
    <w:rsid w:val="0006205F"/>
    <w:rsid w:val="00062E8C"/>
    <w:rsid w:val="00065A24"/>
    <w:rsid w:val="00066D0D"/>
    <w:rsid w:val="00066EB9"/>
    <w:rsid w:val="0006790D"/>
    <w:rsid w:val="00075011"/>
    <w:rsid w:val="000753E5"/>
    <w:rsid w:val="00075D29"/>
    <w:rsid w:val="00075F9D"/>
    <w:rsid w:val="00076489"/>
    <w:rsid w:val="00076775"/>
    <w:rsid w:val="00093775"/>
    <w:rsid w:val="000A0C60"/>
    <w:rsid w:val="000A1E91"/>
    <w:rsid w:val="000A3261"/>
    <w:rsid w:val="000A5680"/>
    <w:rsid w:val="000A6F5D"/>
    <w:rsid w:val="000A7D55"/>
    <w:rsid w:val="000B12BA"/>
    <w:rsid w:val="000C2E8E"/>
    <w:rsid w:val="000C3A41"/>
    <w:rsid w:val="000C76B0"/>
    <w:rsid w:val="000C7BFA"/>
    <w:rsid w:val="000D49FB"/>
    <w:rsid w:val="000E0E7C"/>
    <w:rsid w:val="000E7C28"/>
    <w:rsid w:val="000F1B4B"/>
    <w:rsid w:val="000F58CB"/>
    <w:rsid w:val="00103503"/>
    <w:rsid w:val="00103631"/>
    <w:rsid w:val="00107235"/>
    <w:rsid w:val="001118F1"/>
    <w:rsid w:val="00115E69"/>
    <w:rsid w:val="00122D83"/>
    <w:rsid w:val="0012744F"/>
    <w:rsid w:val="00130639"/>
    <w:rsid w:val="0013103F"/>
    <w:rsid w:val="001318A7"/>
    <w:rsid w:val="00137FEB"/>
    <w:rsid w:val="00141285"/>
    <w:rsid w:val="0014147B"/>
    <w:rsid w:val="0014328B"/>
    <w:rsid w:val="00145D0E"/>
    <w:rsid w:val="00145EB0"/>
    <w:rsid w:val="00147901"/>
    <w:rsid w:val="0015057B"/>
    <w:rsid w:val="00150C2F"/>
    <w:rsid w:val="0015148A"/>
    <w:rsid w:val="00154124"/>
    <w:rsid w:val="00155B1B"/>
    <w:rsid w:val="00156DFF"/>
    <w:rsid w:val="00156F66"/>
    <w:rsid w:val="0015780B"/>
    <w:rsid w:val="0016384C"/>
    <w:rsid w:val="00164B7E"/>
    <w:rsid w:val="001660E8"/>
    <w:rsid w:val="00170E70"/>
    <w:rsid w:val="0018116D"/>
    <w:rsid w:val="00182528"/>
    <w:rsid w:val="0018500B"/>
    <w:rsid w:val="001866E7"/>
    <w:rsid w:val="00196103"/>
    <w:rsid w:val="00196A19"/>
    <w:rsid w:val="001A2A59"/>
    <w:rsid w:val="001A4C5B"/>
    <w:rsid w:val="001A7566"/>
    <w:rsid w:val="001A7EB4"/>
    <w:rsid w:val="001B0C13"/>
    <w:rsid w:val="001B1042"/>
    <w:rsid w:val="001C1A5A"/>
    <w:rsid w:val="001C1DD9"/>
    <w:rsid w:val="001C2D1A"/>
    <w:rsid w:val="001C3018"/>
    <w:rsid w:val="001C46B1"/>
    <w:rsid w:val="001C654F"/>
    <w:rsid w:val="001C6B1D"/>
    <w:rsid w:val="001C77FD"/>
    <w:rsid w:val="001D1A9B"/>
    <w:rsid w:val="001D1C12"/>
    <w:rsid w:val="001E1011"/>
    <w:rsid w:val="001E78C8"/>
    <w:rsid w:val="001F0BD9"/>
    <w:rsid w:val="001F127B"/>
    <w:rsid w:val="001F1582"/>
    <w:rsid w:val="001F539B"/>
    <w:rsid w:val="00202DC1"/>
    <w:rsid w:val="002116EE"/>
    <w:rsid w:val="0021209C"/>
    <w:rsid w:val="00214F08"/>
    <w:rsid w:val="00222D56"/>
    <w:rsid w:val="002306CD"/>
    <w:rsid w:val="002309D8"/>
    <w:rsid w:val="002321AA"/>
    <w:rsid w:val="00233492"/>
    <w:rsid w:val="00235FA1"/>
    <w:rsid w:val="0024075D"/>
    <w:rsid w:val="0024314F"/>
    <w:rsid w:val="00262B68"/>
    <w:rsid w:val="00263133"/>
    <w:rsid w:val="00263509"/>
    <w:rsid w:val="00264654"/>
    <w:rsid w:val="002665AD"/>
    <w:rsid w:val="00267319"/>
    <w:rsid w:val="0027079D"/>
    <w:rsid w:val="00272384"/>
    <w:rsid w:val="00277380"/>
    <w:rsid w:val="00277F24"/>
    <w:rsid w:val="002909F9"/>
    <w:rsid w:val="002913A2"/>
    <w:rsid w:val="002A19F3"/>
    <w:rsid w:val="002A1FFE"/>
    <w:rsid w:val="002A7FE2"/>
    <w:rsid w:val="002B341B"/>
    <w:rsid w:val="002B5F0C"/>
    <w:rsid w:val="002B7445"/>
    <w:rsid w:val="002C0700"/>
    <w:rsid w:val="002D2B2E"/>
    <w:rsid w:val="002D693F"/>
    <w:rsid w:val="002E015E"/>
    <w:rsid w:val="002E1B4F"/>
    <w:rsid w:val="002E3DEF"/>
    <w:rsid w:val="002F0043"/>
    <w:rsid w:val="002F0B27"/>
    <w:rsid w:val="002F0ED0"/>
    <w:rsid w:val="002F15C8"/>
    <w:rsid w:val="002F2DCC"/>
    <w:rsid w:val="002F2E67"/>
    <w:rsid w:val="002F3759"/>
    <w:rsid w:val="002F4914"/>
    <w:rsid w:val="002F549A"/>
    <w:rsid w:val="002F59EF"/>
    <w:rsid w:val="003047B7"/>
    <w:rsid w:val="003055C9"/>
    <w:rsid w:val="00305761"/>
    <w:rsid w:val="003060A9"/>
    <w:rsid w:val="00307BE5"/>
    <w:rsid w:val="0031148E"/>
    <w:rsid w:val="0031359E"/>
    <w:rsid w:val="0031444A"/>
    <w:rsid w:val="00315546"/>
    <w:rsid w:val="00321CFC"/>
    <w:rsid w:val="00323D71"/>
    <w:rsid w:val="003264CE"/>
    <w:rsid w:val="00330567"/>
    <w:rsid w:val="003327D6"/>
    <w:rsid w:val="00332E9D"/>
    <w:rsid w:val="0033332B"/>
    <w:rsid w:val="0033475A"/>
    <w:rsid w:val="00336815"/>
    <w:rsid w:val="00344BEA"/>
    <w:rsid w:val="00346005"/>
    <w:rsid w:val="00347AF2"/>
    <w:rsid w:val="00351DA5"/>
    <w:rsid w:val="00355180"/>
    <w:rsid w:val="00355D59"/>
    <w:rsid w:val="003561E1"/>
    <w:rsid w:val="003608B3"/>
    <w:rsid w:val="003641C8"/>
    <w:rsid w:val="00364B6A"/>
    <w:rsid w:val="00365CD1"/>
    <w:rsid w:val="00370DCE"/>
    <w:rsid w:val="00372260"/>
    <w:rsid w:val="00373E27"/>
    <w:rsid w:val="00375D34"/>
    <w:rsid w:val="00380FF0"/>
    <w:rsid w:val="0038103F"/>
    <w:rsid w:val="0038107A"/>
    <w:rsid w:val="003816DF"/>
    <w:rsid w:val="00381935"/>
    <w:rsid w:val="003824B7"/>
    <w:rsid w:val="00383052"/>
    <w:rsid w:val="00383B23"/>
    <w:rsid w:val="00386A9D"/>
    <w:rsid w:val="00391081"/>
    <w:rsid w:val="00397FBE"/>
    <w:rsid w:val="003A09B5"/>
    <w:rsid w:val="003A271B"/>
    <w:rsid w:val="003A535D"/>
    <w:rsid w:val="003A6D1E"/>
    <w:rsid w:val="003B2789"/>
    <w:rsid w:val="003B6B61"/>
    <w:rsid w:val="003C13CE"/>
    <w:rsid w:val="003C39A8"/>
    <w:rsid w:val="003C39BB"/>
    <w:rsid w:val="003C3D1E"/>
    <w:rsid w:val="003C58BF"/>
    <w:rsid w:val="003D38E3"/>
    <w:rsid w:val="003D7A25"/>
    <w:rsid w:val="003D7EAD"/>
    <w:rsid w:val="003E2518"/>
    <w:rsid w:val="003E4ABE"/>
    <w:rsid w:val="003E5661"/>
    <w:rsid w:val="003E6CFD"/>
    <w:rsid w:val="003E7D7F"/>
    <w:rsid w:val="003F1DE8"/>
    <w:rsid w:val="003F3C2F"/>
    <w:rsid w:val="003F5F6B"/>
    <w:rsid w:val="003F60FB"/>
    <w:rsid w:val="003F6658"/>
    <w:rsid w:val="00402DE4"/>
    <w:rsid w:val="0042284C"/>
    <w:rsid w:val="00422C56"/>
    <w:rsid w:val="00424D56"/>
    <w:rsid w:val="00426DFF"/>
    <w:rsid w:val="004338D4"/>
    <w:rsid w:val="00441048"/>
    <w:rsid w:val="00442983"/>
    <w:rsid w:val="00447BC4"/>
    <w:rsid w:val="0045016D"/>
    <w:rsid w:val="00452ECF"/>
    <w:rsid w:val="00456C81"/>
    <w:rsid w:val="00456F33"/>
    <w:rsid w:val="004570AF"/>
    <w:rsid w:val="004606D4"/>
    <w:rsid w:val="0046364B"/>
    <w:rsid w:val="0046420A"/>
    <w:rsid w:val="0047088A"/>
    <w:rsid w:val="00471DC1"/>
    <w:rsid w:val="0049445E"/>
    <w:rsid w:val="00494A0C"/>
    <w:rsid w:val="004971AF"/>
    <w:rsid w:val="004A0ED8"/>
    <w:rsid w:val="004A2393"/>
    <w:rsid w:val="004A3F79"/>
    <w:rsid w:val="004A6F06"/>
    <w:rsid w:val="004B1EF7"/>
    <w:rsid w:val="004B376A"/>
    <w:rsid w:val="004B3FAD"/>
    <w:rsid w:val="004B4988"/>
    <w:rsid w:val="004D0DCE"/>
    <w:rsid w:val="004D5611"/>
    <w:rsid w:val="004D7418"/>
    <w:rsid w:val="004E0323"/>
    <w:rsid w:val="004E202F"/>
    <w:rsid w:val="004E5EAF"/>
    <w:rsid w:val="004E6323"/>
    <w:rsid w:val="004E6972"/>
    <w:rsid w:val="005003AC"/>
    <w:rsid w:val="00501DCA"/>
    <w:rsid w:val="00512FA6"/>
    <w:rsid w:val="00513A47"/>
    <w:rsid w:val="005161E6"/>
    <w:rsid w:val="0051688E"/>
    <w:rsid w:val="00521349"/>
    <w:rsid w:val="005216C6"/>
    <w:rsid w:val="00521F67"/>
    <w:rsid w:val="00521FE4"/>
    <w:rsid w:val="00522E5D"/>
    <w:rsid w:val="00530E88"/>
    <w:rsid w:val="005368B6"/>
    <w:rsid w:val="005408DF"/>
    <w:rsid w:val="00542982"/>
    <w:rsid w:val="005460A3"/>
    <w:rsid w:val="00547214"/>
    <w:rsid w:val="0056338C"/>
    <w:rsid w:val="00571130"/>
    <w:rsid w:val="00573344"/>
    <w:rsid w:val="00583B7B"/>
    <w:rsid w:val="00583F9B"/>
    <w:rsid w:val="00584516"/>
    <w:rsid w:val="00592D81"/>
    <w:rsid w:val="005975CB"/>
    <w:rsid w:val="00597CB4"/>
    <w:rsid w:val="005A3191"/>
    <w:rsid w:val="005B0170"/>
    <w:rsid w:val="005B04DE"/>
    <w:rsid w:val="005B05F5"/>
    <w:rsid w:val="005B43C6"/>
    <w:rsid w:val="005C7743"/>
    <w:rsid w:val="005D2B53"/>
    <w:rsid w:val="005D6314"/>
    <w:rsid w:val="005D7D3C"/>
    <w:rsid w:val="005E1223"/>
    <w:rsid w:val="005E1D0E"/>
    <w:rsid w:val="005E2B06"/>
    <w:rsid w:val="005E3092"/>
    <w:rsid w:val="005E30EC"/>
    <w:rsid w:val="005E480F"/>
    <w:rsid w:val="005E56AA"/>
    <w:rsid w:val="005E5C10"/>
    <w:rsid w:val="005F19FF"/>
    <w:rsid w:val="005F20AD"/>
    <w:rsid w:val="005F2C78"/>
    <w:rsid w:val="005F2E79"/>
    <w:rsid w:val="005F2ED8"/>
    <w:rsid w:val="005F3F52"/>
    <w:rsid w:val="005F486F"/>
    <w:rsid w:val="005F4EC6"/>
    <w:rsid w:val="005F6E02"/>
    <w:rsid w:val="00602986"/>
    <w:rsid w:val="00603370"/>
    <w:rsid w:val="00604D3F"/>
    <w:rsid w:val="006071E4"/>
    <w:rsid w:val="006144E4"/>
    <w:rsid w:val="00614CF8"/>
    <w:rsid w:val="00615D69"/>
    <w:rsid w:val="00616AC5"/>
    <w:rsid w:val="00620A64"/>
    <w:rsid w:val="006239A6"/>
    <w:rsid w:val="00623AE2"/>
    <w:rsid w:val="006338EF"/>
    <w:rsid w:val="00634893"/>
    <w:rsid w:val="00636941"/>
    <w:rsid w:val="00640A88"/>
    <w:rsid w:val="00642014"/>
    <w:rsid w:val="00643E20"/>
    <w:rsid w:val="00643EE1"/>
    <w:rsid w:val="00644BB9"/>
    <w:rsid w:val="00644F86"/>
    <w:rsid w:val="00650299"/>
    <w:rsid w:val="006524C3"/>
    <w:rsid w:val="00655FC5"/>
    <w:rsid w:val="00657F9C"/>
    <w:rsid w:val="0066579E"/>
    <w:rsid w:val="00670030"/>
    <w:rsid w:val="006735FA"/>
    <w:rsid w:val="00675F2D"/>
    <w:rsid w:val="006835AB"/>
    <w:rsid w:val="006902B3"/>
    <w:rsid w:val="0069226B"/>
    <w:rsid w:val="00695B7C"/>
    <w:rsid w:val="006A1D7C"/>
    <w:rsid w:val="006A37AC"/>
    <w:rsid w:val="006A49A1"/>
    <w:rsid w:val="006B0395"/>
    <w:rsid w:val="006B1D54"/>
    <w:rsid w:val="006B2080"/>
    <w:rsid w:val="006B335E"/>
    <w:rsid w:val="006B4E2F"/>
    <w:rsid w:val="006C07C4"/>
    <w:rsid w:val="006C4B14"/>
    <w:rsid w:val="006C63F3"/>
    <w:rsid w:val="006C7649"/>
    <w:rsid w:val="006E1B78"/>
    <w:rsid w:val="006E337F"/>
    <w:rsid w:val="006E6F42"/>
    <w:rsid w:val="006F04CC"/>
    <w:rsid w:val="006F5269"/>
    <w:rsid w:val="00701BE8"/>
    <w:rsid w:val="007023E3"/>
    <w:rsid w:val="00703833"/>
    <w:rsid w:val="00703E94"/>
    <w:rsid w:val="00705230"/>
    <w:rsid w:val="00710054"/>
    <w:rsid w:val="00711EC5"/>
    <w:rsid w:val="007167AB"/>
    <w:rsid w:val="0071786F"/>
    <w:rsid w:val="00717B04"/>
    <w:rsid w:val="00726BE3"/>
    <w:rsid w:val="00727173"/>
    <w:rsid w:val="00730BDC"/>
    <w:rsid w:val="00737C89"/>
    <w:rsid w:val="007417DA"/>
    <w:rsid w:val="0074368B"/>
    <w:rsid w:val="007462F7"/>
    <w:rsid w:val="007558C0"/>
    <w:rsid w:val="00755DCD"/>
    <w:rsid w:val="007633E9"/>
    <w:rsid w:val="00763B33"/>
    <w:rsid w:val="00766F6B"/>
    <w:rsid w:val="00767230"/>
    <w:rsid w:val="00770AF1"/>
    <w:rsid w:val="007754C4"/>
    <w:rsid w:val="00777492"/>
    <w:rsid w:val="00777A31"/>
    <w:rsid w:val="00777A65"/>
    <w:rsid w:val="007858A0"/>
    <w:rsid w:val="00787A3C"/>
    <w:rsid w:val="007903E9"/>
    <w:rsid w:val="00790FB5"/>
    <w:rsid w:val="00793AB6"/>
    <w:rsid w:val="00797810"/>
    <w:rsid w:val="007A01E1"/>
    <w:rsid w:val="007A119A"/>
    <w:rsid w:val="007A3569"/>
    <w:rsid w:val="007A6C7C"/>
    <w:rsid w:val="007A7AD0"/>
    <w:rsid w:val="007B16A5"/>
    <w:rsid w:val="007B4029"/>
    <w:rsid w:val="007B467A"/>
    <w:rsid w:val="007B4F74"/>
    <w:rsid w:val="007C7926"/>
    <w:rsid w:val="007D2F64"/>
    <w:rsid w:val="007D76B9"/>
    <w:rsid w:val="007D7EE3"/>
    <w:rsid w:val="007D7FF7"/>
    <w:rsid w:val="007E00E4"/>
    <w:rsid w:val="007E0162"/>
    <w:rsid w:val="007E311E"/>
    <w:rsid w:val="007E35F9"/>
    <w:rsid w:val="007E39A4"/>
    <w:rsid w:val="007E494F"/>
    <w:rsid w:val="007E4AD0"/>
    <w:rsid w:val="007E60F1"/>
    <w:rsid w:val="007F45BB"/>
    <w:rsid w:val="007F7962"/>
    <w:rsid w:val="007F79FC"/>
    <w:rsid w:val="00812557"/>
    <w:rsid w:val="00814C38"/>
    <w:rsid w:val="00814F57"/>
    <w:rsid w:val="008216D0"/>
    <w:rsid w:val="00822581"/>
    <w:rsid w:val="008309DD"/>
    <w:rsid w:val="0083227A"/>
    <w:rsid w:val="008372C3"/>
    <w:rsid w:val="008415E7"/>
    <w:rsid w:val="00841DA9"/>
    <w:rsid w:val="0084644B"/>
    <w:rsid w:val="0085284A"/>
    <w:rsid w:val="0085464A"/>
    <w:rsid w:val="00856120"/>
    <w:rsid w:val="00865434"/>
    <w:rsid w:val="008663E3"/>
    <w:rsid w:val="00866900"/>
    <w:rsid w:val="00870336"/>
    <w:rsid w:val="008710F3"/>
    <w:rsid w:val="00871959"/>
    <w:rsid w:val="00871ED5"/>
    <w:rsid w:val="00872BF7"/>
    <w:rsid w:val="0087300D"/>
    <w:rsid w:val="00874417"/>
    <w:rsid w:val="00874D8F"/>
    <w:rsid w:val="008751FF"/>
    <w:rsid w:val="00877242"/>
    <w:rsid w:val="00880036"/>
    <w:rsid w:val="00881BA1"/>
    <w:rsid w:val="00881BAC"/>
    <w:rsid w:val="008820D0"/>
    <w:rsid w:val="008839B3"/>
    <w:rsid w:val="00883E32"/>
    <w:rsid w:val="0088403A"/>
    <w:rsid w:val="00887C84"/>
    <w:rsid w:val="00892604"/>
    <w:rsid w:val="00896F61"/>
    <w:rsid w:val="008A0A55"/>
    <w:rsid w:val="008A0BAA"/>
    <w:rsid w:val="008A1F84"/>
    <w:rsid w:val="008A4344"/>
    <w:rsid w:val="008A5571"/>
    <w:rsid w:val="008A61EA"/>
    <w:rsid w:val="008A739C"/>
    <w:rsid w:val="008B1C94"/>
    <w:rsid w:val="008B2A3A"/>
    <w:rsid w:val="008B47B2"/>
    <w:rsid w:val="008B714F"/>
    <w:rsid w:val="008B74E7"/>
    <w:rsid w:val="008C26B8"/>
    <w:rsid w:val="008C5D2C"/>
    <w:rsid w:val="008D344F"/>
    <w:rsid w:val="008D3799"/>
    <w:rsid w:val="008D3E47"/>
    <w:rsid w:val="008D4B4C"/>
    <w:rsid w:val="008D74A3"/>
    <w:rsid w:val="008E0F5A"/>
    <w:rsid w:val="008E32D1"/>
    <w:rsid w:val="008E3578"/>
    <w:rsid w:val="008F1CFE"/>
    <w:rsid w:val="008F291B"/>
    <w:rsid w:val="008F39FA"/>
    <w:rsid w:val="009001DE"/>
    <w:rsid w:val="009014DD"/>
    <w:rsid w:val="00906942"/>
    <w:rsid w:val="00910730"/>
    <w:rsid w:val="00915157"/>
    <w:rsid w:val="00915429"/>
    <w:rsid w:val="00915592"/>
    <w:rsid w:val="00915C9B"/>
    <w:rsid w:val="0091685A"/>
    <w:rsid w:val="00917FF3"/>
    <w:rsid w:val="009201F3"/>
    <w:rsid w:val="00923237"/>
    <w:rsid w:val="009252B8"/>
    <w:rsid w:val="009273EC"/>
    <w:rsid w:val="00932E45"/>
    <w:rsid w:val="00937C61"/>
    <w:rsid w:val="009501DF"/>
    <w:rsid w:val="00950BA3"/>
    <w:rsid w:val="009543EF"/>
    <w:rsid w:val="00960C11"/>
    <w:rsid w:val="00965932"/>
    <w:rsid w:val="00965E6D"/>
    <w:rsid w:val="009727EB"/>
    <w:rsid w:val="00974A0D"/>
    <w:rsid w:val="00974DBB"/>
    <w:rsid w:val="00976D71"/>
    <w:rsid w:val="0098098D"/>
    <w:rsid w:val="00982084"/>
    <w:rsid w:val="00991A72"/>
    <w:rsid w:val="0099232E"/>
    <w:rsid w:val="00994183"/>
    <w:rsid w:val="00994C0C"/>
    <w:rsid w:val="00995963"/>
    <w:rsid w:val="009A17A2"/>
    <w:rsid w:val="009A2BDE"/>
    <w:rsid w:val="009A54D9"/>
    <w:rsid w:val="009A5F31"/>
    <w:rsid w:val="009B3ADD"/>
    <w:rsid w:val="009B4024"/>
    <w:rsid w:val="009B4630"/>
    <w:rsid w:val="009B61EB"/>
    <w:rsid w:val="009B6449"/>
    <w:rsid w:val="009C2064"/>
    <w:rsid w:val="009D092D"/>
    <w:rsid w:val="009D1697"/>
    <w:rsid w:val="009D59C0"/>
    <w:rsid w:val="009D7A7F"/>
    <w:rsid w:val="009E0E1E"/>
    <w:rsid w:val="009E1CEA"/>
    <w:rsid w:val="009E73AE"/>
    <w:rsid w:val="009F17F4"/>
    <w:rsid w:val="009F1DF6"/>
    <w:rsid w:val="009F742E"/>
    <w:rsid w:val="00A014F8"/>
    <w:rsid w:val="00A02764"/>
    <w:rsid w:val="00A05E8D"/>
    <w:rsid w:val="00A11DBB"/>
    <w:rsid w:val="00A11DCA"/>
    <w:rsid w:val="00A14C49"/>
    <w:rsid w:val="00A20154"/>
    <w:rsid w:val="00A2576E"/>
    <w:rsid w:val="00A25A66"/>
    <w:rsid w:val="00A2658C"/>
    <w:rsid w:val="00A31646"/>
    <w:rsid w:val="00A440FA"/>
    <w:rsid w:val="00A45ED3"/>
    <w:rsid w:val="00A46F40"/>
    <w:rsid w:val="00A5173C"/>
    <w:rsid w:val="00A5354B"/>
    <w:rsid w:val="00A5557D"/>
    <w:rsid w:val="00A55722"/>
    <w:rsid w:val="00A56843"/>
    <w:rsid w:val="00A61AEF"/>
    <w:rsid w:val="00A64429"/>
    <w:rsid w:val="00A65449"/>
    <w:rsid w:val="00A658BC"/>
    <w:rsid w:val="00A659CD"/>
    <w:rsid w:val="00A669D1"/>
    <w:rsid w:val="00A80417"/>
    <w:rsid w:val="00A828E0"/>
    <w:rsid w:val="00A82DAD"/>
    <w:rsid w:val="00A9018E"/>
    <w:rsid w:val="00A91007"/>
    <w:rsid w:val="00A94710"/>
    <w:rsid w:val="00A97AB0"/>
    <w:rsid w:val="00AB0FFD"/>
    <w:rsid w:val="00AB1E2F"/>
    <w:rsid w:val="00AB2341"/>
    <w:rsid w:val="00AB6C43"/>
    <w:rsid w:val="00AB7D09"/>
    <w:rsid w:val="00AC7D35"/>
    <w:rsid w:val="00AD02E4"/>
    <w:rsid w:val="00AD506D"/>
    <w:rsid w:val="00AD6F00"/>
    <w:rsid w:val="00AD7192"/>
    <w:rsid w:val="00AE0012"/>
    <w:rsid w:val="00AE04B7"/>
    <w:rsid w:val="00AE0A5F"/>
    <w:rsid w:val="00AE1B98"/>
    <w:rsid w:val="00AE2DC6"/>
    <w:rsid w:val="00AE2E00"/>
    <w:rsid w:val="00AE363E"/>
    <w:rsid w:val="00AE7C93"/>
    <w:rsid w:val="00AF173A"/>
    <w:rsid w:val="00AF2BF0"/>
    <w:rsid w:val="00AF2F79"/>
    <w:rsid w:val="00AF36E4"/>
    <w:rsid w:val="00AF3F54"/>
    <w:rsid w:val="00AF47A3"/>
    <w:rsid w:val="00AF4EEF"/>
    <w:rsid w:val="00AF702F"/>
    <w:rsid w:val="00B037FF"/>
    <w:rsid w:val="00B04447"/>
    <w:rsid w:val="00B04913"/>
    <w:rsid w:val="00B05005"/>
    <w:rsid w:val="00B066A4"/>
    <w:rsid w:val="00B07A13"/>
    <w:rsid w:val="00B143E2"/>
    <w:rsid w:val="00B167CB"/>
    <w:rsid w:val="00B17D3E"/>
    <w:rsid w:val="00B26287"/>
    <w:rsid w:val="00B31555"/>
    <w:rsid w:val="00B32B08"/>
    <w:rsid w:val="00B365D3"/>
    <w:rsid w:val="00B37469"/>
    <w:rsid w:val="00B3755D"/>
    <w:rsid w:val="00B4109B"/>
    <w:rsid w:val="00B421A6"/>
    <w:rsid w:val="00B4279B"/>
    <w:rsid w:val="00B42ADC"/>
    <w:rsid w:val="00B45FC9"/>
    <w:rsid w:val="00B50CB6"/>
    <w:rsid w:val="00B51487"/>
    <w:rsid w:val="00B559DF"/>
    <w:rsid w:val="00B61283"/>
    <w:rsid w:val="00B63ADF"/>
    <w:rsid w:val="00B64149"/>
    <w:rsid w:val="00B642D1"/>
    <w:rsid w:val="00B66EDB"/>
    <w:rsid w:val="00B67350"/>
    <w:rsid w:val="00B705AE"/>
    <w:rsid w:val="00B72058"/>
    <w:rsid w:val="00B72F90"/>
    <w:rsid w:val="00B73AC2"/>
    <w:rsid w:val="00B73CBA"/>
    <w:rsid w:val="00B75C3E"/>
    <w:rsid w:val="00B776BF"/>
    <w:rsid w:val="00B77FBC"/>
    <w:rsid w:val="00B80657"/>
    <w:rsid w:val="00B81A42"/>
    <w:rsid w:val="00B83461"/>
    <w:rsid w:val="00B837E4"/>
    <w:rsid w:val="00B8415E"/>
    <w:rsid w:val="00B854E3"/>
    <w:rsid w:val="00B90A8E"/>
    <w:rsid w:val="00B910C0"/>
    <w:rsid w:val="00B94DE5"/>
    <w:rsid w:val="00B96FAB"/>
    <w:rsid w:val="00BA1944"/>
    <w:rsid w:val="00BA28AA"/>
    <w:rsid w:val="00BA3914"/>
    <w:rsid w:val="00BA4DAE"/>
    <w:rsid w:val="00BA6E3B"/>
    <w:rsid w:val="00BA78AB"/>
    <w:rsid w:val="00BB1D6D"/>
    <w:rsid w:val="00BB7232"/>
    <w:rsid w:val="00BC1330"/>
    <w:rsid w:val="00BC3C27"/>
    <w:rsid w:val="00BC5411"/>
    <w:rsid w:val="00BC7CCF"/>
    <w:rsid w:val="00BD3579"/>
    <w:rsid w:val="00BD3B80"/>
    <w:rsid w:val="00BD5411"/>
    <w:rsid w:val="00BE074E"/>
    <w:rsid w:val="00BE319C"/>
    <w:rsid w:val="00BE470B"/>
    <w:rsid w:val="00BE73DA"/>
    <w:rsid w:val="00BE7F3A"/>
    <w:rsid w:val="00BF0471"/>
    <w:rsid w:val="00BF27FA"/>
    <w:rsid w:val="00BF59A4"/>
    <w:rsid w:val="00C041E7"/>
    <w:rsid w:val="00C04F98"/>
    <w:rsid w:val="00C07E56"/>
    <w:rsid w:val="00C12C01"/>
    <w:rsid w:val="00C152C6"/>
    <w:rsid w:val="00C248F7"/>
    <w:rsid w:val="00C25579"/>
    <w:rsid w:val="00C27BDB"/>
    <w:rsid w:val="00C31DDB"/>
    <w:rsid w:val="00C33408"/>
    <w:rsid w:val="00C420A6"/>
    <w:rsid w:val="00C47C2B"/>
    <w:rsid w:val="00C57A91"/>
    <w:rsid w:val="00C57FEC"/>
    <w:rsid w:val="00C60CD7"/>
    <w:rsid w:val="00C62820"/>
    <w:rsid w:val="00C6344E"/>
    <w:rsid w:val="00C63FC0"/>
    <w:rsid w:val="00C643F1"/>
    <w:rsid w:val="00C6617B"/>
    <w:rsid w:val="00C668B6"/>
    <w:rsid w:val="00C668ED"/>
    <w:rsid w:val="00C71357"/>
    <w:rsid w:val="00C80706"/>
    <w:rsid w:val="00C80FB9"/>
    <w:rsid w:val="00C906A2"/>
    <w:rsid w:val="00C919EC"/>
    <w:rsid w:val="00C92722"/>
    <w:rsid w:val="00C92B11"/>
    <w:rsid w:val="00C96B39"/>
    <w:rsid w:val="00CA5AA1"/>
    <w:rsid w:val="00CA5F8E"/>
    <w:rsid w:val="00CB1B24"/>
    <w:rsid w:val="00CB44D6"/>
    <w:rsid w:val="00CB6982"/>
    <w:rsid w:val="00CC01C2"/>
    <w:rsid w:val="00CC0744"/>
    <w:rsid w:val="00CC2DDB"/>
    <w:rsid w:val="00CC3B1C"/>
    <w:rsid w:val="00CC3FC7"/>
    <w:rsid w:val="00CC4252"/>
    <w:rsid w:val="00CC657A"/>
    <w:rsid w:val="00CC7049"/>
    <w:rsid w:val="00CD09A2"/>
    <w:rsid w:val="00CD1F2D"/>
    <w:rsid w:val="00CD5AEE"/>
    <w:rsid w:val="00CD63EC"/>
    <w:rsid w:val="00CD75C0"/>
    <w:rsid w:val="00CD78DE"/>
    <w:rsid w:val="00CD7F8B"/>
    <w:rsid w:val="00CE0829"/>
    <w:rsid w:val="00CE2BF0"/>
    <w:rsid w:val="00CE43D0"/>
    <w:rsid w:val="00CF21F2"/>
    <w:rsid w:val="00CF2FB3"/>
    <w:rsid w:val="00CF59F5"/>
    <w:rsid w:val="00CF7FF7"/>
    <w:rsid w:val="00D0240C"/>
    <w:rsid w:val="00D02712"/>
    <w:rsid w:val="00D039BE"/>
    <w:rsid w:val="00D05C5F"/>
    <w:rsid w:val="00D06F98"/>
    <w:rsid w:val="00D07E35"/>
    <w:rsid w:val="00D128F0"/>
    <w:rsid w:val="00D13633"/>
    <w:rsid w:val="00D14C1B"/>
    <w:rsid w:val="00D20D71"/>
    <w:rsid w:val="00D214D0"/>
    <w:rsid w:val="00D2180F"/>
    <w:rsid w:val="00D2253E"/>
    <w:rsid w:val="00D225AD"/>
    <w:rsid w:val="00D339D4"/>
    <w:rsid w:val="00D40981"/>
    <w:rsid w:val="00D41ED6"/>
    <w:rsid w:val="00D52426"/>
    <w:rsid w:val="00D6546B"/>
    <w:rsid w:val="00D66D2B"/>
    <w:rsid w:val="00D71071"/>
    <w:rsid w:val="00D725FA"/>
    <w:rsid w:val="00D72604"/>
    <w:rsid w:val="00D72B7F"/>
    <w:rsid w:val="00D76AE1"/>
    <w:rsid w:val="00D76D8C"/>
    <w:rsid w:val="00D86DE3"/>
    <w:rsid w:val="00D87FC4"/>
    <w:rsid w:val="00D91B6E"/>
    <w:rsid w:val="00D92116"/>
    <w:rsid w:val="00D92327"/>
    <w:rsid w:val="00D92C42"/>
    <w:rsid w:val="00D93A17"/>
    <w:rsid w:val="00D9652D"/>
    <w:rsid w:val="00D97C31"/>
    <w:rsid w:val="00DA22DC"/>
    <w:rsid w:val="00DA27E9"/>
    <w:rsid w:val="00DA3AA3"/>
    <w:rsid w:val="00DC1CAB"/>
    <w:rsid w:val="00DC3802"/>
    <w:rsid w:val="00DD0B08"/>
    <w:rsid w:val="00DD3BCA"/>
    <w:rsid w:val="00DD4699"/>
    <w:rsid w:val="00DD4BED"/>
    <w:rsid w:val="00DE069B"/>
    <w:rsid w:val="00DE39F0"/>
    <w:rsid w:val="00DE47FA"/>
    <w:rsid w:val="00DF0AF3"/>
    <w:rsid w:val="00DF1ABB"/>
    <w:rsid w:val="00DF694B"/>
    <w:rsid w:val="00DF74BB"/>
    <w:rsid w:val="00DF7A27"/>
    <w:rsid w:val="00E048A5"/>
    <w:rsid w:val="00E059B5"/>
    <w:rsid w:val="00E0600D"/>
    <w:rsid w:val="00E0695A"/>
    <w:rsid w:val="00E175D0"/>
    <w:rsid w:val="00E26FBB"/>
    <w:rsid w:val="00E27D7E"/>
    <w:rsid w:val="00E32243"/>
    <w:rsid w:val="00E33BBC"/>
    <w:rsid w:val="00E34935"/>
    <w:rsid w:val="00E34D68"/>
    <w:rsid w:val="00E3736E"/>
    <w:rsid w:val="00E379D4"/>
    <w:rsid w:val="00E42E13"/>
    <w:rsid w:val="00E45914"/>
    <w:rsid w:val="00E517FC"/>
    <w:rsid w:val="00E53BC0"/>
    <w:rsid w:val="00E54118"/>
    <w:rsid w:val="00E61736"/>
    <w:rsid w:val="00E6257C"/>
    <w:rsid w:val="00E63C59"/>
    <w:rsid w:val="00E650B2"/>
    <w:rsid w:val="00E71B18"/>
    <w:rsid w:val="00E7250D"/>
    <w:rsid w:val="00E7428D"/>
    <w:rsid w:val="00E75B96"/>
    <w:rsid w:val="00E818C0"/>
    <w:rsid w:val="00E8290E"/>
    <w:rsid w:val="00E94F9F"/>
    <w:rsid w:val="00E95BDE"/>
    <w:rsid w:val="00EA15B1"/>
    <w:rsid w:val="00EB0FD4"/>
    <w:rsid w:val="00EC090B"/>
    <w:rsid w:val="00ED1C8A"/>
    <w:rsid w:val="00ED1F02"/>
    <w:rsid w:val="00ED6C02"/>
    <w:rsid w:val="00EE1E92"/>
    <w:rsid w:val="00EE3019"/>
    <w:rsid w:val="00EE4BA7"/>
    <w:rsid w:val="00EE549D"/>
    <w:rsid w:val="00EE5762"/>
    <w:rsid w:val="00EE617F"/>
    <w:rsid w:val="00EF0A61"/>
    <w:rsid w:val="00EF10AF"/>
    <w:rsid w:val="00EF1258"/>
    <w:rsid w:val="00EF17C4"/>
    <w:rsid w:val="00EF1D96"/>
    <w:rsid w:val="00EF2F87"/>
    <w:rsid w:val="00EF335B"/>
    <w:rsid w:val="00EF339F"/>
    <w:rsid w:val="00EF7249"/>
    <w:rsid w:val="00F01D97"/>
    <w:rsid w:val="00F01DC8"/>
    <w:rsid w:val="00F03A66"/>
    <w:rsid w:val="00F0690B"/>
    <w:rsid w:val="00F103B2"/>
    <w:rsid w:val="00F33DC4"/>
    <w:rsid w:val="00F353B6"/>
    <w:rsid w:val="00F41E6E"/>
    <w:rsid w:val="00F41FE2"/>
    <w:rsid w:val="00F423BC"/>
    <w:rsid w:val="00F435A4"/>
    <w:rsid w:val="00F43EEB"/>
    <w:rsid w:val="00F45EDA"/>
    <w:rsid w:val="00F46C8A"/>
    <w:rsid w:val="00F47820"/>
    <w:rsid w:val="00F47C73"/>
    <w:rsid w:val="00F50108"/>
    <w:rsid w:val="00F5169C"/>
    <w:rsid w:val="00F5419D"/>
    <w:rsid w:val="00F54EF2"/>
    <w:rsid w:val="00F55A66"/>
    <w:rsid w:val="00F61462"/>
    <w:rsid w:val="00F61F10"/>
    <w:rsid w:val="00F62223"/>
    <w:rsid w:val="00F704B0"/>
    <w:rsid w:val="00F70F71"/>
    <w:rsid w:val="00F75432"/>
    <w:rsid w:val="00F7552D"/>
    <w:rsid w:val="00F7595F"/>
    <w:rsid w:val="00F76002"/>
    <w:rsid w:val="00F763C8"/>
    <w:rsid w:val="00F7771A"/>
    <w:rsid w:val="00F812F7"/>
    <w:rsid w:val="00F81B89"/>
    <w:rsid w:val="00F839F0"/>
    <w:rsid w:val="00F914E3"/>
    <w:rsid w:val="00F9195B"/>
    <w:rsid w:val="00F91B8D"/>
    <w:rsid w:val="00F97E32"/>
    <w:rsid w:val="00FA0563"/>
    <w:rsid w:val="00FA124A"/>
    <w:rsid w:val="00FA2EF3"/>
    <w:rsid w:val="00FA4CBD"/>
    <w:rsid w:val="00FB0CF9"/>
    <w:rsid w:val="00FB351E"/>
    <w:rsid w:val="00FB3DA4"/>
    <w:rsid w:val="00FB4205"/>
    <w:rsid w:val="00FB5FBB"/>
    <w:rsid w:val="00FC08DD"/>
    <w:rsid w:val="00FC2316"/>
    <w:rsid w:val="00FC2CFD"/>
    <w:rsid w:val="00FC38B9"/>
    <w:rsid w:val="00FC428E"/>
    <w:rsid w:val="00FC48B6"/>
    <w:rsid w:val="00FC7924"/>
    <w:rsid w:val="00FD4DBB"/>
    <w:rsid w:val="00FE6A1B"/>
    <w:rsid w:val="00FE7E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195"/>
  <w14:defaultImageDpi w14:val="0"/>
  <w15:docId w15:val="{28D9EAD6-CDA6-410C-87AB-EBD807A4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B837E4"/>
    <w:rPr>
      <w:color w:val="605E5C"/>
      <w:shd w:val="clear" w:color="auto" w:fill="E1DFDD"/>
    </w:rPr>
  </w:style>
  <w:style w:type="table" w:customStyle="1" w:styleId="TableGrid2">
    <w:name w:val="Table Grid2"/>
    <w:basedOn w:val="TableNormal"/>
    <w:next w:val="TableGrid"/>
    <w:uiPriority w:val="39"/>
    <w:rsid w:val="00075D29"/>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3D1E"/>
    <w:pPr>
      <w:widowControl w:val="0"/>
      <w:tabs>
        <w:tab w:val="clear" w:pos="1134"/>
        <w:tab w:val="clear" w:pos="1871"/>
        <w:tab w:val="clear" w:pos="2268"/>
      </w:tabs>
      <w:overflowPunct/>
      <w:adjustRightInd/>
      <w:spacing w:before="0"/>
      <w:ind w:left="126"/>
      <w:textAlignment w:val="auto"/>
    </w:pPr>
    <w:rPr>
      <w:rFonts w:ascii="Carlito" w:eastAsia="Carlito" w:hAnsi="Carlito" w:cs="Carlito"/>
      <w:sz w:val="22"/>
      <w:szCs w:val="22"/>
      <w:lang w:val="en-US"/>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EF1258"/>
    <w:rPr>
      <w:rFonts w:asciiTheme="minorHAnsi" w:hAnsiTheme="minorHAnsi"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 w:id="17414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studygroups/2022-2024/03" TargetMode="External"/><Relationship Id="rId18" Type="http://schemas.openxmlformats.org/officeDocument/2006/relationships/hyperlink" Target="mailto:travel@itu.int" TargetMode="External"/><Relationship Id="rId3" Type="http://schemas.openxmlformats.org/officeDocument/2006/relationships/customXml" Target="../customXml/item3.xml"/><Relationship Id="rId21" Type="http://schemas.openxmlformats.org/officeDocument/2006/relationships/hyperlink" Target="https://www.itu.int/ITU-D/finance/work-cost-tariffs/events/tariff-seminars/Geneva_Taxation/Agenda.htm" TargetMode="Externa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yperlink" Target="http://itu.int/trav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TU-T/edh/faqs-support.html" TargetMode="External"/><Relationship Id="rId20" Type="http://schemas.openxmlformats.org/officeDocument/2006/relationships/hyperlink" Target="https://www.itu.int/en/ITU-T/Workshops-and-Seminars/2022/1103/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net4/CRM/xreg/web/Login.aspx?src=Registration&amp;Event=C-0001171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2/1103/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24DD8-0051-46FE-B79D-A600E9115826}">
  <ds:schemaRefs>
    <ds:schemaRef ds:uri="http://schemas.microsoft.com/sharepoint/v3/contenttype/forms"/>
  </ds:schemaRefs>
</ds:datastoreItem>
</file>

<file path=customXml/itemProps2.xml><?xml version="1.0" encoding="utf-8"?>
<ds:datastoreItem xmlns:ds="http://schemas.openxmlformats.org/officeDocument/2006/customXml" ds:itemID="{E0BAF7B0-326B-499B-A0A8-DFFC678B5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ED1B9-126A-4476-8B37-DC3972CB5C82}">
  <ds:schemaRefs>
    <ds:schemaRef ds:uri="http://schemas.openxmlformats.org/officeDocument/2006/bibliography"/>
  </ds:schemaRefs>
</ds:datastoreItem>
</file>

<file path=customXml/itemProps4.xml><?xml version="1.0" encoding="utf-8"?>
<ds:datastoreItem xmlns:ds="http://schemas.openxmlformats.org/officeDocument/2006/customXml" ds:itemID="{A98C0C4E-00DC-4D99-9A2A-B4A347B2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WORKSHOP-E</Template>
  <TotalTime>30</TotalTime>
  <Pages>6</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TSB (MTA)</cp:lastModifiedBy>
  <cp:revision>6</cp:revision>
  <cp:lastPrinted>2022-08-29T12:51:00Z</cp:lastPrinted>
  <dcterms:created xsi:type="dcterms:W3CDTF">2022-09-20T13:44:00Z</dcterms:created>
  <dcterms:modified xsi:type="dcterms:W3CDTF">2022-09-24T11:15:00Z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y fmtid="{D5CDD505-2E9C-101B-9397-08002B2CF9AE}" pid="6" name="GrammarlyDocumentId">
    <vt:lpwstr>253cf6167febe20d243f775c5784284aed577b0f96da09a2823b8e25bc12a4ed</vt:lpwstr>
  </property>
</Properties>
</file>