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016"/>
        <w:tblW w:w="9639" w:type="dxa"/>
        <w:tblLayout w:type="fixed"/>
        <w:tblCellMar>
          <w:left w:w="0" w:type="dxa"/>
          <w:right w:w="0" w:type="dxa"/>
        </w:tblCellMar>
        <w:tblLook w:val="0000" w:firstRow="0" w:lastRow="0" w:firstColumn="0" w:lastColumn="0" w:noHBand="0" w:noVBand="0"/>
      </w:tblPr>
      <w:tblGrid>
        <w:gridCol w:w="5954"/>
        <w:gridCol w:w="3685"/>
      </w:tblGrid>
      <w:tr w:rsidR="00072E8C" w:rsidRPr="00072E8C" w14:paraId="45B7AF8E" w14:textId="77777777" w:rsidTr="00257D86">
        <w:trPr>
          <w:cantSplit/>
        </w:trPr>
        <w:tc>
          <w:tcPr>
            <w:tcW w:w="5954" w:type="dxa"/>
            <w:vAlign w:val="center"/>
          </w:tcPr>
          <w:p w14:paraId="6F416B20" w14:textId="1F939621" w:rsidR="00072E8C" w:rsidRPr="00257D86" w:rsidRDefault="00072E8C" w:rsidP="00257D86">
            <w:pPr>
              <w:tabs>
                <w:tab w:val="right" w:pos="8732"/>
              </w:tabs>
              <w:spacing w:before="0"/>
              <w:jc w:val="left"/>
              <w:rPr>
                <w:rFonts w:ascii="Verdana" w:hAnsi="Verdana"/>
                <w:b/>
                <w:bCs/>
                <w:iCs/>
                <w:color w:val="808080" w:themeColor="background1" w:themeShade="80"/>
                <w:sz w:val="26"/>
                <w:szCs w:val="26"/>
                <w:lang w:val="ru-RU"/>
              </w:rPr>
            </w:pPr>
            <w:r w:rsidRPr="00257D86">
              <w:rPr>
                <w:rFonts w:cs="Times New Roman Bold"/>
                <w:b/>
                <w:bCs/>
                <w:iCs/>
                <w:smallCaps/>
                <w:color w:val="808080" w:themeColor="background1" w:themeShade="80"/>
                <w:sz w:val="26"/>
                <w:szCs w:val="26"/>
                <w:lang w:val="ru-RU"/>
              </w:rPr>
              <w:t>Бюро стандартизации электросвязи</w:t>
            </w:r>
            <w:r w:rsidR="00257D86" w:rsidRPr="00257D86">
              <w:rPr>
                <w:rFonts w:cs="Times New Roman Bold"/>
                <w:b/>
                <w:bCs/>
                <w:iCs/>
                <w:smallCaps/>
                <w:color w:val="808080" w:themeColor="background1" w:themeShade="80"/>
                <w:sz w:val="26"/>
                <w:szCs w:val="26"/>
                <w:lang w:val="ru-RU"/>
              </w:rPr>
              <w:br/>
              <w:t>(БСЭ)</w:t>
            </w:r>
          </w:p>
        </w:tc>
        <w:tc>
          <w:tcPr>
            <w:tcW w:w="3685" w:type="dxa"/>
            <w:vAlign w:val="center"/>
          </w:tcPr>
          <w:p w14:paraId="0B5E8F9A" w14:textId="32DA61D7" w:rsidR="00072E8C" w:rsidRPr="00257D86" w:rsidRDefault="00257D86" w:rsidP="00257D86">
            <w:pPr>
              <w:tabs>
                <w:tab w:val="right" w:pos="8732"/>
              </w:tabs>
              <w:spacing w:before="0"/>
              <w:jc w:val="left"/>
              <w:rPr>
                <w:rFonts w:ascii="Verdana" w:hAnsi="Verdana"/>
                <w:b/>
                <w:bCs/>
                <w:iCs/>
                <w:color w:val="808080" w:themeColor="background1" w:themeShade="80"/>
                <w:sz w:val="26"/>
                <w:szCs w:val="26"/>
                <w:lang w:val="ru-RU"/>
              </w:rPr>
            </w:pPr>
            <w:r w:rsidRPr="00257D86">
              <w:rPr>
                <w:rFonts w:cs="Times New Roman Bold"/>
                <w:b/>
                <w:bCs/>
                <w:iCs/>
                <w:smallCaps/>
                <w:color w:val="808080" w:themeColor="background1" w:themeShade="80"/>
                <w:sz w:val="26"/>
                <w:szCs w:val="26"/>
                <w:lang w:val="ru-RU"/>
              </w:rPr>
              <w:t>Бюро развития электросвязи</w:t>
            </w:r>
            <w:r w:rsidRPr="00257D86">
              <w:rPr>
                <w:rFonts w:cs="Times New Roman Bold"/>
                <w:b/>
                <w:bCs/>
                <w:iCs/>
                <w:smallCaps/>
                <w:color w:val="808080" w:themeColor="background1" w:themeShade="80"/>
                <w:sz w:val="26"/>
                <w:szCs w:val="26"/>
                <w:lang w:val="ru-RU"/>
              </w:rPr>
              <w:br/>
              <w:t>(</w:t>
            </w:r>
            <w:r w:rsidR="00D401D3">
              <w:rPr>
                <w:rFonts w:cs="Times New Roman Bold"/>
                <w:b/>
                <w:bCs/>
                <w:iCs/>
                <w:smallCaps/>
                <w:color w:val="808080" w:themeColor="background1" w:themeShade="80"/>
                <w:sz w:val="26"/>
                <w:szCs w:val="26"/>
              </w:rPr>
              <w:t>BDT</w:t>
            </w:r>
            <w:r w:rsidRPr="00257D86">
              <w:rPr>
                <w:rFonts w:cs="Times New Roman Bold"/>
                <w:b/>
                <w:bCs/>
                <w:iCs/>
                <w:smallCaps/>
                <w:color w:val="808080" w:themeColor="background1" w:themeShade="80"/>
                <w:sz w:val="26"/>
                <w:szCs w:val="26"/>
                <w:lang w:val="ru-RU"/>
              </w:rPr>
              <w:t>)</w:t>
            </w:r>
          </w:p>
        </w:tc>
      </w:tr>
    </w:tbl>
    <w:p w14:paraId="6C98F5E5" w14:textId="62E1C918" w:rsidR="00514426" w:rsidRPr="003A7E00" w:rsidRDefault="009C2978" w:rsidP="006620A7">
      <w:pPr>
        <w:tabs>
          <w:tab w:val="clear" w:pos="794"/>
          <w:tab w:val="clear" w:pos="1191"/>
          <w:tab w:val="clear" w:pos="1588"/>
          <w:tab w:val="clear" w:pos="1985"/>
          <w:tab w:val="left" w:pos="5103"/>
        </w:tabs>
        <w:spacing w:before="480" w:after="480"/>
        <w:jc w:val="left"/>
        <w:rPr>
          <w:rFonts w:cstheme="minorHAnsi"/>
          <w:szCs w:val="22"/>
          <w:lang w:val="ru-RU"/>
        </w:rPr>
      </w:pPr>
      <w:r w:rsidRPr="00A95234">
        <w:rPr>
          <w:lang w:val="ru-RU"/>
        </w:rPr>
        <w:tab/>
      </w:r>
      <w:r w:rsidR="00514426" w:rsidRPr="003A7E00">
        <w:rPr>
          <w:rFonts w:cstheme="minorHAnsi"/>
          <w:szCs w:val="22"/>
          <w:lang w:val="ru-RU"/>
        </w:rPr>
        <w:t>Женева,</w:t>
      </w:r>
      <w:r w:rsidRPr="003A7E00">
        <w:rPr>
          <w:rFonts w:cstheme="minorHAnsi"/>
          <w:szCs w:val="22"/>
          <w:lang w:val="ru-RU"/>
        </w:rPr>
        <w:t xml:space="preserve"> </w:t>
      </w:r>
      <w:r w:rsidR="00C9333C" w:rsidRPr="003A7E00">
        <w:rPr>
          <w:rFonts w:cstheme="minorHAnsi"/>
          <w:szCs w:val="22"/>
        </w:rPr>
        <w:t>20</w:t>
      </w:r>
      <w:r w:rsidR="007C1C57" w:rsidRPr="003A7E00">
        <w:rPr>
          <w:rFonts w:cstheme="minorHAnsi"/>
          <w:szCs w:val="22"/>
          <w:lang w:val="ru-RU"/>
        </w:rPr>
        <w:t xml:space="preserve"> </w:t>
      </w:r>
      <w:r w:rsidR="00C9333C" w:rsidRPr="003A7E00">
        <w:rPr>
          <w:rFonts w:cstheme="minorHAnsi"/>
          <w:szCs w:val="22"/>
          <w:lang w:val="ru-RU"/>
        </w:rPr>
        <w:t>сентября</w:t>
      </w:r>
      <w:r w:rsidR="00AC1229" w:rsidRPr="003A7E00">
        <w:rPr>
          <w:rFonts w:cstheme="minorHAnsi"/>
          <w:szCs w:val="22"/>
          <w:lang w:val="ru-RU"/>
        </w:rPr>
        <w:t xml:space="preserve"> 20</w:t>
      </w:r>
      <w:r w:rsidR="004A1B27" w:rsidRPr="003A7E00">
        <w:rPr>
          <w:rFonts w:cstheme="minorHAnsi"/>
          <w:szCs w:val="22"/>
          <w:lang w:val="ru-RU"/>
        </w:rPr>
        <w:t>2</w:t>
      </w:r>
      <w:r w:rsidR="00C9333C" w:rsidRPr="003A7E00">
        <w:rPr>
          <w:rFonts w:cstheme="minorHAnsi"/>
          <w:szCs w:val="22"/>
          <w:lang w:val="ru-RU"/>
        </w:rPr>
        <w:t>2</w:t>
      </w:r>
      <w:r w:rsidR="00826959" w:rsidRPr="003A7E00">
        <w:rPr>
          <w:rFonts w:cstheme="minorHAnsi"/>
          <w:szCs w:val="22"/>
          <w:lang w:val="ru-RU"/>
        </w:rPr>
        <w:t xml:space="preserve"> года</w:t>
      </w:r>
    </w:p>
    <w:tbl>
      <w:tblPr>
        <w:tblW w:w="9729" w:type="dxa"/>
        <w:tblCellMar>
          <w:left w:w="0" w:type="dxa"/>
          <w:right w:w="0" w:type="dxa"/>
        </w:tblCellMar>
        <w:tblLook w:val="0000" w:firstRow="0" w:lastRow="0" w:firstColumn="0" w:lastColumn="0" w:noHBand="0" w:noVBand="0"/>
      </w:tblPr>
      <w:tblGrid>
        <w:gridCol w:w="1560"/>
        <w:gridCol w:w="3543"/>
        <w:gridCol w:w="4626"/>
      </w:tblGrid>
      <w:tr w:rsidR="008F6ADB" w:rsidRPr="000C45D0" w14:paraId="3B44D903" w14:textId="77777777" w:rsidTr="00133623">
        <w:trPr>
          <w:cantSplit/>
          <w:trHeight w:val="720"/>
        </w:trPr>
        <w:tc>
          <w:tcPr>
            <w:tcW w:w="1560" w:type="dxa"/>
          </w:tcPr>
          <w:p w14:paraId="431E34F3" w14:textId="77777777" w:rsidR="008F6ADB" w:rsidRPr="003A7E00" w:rsidRDefault="008F6ADB" w:rsidP="007656D7">
            <w:pPr>
              <w:spacing w:before="0"/>
              <w:jc w:val="left"/>
              <w:rPr>
                <w:rFonts w:cstheme="minorHAnsi"/>
                <w:szCs w:val="22"/>
                <w:lang w:val="ru-RU"/>
              </w:rPr>
            </w:pPr>
            <w:proofErr w:type="spellStart"/>
            <w:r w:rsidRPr="003A7E00">
              <w:rPr>
                <w:rFonts w:cstheme="minorHAnsi"/>
                <w:szCs w:val="22"/>
                <w:lang w:val="ru-RU"/>
              </w:rPr>
              <w:t>Осн</w:t>
            </w:r>
            <w:proofErr w:type="spellEnd"/>
            <w:r w:rsidRPr="003A7E00">
              <w:rPr>
                <w:rFonts w:cstheme="minorHAnsi"/>
                <w:szCs w:val="22"/>
                <w:lang w:val="ru-RU"/>
              </w:rPr>
              <w:t>.:</w:t>
            </w:r>
          </w:p>
        </w:tc>
        <w:tc>
          <w:tcPr>
            <w:tcW w:w="3543" w:type="dxa"/>
          </w:tcPr>
          <w:p w14:paraId="1CD0AFDB" w14:textId="7F65D4EF" w:rsidR="00072E8C" w:rsidRPr="003A7E00" w:rsidRDefault="00072E8C" w:rsidP="00A677CF">
            <w:pPr>
              <w:spacing w:before="0"/>
              <w:jc w:val="left"/>
              <w:rPr>
                <w:rFonts w:cstheme="minorHAnsi"/>
                <w:b/>
                <w:bCs/>
                <w:szCs w:val="22"/>
                <w:lang w:val="ru-RU"/>
              </w:rPr>
            </w:pPr>
            <w:r w:rsidRPr="003A7E00">
              <w:rPr>
                <w:rFonts w:cstheme="minorHAnsi"/>
                <w:b/>
                <w:bCs/>
                <w:szCs w:val="22"/>
                <w:lang w:val="ru-RU"/>
              </w:rPr>
              <w:t xml:space="preserve">Циркуляр </w:t>
            </w:r>
            <w:r w:rsidRPr="003A7E00">
              <w:rPr>
                <w:rFonts w:cstheme="minorHAnsi"/>
                <w:b/>
                <w:bCs/>
                <w:szCs w:val="22"/>
              </w:rPr>
              <w:t>BDT</w:t>
            </w:r>
            <w:r w:rsidRPr="003A7E00">
              <w:rPr>
                <w:rFonts w:cstheme="minorHAnsi"/>
                <w:b/>
                <w:bCs/>
                <w:szCs w:val="22"/>
                <w:lang w:val="ru-RU"/>
              </w:rPr>
              <w:t>/</w:t>
            </w:r>
            <w:r w:rsidRPr="003A7E00">
              <w:rPr>
                <w:rFonts w:cstheme="minorHAnsi"/>
                <w:b/>
                <w:bCs/>
                <w:szCs w:val="22"/>
              </w:rPr>
              <w:t>DKH</w:t>
            </w:r>
            <w:r w:rsidRPr="003A7E00">
              <w:rPr>
                <w:rFonts w:cstheme="minorHAnsi"/>
                <w:b/>
                <w:bCs/>
                <w:szCs w:val="22"/>
                <w:lang w:val="ru-RU"/>
              </w:rPr>
              <w:t>/</w:t>
            </w:r>
            <w:r w:rsidRPr="003A7E00">
              <w:rPr>
                <w:rFonts w:cstheme="minorHAnsi"/>
                <w:b/>
                <w:bCs/>
                <w:szCs w:val="22"/>
              </w:rPr>
              <w:t>RME</w:t>
            </w:r>
            <w:r w:rsidR="00C9333C" w:rsidRPr="003A7E00">
              <w:rPr>
                <w:rFonts w:cstheme="minorHAnsi"/>
                <w:b/>
                <w:bCs/>
                <w:szCs w:val="22"/>
                <w:lang w:val="ru-RU"/>
              </w:rPr>
              <w:t>/128</w:t>
            </w:r>
          </w:p>
          <w:p w14:paraId="44899CB2" w14:textId="77777777" w:rsidR="006620A7" w:rsidRPr="003A7E00" w:rsidRDefault="008F6ADB" w:rsidP="00C9333C">
            <w:pPr>
              <w:spacing w:before="0"/>
              <w:jc w:val="left"/>
              <w:rPr>
                <w:rFonts w:cstheme="minorHAnsi"/>
                <w:b/>
                <w:bCs/>
                <w:szCs w:val="22"/>
                <w:lang w:val="ru-RU"/>
              </w:rPr>
            </w:pPr>
            <w:r w:rsidRPr="003A7E00">
              <w:rPr>
                <w:rFonts w:cstheme="minorHAnsi"/>
                <w:b/>
                <w:bCs/>
                <w:szCs w:val="22"/>
                <w:lang w:val="ru-RU"/>
              </w:rPr>
              <w:t xml:space="preserve">Циркуляр </w:t>
            </w:r>
            <w:r w:rsidR="00C9333C" w:rsidRPr="003A7E00">
              <w:rPr>
                <w:rFonts w:cstheme="minorHAnsi"/>
                <w:b/>
                <w:bCs/>
                <w:szCs w:val="22"/>
                <w:lang w:val="ru-RU"/>
              </w:rPr>
              <w:t>29</w:t>
            </w:r>
            <w:r w:rsidRPr="003A7E00">
              <w:rPr>
                <w:rFonts w:cstheme="minorHAnsi"/>
                <w:b/>
                <w:bCs/>
                <w:szCs w:val="22"/>
                <w:lang w:val="ru-RU"/>
              </w:rPr>
              <w:t xml:space="preserve"> БСЭ</w:t>
            </w:r>
          </w:p>
          <w:p w14:paraId="172F9850" w14:textId="6E4D442F" w:rsidR="008F6ADB" w:rsidRPr="003A7E00" w:rsidRDefault="008F6ADB" w:rsidP="00C9333C">
            <w:pPr>
              <w:spacing w:before="0"/>
              <w:jc w:val="left"/>
              <w:rPr>
                <w:rFonts w:cstheme="minorHAnsi"/>
                <w:szCs w:val="22"/>
                <w:lang w:val="ru-RU"/>
              </w:rPr>
            </w:pPr>
          </w:p>
        </w:tc>
        <w:tc>
          <w:tcPr>
            <w:tcW w:w="4626" w:type="dxa"/>
            <w:vMerge w:val="restart"/>
          </w:tcPr>
          <w:p w14:paraId="17F30636" w14:textId="77777777" w:rsidR="008F6ADB" w:rsidRPr="003A7E00" w:rsidRDefault="008F6ADB" w:rsidP="007656D7">
            <w:pPr>
              <w:tabs>
                <w:tab w:val="clear" w:pos="794"/>
                <w:tab w:val="clear" w:pos="1191"/>
                <w:tab w:val="clear" w:pos="1588"/>
                <w:tab w:val="clear" w:pos="1985"/>
                <w:tab w:val="left" w:pos="284"/>
              </w:tabs>
              <w:spacing w:before="0"/>
              <w:ind w:left="284" w:hanging="284"/>
              <w:jc w:val="left"/>
              <w:rPr>
                <w:rFonts w:cstheme="minorHAnsi"/>
                <w:szCs w:val="22"/>
                <w:lang w:val="ru-RU"/>
              </w:rPr>
            </w:pPr>
            <w:r w:rsidRPr="003A7E00">
              <w:rPr>
                <w:rFonts w:cstheme="minorHAnsi"/>
                <w:b/>
                <w:bCs/>
                <w:szCs w:val="22"/>
                <w:lang w:val="ru-RU"/>
              </w:rPr>
              <w:t>Кому</w:t>
            </w:r>
            <w:r w:rsidRPr="003A7E00">
              <w:rPr>
                <w:rFonts w:cstheme="minorHAnsi"/>
                <w:szCs w:val="22"/>
                <w:lang w:val="ru-RU"/>
              </w:rPr>
              <w:t>:</w:t>
            </w:r>
          </w:p>
          <w:p w14:paraId="61421497" w14:textId="77777777" w:rsidR="008F6ADB" w:rsidRPr="003A7E00" w:rsidRDefault="008F6ADB" w:rsidP="007656D7">
            <w:pPr>
              <w:tabs>
                <w:tab w:val="clear" w:pos="794"/>
                <w:tab w:val="clear" w:pos="1191"/>
                <w:tab w:val="clear" w:pos="1588"/>
                <w:tab w:val="clear" w:pos="1985"/>
                <w:tab w:val="left" w:pos="284"/>
              </w:tabs>
              <w:spacing w:before="0"/>
              <w:ind w:left="284" w:hanging="284"/>
              <w:jc w:val="left"/>
              <w:rPr>
                <w:rFonts w:cstheme="minorHAnsi"/>
                <w:szCs w:val="22"/>
                <w:lang w:val="ru-RU"/>
              </w:rPr>
            </w:pPr>
            <w:r w:rsidRPr="003A7E00">
              <w:rPr>
                <w:rFonts w:cstheme="minorHAnsi"/>
                <w:szCs w:val="22"/>
                <w:lang w:val="ru-RU"/>
              </w:rPr>
              <w:t>−</w:t>
            </w:r>
            <w:r w:rsidRPr="003A7E00">
              <w:rPr>
                <w:rFonts w:cstheme="minorHAnsi"/>
                <w:szCs w:val="22"/>
                <w:lang w:val="ru-RU"/>
              </w:rPr>
              <w:tab/>
              <w:t>Администрациям Государств – Членов Союза</w:t>
            </w:r>
          </w:p>
          <w:p w14:paraId="3F1CCFEE" w14:textId="124CB7AD" w:rsidR="008F6ADB" w:rsidRPr="003A7E00" w:rsidRDefault="008F6ADB" w:rsidP="007656D7">
            <w:pPr>
              <w:tabs>
                <w:tab w:val="clear" w:pos="794"/>
                <w:tab w:val="clear" w:pos="1191"/>
                <w:tab w:val="clear" w:pos="1588"/>
                <w:tab w:val="clear" w:pos="1985"/>
                <w:tab w:val="left" w:pos="284"/>
              </w:tabs>
              <w:spacing w:before="0"/>
              <w:ind w:left="284" w:hanging="284"/>
              <w:jc w:val="left"/>
              <w:rPr>
                <w:rFonts w:cstheme="minorHAnsi"/>
                <w:szCs w:val="22"/>
                <w:lang w:val="ru-RU"/>
              </w:rPr>
            </w:pPr>
            <w:r w:rsidRPr="003A7E00">
              <w:rPr>
                <w:rFonts w:cstheme="minorHAnsi"/>
                <w:szCs w:val="22"/>
                <w:lang w:val="ru-RU"/>
              </w:rPr>
              <w:t>−</w:t>
            </w:r>
            <w:r w:rsidRPr="003A7E00">
              <w:rPr>
                <w:rFonts w:cstheme="minorHAnsi"/>
                <w:szCs w:val="22"/>
                <w:lang w:val="ru-RU"/>
              </w:rPr>
              <w:tab/>
              <w:t>Членам Сектор</w:t>
            </w:r>
            <w:r w:rsidR="00257D86" w:rsidRPr="003A7E00">
              <w:rPr>
                <w:rFonts w:cstheme="minorHAnsi"/>
                <w:szCs w:val="22"/>
                <w:lang w:val="ru-RU"/>
              </w:rPr>
              <w:t>ов</w:t>
            </w:r>
            <w:r w:rsidRPr="003A7E00">
              <w:rPr>
                <w:rFonts w:cstheme="minorHAnsi"/>
                <w:szCs w:val="22"/>
                <w:lang w:val="ru-RU"/>
              </w:rPr>
              <w:t xml:space="preserve"> МСЭ-Т</w:t>
            </w:r>
            <w:r w:rsidR="00257D86" w:rsidRPr="003A7E00">
              <w:rPr>
                <w:rFonts w:cstheme="minorHAnsi"/>
                <w:szCs w:val="22"/>
                <w:lang w:val="ru-RU"/>
              </w:rPr>
              <w:t xml:space="preserve"> и МСЭ-</w:t>
            </w:r>
            <w:r w:rsidR="00257D86" w:rsidRPr="003A7E00">
              <w:rPr>
                <w:rFonts w:cstheme="minorHAnsi"/>
                <w:szCs w:val="22"/>
                <w:lang w:val="en-GB"/>
              </w:rPr>
              <w:t>D</w:t>
            </w:r>
          </w:p>
          <w:p w14:paraId="4F61A697" w14:textId="7E4B2440" w:rsidR="008F6ADB" w:rsidRPr="003A7E00" w:rsidRDefault="008F6ADB" w:rsidP="007656D7">
            <w:pPr>
              <w:tabs>
                <w:tab w:val="clear" w:pos="794"/>
                <w:tab w:val="clear" w:pos="1191"/>
                <w:tab w:val="clear" w:pos="1588"/>
                <w:tab w:val="clear" w:pos="1985"/>
                <w:tab w:val="left" w:pos="284"/>
              </w:tabs>
              <w:spacing w:before="0"/>
              <w:ind w:left="284" w:hanging="284"/>
              <w:jc w:val="left"/>
              <w:rPr>
                <w:rFonts w:cstheme="minorHAnsi"/>
                <w:szCs w:val="22"/>
                <w:lang w:val="ru-RU"/>
              </w:rPr>
            </w:pPr>
            <w:r w:rsidRPr="003A7E00">
              <w:rPr>
                <w:rFonts w:cstheme="minorHAnsi"/>
                <w:szCs w:val="22"/>
                <w:lang w:val="ru-RU"/>
              </w:rPr>
              <w:t>−</w:t>
            </w:r>
            <w:r w:rsidRPr="003A7E00">
              <w:rPr>
                <w:rFonts w:cstheme="minorHAnsi"/>
                <w:szCs w:val="22"/>
                <w:lang w:val="ru-RU"/>
              </w:rPr>
              <w:tab/>
              <w:t>Ассоциированным членам МСЭ</w:t>
            </w:r>
            <w:r w:rsidRPr="003A7E00">
              <w:rPr>
                <w:rFonts w:cstheme="minorHAnsi"/>
                <w:szCs w:val="22"/>
                <w:lang w:val="ru-RU"/>
              </w:rPr>
              <w:noBreakHyphen/>
              <w:t>Т</w:t>
            </w:r>
            <w:r w:rsidR="00257D86" w:rsidRPr="003A7E00">
              <w:rPr>
                <w:rFonts w:cstheme="minorHAnsi"/>
                <w:szCs w:val="22"/>
                <w:lang w:val="ru-RU"/>
              </w:rPr>
              <w:t xml:space="preserve"> и МСЭ-</w:t>
            </w:r>
            <w:r w:rsidR="00257D86" w:rsidRPr="003A7E00">
              <w:rPr>
                <w:rFonts w:cstheme="minorHAnsi"/>
                <w:szCs w:val="22"/>
              </w:rPr>
              <w:t>D</w:t>
            </w:r>
          </w:p>
          <w:p w14:paraId="7040D37B" w14:textId="77777777" w:rsidR="00E14A23" w:rsidRPr="003A7E00" w:rsidRDefault="008F6ADB" w:rsidP="00E14A23">
            <w:pPr>
              <w:tabs>
                <w:tab w:val="clear" w:pos="794"/>
                <w:tab w:val="clear" w:pos="1191"/>
                <w:tab w:val="clear" w:pos="1588"/>
                <w:tab w:val="clear" w:pos="1985"/>
                <w:tab w:val="left" w:pos="284"/>
              </w:tabs>
              <w:spacing w:before="0"/>
              <w:ind w:left="284" w:hanging="284"/>
              <w:jc w:val="left"/>
              <w:rPr>
                <w:rFonts w:cstheme="minorHAnsi"/>
                <w:szCs w:val="22"/>
                <w:lang w:val="ru-RU"/>
              </w:rPr>
            </w:pPr>
            <w:r w:rsidRPr="003A7E00">
              <w:rPr>
                <w:rFonts w:cstheme="minorHAnsi"/>
                <w:szCs w:val="22"/>
                <w:lang w:val="ru-RU"/>
              </w:rPr>
              <w:t>−</w:t>
            </w:r>
            <w:r w:rsidRPr="003A7E00">
              <w:rPr>
                <w:rFonts w:cstheme="minorHAnsi"/>
                <w:szCs w:val="22"/>
                <w:lang w:val="ru-RU"/>
              </w:rPr>
              <w:tab/>
              <w:t>Академическим организациям − Членам МСЭ</w:t>
            </w:r>
          </w:p>
          <w:p w14:paraId="01FE13B8" w14:textId="77777777" w:rsidR="008F6ADB" w:rsidRPr="003A7E00" w:rsidRDefault="008F6ADB" w:rsidP="00E14A23">
            <w:pPr>
              <w:tabs>
                <w:tab w:val="clear" w:pos="794"/>
                <w:tab w:val="clear" w:pos="1191"/>
                <w:tab w:val="clear" w:pos="1588"/>
                <w:tab w:val="clear" w:pos="1985"/>
                <w:tab w:val="left" w:pos="284"/>
              </w:tabs>
              <w:ind w:left="284" w:hanging="284"/>
              <w:jc w:val="left"/>
              <w:rPr>
                <w:rFonts w:cstheme="minorHAnsi"/>
                <w:szCs w:val="22"/>
                <w:lang w:val="ru-RU"/>
              </w:rPr>
            </w:pPr>
            <w:r w:rsidRPr="003A7E00">
              <w:rPr>
                <w:rFonts w:cstheme="minorHAnsi"/>
                <w:b/>
                <w:bCs/>
                <w:szCs w:val="22"/>
                <w:lang w:val="ru-RU"/>
              </w:rPr>
              <w:t>Копии</w:t>
            </w:r>
            <w:r w:rsidRPr="003A7E00">
              <w:rPr>
                <w:rFonts w:cstheme="minorHAnsi"/>
                <w:szCs w:val="22"/>
                <w:lang w:val="ru-RU"/>
              </w:rPr>
              <w:t>:</w:t>
            </w:r>
          </w:p>
          <w:p w14:paraId="0B471B0A" w14:textId="0C051257" w:rsidR="008F6ADB" w:rsidRPr="003A7E00" w:rsidRDefault="008F6ADB" w:rsidP="007656D7">
            <w:pPr>
              <w:tabs>
                <w:tab w:val="clear" w:pos="794"/>
                <w:tab w:val="clear" w:pos="1191"/>
                <w:tab w:val="clear" w:pos="1588"/>
                <w:tab w:val="clear" w:pos="1985"/>
                <w:tab w:val="left" w:pos="284"/>
              </w:tabs>
              <w:spacing w:before="0"/>
              <w:ind w:left="284" w:hanging="284"/>
              <w:jc w:val="left"/>
              <w:rPr>
                <w:rFonts w:cstheme="minorHAnsi"/>
                <w:szCs w:val="22"/>
                <w:lang w:val="ru-RU"/>
              </w:rPr>
            </w:pPr>
            <w:r w:rsidRPr="003A7E00">
              <w:rPr>
                <w:rFonts w:cstheme="minorHAnsi"/>
                <w:szCs w:val="22"/>
                <w:lang w:val="ru-RU"/>
              </w:rPr>
              <w:t>–</w:t>
            </w:r>
            <w:r w:rsidRPr="003A7E00">
              <w:rPr>
                <w:rFonts w:cstheme="minorHAnsi"/>
                <w:szCs w:val="22"/>
                <w:lang w:val="ru-RU"/>
              </w:rPr>
              <w:tab/>
              <w:t>Председателям и заместителям председателей исследовательских комиссий МСЭ-Т</w:t>
            </w:r>
            <w:r w:rsidR="00072E8C" w:rsidRPr="003A7E00">
              <w:rPr>
                <w:rFonts w:cstheme="minorHAnsi"/>
                <w:szCs w:val="22"/>
                <w:lang w:val="ru-RU"/>
              </w:rPr>
              <w:t xml:space="preserve"> и МСЭ-</w:t>
            </w:r>
            <w:r w:rsidR="00072E8C" w:rsidRPr="003A7E00">
              <w:rPr>
                <w:rFonts w:cstheme="minorHAnsi"/>
                <w:szCs w:val="22"/>
                <w:lang w:val="en-GB"/>
              </w:rPr>
              <w:t>D</w:t>
            </w:r>
          </w:p>
          <w:p w14:paraId="57FEE720" w14:textId="77777777" w:rsidR="008F6ADB" w:rsidRPr="003A7E00" w:rsidRDefault="008F6ADB" w:rsidP="00257D86">
            <w:pPr>
              <w:tabs>
                <w:tab w:val="clear" w:pos="794"/>
                <w:tab w:val="clear" w:pos="1191"/>
                <w:tab w:val="clear" w:pos="1588"/>
                <w:tab w:val="clear" w:pos="1985"/>
                <w:tab w:val="left" w:pos="284"/>
              </w:tabs>
              <w:spacing w:before="0"/>
              <w:ind w:left="284" w:hanging="284"/>
              <w:jc w:val="left"/>
              <w:rPr>
                <w:rFonts w:cstheme="minorHAnsi"/>
                <w:szCs w:val="22"/>
                <w:lang w:val="ru-RU"/>
              </w:rPr>
            </w:pPr>
            <w:r w:rsidRPr="003A7E00">
              <w:rPr>
                <w:rFonts w:cstheme="minorHAnsi"/>
                <w:szCs w:val="22"/>
                <w:lang w:val="ru-RU"/>
              </w:rPr>
              <w:t>−</w:t>
            </w:r>
            <w:r w:rsidRPr="003A7E00">
              <w:rPr>
                <w:rFonts w:cstheme="minorHAnsi"/>
                <w:szCs w:val="22"/>
                <w:lang w:val="ru-RU"/>
              </w:rPr>
              <w:tab/>
              <w:t>Директору Бюро радиосвязи</w:t>
            </w:r>
          </w:p>
          <w:p w14:paraId="0C3DD5EF" w14:textId="1EF81719" w:rsidR="00257D86" w:rsidRPr="003A7E00" w:rsidRDefault="00257D86" w:rsidP="00257D86">
            <w:pPr>
              <w:tabs>
                <w:tab w:val="clear" w:pos="794"/>
                <w:tab w:val="clear" w:pos="1191"/>
                <w:tab w:val="clear" w:pos="1588"/>
                <w:tab w:val="clear" w:pos="1985"/>
                <w:tab w:val="left" w:pos="284"/>
              </w:tabs>
              <w:spacing w:before="0"/>
              <w:ind w:left="284" w:hanging="284"/>
              <w:jc w:val="left"/>
              <w:rPr>
                <w:rFonts w:cstheme="minorHAnsi"/>
                <w:szCs w:val="22"/>
                <w:lang w:val="ru-RU"/>
              </w:rPr>
            </w:pPr>
            <w:r w:rsidRPr="003A7E00">
              <w:rPr>
                <w:rFonts w:cstheme="minorHAnsi"/>
                <w:szCs w:val="22"/>
                <w:lang w:val="ru-RU"/>
              </w:rPr>
              <w:t>−</w:t>
            </w:r>
            <w:r w:rsidRPr="003A7E00">
              <w:rPr>
                <w:rFonts w:cstheme="minorHAnsi"/>
                <w:szCs w:val="22"/>
                <w:lang w:val="ru-RU"/>
              </w:rPr>
              <w:tab/>
            </w:r>
            <w:r w:rsidR="00D401D3" w:rsidRPr="003A7E00">
              <w:rPr>
                <w:rFonts w:cstheme="minorHAnsi"/>
                <w:szCs w:val="22"/>
                <w:lang w:val="ru-RU"/>
              </w:rPr>
              <w:t>Директорам региональных отделений МСЭ</w:t>
            </w:r>
          </w:p>
        </w:tc>
      </w:tr>
      <w:tr w:rsidR="003F3E50" w:rsidRPr="003A7E00" w14:paraId="04EB850D" w14:textId="77777777" w:rsidTr="001E5A56">
        <w:trPr>
          <w:cantSplit/>
          <w:trHeight w:val="2125"/>
        </w:trPr>
        <w:tc>
          <w:tcPr>
            <w:tcW w:w="1560" w:type="dxa"/>
          </w:tcPr>
          <w:p w14:paraId="5B4621DA" w14:textId="089C9313" w:rsidR="003F3E50" w:rsidRPr="003A7E00" w:rsidRDefault="003F3E50" w:rsidP="003F3E50">
            <w:pPr>
              <w:spacing w:before="0"/>
              <w:jc w:val="left"/>
              <w:rPr>
                <w:rFonts w:cstheme="minorHAnsi"/>
                <w:szCs w:val="22"/>
                <w:lang w:val="ru-RU"/>
              </w:rPr>
            </w:pPr>
            <w:r w:rsidRPr="003A7E00">
              <w:rPr>
                <w:rFonts w:cstheme="minorHAnsi"/>
                <w:szCs w:val="22"/>
                <w:lang w:val="ru-RU"/>
              </w:rPr>
              <w:t>Эл. почта:</w:t>
            </w:r>
          </w:p>
        </w:tc>
        <w:tc>
          <w:tcPr>
            <w:tcW w:w="3543" w:type="dxa"/>
          </w:tcPr>
          <w:p w14:paraId="2C8D9943" w14:textId="59698780" w:rsidR="003F3E50" w:rsidRPr="003A7E00" w:rsidRDefault="006352E2" w:rsidP="007656D7">
            <w:pPr>
              <w:spacing w:before="0"/>
              <w:jc w:val="left"/>
              <w:rPr>
                <w:rFonts w:cstheme="minorHAnsi"/>
                <w:b/>
                <w:bCs/>
                <w:szCs w:val="22"/>
                <w:lang w:val="ru-RU"/>
              </w:rPr>
            </w:pPr>
            <w:hyperlink r:id="rId8" w:history="1">
              <w:bookmarkStart w:id="0" w:name="lt_pId042"/>
              <w:r w:rsidR="00FB65EA" w:rsidRPr="003A7E00">
                <w:rPr>
                  <w:rStyle w:val="Hyperlink"/>
                  <w:rFonts w:cstheme="minorHAnsi"/>
                  <w:szCs w:val="22"/>
                  <w:lang w:val="en-GB"/>
                </w:rPr>
                <w:t>tsbevents</w:t>
              </w:r>
              <w:r w:rsidR="00FB65EA" w:rsidRPr="003A7E00">
                <w:rPr>
                  <w:rStyle w:val="Hyperlink"/>
                  <w:rFonts w:cstheme="minorHAnsi"/>
                  <w:szCs w:val="22"/>
                  <w:lang w:val="ru-RU"/>
                </w:rPr>
                <w:t>@</w:t>
              </w:r>
              <w:r w:rsidR="00FB65EA" w:rsidRPr="003A7E00">
                <w:rPr>
                  <w:rStyle w:val="Hyperlink"/>
                  <w:rFonts w:cstheme="minorHAnsi"/>
                  <w:szCs w:val="22"/>
                  <w:lang w:val="en-GB"/>
                </w:rPr>
                <w:t>itu</w:t>
              </w:r>
              <w:r w:rsidR="00FB65EA" w:rsidRPr="003A7E00">
                <w:rPr>
                  <w:rStyle w:val="Hyperlink"/>
                  <w:rFonts w:cstheme="minorHAnsi"/>
                  <w:szCs w:val="22"/>
                  <w:lang w:val="ru-RU"/>
                </w:rPr>
                <w:t>.</w:t>
              </w:r>
              <w:r w:rsidR="00FB65EA" w:rsidRPr="003A7E00">
                <w:rPr>
                  <w:rStyle w:val="Hyperlink"/>
                  <w:rFonts w:cstheme="minorHAnsi"/>
                  <w:szCs w:val="22"/>
                  <w:lang w:val="en-GB"/>
                </w:rPr>
                <w:t>int</w:t>
              </w:r>
              <w:bookmarkEnd w:id="0"/>
            </w:hyperlink>
          </w:p>
        </w:tc>
        <w:tc>
          <w:tcPr>
            <w:tcW w:w="4626" w:type="dxa"/>
            <w:vMerge/>
          </w:tcPr>
          <w:p w14:paraId="4F3D7CDA" w14:textId="77777777" w:rsidR="003F3E50" w:rsidRPr="003A7E00" w:rsidRDefault="003F3E50" w:rsidP="007656D7">
            <w:pPr>
              <w:tabs>
                <w:tab w:val="left" w:pos="284"/>
              </w:tabs>
              <w:spacing w:before="0"/>
              <w:ind w:left="284" w:hanging="284"/>
              <w:jc w:val="left"/>
              <w:rPr>
                <w:rFonts w:cstheme="minorHAnsi"/>
                <w:b/>
                <w:bCs/>
                <w:szCs w:val="22"/>
                <w:lang w:val="ru-RU"/>
              </w:rPr>
            </w:pPr>
          </w:p>
        </w:tc>
      </w:tr>
    </w:tbl>
    <w:p w14:paraId="0728054F" w14:textId="45195B63" w:rsidR="00A9263A" w:rsidRPr="003A7E00" w:rsidRDefault="00A9263A" w:rsidP="00632161">
      <w:pPr>
        <w:spacing w:before="0"/>
        <w:rPr>
          <w:rFonts w:cstheme="minorHAnsi"/>
          <w:szCs w:val="22"/>
          <w:lang w:val="ru-RU"/>
        </w:rPr>
      </w:pPr>
    </w:p>
    <w:p w14:paraId="78D3B283" w14:textId="77777777" w:rsidR="006620A7" w:rsidRPr="003A7E00" w:rsidRDefault="006620A7" w:rsidP="00632161">
      <w:pPr>
        <w:spacing w:before="0"/>
        <w:rPr>
          <w:rFonts w:cstheme="minorHAnsi"/>
          <w:szCs w:val="22"/>
          <w:lang w:val="ru-RU"/>
        </w:rPr>
      </w:pPr>
    </w:p>
    <w:tbl>
      <w:tblPr>
        <w:tblW w:w="9729" w:type="dxa"/>
        <w:tblCellMar>
          <w:left w:w="0" w:type="dxa"/>
          <w:right w:w="0" w:type="dxa"/>
        </w:tblCellMar>
        <w:tblLook w:val="0000" w:firstRow="0" w:lastRow="0" w:firstColumn="0" w:lastColumn="0" w:noHBand="0" w:noVBand="0"/>
      </w:tblPr>
      <w:tblGrid>
        <w:gridCol w:w="1560"/>
        <w:gridCol w:w="8169"/>
      </w:tblGrid>
      <w:tr w:rsidR="00A9263A" w:rsidRPr="000C45D0" w14:paraId="11A1F36F" w14:textId="77777777" w:rsidTr="00E14A23">
        <w:trPr>
          <w:cantSplit/>
          <w:trHeight w:val="472"/>
        </w:trPr>
        <w:tc>
          <w:tcPr>
            <w:tcW w:w="1560" w:type="dxa"/>
          </w:tcPr>
          <w:p w14:paraId="2560696A" w14:textId="77777777" w:rsidR="00A9263A" w:rsidRPr="003A7E00" w:rsidRDefault="00A9263A" w:rsidP="007656D7">
            <w:pPr>
              <w:spacing w:before="0"/>
              <w:jc w:val="left"/>
              <w:rPr>
                <w:rFonts w:cstheme="minorHAnsi"/>
                <w:b/>
                <w:bCs/>
                <w:szCs w:val="22"/>
                <w:lang w:val="ru-RU"/>
              </w:rPr>
            </w:pPr>
            <w:r w:rsidRPr="003A7E00">
              <w:rPr>
                <w:rFonts w:cstheme="minorHAnsi"/>
                <w:b/>
                <w:bCs/>
                <w:szCs w:val="22"/>
                <w:lang w:val="ru-RU"/>
              </w:rPr>
              <w:t>Предмет</w:t>
            </w:r>
            <w:r w:rsidRPr="003A7E00">
              <w:rPr>
                <w:rFonts w:cstheme="minorHAnsi"/>
                <w:szCs w:val="22"/>
                <w:lang w:val="ru-RU"/>
              </w:rPr>
              <w:t>:</w:t>
            </w:r>
          </w:p>
        </w:tc>
        <w:tc>
          <w:tcPr>
            <w:tcW w:w="8169" w:type="dxa"/>
          </w:tcPr>
          <w:p w14:paraId="7EB8C672" w14:textId="15F4B3E4" w:rsidR="00A9263A" w:rsidRPr="003A7E00" w:rsidRDefault="00C9333C" w:rsidP="00DE57EC">
            <w:pPr>
              <w:tabs>
                <w:tab w:val="clear" w:pos="794"/>
                <w:tab w:val="clear" w:pos="1191"/>
                <w:tab w:val="clear" w:pos="1588"/>
                <w:tab w:val="clear" w:pos="1985"/>
                <w:tab w:val="left" w:pos="284"/>
              </w:tabs>
              <w:spacing w:before="0"/>
              <w:jc w:val="left"/>
              <w:rPr>
                <w:rFonts w:cstheme="minorHAnsi"/>
                <w:szCs w:val="22"/>
                <w:lang w:val="ru-RU"/>
              </w:rPr>
            </w:pPr>
            <w:bookmarkStart w:id="1" w:name="lt_pId044"/>
            <w:r w:rsidRPr="003A7E00">
              <w:rPr>
                <w:rFonts w:eastAsia="SimSun" w:cstheme="minorHAnsi"/>
                <w:b/>
                <w:bCs/>
                <w:szCs w:val="22"/>
                <w:lang w:val="ru-RU"/>
              </w:rPr>
              <w:t>С</w:t>
            </w:r>
            <w:r w:rsidR="002432C5" w:rsidRPr="003A7E00">
              <w:rPr>
                <w:rFonts w:eastAsia="SimSun" w:cstheme="minorHAnsi"/>
                <w:b/>
                <w:bCs/>
                <w:szCs w:val="22"/>
                <w:lang w:val="ru-RU"/>
              </w:rPr>
              <w:t>еминар-практикум МСЭ</w:t>
            </w:r>
            <w:r w:rsidR="00072E8C" w:rsidRPr="003A7E00">
              <w:rPr>
                <w:rFonts w:eastAsia="SimSun" w:cstheme="minorHAnsi"/>
                <w:b/>
                <w:bCs/>
                <w:szCs w:val="22"/>
                <w:lang w:val="ru-RU"/>
              </w:rPr>
              <w:t xml:space="preserve"> "</w:t>
            </w:r>
            <w:bookmarkEnd w:id="1"/>
            <w:r w:rsidR="00193735" w:rsidRPr="003A7E00">
              <w:rPr>
                <w:rFonts w:eastAsia="SimSun" w:cstheme="minorHAnsi"/>
                <w:b/>
                <w:bCs/>
                <w:szCs w:val="22"/>
                <w:lang w:val="ru-RU"/>
              </w:rPr>
              <w:t xml:space="preserve">Экономические и налоговые стимулы </w:t>
            </w:r>
            <w:r w:rsidR="00DE57EC" w:rsidRPr="003A7E00">
              <w:rPr>
                <w:rFonts w:eastAsia="SimSun" w:cstheme="minorHAnsi"/>
                <w:b/>
                <w:bCs/>
                <w:szCs w:val="22"/>
                <w:lang w:val="ru-RU"/>
              </w:rPr>
              <w:t>для</w:t>
            </w:r>
            <w:r w:rsidR="00193735" w:rsidRPr="003A7E00">
              <w:rPr>
                <w:rFonts w:eastAsia="SimSun" w:cstheme="minorHAnsi"/>
                <w:b/>
                <w:bCs/>
                <w:szCs w:val="22"/>
                <w:lang w:val="ru-RU"/>
              </w:rPr>
              <w:t xml:space="preserve"> ускорения цифровой трансформации данных и приложений </w:t>
            </w:r>
            <w:r w:rsidR="00DE57EC" w:rsidRPr="003A7E00">
              <w:rPr>
                <w:rFonts w:eastAsia="SimSun" w:cstheme="minorHAnsi"/>
                <w:b/>
                <w:bCs/>
                <w:szCs w:val="22"/>
                <w:lang w:val="ru-RU"/>
              </w:rPr>
              <w:t>в</w:t>
            </w:r>
            <w:r w:rsidR="00193735" w:rsidRPr="003A7E00">
              <w:rPr>
                <w:rFonts w:eastAsia="SimSun" w:cstheme="minorHAnsi"/>
                <w:b/>
                <w:bCs/>
                <w:szCs w:val="22"/>
                <w:lang w:val="ru-RU"/>
              </w:rPr>
              <w:t xml:space="preserve"> инфраструктур</w:t>
            </w:r>
            <w:r w:rsidR="00DE57EC" w:rsidRPr="003A7E00">
              <w:rPr>
                <w:rFonts w:eastAsia="SimSun" w:cstheme="minorHAnsi"/>
                <w:b/>
                <w:bCs/>
                <w:szCs w:val="22"/>
                <w:lang w:val="ru-RU"/>
              </w:rPr>
              <w:t>е</w:t>
            </w:r>
            <w:r w:rsidR="00193735" w:rsidRPr="003A7E00">
              <w:rPr>
                <w:rFonts w:eastAsia="SimSun" w:cstheme="minorHAnsi"/>
                <w:b/>
                <w:bCs/>
                <w:szCs w:val="22"/>
                <w:lang w:val="ru-RU"/>
              </w:rPr>
              <w:t xml:space="preserve"> электросвязи</w:t>
            </w:r>
            <w:r w:rsidR="00072E8C" w:rsidRPr="003A7E00">
              <w:rPr>
                <w:rFonts w:eastAsia="SimSun" w:cstheme="minorHAnsi"/>
                <w:b/>
                <w:bCs/>
                <w:szCs w:val="22"/>
                <w:lang w:val="ru-RU"/>
              </w:rPr>
              <w:t>"</w:t>
            </w:r>
            <w:r w:rsidR="00FB65EA" w:rsidRPr="003A7E00">
              <w:rPr>
                <w:rFonts w:eastAsia="SimSun" w:cstheme="minorHAnsi"/>
                <w:b/>
                <w:bCs/>
                <w:szCs w:val="22"/>
                <w:lang w:val="ru-RU"/>
              </w:rPr>
              <w:br/>
              <w:t>(</w:t>
            </w:r>
            <w:r w:rsidRPr="003A7E00">
              <w:rPr>
                <w:rFonts w:eastAsia="SimSun" w:cstheme="minorHAnsi"/>
                <w:b/>
                <w:bCs/>
                <w:szCs w:val="22"/>
                <w:lang w:val="ru-RU"/>
              </w:rPr>
              <w:t>Женева, Швейцария</w:t>
            </w:r>
            <w:r w:rsidR="003F3E50" w:rsidRPr="003A7E00">
              <w:rPr>
                <w:rFonts w:eastAsia="SimSun" w:cstheme="minorHAnsi"/>
                <w:b/>
                <w:bCs/>
                <w:szCs w:val="22"/>
                <w:lang w:val="ru-RU"/>
              </w:rPr>
              <w:t xml:space="preserve">, </w:t>
            </w:r>
            <w:r w:rsidRPr="003A7E00">
              <w:rPr>
                <w:rFonts w:eastAsia="SimSun" w:cstheme="minorHAnsi"/>
                <w:b/>
                <w:bCs/>
                <w:szCs w:val="22"/>
                <w:lang w:val="ru-RU"/>
              </w:rPr>
              <w:t>3–4</w:t>
            </w:r>
            <w:r w:rsidR="00C00FC8" w:rsidRPr="003A7E00">
              <w:rPr>
                <w:rFonts w:eastAsia="SimSun" w:cstheme="minorHAnsi"/>
                <w:b/>
                <w:bCs/>
                <w:szCs w:val="22"/>
                <w:lang w:val="en-GB"/>
              </w:rPr>
              <w:t> </w:t>
            </w:r>
            <w:r w:rsidRPr="003A7E00">
              <w:rPr>
                <w:rFonts w:eastAsia="SimSun" w:cstheme="minorHAnsi"/>
                <w:b/>
                <w:bCs/>
                <w:szCs w:val="22"/>
                <w:lang w:val="ru-RU"/>
              </w:rPr>
              <w:t>ноября</w:t>
            </w:r>
            <w:r w:rsidR="00C00FC8" w:rsidRPr="003A7E00">
              <w:rPr>
                <w:rFonts w:eastAsia="SimSun" w:cstheme="minorHAnsi"/>
                <w:b/>
                <w:bCs/>
                <w:szCs w:val="22"/>
                <w:lang w:val="ru-RU"/>
              </w:rPr>
              <w:t xml:space="preserve"> </w:t>
            </w:r>
            <w:r w:rsidR="003F3E50" w:rsidRPr="003A7E00">
              <w:rPr>
                <w:rFonts w:eastAsia="SimSun" w:cstheme="minorHAnsi"/>
                <w:b/>
                <w:bCs/>
                <w:szCs w:val="22"/>
                <w:lang w:val="ru-RU"/>
              </w:rPr>
              <w:t>202</w:t>
            </w:r>
            <w:r w:rsidRPr="003A7E00">
              <w:rPr>
                <w:rFonts w:eastAsia="SimSun" w:cstheme="minorHAnsi"/>
                <w:b/>
                <w:bCs/>
                <w:szCs w:val="22"/>
                <w:lang w:val="ru-RU"/>
              </w:rPr>
              <w:t>2</w:t>
            </w:r>
            <w:r w:rsidR="00A677CF" w:rsidRPr="003A7E00">
              <w:rPr>
                <w:rFonts w:eastAsia="SimSun" w:cstheme="minorHAnsi"/>
                <w:b/>
                <w:bCs/>
                <w:szCs w:val="22"/>
                <w:lang w:val="en-GB"/>
              </w:rPr>
              <w:t> </w:t>
            </w:r>
            <w:r w:rsidR="003F3E50" w:rsidRPr="003A7E00">
              <w:rPr>
                <w:rFonts w:eastAsia="SimSun" w:cstheme="minorHAnsi"/>
                <w:b/>
                <w:bCs/>
                <w:szCs w:val="22"/>
                <w:lang w:val="ru-RU"/>
              </w:rPr>
              <w:t>г</w:t>
            </w:r>
            <w:r w:rsidR="00632161" w:rsidRPr="003A7E00">
              <w:rPr>
                <w:rFonts w:eastAsia="SimSun" w:cstheme="minorHAnsi"/>
                <w:b/>
                <w:bCs/>
                <w:szCs w:val="22"/>
                <w:lang w:val="ru-RU"/>
              </w:rPr>
              <w:t>.</w:t>
            </w:r>
            <w:r w:rsidR="00FB65EA" w:rsidRPr="003A7E00">
              <w:rPr>
                <w:rFonts w:eastAsia="SimSun" w:cstheme="minorHAnsi"/>
                <w:b/>
                <w:bCs/>
                <w:szCs w:val="22"/>
                <w:lang w:val="ru-RU"/>
              </w:rPr>
              <w:t>)</w:t>
            </w:r>
          </w:p>
        </w:tc>
      </w:tr>
    </w:tbl>
    <w:p w14:paraId="0D04B215" w14:textId="7B73F4C3" w:rsidR="00514426" w:rsidRPr="003A7E00" w:rsidRDefault="00514426" w:rsidP="006620A7">
      <w:pPr>
        <w:spacing w:before="480"/>
        <w:jc w:val="left"/>
        <w:rPr>
          <w:rFonts w:cstheme="minorHAnsi"/>
          <w:szCs w:val="22"/>
          <w:lang w:val="ru-RU"/>
        </w:rPr>
      </w:pPr>
      <w:r w:rsidRPr="003A7E00">
        <w:rPr>
          <w:rFonts w:cstheme="minorHAnsi"/>
          <w:szCs w:val="22"/>
          <w:lang w:val="ru-RU"/>
        </w:rPr>
        <w:t>Уважаемая госпожа,</w:t>
      </w:r>
      <w:r w:rsidRPr="003A7E00">
        <w:rPr>
          <w:rFonts w:cstheme="minorHAnsi"/>
          <w:szCs w:val="22"/>
          <w:lang w:val="ru-RU"/>
        </w:rPr>
        <w:br/>
      </w:r>
      <w:r w:rsidR="009C2978" w:rsidRPr="003A7E00">
        <w:rPr>
          <w:rFonts w:cstheme="minorHAnsi"/>
          <w:szCs w:val="22"/>
          <w:lang w:val="ru-RU"/>
        </w:rPr>
        <w:t xml:space="preserve">уважаемый </w:t>
      </w:r>
      <w:r w:rsidRPr="003A7E00">
        <w:rPr>
          <w:rFonts w:cstheme="minorHAnsi"/>
          <w:szCs w:val="22"/>
          <w:lang w:val="ru-RU"/>
        </w:rPr>
        <w:t>господин,</w:t>
      </w:r>
    </w:p>
    <w:p w14:paraId="0484E2E2" w14:textId="5448AFFA" w:rsidR="00C70455" w:rsidRPr="003A7E00" w:rsidRDefault="00C70455" w:rsidP="00AC1B8D">
      <w:pPr>
        <w:rPr>
          <w:rFonts w:cstheme="minorHAnsi"/>
          <w:szCs w:val="22"/>
          <w:lang w:val="ru-RU"/>
        </w:rPr>
      </w:pPr>
      <w:r w:rsidRPr="003A7E00">
        <w:rPr>
          <w:rFonts w:cstheme="minorHAnsi"/>
          <w:szCs w:val="22"/>
          <w:lang w:val="ru-RU"/>
        </w:rPr>
        <w:t>1</w:t>
      </w:r>
      <w:r w:rsidRPr="003A7E00">
        <w:rPr>
          <w:rFonts w:cstheme="minorHAnsi"/>
          <w:szCs w:val="22"/>
          <w:lang w:val="ru-RU"/>
        </w:rPr>
        <w:tab/>
      </w:r>
      <w:r w:rsidR="00193735" w:rsidRPr="003A7E00">
        <w:rPr>
          <w:rFonts w:cstheme="minorHAnsi"/>
          <w:color w:val="000000"/>
          <w:szCs w:val="22"/>
          <w:shd w:val="clear" w:color="auto" w:fill="FFFFFF"/>
          <w:lang w:val="ru-RU"/>
        </w:rPr>
        <w:t>Международный союз электросвязи</w:t>
      </w:r>
      <w:r w:rsidR="00193735" w:rsidRPr="003A7E00">
        <w:rPr>
          <w:rFonts w:cstheme="minorHAnsi"/>
          <w:szCs w:val="22"/>
          <w:lang w:val="ru-RU"/>
        </w:rPr>
        <w:t xml:space="preserve"> </w:t>
      </w:r>
      <w:r w:rsidRPr="003A7E00">
        <w:rPr>
          <w:rFonts w:cstheme="minorHAnsi"/>
          <w:szCs w:val="22"/>
          <w:lang w:val="ru-RU"/>
        </w:rPr>
        <w:t>(</w:t>
      </w:r>
      <w:r w:rsidR="00193735" w:rsidRPr="003A7E00">
        <w:rPr>
          <w:rFonts w:cstheme="minorHAnsi"/>
          <w:szCs w:val="22"/>
          <w:lang w:val="ru-RU"/>
        </w:rPr>
        <w:t>МСЭ</w:t>
      </w:r>
      <w:r w:rsidRPr="003A7E00">
        <w:rPr>
          <w:rFonts w:cstheme="minorHAnsi"/>
          <w:szCs w:val="22"/>
          <w:lang w:val="ru-RU"/>
        </w:rPr>
        <w:t xml:space="preserve">) </w:t>
      </w:r>
      <w:r w:rsidR="00964370" w:rsidRPr="003A7E00">
        <w:rPr>
          <w:rFonts w:cstheme="minorHAnsi"/>
          <w:szCs w:val="22"/>
          <w:lang w:val="ru-RU"/>
        </w:rPr>
        <w:t xml:space="preserve">организует </w:t>
      </w:r>
      <w:r w:rsidR="00193735" w:rsidRPr="003A7E00">
        <w:rPr>
          <w:rFonts w:cstheme="minorHAnsi"/>
          <w:szCs w:val="22"/>
          <w:lang w:val="ru-RU"/>
        </w:rPr>
        <w:t>семинар-практикум</w:t>
      </w:r>
      <w:r w:rsidRPr="003A7E00">
        <w:rPr>
          <w:rFonts w:cstheme="minorHAnsi"/>
          <w:szCs w:val="22"/>
          <w:lang w:val="ru-RU"/>
        </w:rPr>
        <w:t xml:space="preserve"> "</w:t>
      </w:r>
      <w:r w:rsidR="00193735" w:rsidRPr="003A7E00">
        <w:rPr>
          <w:rFonts w:eastAsia="SimSun" w:cstheme="minorHAnsi"/>
          <w:b/>
          <w:bCs/>
          <w:szCs w:val="22"/>
          <w:lang w:val="ru-RU"/>
        </w:rPr>
        <w:t xml:space="preserve">Экономические и налоговые стимулы </w:t>
      </w:r>
      <w:r w:rsidR="00DE57EC" w:rsidRPr="003A7E00">
        <w:rPr>
          <w:rFonts w:eastAsia="SimSun" w:cstheme="minorHAnsi"/>
          <w:b/>
          <w:bCs/>
          <w:szCs w:val="22"/>
          <w:lang w:val="ru-RU"/>
        </w:rPr>
        <w:t>для</w:t>
      </w:r>
      <w:r w:rsidR="00193735" w:rsidRPr="003A7E00">
        <w:rPr>
          <w:rFonts w:eastAsia="SimSun" w:cstheme="minorHAnsi"/>
          <w:b/>
          <w:bCs/>
          <w:szCs w:val="22"/>
          <w:lang w:val="ru-RU"/>
        </w:rPr>
        <w:t xml:space="preserve"> ускорения цифровой трансформации данных и приложений </w:t>
      </w:r>
      <w:r w:rsidR="00DE57EC" w:rsidRPr="003A7E00">
        <w:rPr>
          <w:rFonts w:eastAsia="SimSun" w:cstheme="minorHAnsi"/>
          <w:b/>
          <w:bCs/>
          <w:szCs w:val="22"/>
          <w:lang w:val="ru-RU"/>
        </w:rPr>
        <w:t>в</w:t>
      </w:r>
      <w:r w:rsidR="00193735" w:rsidRPr="003A7E00">
        <w:rPr>
          <w:rFonts w:eastAsia="SimSun" w:cstheme="minorHAnsi"/>
          <w:b/>
          <w:bCs/>
          <w:szCs w:val="22"/>
          <w:lang w:val="ru-RU"/>
        </w:rPr>
        <w:t xml:space="preserve"> инфраструктур</w:t>
      </w:r>
      <w:r w:rsidR="00DE57EC" w:rsidRPr="003A7E00">
        <w:rPr>
          <w:rFonts w:eastAsia="SimSun" w:cstheme="minorHAnsi"/>
          <w:b/>
          <w:bCs/>
          <w:szCs w:val="22"/>
          <w:lang w:val="ru-RU"/>
        </w:rPr>
        <w:t>е</w:t>
      </w:r>
      <w:r w:rsidR="00193735" w:rsidRPr="003A7E00">
        <w:rPr>
          <w:rFonts w:eastAsia="SimSun" w:cstheme="minorHAnsi"/>
          <w:b/>
          <w:bCs/>
          <w:szCs w:val="22"/>
          <w:lang w:val="ru-RU"/>
        </w:rPr>
        <w:t xml:space="preserve"> электросвязи</w:t>
      </w:r>
      <w:r w:rsidRPr="003A7E00">
        <w:rPr>
          <w:rFonts w:cstheme="minorHAnsi"/>
          <w:szCs w:val="22"/>
          <w:lang w:val="ru-RU"/>
        </w:rPr>
        <w:t>"</w:t>
      </w:r>
      <w:r w:rsidR="00964370" w:rsidRPr="003A7E00">
        <w:rPr>
          <w:rFonts w:cstheme="minorHAnsi"/>
          <w:szCs w:val="22"/>
          <w:lang w:val="ru-RU"/>
        </w:rPr>
        <w:t>, который состоится</w:t>
      </w:r>
      <w:r w:rsidRPr="003A7E00">
        <w:rPr>
          <w:rFonts w:cstheme="minorHAnsi"/>
          <w:szCs w:val="22"/>
          <w:lang w:val="ru-RU"/>
        </w:rPr>
        <w:t xml:space="preserve"> </w:t>
      </w:r>
      <w:r w:rsidR="000036E7" w:rsidRPr="003A7E00">
        <w:rPr>
          <w:rFonts w:cstheme="minorHAnsi"/>
          <w:szCs w:val="22"/>
          <w:lang w:val="ru-RU"/>
        </w:rPr>
        <w:t>с</w:t>
      </w:r>
      <w:r w:rsidRPr="003A7E00">
        <w:rPr>
          <w:rFonts w:cstheme="minorHAnsi"/>
          <w:szCs w:val="22"/>
          <w:lang w:val="ru-RU"/>
        </w:rPr>
        <w:t xml:space="preserve"> 3 </w:t>
      </w:r>
      <w:r w:rsidR="000036E7" w:rsidRPr="003A7E00">
        <w:rPr>
          <w:rFonts w:cstheme="minorHAnsi"/>
          <w:szCs w:val="22"/>
          <w:lang w:val="ru-RU"/>
        </w:rPr>
        <w:t>по</w:t>
      </w:r>
      <w:r w:rsidRPr="003A7E00">
        <w:rPr>
          <w:rFonts w:cstheme="minorHAnsi"/>
          <w:szCs w:val="22"/>
          <w:lang w:val="ru-RU"/>
        </w:rPr>
        <w:t xml:space="preserve"> 4 </w:t>
      </w:r>
      <w:r w:rsidR="000036E7" w:rsidRPr="003A7E00">
        <w:rPr>
          <w:rFonts w:cstheme="minorHAnsi"/>
          <w:szCs w:val="22"/>
          <w:lang w:val="ru-RU"/>
        </w:rPr>
        <w:t>ноября</w:t>
      </w:r>
      <w:r w:rsidRPr="003A7E00">
        <w:rPr>
          <w:rFonts w:cstheme="minorHAnsi"/>
          <w:szCs w:val="22"/>
          <w:lang w:val="ru-RU"/>
        </w:rPr>
        <w:t xml:space="preserve"> 2022</w:t>
      </w:r>
      <w:r w:rsidR="000036E7" w:rsidRPr="003A7E00">
        <w:rPr>
          <w:rFonts w:cstheme="minorHAnsi"/>
          <w:szCs w:val="22"/>
          <w:lang w:val="ru-RU"/>
        </w:rPr>
        <w:t xml:space="preserve"> года</w:t>
      </w:r>
      <w:r w:rsidRPr="003A7E00">
        <w:rPr>
          <w:rFonts w:cstheme="minorHAnsi"/>
          <w:szCs w:val="22"/>
          <w:lang w:val="ru-RU"/>
        </w:rPr>
        <w:t xml:space="preserve"> </w:t>
      </w:r>
      <w:r w:rsidR="00193735" w:rsidRPr="003A7E00">
        <w:rPr>
          <w:rFonts w:cstheme="minorHAnsi"/>
          <w:szCs w:val="22"/>
          <w:lang w:val="ru-RU"/>
        </w:rPr>
        <w:t>в штаб-квартире МСЭ</w:t>
      </w:r>
      <w:r w:rsidRPr="003A7E00">
        <w:rPr>
          <w:rFonts w:cstheme="minorHAnsi"/>
          <w:szCs w:val="22"/>
          <w:lang w:val="ru-RU"/>
        </w:rPr>
        <w:t xml:space="preserve"> </w:t>
      </w:r>
      <w:r w:rsidR="000036E7" w:rsidRPr="003A7E00">
        <w:rPr>
          <w:rFonts w:cstheme="minorHAnsi"/>
          <w:spacing w:val="-2"/>
          <w:szCs w:val="22"/>
          <w:lang w:val="ru-RU"/>
        </w:rPr>
        <w:t>в Женеве, Швейцария</w:t>
      </w:r>
      <w:r w:rsidRPr="003A7E00">
        <w:rPr>
          <w:rFonts w:cstheme="minorHAnsi"/>
          <w:szCs w:val="22"/>
          <w:lang w:val="ru-RU"/>
        </w:rPr>
        <w:t xml:space="preserve">. </w:t>
      </w:r>
      <w:r w:rsidR="000036E7" w:rsidRPr="003A7E00">
        <w:rPr>
          <w:rFonts w:cstheme="minorHAnsi"/>
          <w:spacing w:val="-2"/>
          <w:szCs w:val="22"/>
          <w:lang w:val="ru-RU"/>
        </w:rPr>
        <w:t xml:space="preserve">Семинар-практикум </w:t>
      </w:r>
      <w:r w:rsidR="00964370" w:rsidRPr="003A7E00">
        <w:rPr>
          <w:rFonts w:cstheme="minorHAnsi"/>
          <w:spacing w:val="-2"/>
          <w:szCs w:val="22"/>
          <w:lang w:val="ru-RU"/>
        </w:rPr>
        <w:t xml:space="preserve">будет </w:t>
      </w:r>
      <w:r w:rsidR="00964370" w:rsidRPr="003A7E00">
        <w:rPr>
          <w:rFonts w:cstheme="minorHAnsi"/>
          <w:szCs w:val="22"/>
          <w:lang w:val="ru-RU"/>
        </w:rPr>
        <w:t xml:space="preserve">проведен </w:t>
      </w:r>
      <w:r w:rsidR="000036E7" w:rsidRPr="003A7E00">
        <w:rPr>
          <w:rFonts w:cstheme="minorHAnsi"/>
          <w:spacing w:val="-2"/>
          <w:szCs w:val="22"/>
          <w:lang w:val="ru-RU"/>
        </w:rPr>
        <w:t>в очном формате с возможностью дистанционного участия.</w:t>
      </w:r>
    </w:p>
    <w:p w14:paraId="7C462E88" w14:textId="0D42AB68" w:rsidR="004F315B" w:rsidRPr="003A7E00" w:rsidRDefault="00193735" w:rsidP="00AC1B8D">
      <w:pPr>
        <w:rPr>
          <w:rFonts w:cstheme="minorHAnsi"/>
          <w:spacing w:val="-2"/>
          <w:szCs w:val="22"/>
          <w:lang w:val="ru-RU"/>
        </w:rPr>
      </w:pPr>
      <w:r w:rsidRPr="003A7E00">
        <w:rPr>
          <w:rFonts w:cstheme="minorHAnsi"/>
          <w:spacing w:val="-2"/>
          <w:szCs w:val="22"/>
          <w:lang w:val="ru-RU"/>
        </w:rPr>
        <w:t>Данный семинар-практикум будет проводиться только на английском языке с вводом субтитров в режиме реального времени</w:t>
      </w:r>
      <w:r w:rsidR="00C70455" w:rsidRPr="003A7E00">
        <w:rPr>
          <w:rFonts w:cstheme="minorHAnsi"/>
          <w:spacing w:val="-2"/>
          <w:szCs w:val="22"/>
          <w:lang w:val="ru-RU"/>
        </w:rPr>
        <w:t xml:space="preserve">, </w:t>
      </w:r>
      <w:r w:rsidR="00635300" w:rsidRPr="003A7E00">
        <w:rPr>
          <w:rFonts w:cstheme="minorHAnsi"/>
          <w:spacing w:val="-2"/>
          <w:szCs w:val="22"/>
          <w:lang w:val="ru-RU"/>
        </w:rPr>
        <w:t xml:space="preserve">а </w:t>
      </w:r>
      <w:r w:rsidRPr="003A7E00">
        <w:rPr>
          <w:rFonts w:cstheme="minorHAnsi"/>
          <w:spacing w:val="-2"/>
          <w:szCs w:val="22"/>
          <w:lang w:val="ru-RU"/>
        </w:rPr>
        <w:t xml:space="preserve">затем </w:t>
      </w:r>
      <w:r w:rsidR="004F315B" w:rsidRPr="003A7E00">
        <w:rPr>
          <w:rFonts w:cstheme="minorHAnsi"/>
          <w:spacing w:val="-2"/>
          <w:szCs w:val="22"/>
          <w:lang w:val="ru-RU"/>
        </w:rPr>
        <w:t xml:space="preserve">с 7 по 10 ноября 2022 года </w:t>
      </w:r>
      <w:r w:rsidRPr="003A7E00">
        <w:rPr>
          <w:rFonts w:cstheme="minorHAnsi"/>
          <w:spacing w:val="-2"/>
          <w:szCs w:val="22"/>
          <w:lang w:val="ru-RU"/>
        </w:rPr>
        <w:t xml:space="preserve">состоится </w:t>
      </w:r>
      <w:r w:rsidR="004F315B" w:rsidRPr="003A7E00">
        <w:rPr>
          <w:rFonts w:cstheme="minorHAnsi"/>
          <w:spacing w:val="-2"/>
          <w:szCs w:val="22"/>
          <w:lang w:val="ru-RU"/>
        </w:rPr>
        <w:t xml:space="preserve">ряд собраний </w:t>
      </w:r>
      <w:r w:rsidR="00964370" w:rsidRPr="003A7E00">
        <w:rPr>
          <w:rFonts w:cstheme="minorHAnsi"/>
          <w:spacing w:val="-2"/>
          <w:szCs w:val="22"/>
          <w:lang w:val="ru-RU"/>
        </w:rPr>
        <w:t xml:space="preserve">групп </w:t>
      </w:r>
      <w:r w:rsidR="004F315B" w:rsidRPr="003A7E00">
        <w:rPr>
          <w:rFonts w:cstheme="minorHAnsi"/>
          <w:spacing w:val="-2"/>
          <w:szCs w:val="22"/>
          <w:lang w:val="ru-RU"/>
        </w:rPr>
        <w:t>Докладчик</w:t>
      </w:r>
      <w:r w:rsidR="00964370" w:rsidRPr="003A7E00">
        <w:rPr>
          <w:rFonts w:cstheme="minorHAnsi"/>
          <w:spacing w:val="-2"/>
          <w:szCs w:val="22"/>
          <w:lang w:val="ru-RU"/>
        </w:rPr>
        <w:t>ов</w:t>
      </w:r>
      <w:r w:rsidR="004F315B" w:rsidRPr="003A7E00">
        <w:rPr>
          <w:rFonts w:cstheme="minorHAnsi"/>
          <w:spacing w:val="-2"/>
          <w:szCs w:val="22"/>
          <w:lang w:val="ru-RU"/>
        </w:rPr>
        <w:t xml:space="preserve"> </w:t>
      </w:r>
      <w:hyperlink r:id="rId9" w:history="1">
        <w:r w:rsidR="004F315B" w:rsidRPr="003A7E00">
          <w:rPr>
            <w:rStyle w:val="Hyperlink"/>
            <w:rFonts w:cstheme="minorHAnsi"/>
            <w:szCs w:val="22"/>
            <w:lang w:val="ru-RU"/>
          </w:rPr>
          <w:t>3-й Исследовательской комиссии МСЭ-</w:t>
        </w:r>
        <w:r w:rsidR="004F315B" w:rsidRPr="003A7E00">
          <w:rPr>
            <w:rStyle w:val="Hyperlink"/>
            <w:rFonts w:cstheme="minorHAnsi"/>
            <w:szCs w:val="22"/>
          </w:rPr>
          <w:t>T</w:t>
        </w:r>
      </w:hyperlink>
      <w:r w:rsidR="00C70455" w:rsidRPr="003A7E00">
        <w:rPr>
          <w:rFonts w:cstheme="minorHAnsi"/>
          <w:spacing w:val="-2"/>
          <w:szCs w:val="22"/>
          <w:lang w:val="ru-RU"/>
        </w:rPr>
        <w:t xml:space="preserve"> </w:t>
      </w:r>
      <w:r w:rsidR="004F315B" w:rsidRPr="003A7E00">
        <w:rPr>
          <w:rFonts w:cstheme="minorHAnsi"/>
          <w:spacing w:val="-2"/>
          <w:szCs w:val="22"/>
          <w:lang w:val="ru-RU"/>
        </w:rPr>
        <w:t>и</w:t>
      </w:r>
      <w:r w:rsidR="00C70455" w:rsidRPr="003A7E00">
        <w:rPr>
          <w:rFonts w:cstheme="minorHAnsi"/>
          <w:spacing w:val="-2"/>
          <w:szCs w:val="22"/>
          <w:lang w:val="ru-RU"/>
        </w:rPr>
        <w:t xml:space="preserve"> </w:t>
      </w:r>
      <w:r w:rsidR="004F315B" w:rsidRPr="003A7E00">
        <w:rPr>
          <w:rFonts w:cstheme="minorHAnsi"/>
          <w:szCs w:val="22"/>
          <w:lang w:val="ru-RU"/>
        </w:rPr>
        <w:t xml:space="preserve">11 ноября </w:t>
      </w:r>
      <w:r w:rsidR="004F315B" w:rsidRPr="003A7E00">
        <w:rPr>
          <w:rFonts w:cstheme="minorHAnsi"/>
          <w:spacing w:val="-2"/>
          <w:szCs w:val="22"/>
          <w:lang w:val="ru-RU"/>
        </w:rPr>
        <w:t xml:space="preserve">2022 года </w:t>
      </w:r>
      <w:r w:rsidR="004F315B" w:rsidRPr="003A7E00">
        <w:rPr>
          <w:rFonts w:cstheme="minorHAnsi"/>
          <w:szCs w:val="22"/>
          <w:lang w:val="ru-RU"/>
        </w:rPr>
        <w:t xml:space="preserve">там же </w:t>
      </w:r>
      <w:r w:rsidR="004F315B" w:rsidRPr="003A7E00">
        <w:rPr>
          <w:rFonts w:cstheme="minorHAnsi"/>
          <w:spacing w:val="-2"/>
          <w:szCs w:val="22"/>
          <w:lang w:val="ru-RU"/>
        </w:rPr>
        <w:t xml:space="preserve">состоится пленарное </w:t>
      </w:r>
      <w:r w:rsidR="00964370" w:rsidRPr="003A7E00">
        <w:rPr>
          <w:rFonts w:cstheme="minorHAnsi"/>
          <w:spacing w:val="-2"/>
          <w:szCs w:val="22"/>
          <w:lang w:val="ru-RU"/>
        </w:rPr>
        <w:t xml:space="preserve">заседание </w:t>
      </w:r>
      <w:r w:rsidR="004F315B" w:rsidRPr="003A7E00">
        <w:rPr>
          <w:rFonts w:cstheme="minorHAnsi"/>
          <w:spacing w:val="-2"/>
          <w:szCs w:val="22"/>
          <w:lang w:val="ru-RU"/>
        </w:rPr>
        <w:t>ИК3 МС</w:t>
      </w:r>
      <w:r w:rsidR="004F315B" w:rsidRPr="003A7E00">
        <w:rPr>
          <w:rFonts w:cstheme="minorHAnsi"/>
          <w:szCs w:val="22"/>
          <w:lang w:val="ru-RU"/>
        </w:rPr>
        <w:t>Э-Т</w:t>
      </w:r>
      <w:r w:rsidR="00C70455" w:rsidRPr="003A7E00">
        <w:rPr>
          <w:rFonts w:cstheme="minorHAnsi"/>
          <w:spacing w:val="-2"/>
          <w:szCs w:val="22"/>
          <w:lang w:val="ru-RU"/>
        </w:rPr>
        <w:t>.</w:t>
      </w:r>
    </w:p>
    <w:p w14:paraId="26E8FF4A" w14:textId="10063776" w:rsidR="00C70455" w:rsidRPr="003A7E00" w:rsidRDefault="00C70455" w:rsidP="00AC1B8D">
      <w:pPr>
        <w:rPr>
          <w:rFonts w:cstheme="minorHAnsi"/>
          <w:szCs w:val="22"/>
          <w:lang w:val="ru-RU"/>
        </w:rPr>
      </w:pPr>
      <w:r w:rsidRPr="003A7E00">
        <w:rPr>
          <w:rFonts w:cstheme="minorHAnsi"/>
          <w:szCs w:val="22"/>
          <w:lang w:val="ru-RU"/>
        </w:rPr>
        <w:t>2</w:t>
      </w:r>
      <w:r w:rsidRPr="003A7E00">
        <w:rPr>
          <w:rFonts w:cstheme="minorHAnsi"/>
          <w:szCs w:val="22"/>
          <w:lang w:val="ru-RU"/>
        </w:rPr>
        <w:tab/>
      </w:r>
      <w:r w:rsidR="00AC1B8D" w:rsidRPr="003A7E00">
        <w:rPr>
          <w:rFonts w:cstheme="minorHAnsi"/>
          <w:szCs w:val="22"/>
          <w:lang w:val="ru-RU"/>
        </w:rPr>
        <w:t xml:space="preserve">В </w:t>
      </w:r>
      <w:r w:rsidR="00C3135D" w:rsidRPr="003A7E00">
        <w:rPr>
          <w:rFonts w:cstheme="minorHAnsi"/>
          <w:szCs w:val="22"/>
          <w:lang w:val="ru-RU"/>
        </w:rPr>
        <w:t>семинаре-практикуме</w:t>
      </w:r>
      <w:r w:rsidR="00AC1B8D" w:rsidRPr="003A7E00">
        <w:rPr>
          <w:rFonts w:cstheme="minorHAnsi"/>
          <w:szCs w:val="22"/>
          <w:lang w:val="ru-RU"/>
        </w:rPr>
        <w:t xml:space="preserve"> могут принять участие Государства – Члены МСЭ, Члены Сектора, Ассоциированные члены, Академические организации и любое лицо из страны, являющейся Членом МСЭ, которое пожелает внести свой вклад в его работу. К таким лицам относятся также члены международных, региональных и национальных организаций. Участие является бесплатным.</w:t>
      </w:r>
    </w:p>
    <w:p w14:paraId="539677D9" w14:textId="09B1FB43" w:rsidR="00C70455" w:rsidRPr="003A7E00" w:rsidRDefault="00C70455" w:rsidP="00AC1B8D">
      <w:pPr>
        <w:rPr>
          <w:rFonts w:cstheme="minorHAnsi"/>
          <w:szCs w:val="22"/>
          <w:lang w:val="ru-RU"/>
        </w:rPr>
      </w:pPr>
      <w:r w:rsidRPr="003A7E00">
        <w:rPr>
          <w:rFonts w:cstheme="minorHAnsi"/>
          <w:szCs w:val="22"/>
          <w:lang w:val="ru-RU"/>
        </w:rPr>
        <w:t>3</w:t>
      </w:r>
      <w:r w:rsidRPr="003A7E00">
        <w:rPr>
          <w:rFonts w:cstheme="minorHAnsi"/>
          <w:szCs w:val="22"/>
          <w:lang w:val="ru-RU"/>
        </w:rPr>
        <w:tab/>
      </w:r>
      <w:r w:rsidR="00DE57EC" w:rsidRPr="003A7E00">
        <w:rPr>
          <w:rFonts w:cstheme="minorHAnsi"/>
          <w:szCs w:val="22"/>
          <w:lang w:val="ru-RU"/>
        </w:rPr>
        <w:t xml:space="preserve">Основная цель </w:t>
      </w:r>
      <w:r w:rsidR="00964370" w:rsidRPr="003A7E00">
        <w:rPr>
          <w:rFonts w:cstheme="minorHAnsi"/>
          <w:szCs w:val="22"/>
          <w:lang w:val="ru-RU"/>
        </w:rPr>
        <w:t>семинара-</w:t>
      </w:r>
      <w:r w:rsidR="00DE57EC" w:rsidRPr="003A7E00">
        <w:rPr>
          <w:rFonts w:cstheme="minorHAnsi"/>
          <w:szCs w:val="22"/>
          <w:lang w:val="ru-RU"/>
        </w:rPr>
        <w:t>практикума заключается в обсуждении экономических и налоговых стимулов для ускорения цифровой трансформации данных и приложений в инфраструктуре электросвязи в контексте ново</w:t>
      </w:r>
      <w:r w:rsidR="00964370" w:rsidRPr="003A7E00">
        <w:rPr>
          <w:rFonts w:cstheme="minorHAnsi"/>
          <w:szCs w:val="22"/>
          <w:lang w:val="ru-RU"/>
        </w:rPr>
        <w:t>й системы</w:t>
      </w:r>
      <w:r w:rsidR="00DE57EC" w:rsidRPr="003A7E00">
        <w:rPr>
          <w:rFonts w:cstheme="minorHAnsi"/>
          <w:szCs w:val="22"/>
          <w:lang w:val="ru-RU"/>
        </w:rPr>
        <w:t xml:space="preserve"> налогообложения в цифровой экономике, международной координации</w:t>
      </w:r>
      <w:r w:rsidR="00964370" w:rsidRPr="003A7E00">
        <w:rPr>
          <w:rFonts w:cstheme="minorHAnsi"/>
          <w:szCs w:val="22"/>
          <w:lang w:val="ru-RU"/>
        </w:rPr>
        <w:t xml:space="preserve"> в этой сфере</w:t>
      </w:r>
      <w:r w:rsidR="00DE57EC" w:rsidRPr="003A7E00">
        <w:rPr>
          <w:rFonts w:cstheme="minorHAnsi"/>
          <w:szCs w:val="22"/>
          <w:lang w:val="ru-RU"/>
        </w:rPr>
        <w:t xml:space="preserve"> и мнений представителей отрасли, научных кругов и общества. Цель заключается в том, чтобы внести ясность и получить от соответствующих организаций новую информацию по этим экономическим, фискальным и политическим аспектам.</w:t>
      </w:r>
      <w:r w:rsidRPr="003A7E00">
        <w:rPr>
          <w:rFonts w:cstheme="minorHAnsi"/>
          <w:szCs w:val="22"/>
          <w:lang w:val="ru-RU"/>
        </w:rPr>
        <w:t xml:space="preserve"> </w:t>
      </w:r>
      <w:r w:rsidR="00AC1B8D" w:rsidRPr="003A7E00">
        <w:rPr>
          <w:rFonts w:cstheme="minorHAnsi"/>
          <w:szCs w:val="22"/>
          <w:lang w:val="ru-RU"/>
        </w:rPr>
        <w:t xml:space="preserve">Это семинар-практикум дает возможность собрать вместе </w:t>
      </w:r>
      <w:r w:rsidR="00964370" w:rsidRPr="003A7E00">
        <w:rPr>
          <w:rFonts w:cstheme="minorHAnsi"/>
          <w:szCs w:val="22"/>
          <w:lang w:val="ru-RU"/>
        </w:rPr>
        <w:t>экспертов</w:t>
      </w:r>
      <w:r w:rsidR="00AC1B8D" w:rsidRPr="003A7E00">
        <w:rPr>
          <w:rFonts w:cstheme="minorHAnsi"/>
          <w:szCs w:val="22"/>
          <w:lang w:val="ru-RU"/>
        </w:rPr>
        <w:t xml:space="preserve"> из разных областей для обмена мнениями и </w:t>
      </w:r>
      <w:r w:rsidR="00AC1B8D" w:rsidRPr="003A7E00">
        <w:rPr>
          <w:rFonts w:cstheme="minorHAnsi"/>
          <w:szCs w:val="22"/>
          <w:lang w:val="ru-RU"/>
        </w:rPr>
        <w:lastRenderedPageBreak/>
        <w:t>информацией о последних событиях в этой сфере с целью развития международного сотрудничества и международной координации</w:t>
      </w:r>
      <w:r w:rsidRPr="003A7E00">
        <w:rPr>
          <w:rFonts w:cstheme="minorHAnsi"/>
          <w:szCs w:val="22"/>
          <w:lang w:val="ru-RU"/>
        </w:rPr>
        <w:t>.</w:t>
      </w:r>
    </w:p>
    <w:p w14:paraId="4E80A1FD" w14:textId="73EFEA77" w:rsidR="00C70455" w:rsidRPr="003A7E00" w:rsidRDefault="003178FF" w:rsidP="00C70455">
      <w:pPr>
        <w:tabs>
          <w:tab w:val="left" w:pos="900"/>
        </w:tabs>
        <w:rPr>
          <w:rFonts w:cstheme="minorHAnsi"/>
          <w:szCs w:val="22"/>
          <w:lang w:val="ru-RU"/>
        </w:rPr>
      </w:pPr>
      <w:r w:rsidRPr="003A7E00">
        <w:rPr>
          <w:rFonts w:cstheme="minorHAnsi"/>
          <w:szCs w:val="22"/>
          <w:lang w:val="ru-RU"/>
        </w:rPr>
        <w:t>Семинар-практикум</w:t>
      </w:r>
      <w:r w:rsidR="00DE57EC" w:rsidRPr="003A7E00">
        <w:rPr>
          <w:rFonts w:cstheme="minorHAnsi"/>
          <w:szCs w:val="22"/>
          <w:lang w:val="ru-RU"/>
        </w:rPr>
        <w:t xml:space="preserve"> послужит пл</w:t>
      </w:r>
      <w:r w:rsidR="00F31DF7" w:rsidRPr="003A7E00">
        <w:rPr>
          <w:rFonts w:cstheme="minorHAnsi"/>
          <w:szCs w:val="22"/>
          <w:lang w:val="ru-RU"/>
        </w:rPr>
        <w:t xml:space="preserve">ощадкой </w:t>
      </w:r>
      <w:r w:rsidR="00DE57EC" w:rsidRPr="003A7E00">
        <w:rPr>
          <w:rFonts w:cstheme="minorHAnsi"/>
          <w:szCs w:val="22"/>
          <w:lang w:val="ru-RU"/>
        </w:rPr>
        <w:t xml:space="preserve">для дискуссий </w:t>
      </w:r>
      <w:r w:rsidRPr="003A7E00">
        <w:rPr>
          <w:rFonts w:cstheme="minorHAnsi"/>
          <w:szCs w:val="22"/>
          <w:lang w:val="ru-RU"/>
        </w:rPr>
        <w:t>с участием</w:t>
      </w:r>
      <w:r w:rsidR="00DE57EC" w:rsidRPr="003A7E00">
        <w:rPr>
          <w:rFonts w:cstheme="minorHAnsi"/>
          <w:szCs w:val="22"/>
          <w:lang w:val="ru-RU"/>
        </w:rPr>
        <w:t xml:space="preserve"> </w:t>
      </w:r>
      <w:r w:rsidRPr="003A7E00">
        <w:rPr>
          <w:rFonts w:cstheme="minorHAnsi"/>
          <w:szCs w:val="22"/>
          <w:lang w:val="ru-RU"/>
        </w:rPr>
        <w:t xml:space="preserve">представителей </w:t>
      </w:r>
      <w:r w:rsidR="00DE57EC" w:rsidRPr="003A7E00">
        <w:rPr>
          <w:rFonts w:cstheme="minorHAnsi"/>
          <w:szCs w:val="22"/>
          <w:lang w:val="ru-RU"/>
        </w:rPr>
        <w:t>директивны</w:t>
      </w:r>
      <w:r w:rsidRPr="003A7E00">
        <w:rPr>
          <w:rFonts w:cstheme="minorHAnsi"/>
          <w:szCs w:val="22"/>
          <w:lang w:val="ru-RU"/>
        </w:rPr>
        <w:t>х</w:t>
      </w:r>
      <w:r w:rsidR="00DE57EC" w:rsidRPr="003A7E00">
        <w:rPr>
          <w:rFonts w:cstheme="minorHAnsi"/>
          <w:szCs w:val="22"/>
          <w:lang w:val="ru-RU"/>
        </w:rPr>
        <w:t xml:space="preserve"> </w:t>
      </w:r>
      <w:r w:rsidR="00964370" w:rsidRPr="003A7E00">
        <w:rPr>
          <w:rFonts w:cstheme="minorHAnsi"/>
          <w:szCs w:val="22"/>
          <w:lang w:val="ru-RU"/>
        </w:rPr>
        <w:t xml:space="preserve">и регуляторных </w:t>
      </w:r>
      <w:r w:rsidR="00DE57EC" w:rsidRPr="003A7E00">
        <w:rPr>
          <w:rFonts w:cstheme="minorHAnsi"/>
          <w:szCs w:val="22"/>
          <w:lang w:val="ru-RU"/>
        </w:rPr>
        <w:t>орган</w:t>
      </w:r>
      <w:r w:rsidRPr="003A7E00">
        <w:rPr>
          <w:rFonts w:cstheme="minorHAnsi"/>
          <w:szCs w:val="22"/>
          <w:lang w:val="ru-RU"/>
        </w:rPr>
        <w:t>ов</w:t>
      </w:r>
      <w:r w:rsidR="00DE57EC" w:rsidRPr="003A7E00">
        <w:rPr>
          <w:rFonts w:cstheme="minorHAnsi"/>
          <w:szCs w:val="22"/>
          <w:lang w:val="ru-RU"/>
        </w:rPr>
        <w:t>, экономист</w:t>
      </w:r>
      <w:r w:rsidRPr="003A7E00">
        <w:rPr>
          <w:rFonts w:cstheme="minorHAnsi"/>
          <w:szCs w:val="22"/>
          <w:lang w:val="ru-RU"/>
        </w:rPr>
        <w:t>ов</w:t>
      </w:r>
      <w:r w:rsidR="00DE57EC" w:rsidRPr="003A7E00">
        <w:rPr>
          <w:rFonts w:cstheme="minorHAnsi"/>
          <w:szCs w:val="22"/>
          <w:lang w:val="ru-RU"/>
        </w:rPr>
        <w:t>, эксперт</w:t>
      </w:r>
      <w:r w:rsidRPr="003A7E00">
        <w:rPr>
          <w:rFonts w:cstheme="minorHAnsi"/>
          <w:szCs w:val="22"/>
          <w:lang w:val="ru-RU"/>
        </w:rPr>
        <w:t>ов</w:t>
      </w:r>
      <w:r w:rsidR="00DE57EC" w:rsidRPr="003A7E00">
        <w:rPr>
          <w:rFonts w:cstheme="minorHAnsi"/>
          <w:szCs w:val="22"/>
          <w:lang w:val="ru-RU"/>
        </w:rPr>
        <w:t xml:space="preserve"> по стандартизации, эксперт</w:t>
      </w:r>
      <w:r w:rsidRPr="003A7E00">
        <w:rPr>
          <w:rFonts w:cstheme="minorHAnsi"/>
          <w:szCs w:val="22"/>
          <w:lang w:val="ru-RU"/>
        </w:rPr>
        <w:t>ов</w:t>
      </w:r>
      <w:r w:rsidR="00DE57EC" w:rsidRPr="003A7E00">
        <w:rPr>
          <w:rFonts w:cstheme="minorHAnsi"/>
          <w:szCs w:val="22"/>
          <w:lang w:val="ru-RU"/>
        </w:rPr>
        <w:t xml:space="preserve"> по вопросам налогообложения и други</w:t>
      </w:r>
      <w:r w:rsidRPr="003A7E00">
        <w:rPr>
          <w:rFonts w:cstheme="minorHAnsi"/>
          <w:szCs w:val="22"/>
          <w:lang w:val="ru-RU"/>
        </w:rPr>
        <w:t>х</w:t>
      </w:r>
      <w:r w:rsidR="00DE57EC" w:rsidRPr="003A7E00">
        <w:rPr>
          <w:rFonts w:cstheme="minorHAnsi"/>
          <w:szCs w:val="22"/>
          <w:lang w:val="ru-RU"/>
        </w:rPr>
        <w:t xml:space="preserve"> заинтересованны</w:t>
      </w:r>
      <w:r w:rsidRPr="003A7E00">
        <w:rPr>
          <w:rFonts w:cstheme="minorHAnsi"/>
          <w:szCs w:val="22"/>
          <w:lang w:val="ru-RU"/>
        </w:rPr>
        <w:t>х</w:t>
      </w:r>
      <w:r w:rsidR="00DE57EC" w:rsidRPr="003A7E00">
        <w:rPr>
          <w:rFonts w:cstheme="minorHAnsi"/>
          <w:szCs w:val="22"/>
          <w:lang w:val="ru-RU"/>
        </w:rPr>
        <w:t xml:space="preserve"> участник</w:t>
      </w:r>
      <w:r w:rsidRPr="003A7E00">
        <w:rPr>
          <w:rFonts w:cstheme="minorHAnsi"/>
          <w:szCs w:val="22"/>
          <w:lang w:val="ru-RU"/>
        </w:rPr>
        <w:t>ов</w:t>
      </w:r>
      <w:r w:rsidR="00DE57EC" w:rsidRPr="003A7E00">
        <w:rPr>
          <w:rFonts w:cstheme="minorHAnsi"/>
          <w:szCs w:val="22"/>
          <w:lang w:val="ru-RU"/>
        </w:rPr>
        <w:t xml:space="preserve"> из числа </w:t>
      </w:r>
      <w:r w:rsidR="00F31DF7" w:rsidRPr="003A7E00">
        <w:rPr>
          <w:rFonts w:cstheme="minorHAnsi"/>
          <w:szCs w:val="22"/>
          <w:lang w:val="ru-RU"/>
        </w:rPr>
        <w:t xml:space="preserve">членов </w:t>
      </w:r>
      <w:r w:rsidR="00DE57EC" w:rsidRPr="003A7E00">
        <w:rPr>
          <w:rFonts w:cstheme="minorHAnsi"/>
          <w:szCs w:val="22"/>
          <w:lang w:val="ru-RU"/>
        </w:rPr>
        <w:t>МСЭ, а также други</w:t>
      </w:r>
      <w:r w:rsidRPr="003A7E00">
        <w:rPr>
          <w:rFonts w:cstheme="minorHAnsi"/>
          <w:szCs w:val="22"/>
          <w:lang w:val="ru-RU"/>
        </w:rPr>
        <w:t>х</w:t>
      </w:r>
      <w:r w:rsidR="00DE57EC" w:rsidRPr="003A7E00">
        <w:rPr>
          <w:rFonts w:cstheme="minorHAnsi"/>
          <w:szCs w:val="22"/>
          <w:lang w:val="ru-RU"/>
        </w:rPr>
        <w:t xml:space="preserve"> </w:t>
      </w:r>
      <w:r w:rsidR="00F31DF7" w:rsidRPr="003A7E00">
        <w:rPr>
          <w:rFonts w:cstheme="minorHAnsi"/>
          <w:szCs w:val="22"/>
          <w:lang w:val="ru-RU"/>
        </w:rPr>
        <w:t xml:space="preserve">не являющихся членами организаций </w:t>
      </w:r>
      <w:r w:rsidR="00DE57EC" w:rsidRPr="003A7E00">
        <w:rPr>
          <w:rFonts w:cstheme="minorHAnsi"/>
          <w:szCs w:val="22"/>
          <w:lang w:val="ru-RU"/>
        </w:rPr>
        <w:t xml:space="preserve">из развивающихся и развитых стран, включая страны с переходной экономикой, </w:t>
      </w:r>
      <w:r w:rsidR="00635300" w:rsidRPr="003A7E00">
        <w:rPr>
          <w:rFonts w:cstheme="minorHAnsi"/>
          <w:szCs w:val="22"/>
          <w:lang w:val="ru-RU"/>
        </w:rPr>
        <w:t>академических</w:t>
      </w:r>
      <w:r w:rsidR="00DE57EC" w:rsidRPr="003A7E00">
        <w:rPr>
          <w:rFonts w:cstheme="minorHAnsi"/>
          <w:szCs w:val="22"/>
          <w:lang w:val="ru-RU"/>
        </w:rPr>
        <w:t xml:space="preserve"> и </w:t>
      </w:r>
      <w:r w:rsidR="00635300" w:rsidRPr="003A7E00">
        <w:rPr>
          <w:rFonts w:cstheme="minorHAnsi"/>
          <w:szCs w:val="22"/>
          <w:lang w:val="ru-RU"/>
        </w:rPr>
        <w:t>исследовательских</w:t>
      </w:r>
      <w:r w:rsidR="00DE57EC" w:rsidRPr="003A7E00">
        <w:rPr>
          <w:rFonts w:cstheme="minorHAnsi"/>
          <w:szCs w:val="22"/>
          <w:lang w:val="ru-RU"/>
        </w:rPr>
        <w:t xml:space="preserve"> </w:t>
      </w:r>
      <w:r w:rsidR="00635300" w:rsidRPr="003A7E00">
        <w:rPr>
          <w:rFonts w:cstheme="minorHAnsi"/>
          <w:szCs w:val="22"/>
          <w:lang w:val="ru-RU"/>
        </w:rPr>
        <w:t>объединений</w:t>
      </w:r>
      <w:r w:rsidR="00DE57EC" w:rsidRPr="003A7E00">
        <w:rPr>
          <w:rFonts w:cstheme="minorHAnsi"/>
          <w:szCs w:val="22"/>
          <w:lang w:val="ru-RU"/>
        </w:rPr>
        <w:t xml:space="preserve">, </w:t>
      </w:r>
      <w:r w:rsidR="00F31DF7" w:rsidRPr="003A7E00">
        <w:rPr>
          <w:rFonts w:cstheme="minorHAnsi"/>
          <w:szCs w:val="22"/>
          <w:lang w:val="ru-RU"/>
        </w:rPr>
        <w:t>компаний отрасли</w:t>
      </w:r>
      <w:r w:rsidR="00DE57EC" w:rsidRPr="003A7E00">
        <w:rPr>
          <w:rFonts w:cstheme="minorHAnsi"/>
          <w:szCs w:val="22"/>
          <w:lang w:val="ru-RU"/>
        </w:rPr>
        <w:t xml:space="preserve">, операторов </w:t>
      </w:r>
      <w:r w:rsidR="00F31DF7" w:rsidRPr="003A7E00">
        <w:rPr>
          <w:rFonts w:cstheme="minorHAnsi"/>
          <w:szCs w:val="22"/>
          <w:lang w:val="ru-RU"/>
        </w:rPr>
        <w:t>электро</w:t>
      </w:r>
      <w:r w:rsidR="00DE57EC" w:rsidRPr="003A7E00">
        <w:rPr>
          <w:rFonts w:cstheme="minorHAnsi"/>
          <w:szCs w:val="22"/>
          <w:lang w:val="ru-RU"/>
        </w:rPr>
        <w:t>связи/ИКТ и поставщиков услуг, цифровы</w:t>
      </w:r>
      <w:r w:rsidR="00635300" w:rsidRPr="003A7E00">
        <w:rPr>
          <w:rFonts w:cstheme="minorHAnsi"/>
          <w:szCs w:val="22"/>
          <w:lang w:val="ru-RU"/>
        </w:rPr>
        <w:t>х</w:t>
      </w:r>
      <w:r w:rsidR="00DE57EC" w:rsidRPr="003A7E00">
        <w:rPr>
          <w:rFonts w:cstheme="minorHAnsi"/>
          <w:szCs w:val="22"/>
          <w:lang w:val="ru-RU"/>
        </w:rPr>
        <w:t xml:space="preserve"> платформ, други</w:t>
      </w:r>
      <w:r w:rsidR="00635300" w:rsidRPr="003A7E00">
        <w:rPr>
          <w:rFonts w:cstheme="minorHAnsi"/>
          <w:szCs w:val="22"/>
          <w:lang w:val="ru-RU"/>
        </w:rPr>
        <w:t>х</w:t>
      </w:r>
      <w:r w:rsidR="00DE57EC" w:rsidRPr="003A7E00">
        <w:rPr>
          <w:rFonts w:cstheme="minorHAnsi"/>
          <w:szCs w:val="22"/>
          <w:lang w:val="ru-RU"/>
        </w:rPr>
        <w:t xml:space="preserve"> международны</w:t>
      </w:r>
      <w:r w:rsidR="00635300" w:rsidRPr="003A7E00">
        <w:rPr>
          <w:rFonts w:cstheme="minorHAnsi"/>
          <w:szCs w:val="22"/>
          <w:lang w:val="ru-RU"/>
        </w:rPr>
        <w:t>х</w:t>
      </w:r>
      <w:r w:rsidR="00DE57EC" w:rsidRPr="003A7E00">
        <w:rPr>
          <w:rFonts w:cstheme="minorHAnsi"/>
          <w:szCs w:val="22"/>
          <w:lang w:val="ru-RU"/>
        </w:rPr>
        <w:t xml:space="preserve"> организаци</w:t>
      </w:r>
      <w:r w:rsidR="00635300" w:rsidRPr="003A7E00">
        <w:rPr>
          <w:rFonts w:cstheme="minorHAnsi"/>
          <w:szCs w:val="22"/>
          <w:lang w:val="ru-RU"/>
        </w:rPr>
        <w:t>й</w:t>
      </w:r>
      <w:r w:rsidR="00DE57EC" w:rsidRPr="003A7E00">
        <w:rPr>
          <w:rFonts w:cstheme="minorHAnsi"/>
          <w:szCs w:val="22"/>
          <w:lang w:val="ru-RU"/>
        </w:rPr>
        <w:t xml:space="preserve"> и заинтересованны</w:t>
      </w:r>
      <w:r w:rsidR="00635300" w:rsidRPr="003A7E00">
        <w:rPr>
          <w:rFonts w:cstheme="minorHAnsi"/>
          <w:szCs w:val="22"/>
          <w:lang w:val="ru-RU"/>
        </w:rPr>
        <w:t>х</w:t>
      </w:r>
      <w:r w:rsidR="00DE57EC" w:rsidRPr="003A7E00">
        <w:rPr>
          <w:rFonts w:cstheme="minorHAnsi"/>
          <w:szCs w:val="22"/>
          <w:lang w:val="ru-RU"/>
        </w:rPr>
        <w:t xml:space="preserve"> сторон. </w:t>
      </w:r>
    </w:p>
    <w:p w14:paraId="37D33ECD" w14:textId="37FC7A67" w:rsidR="00C70455" w:rsidRPr="003A7E00" w:rsidRDefault="003178FF" w:rsidP="00C70455">
      <w:pPr>
        <w:tabs>
          <w:tab w:val="left" w:pos="900"/>
        </w:tabs>
        <w:rPr>
          <w:rFonts w:cstheme="minorHAnsi"/>
          <w:szCs w:val="22"/>
          <w:lang w:val="ru-RU"/>
        </w:rPr>
      </w:pPr>
      <w:r w:rsidRPr="003A7E00">
        <w:rPr>
          <w:rFonts w:cstheme="minorHAnsi"/>
          <w:szCs w:val="22"/>
          <w:lang w:val="ru-RU"/>
        </w:rPr>
        <w:t>В Приложении к Циркулярному письму содержится первоначальный план программы семинара-практикума и его запланированных сессий.</w:t>
      </w:r>
    </w:p>
    <w:p w14:paraId="3E1D1AC9" w14:textId="4EBE4465" w:rsidR="00C70455" w:rsidRPr="003A7E00" w:rsidRDefault="00C70455" w:rsidP="00C70455">
      <w:pPr>
        <w:rPr>
          <w:rFonts w:cstheme="minorHAnsi"/>
          <w:szCs w:val="22"/>
          <w:lang w:val="ru-RU"/>
        </w:rPr>
      </w:pPr>
      <w:r w:rsidRPr="003A7E00">
        <w:rPr>
          <w:rFonts w:cstheme="minorHAnsi"/>
          <w:szCs w:val="22"/>
          <w:lang w:val="ru-RU"/>
        </w:rPr>
        <w:t>4</w:t>
      </w:r>
      <w:r w:rsidRPr="003A7E00">
        <w:rPr>
          <w:rFonts w:cstheme="minorHAnsi"/>
          <w:szCs w:val="22"/>
          <w:lang w:val="ru-RU"/>
        </w:rPr>
        <w:tab/>
      </w:r>
      <w:r w:rsidR="003178FF" w:rsidRPr="003A7E00">
        <w:rPr>
          <w:rFonts w:cstheme="minorHAnsi"/>
          <w:szCs w:val="22"/>
          <w:lang w:val="ru-RU"/>
        </w:rPr>
        <w:t xml:space="preserve">В </w:t>
      </w:r>
      <w:r w:rsidR="00F31DF7" w:rsidRPr="003A7E00">
        <w:rPr>
          <w:rFonts w:cstheme="minorHAnsi"/>
          <w:color w:val="000000"/>
          <w:szCs w:val="22"/>
          <w:shd w:val="clear" w:color="auto" w:fill="FFFFFF"/>
          <w:lang w:val="ru-RU"/>
        </w:rPr>
        <w:t>Дополнении</w:t>
      </w:r>
      <w:r w:rsidR="005F2FA6" w:rsidRPr="003A7E00">
        <w:rPr>
          <w:rFonts w:cstheme="minorHAnsi"/>
          <w:color w:val="000000"/>
          <w:szCs w:val="22"/>
          <w:shd w:val="clear" w:color="auto" w:fill="FFFFFF"/>
        </w:rPr>
        <w:t> </w:t>
      </w:r>
      <w:r w:rsidR="003178FF" w:rsidRPr="003A7E00">
        <w:rPr>
          <w:rFonts w:cstheme="minorHAnsi"/>
          <w:szCs w:val="22"/>
          <w:lang w:val="ru-RU"/>
        </w:rPr>
        <w:t xml:space="preserve">к настоящему </w:t>
      </w:r>
      <w:r w:rsidR="005F2FA6" w:rsidRPr="003A7E00">
        <w:rPr>
          <w:rFonts w:cstheme="minorHAnsi"/>
          <w:szCs w:val="22"/>
          <w:lang w:val="ru-RU"/>
        </w:rPr>
        <w:t xml:space="preserve">Циркулярному </w:t>
      </w:r>
      <w:r w:rsidR="003178FF" w:rsidRPr="003A7E00">
        <w:rPr>
          <w:rFonts w:cstheme="minorHAnsi"/>
          <w:szCs w:val="22"/>
          <w:lang w:val="ru-RU"/>
        </w:rPr>
        <w:t xml:space="preserve">письму содержится некоторая справочная информация, позволяющая провести семинар-практикум в контексте прошлых и </w:t>
      </w:r>
      <w:r w:rsidR="00635300" w:rsidRPr="003A7E00">
        <w:rPr>
          <w:rFonts w:cstheme="minorHAnsi"/>
          <w:szCs w:val="22"/>
          <w:lang w:val="ru-RU"/>
        </w:rPr>
        <w:t>современных</w:t>
      </w:r>
      <w:r w:rsidR="003178FF" w:rsidRPr="003A7E00">
        <w:rPr>
          <w:rFonts w:cstheme="minorHAnsi"/>
          <w:szCs w:val="22"/>
          <w:lang w:val="ru-RU"/>
        </w:rPr>
        <w:t xml:space="preserve"> обсуждений, тенденций и деятельности</w:t>
      </w:r>
      <w:r w:rsidRPr="003A7E00">
        <w:rPr>
          <w:rFonts w:cstheme="minorHAnsi"/>
          <w:szCs w:val="22"/>
          <w:lang w:val="ru-RU"/>
        </w:rPr>
        <w:t>.</w:t>
      </w:r>
    </w:p>
    <w:p w14:paraId="7D996277" w14:textId="3A32900A" w:rsidR="00C70455" w:rsidRPr="003A7E00" w:rsidRDefault="00C70455" w:rsidP="00C70455">
      <w:pPr>
        <w:rPr>
          <w:rFonts w:cstheme="minorHAnsi"/>
          <w:szCs w:val="22"/>
          <w:lang w:val="ru-RU"/>
        </w:rPr>
      </w:pPr>
      <w:r w:rsidRPr="003A7E00">
        <w:rPr>
          <w:rFonts w:cstheme="minorHAnsi"/>
          <w:szCs w:val="22"/>
          <w:lang w:val="ru-RU"/>
        </w:rPr>
        <w:t>5</w:t>
      </w:r>
      <w:r w:rsidRPr="003A7E00">
        <w:rPr>
          <w:rFonts w:cstheme="minorHAnsi"/>
          <w:szCs w:val="22"/>
          <w:lang w:val="ru-RU"/>
        </w:rPr>
        <w:tab/>
      </w:r>
      <w:r w:rsidR="00AC1B8D" w:rsidRPr="003A7E00">
        <w:rPr>
          <w:rFonts w:cstheme="minorHAnsi"/>
          <w:szCs w:val="22"/>
          <w:lang w:val="ru-RU"/>
        </w:rPr>
        <w:t xml:space="preserve">Вся необходимая информация, касающаяся семинара-практикума </w:t>
      </w:r>
      <w:r w:rsidRPr="003A7E00">
        <w:rPr>
          <w:rFonts w:cstheme="minorHAnsi"/>
          <w:szCs w:val="22"/>
          <w:lang w:val="ru-RU"/>
        </w:rPr>
        <w:t>(</w:t>
      </w:r>
      <w:r w:rsidR="00635300" w:rsidRPr="003A7E00">
        <w:rPr>
          <w:rFonts w:cstheme="minorHAnsi"/>
          <w:szCs w:val="22"/>
          <w:lang w:val="ru-RU"/>
        </w:rPr>
        <w:t>например</w:t>
      </w:r>
      <w:r w:rsidRPr="003A7E00">
        <w:rPr>
          <w:rFonts w:cstheme="minorHAnsi"/>
          <w:szCs w:val="22"/>
          <w:lang w:val="ru-RU"/>
        </w:rPr>
        <w:t xml:space="preserve">, </w:t>
      </w:r>
      <w:r w:rsidR="00635300" w:rsidRPr="003A7E00">
        <w:rPr>
          <w:rFonts w:cstheme="minorHAnsi"/>
          <w:szCs w:val="22"/>
          <w:lang w:val="ru-RU"/>
        </w:rPr>
        <w:t>проект программы</w:t>
      </w:r>
      <w:r w:rsidRPr="003A7E00">
        <w:rPr>
          <w:rFonts w:cstheme="minorHAnsi"/>
          <w:szCs w:val="22"/>
          <w:lang w:val="ru-RU"/>
        </w:rPr>
        <w:t xml:space="preserve">, </w:t>
      </w:r>
      <w:r w:rsidR="00635300" w:rsidRPr="003A7E00">
        <w:rPr>
          <w:rFonts w:cstheme="minorHAnsi"/>
          <w:szCs w:val="22"/>
          <w:lang w:val="ru-RU"/>
        </w:rPr>
        <w:t>докладчики</w:t>
      </w:r>
      <w:r w:rsidRPr="003A7E00">
        <w:rPr>
          <w:rFonts w:cstheme="minorHAnsi"/>
          <w:szCs w:val="22"/>
          <w:lang w:val="ru-RU"/>
        </w:rPr>
        <w:t xml:space="preserve">, </w:t>
      </w:r>
      <w:r w:rsidR="00635300" w:rsidRPr="003A7E00">
        <w:rPr>
          <w:rFonts w:cstheme="minorHAnsi"/>
          <w:szCs w:val="22"/>
          <w:lang w:val="ru-RU"/>
        </w:rPr>
        <w:t>ссылки для регистрации</w:t>
      </w:r>
      <w:r w:rsidRPr="003A7E00">
        <w:rPr>
          <w:rFonts w:cstheme="minorHAnsi"/>
          <w:szCs w:val="22"/>
          <w:lang w:val="ru-RU"/>
        </w:rPr>
        <w:t xml:space="preserve">, </w:t>
      </w:r>
      <w:r w:rsidR="00635300" w:rsidRPr="003A7E00">
        <w:rPr>
          <w:rFonts w:cstheme="minorHAnsi"/>
          <w:szCs w:val="22"/>
          <w:lang w:val="ru-RU"/>
        </w:rPr>
        <w:t>подробная информация о порядке дистанционной связи</w:t>
      </w:r>
      <w:r w:rsidRPr="003A7E00">
        <w:rPr>
          <w:rFonts w:cstheme="minorHAnsi"/>
          <w:szCs w:val="22"/>
          <w:lang w:val="ru-RU"/>
        </w:rPr>
        <w:t xml:space="preserve">) </w:t>
      </w:r>
      <w:r w:rsidR="00635300" w:rsidRPr="003A7E00">
        <w:rPr>
          <w:rFonts w:cstheme="minorHAnsi"/>
          <w:szCs w:val="22"/>
          <w:lang w:val="ru-RU"/>
        </w:rPr>
        <w:t>будет размещена на веб-сайте МСЭ по адресу</w:t>
      </w:r>
      <w:r w:rsidRPr="003A7E00">
        <w:rPr>
          <w:rFonts w:cstheme="minorHAnsi"/>
          <w:szCs w:val="22"/>
          <w:lang w:val="ru-RU"/>
        </w:rPr>
        <w:t xml:space="preserve">: </w:t>
      </w:r>
      <w:hyperlink r:id="rId10" w:history="1">
        <w:r w:rsidRPr="003A7E00">
          <w:rPr>
            <w:rStyle w:val="Hyperlink"/>
            <w:rFonts w:cstheme="minorHAnsi"/>
            <w:szCs w:val="22"/>
          </w:rPr>
          <w:t>https</w:t>
        </w:r>
        <w:r w:rsidRPr="003A7E00">
          <w:rPr>
            <w:rStyle w:val="Hyperlink"/>
            <w:rFonts w:cstheme="minorHAnsi"/>
            <w:szCs w:val="22"/>
            <w:lang w:val="ru-RU"/>
          </w:rPr>
          <w:t>://</w:t>
        </w:r>
        <w:r w:rsidRPr="003A7E00">
          <w:rPr>
            <w:rStyle w:val="Hyperlink"/>
            <w:rFonts w:cstheme="minorHAnsi"/>
            <w:szCs w:val="22"/>
          </w:rPr>
          <w:t>www</w:t>
        </w:r>
        <w:r w:rsidRPr="003A7E00">
          <w:rPr>
            <w:rStyle w:val="Hyperlink"/>
            <w:rFonts w:cstheme="minorHAnsi"/>
            <w:szCs w:val="22"/>
            <w:lang w:val="ru-RU"/>
          </w:rPr>
          <w:t>.</w:t>
        </w:r>
        <w:r w:rsidRPr="003A7E00">
          <w:rPr>
            <w:rStyle w:val="Hyperlink"/>
            <w:rFonts w:cstheme="minorHAnsi"/>
            <w:szCs w:val="22"/>
          </w:rPr>
          <w:t>itu</w:t>
        </w:r>
        <w:r w:rsidRPr="003A7E00">
          <w:rPr>
            <w:rStyle w:val="Hyperlink"/>
            <w:rFonts w:cstheme="minorHAnsi"/>
            <w:szCs w:val="22"/>
            <w:lang w:val="ru-RU"/>
          </w:rPr>
          <w:t>.</w:t>
        </w:r>
        <w:r w:rsidRPr="003A7E00">
          <w:rPr>
            <w:rStyle w:val="Hyperlink"/>
            <w:rFonts w:cstheme="minorHAnsi"/>
            <w:szCs w:val="22"/>
          </w:rPr>
          <w:t>int</w:t>
        </w:r>
        <w:r w:rsidRPr="003A7E00">
          <w:rPr>
            <w:rStyle w:val="Hyperlink"/>
            <w:rFonts w:cstheme="minorHAnsi"/>
            <w:szCs w:val="22"/>
            <w:lang w:val="ru-RU"/>
          </w:rPr>
          <w:t>/</w:t>
        </w:r>
        <w:proofErr w:type="spellStart"/>
        <w:r w:rsidRPr="003A7E00">
          <w:rPr>
            <w:rStyle w:val="Hyperlink"/>
            <w:rFonts w:cstheme="minorHAnsi"/>
            <w:szCs w:val="22"/>
          </w:rPr>
          <w:t>en</w:t>
        </w:r>
        <w:proofErr w:type="spellEnd"/>
        <w:r w:rsidRPr="003A7E00">
          <w:rPr>
            <w:rStyle w:val="Hyperlink"/>
            <w:rFonts w:cstheme="minorHAnsi"/>
            <w:szCs w:val="22"/>
            <w:lang w:val="ru-RU"/>
          </w:rPr>
          <w:t>/</w:t>
        </w:r>
        <w:r w:rsidRPr="003A7E00">
          <w:rPr>
            <w:rStyle w:val="Hyperlink"/>
            <w:rFonts w:cstheme="minorHAnsi"/>
            <w:szCs w:val="22"/>
          </w:rPr>
          <w:t>ITU</w:t>
        </w:r>
        <w:r w:rsidRPr="003A7E00">
          <w:rPr>
            <w:rStyle w:val="Hyperlink"/>
            <w:rFonts w:cstheme="minorHAnsi"/>
            <w:szCs w:val="22"/>
            <w:lang w:val="ru-RU"/>
          </w:rPr>
          <w:t>-</w:t>
        </w:r>
        <w:r w:rsidRPr="003A7E00">
          <w:rPr>
            <w:rStyle w:val="Hyperlink"/>
            <w:rFonts w:cstheme="minorHAnsi"/>
            <w:szCs w:val="22"/>
          </w:rPr>
          <w:t>T</w:t>
        </w:r>
        <w:r w:rsidRPr="003A7E00">
          <w:rPr>
            <w:rStyle w:val="Hyperlink"/>
            <w:rFonts w:cstheme="minorHAnsi"/>
            <w:szCs w:val="22"/>
            <w:lang w:val="ru-RU"/>
          </w:rPr>
          <w:t>/</w:t>
        </w:r>
        <w:r w:rsidRPr="003A7E00">
          <w:rPr>
            <w:rStyle w:val="Hyperlink"/>
            <w:rFonts w:cstheme="minorHAnsi"/>
            <w:szCs w:val="22"/>
          </w:rPr>
          <w:t>Workshops</w:t>
        </w:r>
        <w:r w:rsidRPr="003A7E00">
          <w:rPr>
            <w:rStyle w:val="Hyperlink"/>
            <w:rFonts w:cstheme="minorHAnsi"/>
            <w:szCs w:val="22"/>
            <w:lang w:val="ru-RU"/>
          </w:rPr>
          <w:t>-</w:t>
        </w:r>
        <w:r w:rsidRPr="003A7E00">
          <w:rPr>
            <w:rStyle w:val="Hyperlink"/>
            <w:rFonts w:cstheme="minorHAnsi"/>
            <w:szCs w:val="22"/>
          </w:rPr>
          <w:t>and</w:t>
        </w:r>
        <w:r w:rsidRPr="003A7E00">
          <w:rPr>
            <w:rStyle w:val="Hyperlink"/>
            <w:rFonts w:cstheme="minorHAnsi"/>
            <w:szCs w:val="22"/>
            <w:lang w:val="ru-RU"/>
          </w:rPr>
          <w:t>-</w:t>
        </w:r>
        <w:r w:rsidRPr="003A7E00">
          <w:rPr>
            <w:rStyle w:val="Hyperlink"/>
            <w:rFonts w:cstheme="minorHAnsi"/>
            <w:szCs w:val="22"/>
          </w:rPr>
          <w:t>Seminars</w:t>
        </w:r>
        <w:r w:rsidRPr="003A7E00">
          <w:rPr>
            <w:rStyle w:val="Hyperlink"/>
            <w:rFonts w:cstheme="minorHAnsi"/>
            <w:szCs w:val="22"/>
            <w:lang w:val="ru-RU"/>
          </w:rPr>
          <w:t>/2022/1103/</w:t>
        </w:r>
        <w:r w:rsidRPr="003A7E00">
          <w:rPr>
            <w:rStyle w:val="Hyperlink"/>
            <w:rFonts w:cstheme="minorHAnsi"/>
            <w:szCs w:val="22"/>
          </w:rPr>
          <w:t>Pages</w:t>
        </w:r>
        <w:r w:rsidRPr="003A7E00">
          <w:rPr>
            <w:rStyle w:val="Hyperlink"/>
            <w:rFonts w:cstheme="minorHAnsi"/>
            <w:szCs w:val="22"/>
            <w:lang w:val="ru-RU"/>
          </w:rPr>
          <w:t>/</w:t>
        </w:r>
        <w:r w:rsidRPr="003A7E00">
          <w:rPr>
            <w:rStyle w:val="Hyperlink"/>
            <w:rFonts w:cstheme="minorHAnsi"/>
            <w:szCs w:val="22"/>
          </w:rPr>
          <w:t>default</w:t>
        </w:r>
        <w:r w:rsidRPr="003A7E00">
          <w:rPr>
            <w:rStyle w:val="Hyperlink"/>
            <w:rFonts w:cstheme="minorHAnsi"/>
            <w:szCs w:val="22"/>
            <w:lang w:val="ru-RU"/>
          </w:rPr>
          <w:t>.</w:t>
        </w:r>
        <w:proofErr w:type="spellStart"/>
        <w:r w:rsidRPr="003A7E00">
          <w:rPr>
            <w:rStyle w:val="Hyperlink"/>
            <w:rFonts w:cstheme="minorHAnsi"/>
            <w:szCs w:val="22"/>
          </w:rPr>
          <w:t>aspx</w:t>
        </w:r>
        <w:proofErr w:type="spellEnd"/>
      </w:hyperlink>
      <w:r w:rsidRPr="003A7E00">
        <w:rPr>
          <w:rFonts w:cstheme="minorHAnsi"/>
          <w:szCs w:val="22"/>
          <w:lang w:val="ru-RU"/>
        </w:rPr>
        <w:t xml:space="preserve">. </w:t>
      </w:r>
      <w:r w:rsidR="00DA46AC" w:rsidRPr="003A7E00">
        <w:rPr>
          <w:rFonts w:cstheme="minorHAnsi"/>
          <w:color w:val="000000"/>
          <w:szCs w:val="22"/>
          <w:shd w:val="clear" w:color="auto" w:fill="FFFFFF"/>
          <w:lang w:val="ru-RU"/>
        </w:rPr>
        <w:t>Данный веб-сайт будет регулярно обновляться по мере появления новой или измененной информации</w:t>
      </w:r>
      <w:r w:rsidRPr="003A7E00">
        <w:rPr>
          <w:rFonts w:cstheme="minorHAnsi"/>
          <w:szCs w:val="22"/>
          <w:lang w:val="ru-RU"/>
        </w:rPr>
        <w:t xml:space="preserve">. </w:t>
      </w:r>
      <w:r w:rsidR="003206A2" w:rsidRPr="003A7E00">
        <w:rPr>
          <w:rFonts w:cstheme="minorHAnsi"/>
          <w:szCs w:val="22"/>
          <w:lang w:val="ru-RU"/>
        </w:rPr>
        <w:t>Участникам предлагается периодически знакомиться с обновленной информацией</w:t>
      </w:r>
      <w:r w:rsidRPr="003A7E00">
        <w:rPr>
          <w:rFonts w:cstheme="minorHAnsi"/>
          <w:szCs w:val="22"/>
          <w:lang w:val="ru-RU"/>
        </w:rPr>
        <w:t>.</w:t>
      </w:r>
    </w:p>
    <w:p w14:paraId="00635A15" w14:textId="3F3258AD" w:rsidR="00C70455" w:rsidRPr="003A7E00" w:rsidRDefault="00C70455" w:rsidP="00C70455">
      <w:pPr>
        <w:tabs>
          <w:tab w:val="left" w:pos="900"/>
        </w:tabs>
        <w:rPr>
          <w:rFonts w:cstheme="minorHAnsi"/>
          <w:szCs w:val="22"/>
          <w:lang w:val="ru-RU"/>
        </w:rPr>
      </w:pPr>
      <w:r w:rsidRPr="003A7E00">
        <w:rPr>
          <w:rFonts w:cstheme="minorHAnsi"/>
          <w:szCs w:val="22"/>
          <w:lang w:val="ru-RU"/>
        </w:rPr>
        <w:t>6</w:t>
      </w:r>
      <w:r w:rsidRPr="003A7E00">
        <w:rPr>
          <w:rFonts w:cstheme="minorHAnsi"/>
          <w:szCs w:val="22"/>
          <w:lang w:val="ru-RU"/>
        </w:rPr>
        <w:tab/>
      </w:r>
      <w:r w:rsidR="003206A2" w:rsidRPr="003A7E00">
        <w:rPr>
          <w:rFonts w:cstheme="minorHAnsi"/>
          <w:szCs w:val="22"/>
          <w:lang w:val="ru-RU"/>
        </w:rPr>
        <w:t>Общая информация для участников, в том числе о размещении в гостиницах, обеспечении транспортом и визовых требованиях, будет представлена на указанном выше веб</w:t>
      </w:r>
      <w:r w:rsidR="003206A2" w:rsidRPr="003A7E00">
        <w:rPr>
          <w:rFonts w:cstheme="minorHAnsi"/>
          <w:szCs w:val="22"/>
          <w:lang w:val="ru-RU"/>
        </w:rPr>
        <w:noBreakHyphen/>
        <w:t>сайте.</w:t>
      </w:r>
    </w:p>
    <w:p w14:paraId="7E838C00" w14:textId="25A6C7EC" w:rsidR="00C70455" w:rsidRPr="003A7E00" w:rsidRDefault="00C70455" w:rsidP="00C70455">
      <w:pPr>
        <w:tabs>
          <w:tab w:val="left" w:pos="900"/>
        </w:tabs>
        <w:rPr>
          <w:rFonts w:cstheme="minorHAnsi"/>
          <w:szCs w:val="22"/>
          <w:lang w:val="ru-RU"/>
        </w:rPr>
      </w:pPr>
      <w:r w:rsidRPr="003A7E00">
        <w:rPr>
          <w:rFonts w:cstheme="minorHAnsi"/>
          <w:szCs w:val="22"/>
          <w:lang w:val="ru-RU"/>
        </w:rPr>
        <w:t>7</w:t>
      </w:r>
      <w:r w:rsidRPr="003A7E00">
        <w:rPr>
          <w:rFonts w:cstheme="minorHAnsi"/>
          <w:szCs w:val="22"/>
          <w:lang w:val="ru-RU"/>
        </w:rPr>
        <w:tab/>
      </w:r>
      <w:r w:rsidR="00492CA4" w:rsidRPr="003A7E00">
        <w:rPr>
          <w:rFonts w:cstheme="minorHAnsi"/>
          <w:color w:val="000000"/>
          <w:szCs w:val="22"/>
          <w:shd w:val="clear" w:color="auto" w:fill="FFFFFF"/>
          <w:lang w:val="ru-RU"/>
        </w:rPr>
        <w:t>Для того чтобы МСЭ мог предпринять необходимые действия по организации</w:t>
      </w:r>
      <w:r w:rsidR="00492CA4" w:rsidRPr="003A7E00">
        <w:rPr>
          <w:rFonts w:cstheme="minorHAnsi"/>
          <w:color w:val="000000"/>
          <w:szCs w:val="22"/>
          <w:shd w:val="clear" w:color="auto" w:fill="FFFFFF"/>
        </w:rPr>
        <w:t> </w:t>
      </w:r>
      <w:r w:rsidR="00492CA4" w:rsidRPr="003A7E00">
        <w:rPr>
          <w:rFonts w:cstheme="minorHAnsi"/>
          <w:color w:val="000000"/>
          <w:szCs w:val="22"/>
          <w:shd w:val="clear" w:color="auto" w:fill="FFFFFF"/>
          <w:lang w:val="ru-RU"/>
        </w:rPr>
        <w:t>семинара-практикум</w:t>
      </w:r>
      <w:r w:rsidR="00F31DF7" w:rsidRPr="003A7E00">
        <w:rPr>
          <w:rFonts w:cstheme="minorHAnsi"/>
          <w:color w:val="000000"/>
          <w:szCs w:val="22"/>
          <w:shd w:val="clear" w:color="auto" w:fill="FFFFFF"/>
          <w:lang w:val="ru-RU"/>
        </w:rPr>
        <w:t>а</w:t>
      </w:r>
      <w:r w:rsidRPr="003A7E00">
        <w:rPr>
          <w:rFonts w:cstheme="minorHAnsi"/>
          <w:szCs w:val="22"/>
          <w:lang w:val="ru-RU"/>
        </w:rPr>
        <w:t xml:space="preserve">, </w:t>
      </w:r>
      <w:r w:rsidR="00492CA4" w:rsidRPr="003A7E00">
        <w:rPr>
          <w:rFonts w:cstheme="minorHAnsi"/>
          <w:color w:val="000000"/>
          <w:szCs w:val="22"/>
          <w:shd w:val="clear" w:color="auto" w:fill="FFFFFF"/>
          <w:lang w:val="ru-RU"/>
        </w:rPr>
        <w:t>просим вас зарегистрироваться с использованием онлайновой формы, размещенной по адресу</w:t>
      </w:r>
      <w:r w:rsidRPr="003A7E00">
        <w:rPr>
          <w:rFonts w:cstheme="minorHAnsi"/>
          <w:szCs w:val="22"/>
          <w:lang w:val="ru-RU"/>
        </w:rPr>
        <w:t xml:space="preserve">: </w:t>
      </w:r>
      <w:hyperlink r:id="rId11" w:history="1">
        <w:r w:rsidRPr="003A7E00">
          <w:rPr>
            <w:rStyle w:val="Hyperlink"/>
            <w:rFonts w:cstheme="minorHAnsi"/>
            <w:szCs w:val="22"/>
          </w:rPr>
          <w:t>https</w:t>
        </w:r>
        <w:r w:rsidRPr="003A7E00">
          <w:rPr>
            <w:rStyle w:val="Hyperlink"/>
            <w:rFonts w:cstheme="minorHAnsi"/>
            <w:szCs w:val="22"/>
            <w:lang w:val="ru-RU"/>
          </w:rPr>
          <w:t>://</w:t>
        </w:r>
        <w:r w:rsidRPr="003A7E00">
          <w:rPr>
            <w:rStyle w:val="Hyperlink"/>
            <w:rFonts w:cstheme="minorHAnsi"/>
            <w:szCs w:val="22"/>
          </w:rPr>
          <w:t>www</w:t>
        </w:r>
        <w:r w:rsidRPr="003A7E00">
          <w:rPr>
            <w:rStyle w:val="Hyperlink"/>
            <w:rFonts w:cstheme="minorHAnsi"/>
            <w:szCs w:val="22"/>
            <w:lang w:val="ru-RU"/>
          </w:rPr>
          <w:t>.</w:t>
        </w:r>
        <w:r w:rsidRPr="003A7E00">
          <w:rPr>
            <w:rStyle w:val="Hyperlink"/>
            <w:rFonts w:cstheme="minorHAnsi"/>
            <w:szCs w:val="22"/>
          </w:rPr>
          <w:t>itu</w:t>
        </w:r>
        <w:r w:rsidRPr="003A7E00">
          <w:rPr>
            <w:rStyle w:val="Hyperlink"/>
            <w:rFonts w:cstheme="minorHAnsi"/>
            <w:szCs w:val="22"/>
            <w:lang w:val="ru-RU"/>
          </w:rPr>
          <w:t>.</w:t>
        </w:r>
        <w:r w:rsidRPr="003A7E00">
          <w:rPr>
            <w:rStyle w:val="Hyperlink"/>
            <w:rFonts w:cstheme="minorHAnsi"/>
            <w:szCs w:val="22"/>
          </w:rPr>
          <w:t>int</w:t>
        </w:r>
        <w:r w:rsidRPr="003A7E00">
          <w:rPr>
            <w:rStyle w:val="Hyperlink"/>
            <w:rFonts w:cstheme="minorHAnsi"/>
            <w:szCs w:val="22"/>
            <w:lang w:val="ru-RU"/>
          </w:rPr>
          <w:t>/</w:t>
        </w:r>
        <w:r w:rsidRPr="003A7E00">
          <w:rPr>
            <w:rStyle w:val="Hyperlink"/>
            <w:rFonts w:cstheme="minorHAnsi"/>
            <w:szCs w:val="22"/>
          </w:rPr>
          <w:t>net</w:t>
        </w:r>
        <w:r w:rsidRPr="003A7E00">
          <w:rPr>
            <w:rStyle w:val="Hyperlink"/>
            <w:rFonts w:cstheme="minorHAnsi"/>
            <w:szCs w:val="22"/>
            <w:lang w:val="ru-RU"/>
          </w:rPr>
          <w:t>4/</w:t>
        </w:r>
        <w:r w:rsidRPr="003A7E00">
          <w:rPr>
            <w:rStyle w:val="Hyperlink"/>
            <w:rFonts w:cstheme="minorHAnsi"/>
            <w:szCs w:val="22"/>
          </w:rPr>
          <w:t>CRM</w:t>
        </w:r>
        <w:r w:rsidRPr="003A7E00">
          <w:rPr>
            <w:rStyle w:val="Hyperlink"/>
            <w:rFonts w:cstheme="minorHAnsi"/>
            <w:szCs w:val="22"/>
            <w:lang w:val="ru-RU"/>
          </w:rPr>
          <w:t>/</w:t>
        </w:r>
        <w:proofErr w:type="spellStart"/>
        <w:r w:rsidRPr="003A7E00">
          <w:rPr>
            <w:rStyle w:val="Hyperlink"/>
            <w:rFonts w:cstheme="minorHAnsi"/>
            <w:szCs w:val="22"/>
          </w:rPr>
          <w:t>xreg</w:t>
        </w:r>
        <w:proofErr w:type="spellEnd"/>
        <w:r w:rsidRPr="003A7E00">
          <w:rPr>
            <w:rStyle w:val="Hyperlink"/>
            <w:rFonts w:cstheme="minorHAnsi"/>
            <w:szCs w:val="22"/>
            <w:lang w:val="ru-RU"/>
          </w:rPr>
          <w:t>/</w:t>
        </w:r>
        <w:r w:rsidRPr="003A7E00">
          <w:rPr>
            <w:rStyle w:val="Hyperlink"/>
            <w:rFonts w:cstheme="minorHAnsi"/>
            <w:szCs w:val="22"/>
          </w:rPr>
          <w:t>web</w:t>
        </w:r>
        <w:r w:rsidRPr="003A7E00">
          <w:rPr>
            <w:rStyle w:val="Hyperlink"/>
            <w:rFonts w:cstheme="minorHAnsi"/>
            <w:szCs w:val="22"/>
            <w:lang w:val="ru-RU"/>
          </w:rPr>
          <w:t>/</w:t>
        </w:r>
        <w:r w:rsidRPr="003A7E00">
          <w:rPr>
            <w:rStyle w:val="Hyperlink"/>
            <w:rFonts w:cstheme="minorHAnsi"/>
            <w:szCs w:val="22"/>
          </w:rPr>
          <w:t>Login</w:t>
        </w:r>
        <w:r w:rsidRPr="003A7E00">
          <w:rPr>
            <w:rStyle w:val="Hyperlink"/>
            <w:rFonts w:cstheme="minorHAnsi"/>
            <w:szCs w:val="22"/>
            <w:lang w:val="ru-RU"/>
          </w:rPr>
          <w:t>.</w:t>
        </w:r>
        <w:proofErr w:type="spellStart"/>
        <w:r w:rsidRPr="003A7E00">
          <w:rPr>
            <w:rStyle w:val="Hyperlink"/>
            <w:rFonts w:cstheme="minorHAnsi"/>
            <w:szCs w:val="22"/>
          </w:rPr>
          <w:t>aspx</w:t>
        </w:r>
        <w:proofErr w:type="spellEnd"/>
        <w:r w:rsidRPr="003A7E00">
          <w:rPr>
            <w:rStyle w:val="Hyperlink"/>
            <w:rFonts w:cstheme="minorHAnsi"/>
            <w:szCs w:val="22"/>
            <w:lang w:val="ru-RU"/>
          </w:rPr>
          <w:t>?</w:t>
        </w:r>
        <w:proofErr w:type="spellStart"/>
        <w:r w:rsidRPr="003A7E00">
          <w:rPr>
            <w:rStyle w:val="Hyperlink"/>
            <w:rFonts w:cstheme="minorHAnsi"/>
            <w:szCs w:val="22"/>
          </w:rPr>
          <w:t>src</w:t>
        </w:r>
        <w:proofErr w:type="spellEnd"/>
        <w:r w:rsidRPr="003A7E00">
          <w:rPr>
            <w:rStyle w:val="Hyperlink"/>
            <w:rFonts w:cstheme="minorHAnsi"/>
            <w:szCs w:val="22"/>
            <w:lang w:val="ru-RU"/>
          </w:rPr>
          <w:t>=</w:t>
        </w:r>
        <w:r w:rsidRPr="003A7E00">
          <w:rPr>
            <w:rStyle w:val="Hyperlink"/>
            <w:rFonts w:cstheme="minorHAnsi"/>
            <w:szCs w:val="22"/>
          </w:rPr>
          <w:t>Registration</w:t>
        </w:r>
        <w:r w:rsidRPr="003A7E00">
          <w:rPr>
            <w:rStyle w:val="Hyperlink"/>
            <w:rFonts w:cstheme="minorHAnsi"/>
            <w:szCs w:val="22"/>
            <w:lang w:val="ru-RU"/>
          </w:rPr>
          <w:t>&amp;</w:t>
        </w:r>
        <w:r w:rsidRPr="003A7E00">
          <w:rPr>
            <w:rStyle w:val="Hyperlink"/>
            <w:rFonts w:cstheme="minorHAnsi"/>
            <w:szCs w:val="22"/>
          </w:rPr>
          <w:t>Event</w:t>
        </w:r>
        <w:r w:rsidRPr="003A7E00">
          <w:rPr>
            <w:rStyle w:val="Hyperlink"/>
            <w:rFonts w:cstheme="minorHAnsi"/>
            <w:szCs w:val="22"/>
            <w:lang w:val="ru-RU"/>
          </w:rPr>
          <w:t>=</w:t>
        </w:r>
        <w:r w:rsidRPr="003A7E00">
          <w:rPr>
            <w:rStyle w:val="Hyperlink"/>
            <w:rFonts w:cstheme="minorHAnsi"/>
            <w:szCs w:val="22"/>
          </w:rPr>
          <w:t>C</w:t>
        </w:r>
        <w:r w:rsidRPr="003A7E00">
          <w:rPr>
            <w:rStyle w:val="Hyperlink"/>
            <w:rFonts w:cstheme="minorHAnsi"/>
            <w:szCs w:val="22"/>
            <w:lang w:val="ru-RU"/>
          </w:rPr>
          <w:t>-00011717</w:t>
        </w:r>
      </w:hyperlink>
      <w:r w:rsidR="00492CA4" w:rsidRPr="003A7E00">
        <w:rPr>
          <w:rFonts w:cstheme="minorHAnsi"/>
          <w:color w:val="000000"/>
          <w:szCs w:val="22"/>
          <w:shd w:val="clear" w:color="auto" w:fill="FFFFFF"/>
          <w:lang w:val="ru-RU"/>
        </w:rPr>
        <w:t xml:space="preserve"> в кратчайшие сроки</w:t>
      </w:r>
      <w:r w:rsidRPr="003A7E00">
        <w:rPr>
          <w:rFonts w:cstheme="minorHAnsi"/>
          <w:szCs w:val="22"/>
          <w:lang w:val="ru-RU"/>
        </w:rPr>
        <w:t xml:space="preserve">, </w:t>
      </w:r>
      <w:r w:rsidR="00492CA4" w:rsidRPr="003A7E00">
        <w:rPr>
          <w:rFonts w:cstheme="minorHAnsi"/>
          <w:szCs w:val="22"/>
          <w:lang w:val="ru-RU"/>
        </w:rPr>
        <w:t>однако</w:t>
      </w:r>
      <w:r w:rsidRPr="003A7E00">
        <w:rPr>
          <w:rFonts w:cstheme="minorHAnsi"/>
          <w:szCs w:val="22"/>
          <w:lang w:val="ru-RU"/>
        </w:rPr>
        <w:t xml:space="preserve"> </w:t>
      </w:r>
      <w:r w:rsidR="003206A2" w:rsidRPr="003A7E00">
        <w:rPr>
          <w:rFonts w:cstheme="minorHAnsi"/>
          <w:b/>
          <w:szCs w:val="22"/>
          <w:lang w:val="ru-RU"/>
        </w:rPr>
        <w:t>не позднее 27 октября 2022 года</w:t>
      </w:r>
      <w:r w:rsidR="003206A2" w:rsidRPr="003A7E00">
        <w:rPr>
          <w:rFonts w:cstheme="minorHAnsi"/>
          <w:szCs w:val="22"/>
          <w:lang w:val="ru-RU"/>
        </w:rPr>
        <w:t>.</w:t>
      </w:r>
      <w:r w:rsidRPr="003A7E00">
        <w:rPr>
          <w:rFonts w:cstheme="minorHAnsi"/>
          <w:szCs w:val="22"/>
          <w:lang w:val="ru-RU"/>
        </w:rPr>
        <w:t xml:space="preserve"> </w:t>
      </w:r>
      <w:r w:rsidR="00492CA4" w:rsidRPr="003A7E00">
        <w:rPr>
          <w:rFonts w:cstheme="minorHAnsi"/>
          <w:b/>
          <w:color w:val="000000"/>
          <w:szCs w:val="22"/>
          <w:lang w:val="ru-RU"/>
        </w:rPr>
        <w:t>Обращаем ваше внимание на то, что предварительная регистрация участников наших мероприятий проводится только в онлайновой форме</w:t>
      </w:r>
      <w:r w:rsidRPr="003A7E00">
        <w:rPr>
          <w:rFonts w:cstheme="minorHAnsi"/>
          <w:b/>
          <w:bCs/>
          <w:szCs w:val="22"/>
          <w:lang w:val="ru-RU"/>
        </w:rPr>
        <w:t xml:space="preserve">. </w:t>
      </w:r>
      <w:r w:rsidR="00492CA4" w:rsidRPr="003A7E00">
        <w:rPr>
          <w:rFonts w:cstheme="minorHAnsi"/>
          <w:color w:val="000000"/>
          <w:szCs w:val="22"/>
          <w:shd w:val="clear" w:color="auto" w:fill="FFFFFF"/>
          <w:lang w:val="ru-RU"/>
        </w:rPr>
        <w:t>Участники смогут зарегистрироваться также на месте в день проведения мероприятия</w:t>
      </w:r>
      <w:r w:rsidRPr="003A7E00">
        <w:rPr>
          <w:rFonts w:cstheme="minorHAnsi"/>
          <w:szCs w:val="22"/>
          <w:lang w:val="ru-RU"/>
        </w:rPr>
        <w:t>.</w:t>
      </w:r>
      <w:r w:rsidR="003206A2" w:rsidRPr="003A7E00">
        <w:rPr>
          <w:rFonts w:cstheme="minorHAnsi"/>
          <w:b/>
          <w:szCs w:val="22"/>
          <w:lang w:val="ru-RU"/>
        </w:rPr>
        <w:t xml:space="preserve"> </w:t>
      </w:r>
      <w:r w:rsidR="003206A2" w:rsidRPr="003A7E00">
        <w:rPr>
          <w:rFonts w:cstheme="minorHAnsi"/>
          <w:b/>
          <w:color w:val="000000"/>
          <w:szCs w:val="22"/>
          <w:lang w:val="ru-RU"/>
        </w:rPr>
        <w:t>Участие в семинаре-практикуме является бесплатным и открытым для всех</w:t>
      </w:r>
      <w:r w:rsidRPr="003A7E00">
        <w:rPr>
          <w:rFonts w:cstheme="minorHAnsi"/>
          <w:szCs w:val="22"/>
          <w:lang w:val="ru-RU"/>
        </w:rPr>
        <w:t>.</w:t>
      </w:r>
    </w:p>
    <w:p w14:paraId="179EDAEF" w14:textId="124CC1D2" w:rsidR="00C70455" w:rsidRPr="003A7E00" w:rsidRDefault="00C70455" w:rsidP="00C70455">
      <w:pPr>
        <w:tabs>
          <w:tab w:val="left" w:pos="900"/>
        </w:tabs>
        <w:rPr>
          <w:rFonts w:cstheme="minorHAnsi"/>
          <w:szCs w:val="22"/>
          <w:lang w:val="ru-RU"/>
        </w:rPr>
      </w:pPr>
      <w:r w:rsidRPr="003A7E00">
        <w:rPr>
          <w:rFonts w:cstheme="minorHAnsi"/>
          <w:szCs w:val="22"/>
          <w:lang w:val="ru-RU"/>
        </w:rPr>
        <w:t>8</w:t>
      </w:r>
      <w:r w:rsidRPr="003A7E00">
        <w:rPr>
          <w:rFonts w:cstheme="minorHAnsi"/>
          <w:szCs w:val="22"/>
          <w:lang w:val="ru-RU"/>
        </w:rPr>
        <w:tab/>
      </w:r>
      <w:r w:rsidR="003206A2" w:rsidRPr="003A7E00">
        <w:rPr>
          <w:rFonts w:cstheme="minorHAnsi"/>
          <w:szCs w:val="22"/>
          <w:lang w:val="ru-RU"/>
        </w:rPr>
        <w:t>В зонах расположения основных конференц-залов МСЭ имеются средства беспроводной ЛВС, которыми смогут воспользоваться делегаты. Подробная информация представлена на веб-сайте МСЭ</w:t>
      </w:r>
      <w:r w:rsidR="003206A2" w:rsidRPr="003A7E00">
        <w:rPr>
          <w:rFonts w:cstheme="minorHAnsi"/>
          <w:szCs w:val="22"/>
          <w:lang w:val="ru-RU"/>
        </w:rPr>
        <w:noBreakHyphen/>
        <w:t xml:space="preserve">Т </w:t>
      </w:r>
      <w:r w:rsidRPr="003A7E00">
        <w:rPr>
          <w:rFonts w:cstheme="minorHAnsi"/>
          <w:szCs w:val="22"/>
          <w:lang w:val="ru-RU"/>
        </w:rPr>
        <w:t>(</w:t>
      </w:r>
      <w:hyperlink r:id="rId12" w:history="1">
        <w:r w:rsidRPr="003A7E00">
          <w:rPr>
            <w:rStyle w:val="Hyperlink"/>
            <w:rFonts w:cstheme="minorHAnsi"/>
            <w:szCs w:val="22"/>
          </w:rPr>
          <w:t>http</w:t>
        </w:r>
        <w:r w:rsidRPr="003A7E00">
          <w:rPr>
            <w:rStyle w:val="Hyperlink"/>
            <w:rFonts w:cstheme="minorHAnsi"/>
            <w:szCs w:val="22"/>
            <w:lang w:val="ru-RU"/>
          </w:rPr>
          <w:t>://</w:t>
        </w:r>
        <w:r w:rsidRPr="003A7E00">
          <w:rPr>
            <w:rStyle w:val="Hyperlink"/>
            <w:rFonts w:cstheme="minorHAnsi"/>
            <w:szCs w:val="22"/>
          </w:rPr>
          <w:t>www</w:t>
        </w:r>
        <w:r w:rsidRPr="003A7E00">
          <w:rPr>
            <w:rStyle w:val="Hyperlink"/>
            <w:rFonts w:cstheme="minorHAnsi"/>
            <w:szCs w:val="22"/>
            <w:lang w:val="ru-RU"/>
          </w:rPr>
          <w:t>.</w:t>
        </w:r>
        <w:r w:rsidRPr="003A7E00">
          <w:rPr>
            <w:rStyle w:val="Hyperlink"/>
            <w:rFonts w:cstheme="minorHAnsi"/>
            <w:szCs w:val="22"/>
          </w:rPr>
          <w:t>itu</w:t>
        </w:r>
        <w:r w:rsidRPr="003A7E00">
          <w:rPr>
            <w:rStyle w:val="Hyperlink"/>
            <w:rFonts w:cstheme="minorHAnsi"/>
            <w:szCs w:val="22"/>
            <w:lang w:val="ru-RU"/>
          </w:rPr>
          <w:t>.</w:t>
        </w:r>
        <w:r w:rsidRPr="003A7E00">
          <w:rPr>
            <w:rStyle w:val="Hyperlink"/>
            <w:rFonts w:cstheme="minorHAnsi"/>
            <w:szCs w:val="22"/>
          </w:rPr>
          <w:t>int</w:t>
        </w:r>
        <w:r w:rsidRPr="003A7E00">
          <w:rPr>
            <w:rStyle w:val="Hyperlink"/>
            <w:rFonts w:cstheme="minorHAnsi"/>
            <w:szCs w:val="22"/>
            <w:lang w:val="ru-RU"/>
          </w:rPr>
          <w:t>/</w:t>
        </w:r>
        <w:r w:rsidRPr="003A7E00">
          <w:rPr>
            <w:rStyle w:val="Hyperlink"/>
            <w:rFonts w:cstheme="minorHAnsi"/>
            <w:szCs w:val="22"/>
          </w:rPr>
          <w:t>ITU</w:t>
        </w:r>
        <w:r w:rsidRPr="003A7E00">
          <w:rPr>
            <w:rStyle w:val="Hyperlink"/>
            <w:rFonts w:cstheme="minorHAnsi"/>
            <w:szCs w:val="22"/>
            <w:lang w:val="ru-RU"/>
          </w:rPr>
          <w:t>-</w:t>
        </w:r>
        <w:r w:rsidRPr="003A7E00">
          <w:rPr>
            <w:rStyle w:val="Hyperlink"/>
            <w:rFonts w:cstheme="minorHAnsi"/>
            <w:szCs w:val="22"/>
          </w:rPr>
          <w:t>T</w:t>
        </w:r>
        <w:r w:rsidRPr="003A7E00">
          <w:rPr>
            <w:rStyle w:val="Hyperlink"/>
            <w:rFonts w:cstheme="minorHAnsi"/>
            <w:szCs w:val="22"/>
            <w:lang w:val="ru-RU"/>
          </w:rPr>
          <w:t>/</w:t>
        </w:r>
        <w:r w:rsidRPr="003A7E00">
          <w:rPr>
            <w:rStyle w:val="Hyperlink"/>
            <w:rFonts w:cstheme="minorHAnsi"/>
            <w:szCs w:val="22"/>
          </w:rPr>
          <w:t>edh</w:t>
        </w:r>
        <w:r w:rsidRPr="003A7E00">
          <w:rPr>
            <w:rStyle w:val="Hyperlink"/>
            <w:rFonts w:cstheme="minorHAnsi"/>
            <w:szCs w:val="22"/>
            <w:lang w:val="ru-RU"/>
          </w:rPr>
          <w:t>/</w:t>
        </w:r>
        <w:proofErr w:type="spellStart"/>
        <w:r w:rsidRPr="003A7E00">
          <w:rPr>
            <w:rStyle w:val="Hyperlink"/>
            <w:rFonts w:cstheme="minorHAnsi"/>
            <w:szCs w:val="22"/>
          </w:rPr>
          <w:t>faqs</w:t>
        </w:r>
        <w:proofErr w:type="spellEnd"/>
        <w:r w:rsidRPr="003A7E00">
          <w:rPr>
            <w:rStyle w:val="Hyperlink"/>
            <w:rFonts w:cstheme="minorHAnsi"/>
            <w:szCs w:val="22"/>
            <w:lang w:val="ru-RU"/>
          </w:rPr>
          <w:t>-</w:t>
        </w:r>
        <w:r w:rsidRPr="003A7E00">
          <w:rPr>
            <w:rStyle w:val="Hyperlink"/>
            <w:rFonts w:cstheme="minorHAnsi"/>
            <w:szCs w:val="22"/>
          </w:rPr>
          <w:t>support</w:t>
        </w:r>
        <w:r w:rsidRPr="003A7E00">
          <w:rPr>
            <w:rStyle w:val="Hyperlink"/>
            <w:rFonts w:cstheme="minorHAnsi"/>
            <w:szCs w:val="22"/>
            <w:lang w:val="ru-RU"/>
          </w:rPr>
          <w:t>.</w:t>
        </w:r>
        <w:r w:rsidRPr="003A7E00">
          <w:rPr>
            <w:rStyle w:val="Hyperlink"/>
            <w:rFonts w:cstheme="minorHAnsi"/>
            <w:szCs w:val="22"/>
          </w:rPr>
          <w:t>html</w:t>
        </w:r>
      </w:hyperlink>
      <w:r w:rsidRPr="003A7E00">
        <w:rPr>
          <w:rFonts w:cstheme="minorHAnsi"/>
          <w:szCs w:val="22"/>
          <w:lang w:val="ru-RU"/>
        </w:rPr>
        <w:t>).</w:t>
      </w:r>
    </w:p>
    <w:p w14:paraId="4441B926" w14:textId="115A1FD4" w:rsidR="00C70455" w:rsidRPr="003A7E00" w:rsidRDefault="00C70455" w:rsidP="00C70455">
      <w:pPr>
        <w:tabs>
          <w:tab w:val="left" w:pos="900"/>
        </w:tabs>
        <w:rPr>
          <w:rFonts w:cstheme="minorHAnsi"/>
          <w:szCs w:val="22"/>
          <w:lang w:val="ru-RU"/>
        </w:rPr>
      </w:pPr>
      <w:r w:rsidRPr="003A7E00">
        <w:rPr>
          <w:rFonts w:cstheme="minorHAnsi"/>
          <w:szCs w:val="22"/>
          <w:lang w:val="ru-RU"/>
        </w:rPr>
        <w:t>9</w:t>
      </w:r>
      <w:r w:rsidRPr="003A7E00">
        <w:rPr>
          <w:rFonts w:cstheme="minorHAnsi"/>
          <w:szCs w:val="22"/>
          <w:lang w:val="ru-RU"/>
        </w:rPr>
        <w:tab/>
      </w:r>
      <w:r w:rsidR="003206A2" w:rsidRPr="003A7E00">
        <w:rPr>
          <w:rFonts w:cstheme="minorHAnsi"/>
          <w:szCs w:val="22"/>
          <w:lang w:val="ru-RU"/>
        </w:rPr>
        <w:t xml:space="preserve">Ряд гостиниц в Женеве предлагают льготные тарифы для делегатов, участвующих в собраниях МСЭ, и предоставляют карту, которая обеспечивает бесплатный доступ к системе общественного транспорта Женевы. </w:t>
      </w:r>
      <w:r w:rsidR="003206A2" w:rsidRPr="003A7E00">
        <w:rPr>
          <w:rFonts w:cstheme="minorHAnsi"/>
          <w:color w:val="000000"/>
          <w:szCs w:val="22"/>
          <w:lang w:val="ru-RU"/>
        </w:rPr>
        <w:t>Список соответствующих гостиниц и руководство по запросу скидки содержатся по адресу</w:t>
      </w:r>
      <w:r w:rsidR="003206A2" w:rsidRPr="003A7E00">
        <w:rPr>
          <w:rFonts w:cstheme="minorHAnsi"/>
          <w:szCs w:val="22"/>
          <w:lang w:val="ru-RU"/>
        </w:rPr>
        <w:t>:</w:t>
      </w:r>
      <w:r w:rsidRPr="003A7E00">
        <w:rPr>
          <w:rFonts w:cstheme="minorHAnsi"/>
          <w:szCs w:val="22"/>
          <w:lang w:val="ru-RU"/>
        </w:rPr>
        <w:t xml:space="preserve"> </w:t>
      </w:r>
      <w:hyperlink r:id="rId13" w:history="1">
        <w:r w:rsidRPr="003A7E00">
          <w:rPr>
            <w:rStyle w:val="Hyperlink"/>
            <w:rFonts w:cstheme="minorHAnsi"/>
            <w:szCs w:val="22"/>
          </w:rPr>
          <w:t>http</w:t>
        </w:r>
        <w:r w:rsidRPr="003A7E00">
          <w:rPr>
            <w:rStyle w:val="Hyperlink"/>
            <w:rFonts w:cstheme="minorHAnsi"/>
            <w:szCs w:val="22"/>
            <w:lang w:val="ru-RU"/>
          </w:rPr>
          <w:t>://</w:t>
        </w:r>
        <w:r w:rsidRPr="003A7E00">
          <w:rPr>
            <w:rStyle w:val="Hyperlink"/>
            <w:rFonts w:cstheme="minorHAnsi"/>
            <w:szCs w:val="22"/>
          </w:rPr>
          <w:t>itu</w:t>
        </w:r>
        <w:r w:rsidRPr="003A7E00">
          <w:rPr>
            <w:rStyle w:val="Hyperlink"/>
            <w:rFonts w:cstheme="minorHAnsi"/>
            <w:szCs w:val="22"/>
            <w:lang w:val="ru-RU"/>
          </w:rPr>
          <w:t>.</w:t>
        </w:r>
        <w:r w:rsidRPr="003A7E00">
          <w:rPr>
            <w:rStyle w:val="Hyperlink"/>
            <w:rFonts w:cstheme="minorHAnsi"/>
            <w:szCs w:val="22"/>
          </w:rPr>
          <w:t>int</w:t>
        </w:r>
        <w:r w:rsidRPr="003A7E00">
          <w:rPr>
            <w:rStyle w:val="Hyperlink"/>
            <w:rFonts w:cstheme="minorHAnsi"/>
            <w:szCs w:val="22"/>
            <w:lang w:val="ru-RU"/>
          </w:rPr>
          <w:t>/</w:t>
        </w:r>
        <w:r w:rsidRPr="003A7E00">
          <w:rPr>
            <w:rStyle w:val="Hyperlink"/>
            <w:rFonts w:cstheme="minorHAnsi"/>
            <w:szCs w:val="22"/>
          </w:rPr>
          <w:t>travel</w:t>
        </w:r>
        <w:r w:rsidRPr="003A7E00">
          <w:rPr>
            <w:rStyle w:val="Hyperlink"/>
            <w:rFonts w:cstheme="minorHAnsi"/>
            <w:szCs w:val="22"/>
            <w:lang w:val="ru-RU"/>
          </w:rPr>
          <w:t>/</w:t>
        </w:r>
      </w:hyperlink>
      <w:r w:rsidRPr="003A7E00">
        <w:rPr>
          <w:rFonts w:cstheme="minorHAnsi"/>
          <w:szCs w:val="22"/>
          <w:lang w:val="ru-RU"/>
        </w:rPr>
        <w:t>.</w:t>
      </w:r>
    </w:p>
    <w:p w14:paraId="2868B4BB" w14:textId="27007B60" w:rsidR="00C70455" w:rsidRPr="003A7E00" w:rsidRDefault="00C70455" w:rsidP="00C70455">
      <w:pPr>
        <w:tabs>
          <w:tab w:val="left" w:pos="900"/>
        </w:tabs>
        <w:rPr>
          <w:rFonts w:cstheme="minorHAnsi"/>
          <w:szCs w:val="22"/>
          <w:lang w:val="ru-RU"/>
        </w:rPr>
      </w:pPr>
      <w:r w:rsidRPr="003A7E00">
        <w:rPr>
          <w:rFonts w:cstheme="minorHAnsi"/>
          <w:szCs w:val="22"/>
          <w:lang w:val="ru-RU"/>
        </w:rPr>
        <w:t>10</w:t>
      </w:r>
      <w:r w:rsidRPr="003A7E00">
        <w:rPr>
          <w:rFonts w:cstheme="minorHAnsi"/>
          <w:szCs w:val="22"/>
          <w:lang w:val="ru-RU"/>
        </w:rPr>
        <w:tab/>
      </w:r>
      <w:r w:rsidR="003206A2" w:rsidRPr="003A7E00">
        <w:rPr>
          <w:rFonts w:cstheme="minorHAnsi"/>
          <w:szCs w:val="22"/>
          <w:lang w:val="ru-RU"/>
        </w:rPr>
        <w:t xml:space="preserve">Хотели бы напомнить вам, что для въезда в Швейцарию и пребывания в ней в течение любого срока гражданам некоторых стран необходимо получить визу. </w:t>
      </w:r>
      <w:r w:rsidR="003206A2" w:rsidRPr="003A7E00">
        <w:rPr>
          <w:rFonts w:cstheme="minorHAnsi"/>
          <w:b/>
          <w:bCs/>
          <w:szCs w:val="22"/>
          <w:lang w:val="ru-RU"/>
        </w:rPr>
        <w:t>Визу следует запрашивать не менее чем за четыре (4) недели до даты начала семинара-практикума</w:t>
      </w:r>
      <w:r w:rsidR="003206A2" w:rsidRPr="003A7E00">
        <w:rPr>
          <w:rFonts w:cstheme="minorHAnsi"/>
          <w:szCs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w:t>
      </w:r>
    </w:p>
    <w:p w14:paraId="53EA402D" w14:textId="4F3BCB68" w:rsidR="00C70455" w:rsidRPr="003A7E00" w:rsidRDefault="00551BEB" w:rsidP="006620A7">
      <w:pPr>
        <w:keepNext/>
        <w:keepLines/>
        <w:tabs>
          <w:tab w:val="left" w:pos="900"/>
        </w:tabs>
        <w:rPr>
          <w:rFonts w:cstheme="minorHAnsi"/>
          <w:szCs w:val="22"/>
          <w:lang w:val="ru-RU"/>
        </w:rPr>
      </w:pPr>
      <w:r w:rsidRPr="003A7E00">
        <w:rPr>
          <w:rFonts w:cstheme="minorHAnsi"/>
          <w:color w:val="000000"/>
          <w:spacing w:val="-2"/>
          <w:szCs w:val="22"/>
          <w:lang w:val="ru-RU"/>
        </w:rPr>
        <w:lastRenderedPageBreak/>
        <w:t xml:space="preserve">В случае возникновения трудностей для </w:t>
      </w:r>
      <w:r w:rsidRPr="003A7E00">
        <w:rPr>
          <w:rFonts w:cstheme="minorHAnsi"/>
          <w:b/>
          <w:bCs/>
          <w:color w:val="000000"/>
          <w:spacing w:val="-2"/>
          <w:szCs w:val="22"/>
          <w:lang w:val="ru-RU"/>
        </w:rPr>
        <w:t>Государств – Членов МСЭ, Членов Секторов МСЭ, Ассоциированных членов МСЭ или Академических организаций – Членов МСЭ</w:t>
      </w:r>
      <w:r w:rsidRPr="003A7E00">
        <w:rPr>
          <w:rFonts w:cstheme="minorHAnsi"/>
          <w:color w:val="000000"/>
          <w:spacing w:val="-2"/>
          <w:szCs w:val="22"/>
          <w:lang w:val="ru-RU"/>
        </w:rPr>
        <w:t xml:space="preserve"> 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не позднее указанного </w:t>
      </w:r>
      <w:r w:rsidRPr="003A7E00">
        <w:rPr>
          <w:rFonts w:cstheme="minorHAnsi"/>
          <w:b/>
          <w:bCs/>
          <w:spacing w:val="-2"/>
          <w:szCs w:val="22"/>
          <w:lang w:val="ru-RU"/>
        </w:rPr>
        <w:t>четырехнедельного</w:t>
      </w:r>
      <w:r w:rsidRPr="003A7E00">
        <w:rPr>
          <w:rFonts w:cstheme="minorHAnsi"/>
          <w:spacing w:val="-2"/>
          <w:szCs w:val="22"/>
          <w:lang w:val="ru-RU"/>
        </w:rPr>
        <w:t xml:space="preserve"> периода.</w:t>
      </w:r>
      <w:r w:rsidRPr="003A7E00">
        <w:rPr>
          <w:rFonts w:cstheme="minorHAnsi"/>
          <w:szCs w:val="22"/>
          <w:lang w:val="ru-RU"/>
        </w:rPr>
        <w:t xml:space="preserve"> </w:t>
      </w:r>
      <w:r w:rsidRPr="003A7E00">
        <w:rPr>
          <w:rFonts w:cstheme="minorHAnsi"/>
          <w:color w:val="000000"/>
          <w:szCs w:val="22"/>
          <w:lang w:val="ru-RU"/>
        </w:rPr>
        <w:t>Любой такой запрос следует осуществлять путем отметки в соответствующей ячейке регистрационной формы не менее чем за четыре недели до даты мероприятия. Запросы следует направлять в Секцию поездок МСЭ (</w:t>
      </w:r>
      <w:hyperlink r:id="rId14" w:history="1">
        <w:r w:rsidRPr="003A7E00">
          <w:rPr>
            <w:rStyle w:val="Hyperlink"/>
            <w:rFonts w:cstheme="minorHAnsi"/>
            <w:szCs w:val="22"/>
            <w:lang w:val="ru-RU"/>
          </w:rPr>
          <w:t>travel@itu.int</w:t>
        </w:r>
      </w:hyperlink>
      <w:r w:rsidRPr="003A7E00">
        <w:rPr>
          <w:rFonts w:cstheme="minorHAnsi"/>
          <w:color w:val="000000"/>
          <w:szCs w:val="22"/>
          <w:lang w:val="ru-RU"/>
        </w:rPr>
        <w:t>) с пометкой "</w:t>
      </w:r>
      <w:r w:rsidRPr="003A7E00">
        <w:rPr>
          <w:rFonts w:cstheme="minorHAnsi"/>
          <w:b/>
          <w:color w:val="000000"/>
          <w:szCs w:val="22"/>
          <w:lang w:val="ru-RU"/>
        </w:rPr>
        <w:t>запрос о содействии в получении визы</w:t>
      </w:r>
      <w:r w:rsidRPr="003A7E00">
        <w:rPr>
          <w:rFonts w:cstheme="minorHAnsi"/>
          <w:color w:val="000000"/>
          <w:szCs w:val="22"/>
          <w:lang w:val="ru-RU"/>
        </w:rPr>
        <w:t>" (</w:t>
      </w:r>
      <w:r w:rsidRPr="003A7E00">
        <w:rPr>
          <w:rFonts w:cstheme="minorHAnsi"/>
          <w:szCs w:val="22"/>
          <w:lang w:val="ru-RU"/>
        </w:rPr>
        <w:t>"</w:t>
      </w:r>
      <w:proofErr w:type="spellStart"/>
      <w:r w:rsidRPr="003A7E00">
        <w:rPr>
          <w:rFonts w:cstheme="minorHAnsi"/>
          <w:b/>
          <w:bCs/>
          <w:szCs w:val="22"/>
          <w:lang w:val="ru-RU"/>
        </w:rPr>
        <w:t>visa</w:t>
      </w:r>
      <w:proofErr w:type="spellEnd"/>
      <w:r w:rsidRPr="003A7E00">
        <w:rPr>
          <w:rFonts w:cstheme="minorHAnsi"/>
          <w:b/>
          <w:bCs/>
          <w:szCs w:val="22"/>
          <w:lang w:val="ru-RU"/>
        </w:rPr>
        <w:t xml:space="preserve"> </w:t>
      </w:r>
      <w:proofErr w:type="spellStart"/>
      <w:r w:rsidRPr="003A7E00">
        <w:rPr>
          <w:rFonts w:cstheme="minorHAnsi"/>
          <w:b/>
          <w:bCs/>
          <w:szCs w:val="22"/>
          <w:lang w:val="ru-RU"/>
        </w:rPr>
        <w:t>support</w:t>
      </w:r>
      <w:proofErr w:type="spellEnd"/>
      <w:r w:rsidRPr="003A7E00">
        <w:rPr>
          <w:rFonts w:cstheme="minorHAnsi"/>
          <w:szCs w:val="22"/>
          <w:lang w:val="ru-RU"/>
        </w:rPr>
        <w:t>").</w:t>
      </w:r>
    </w:p>
    <w:p w14:paraId="741C82D9" w14:textId="35BBF992" w:rsidR="00F17CFD" w:rsidRPr="003A7E00" w:rsidRDefault="00041C02" w:rsidP="000202F5">
      <w:pPr>
        <w:spacing w:before="360"/>
        <w:jc w:val="left"/>
        <w:rPr>
          <w:rFonts w:cstheme="minorHAnsi"/>
          <w:szCs w:val="22"/>
          <w:lang w:val="ru-RU"/>
        </w:rPr>
      </w:pPr>
      <w:r w:rsidRPr="003A7E00">
        <w:rPr>
          <w:rFonts w:cstheme="minorHAnsi"/>
          <w:szCs w:val="22"/>
          <w:lang w:val="ru-RU"/>
        </w:rPr>
        <w:t>С уважением,</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72E8C" w:rsidRPr="000C45D0" w14:paraId="4795AC1A" w14:textId="77777777" w:rsidTr="00072E8C">
        <w:tc>
          <w:tcPr>
            <w:tcW w:w="4814" w:type="dxa"/>
          </w:tcPr>
          <w:p w14:paraId="40E6903B" w14:textId="7A582979" w:rsidR="00072E8C" w:rsidRPr="003A7E00" w:rsidRDefault="006352E2" w:rsidP="000C45D0">
            <w:pPr>
              <w:spacing w:before="960"/>
              <w:jc w:val="left"/>
              <w:rPr>
                <w:rFonts w:cstheme="minorHAnsi"/>
                <w:szCs w:val="22"/>
                <w:lang w:val="ru-RU"/>
              </w:rPr>
            </w:pPr>
            <w:r>
              <w:rPr>
                <w:rFonts w:cstheme="minorHAnsi"/>
                <w:noProof/>
                <w:szCs w:val="22"/>
                <w:lang w:val="ru-RU"/>
              </w:rPr>
              <w:drawing>
                <wp:anchor distT="0" distB="0" distL="114300" distR="114300" simplePos="0" relativeHeight="251658240" behindDoc="1" locked="0" layoutInCell="1" allowOverlap="1" wp14:anchorId="233C0703" wp14:editId="4FF4B7B1">
                  <wp:simplePos x="0" y="0"/>
                  <wp:positionH relativeFrom="column">
                    <wp:posOffset>-1270</wp:posOffset>
                  </wp:positionH>
                  <wp:positionV relativeFrom="paragraph">
                    <wp:posOffset>163195</wp:posOffset>
                  </wp:positionV>
                  <wp:extent cx="615778" cy="330200"/>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15778" cy="3302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72E8C" w:rsidRPr="003A7E00">
              <w:rPr>
                <w:rFonts w:cstheme="minorHAnsi"/>
                <w:szCs w:val="22"/>
                <w:lang w:val="ru-RU"/>
              </w:rPr>
              <w:t>Чхе</w:t>
            </w:r>
            <w:proofErr w:type="spellEnd"/>
            <w:r w:rsidR="00072E8C" w:rsidRPr="003A7E00">
              <w:rPr>
                <w:rFonts w:cstheme="minorHAnsi"/>
                <w:szCs w:val="22"/>
                <w:lang w:val="ru-RU"/>
              </w:rPr>
              <w:t xml:space="preserve"> </w:t>
            </w:r>
            <w:proofErr w:type="spellStart"/>
            <w:r w:rsidR="00072E8C" w:rsidRPr="003A7E00">
              <w:rPr>
                <w:rFonts w:cstheme="minorHAnsi"/>
                <w:szCs w:val="22"/>
                <w:lang w:val="ru-RU"/>
              </w:rPr>
              <w:t>Суб</w:t>
            </w:r>
            <w:proofErr w:type="spellEnd"/>
            <w:r w:rsidR="00072E8C" w:rsidRPr="003A7E00">
              <w:rPr>
                <w:rFonts w:cstheme="minorHAnsi"/>
                <w:szCs w:val="22"/>
                <w:lang w:val="ru-RU"/>
              </w:rPr>
              <w:t xml:space="preserve"> Ли</w:t>
            </w:r>
            <w:r w:rsidR="00072E8C" w:rsidRPr="003A7E00">
              <w:rPr>
                <w:rFonts w:cstheme="minorHAnsi"/>
                <w:szCs w:val="22"/>
                <w:lang w:val="ru-RU"/>
              </w:rPr>
              <w:br/>
              <w:t xml:space="preserve">Директор Бюро </w:t>
            </w:r>
            <w:r w:rsidR="00072E8C" w:rsidRPr="003A7E00">
              <w:rPr>
                <w:rFonts w:cstheme="minorHAnsi"/>
                <w:szCs w:val="22"/>
                <w:lang w:val="ru-RU"/>
              </w:rPr>
              <w:br/>
              <w:t>стандартизации электросвязи</w:t>
            </w:r>
          </w:p>
        </w:tc>
        <w:tc>
          <w:tcPr>
            <w:tcW w:w="4815" w:type="dxa"/>
          </w:tcPr>
          <w:p w14:paraId="68380145" w14:textId="0F595100" w:rsidR="00072E8C" w:rsidRPr="003A7E00" w:rsidRDefault="00257D86" w:rsidP="000C45D0">
            <w:pPr>
              <w:spacing w:before="960"/>
              <w:jc w:val="left"/>
              <w:rPr>
                <w:rFonts w:cstheme="minorHAnsi"/>
                <w:szCs w:val="22"/>
                <w:lang w:val="ru-RU"/>
              </w:rPr>
            </w:pPr>
            <w:r w:rsidRPr="003A7E00">
              <w:rPr>
                <w:rFonts w:cstheme="minorHAnsi"/>
                <w:szCs w:val="22"/>
                <w:lang w:val="ru-RU"/>
              </w:rPr>
              <w:t>Дорин Богдан-Мартин</w:t>
            </w:r>
            <w:r w:rsidRPr="003A7E00">
              <w:rPr>
                <w:rFonts w:cstheme="minorHAnsi"/>
                <w:szCs w:val="22"/>
                <w:lang w:val="ru-RU"/>
              </w:rPr>
              <w:br/>
            </w:r>
            <w:r w:rsidR="00072E8C" w:rsidRPr="003A7E00">
              <w:rPr>
                <w:rFonts w:cstheme="minorHAnsi"/>
                <w:szCs w:val="22"/>
                <w:lang w:val="ru-RU"/>
              </w:rPr>
              <w:t>Директор Бюро</w:t>
            </w:r>
            <w:r w:rsidR="00072E8C" w:rsidRPr="003A7E00">
              <w:rPr>
                <w:rFonts w:cstheme="minorHAnsi"/>
                <w:szCs w:val="22"/>
                <w:lang w:val="ru-RU"/>
              </w:rPr>
              <w:br/>
              <w:t>развития электросвязи</w:t>
            </w:r>
          </w:p>
        </w:tc>
      </w:tr>
    </w:tbl>
    <w:p w14:paraId="073E63CF" w14:textId="78AA2331" w:rsidR="00C70455" w:rsidRPr="003A7E00" w:rsidRDefault="00C70455">
      <w:pPr>
        <w:tabs>
          <w:tab w:val="clear" w:pos="794"/>
          <w:tab w:val="clear" w:pos="1191"/>
          <w:tab w:val="clear" w:pos="1588"/>
          <w:tab w:val="clear" w:pos="1985"/>
        </w:tabs>
        <w:spacing w:before="0"/>
        <w:jc w:val="left"/>
        <w:rPr>
          <w:rFonts w:cstheme="minorHAnsi"/>
          <w:szCs w:val="22"/>
          <w:lang w:val="ru-RU"/>
        </w:rPr>
      </w:pPr>
      <w:r w:rsidRPr="003A7E00">
        <w:rPr>
          <w:rFonts w:cstheme="minorHAnsi"/>
          <w:szCs w:val="22"/>
          <w:lang w:val="ru-RU"/>
        </w:rPr>
        <w:br w:type="page"/>
      </w:r>
    </w:p>
    <w:p w14:paraId="7F9DB452" w14:textId="77777777" w:rsidR="00632161" w:rsidRPr="003A7E00" w:rsidRDefault="00C70455" w:rsidP="00632161">
      <w:pPr>
        <w:pStyle w:val="AnnexNo"/>
        <w:rPr>
          <w:rFonts w:cstheme="minorHAnsi"/>
          <w:sz w:val="22"/>
          <w:szCs w:val="22"/>
        </w:rPr>
      </w:pPr>
      <w:r w:rsidRPr="003A7E00">
        <w:rPr>
          <w:rFonts w:cstheme="minorHAnsi"/>
          <w:sz w:val="22"/>
          <w:szCs w:val="22"/>
        </w:rPr>
        <w:lastRenderedPageBreak/>
        <w:t>Annex</w:t>
      </w:r>
    </w:p>
    <w:p w14:paraId="1686D056" w14:textId="76ADAB9E" w:rsidR="00C70455" w:rsidRPr="003A7E00" w:rsidRDefault="00C70455" w:rsidP="00C70455">
      <w:pPr>
        <w:pStyle w:val="Annextitle0"/>
        <w:rPr>
          <w:rFonts w:asciiTheme="minorHAnsi" w:hAnsiTheme="minorHAnsi" w:cstheme="minorHAnsi"/>
          <w:b w:val="0"/>
          <w:bCs/>
          <w:sz w:val="22"/>
          <w:szCs w:val="22"/>
        </w:rPr>
      </w:pPr>
      <w:r w:rsidRPr="003A7E00">
        <w:rPr>
          <w:rFonts w:asciiTheme="minorHAnsi" w:hAnsiTheme="minorHAnsi" w:cstheme="minorHAnsi"/>
          <w:sz w:val="22"/>
          <w:szCs w:val="22"/>
        </w:rPr>
        <w:t>Outline</w:t>
      </w:r>
      <w:r w:rsidRPr="003A7E00">
        <w:rPr>
          <w:rFonts w:asciiTheme="minorHAnsi" w:hAnsiTheme="minorHAnsi" w:cstheme="minorHAnsi"/>
          <w:bCs/>
          <w:sz w:val="22"/>
          <w:szCs w:val="22"/>
        </w:rPr>
        <w:t xml:space="preserve"> of workshop sessions</w:t>
      </w:r>
    </w:p>
    <w:p w14:paraId="4CF3261E" w14:textId="77777777" w:rsidR="00C70455" w:rsidRPr="003A7E00" w:rsidRDefault="00C70455" w:rsidP="00632161">
      <w:pPr>
        <w:pStyle w:val="Normalaftertitle"/>
        <w:rPr>
          <w:rFonts w:cstheme="minorHAnsi"/>
          <w:szCs w:val="22"/>
        </w:rPr>
      </w:pPr>
      <w:r w:rsidRPr="003A7E00">
        <w:rPr>
          <w:rFonts w:cstheme="minorHAnsi"/>
          <w:szCs w:val="22"/>
        </w:rPr>
        <w:t xml:space="preserve">In total, nine sessions (subject to change) are planned during the workshop. For any updates, please see webpage at </w:t>
      </w:r>
      <w:hyperlink r:id="rId16" w:history="1">
        <w:r w:rsidRPr="003A7E00">
          <w:rPr>
            <w:rStyle w:val="Hyperlink"/>
            <w:rFonts w:cstheme="minorHAnsi"/>
            <w:szCs w:val="22"/>
          </w:rPr>
          <w:t>https://www.itu.int/en/ITU-T/Workshops-and-Seminars/2022/1103/Pages/default.aspx</w:t>
        </w:r>
      </w:hyperlink>
    </w:p>
    <w:p w14:paraId="270A338D" w14:textId="77777777" w:rsidR="00C70455" w:rsidRPr="003A7E00" w:rsidRDefault="00C70455" w:rsidP="00C70455">
      <w:pPr>
        <w:pStyle w:val="Headingb"/>
        <w:rPr>
          <w:rFonts w:asciiTheme="minorHAnsi" w:hAnsiTheme="minorHAnsi" w:cstheme="minorHAnsi"/>
          <w:b w:val="0"/>
          <w:bCs/>
          <w:szCs w:val="22"/>
        </w:rPr>
      </w:pPr>
      <w:r w:rsidRPr="003A7E00">
        <w:rPr>
          <w:rFonts w:asciiTheme="minorHAnsi" w:hAnsiTheme="minorHAnsi" w:cstheme="minorHAnsi"/>
          <w:szCs w:val="22"/>
        </w:rPr>
        <w:t>Session</w:t>
      </w:r>
      <w:r w:rsidRPr="003A7E00">
        <w:rPr>
          <w:rFonts w:asciiTheme="minorHAnsi" w:hAnsiTheme="minorHAnsi" w:cstheme="minorHAnsi"/>
          <w:bCs/>
          <w:szCs w:val="22"/>
        </w:rPr>
        <w:t xml:space="preserve"> 1 – Opening</w:t>
      </w:r>
    </w:p>
    <w:p w14:paraId="4D687C37" w14:textId="77777777" w:rsidR="00C70455" w:rsidRPr="003A7E00" w:rsidRDefault="00C70455" w:rsidP="00C70455">
      <w:pPr>
        <w:pStyle w:val="Headingb"/>
        <w:rPr>
          <w:rFonts w:asciiTheme="minorHAnsi" w:hAnsiTheme="minorHAnsi" w:cstheme="minorHAnsi"/>
          <w:b w:val="0"/>
          <w:bCs/>
          <w:szCs w:val="22"/>
        </w:rPr>
      </w:pPr>
      <w:r w:rsidRPr="003A7E00">
        <w:rPr>
          <w:rFonts w:asciiTheme="minorHAnsi" w:hAnsiTheme="minorHAnsi" w:cstheme="minorHAnsi"/>
          <w:szCs w:val="22"/>
        </w:rPr>
        <w:t>Session</w:t>
      </w:r>
      <w:r w:rsidRPr="003A7E00">
        <w:rPr>
          <w:rFonts w:asciiTheme="minorHAnsi" w:hAnsiTheme="minorHAnsi" w:cstheme="minorHAnsi"/>
          <w:bCs/>
          <w:szCs w:val="22"/>
        </w:rPr>
        <w:t xml:space="preserve"> 2 – Introduction to ITU-T Study Group 3</w:t>
      </w:r>
    </w:p>
    <w:p w14:paraId="3C723B93" w14:textId="77777777" w:rsidR="00C70455" w:rsidRPr="003A7E00" w:rsidRDefault="00C70455" w:rsidP="00C70455">
      <w:pPr>
        <w:pStyle w:val="Headingb"/>
        <w:rPr>
          <w:rFonts w:asciiTheme="minorHAnsi" w:hAnsiTheme="minorHAnsi" w:cstheme="minorHAnsi"/>
          <w:b w:val="0"/>
          <w:bCs/>
          <w:szCs w:val="22"/>
        </w:rPr>
      </w:pPr>
      <w:r w:rsidRPr="003A7E00">
        <w:rPr>
          <w:rFonts w:asciiTheme="minorHAnsi" w:hAnsiTheme="minorHAnsi" w:cstheme="minorHAnsi"/>
          <w:szCs w:val="22"/>
        </w:rPr>
        <w:t>Session</w:t>
      </w:r>
      <w:r w:rsidRPr="003A7E00">
        <w:rPr>
          <w:rFonts w:asciiTheme="minorHAnsi" w:hAnsiTheme="minorHAnsi" w:cstheme="minorHAnsi"/>
          <w:bCs/>
          <w:szCs w:val="22"/>
        </w:rPr>
        <w:t xml:space="preserve"> 3 – Industry’s perspectives on the economic and fiscal landscape</w:t>
      </w:r>
    </w:p>
    <w:p w14:paraId="056437F8" w14:textId="77777777" w:rsidR="00C70455" w:rsidRPr="003A7E00" w:rsidRDefault="00C70455" w:rsidP="00632161">
      <w:pPr>
        <w:rPr>
          <w:rFonts w:cstheme="minorHAnsi"/>
          <w:szCs w:val="22"/>
        </w:rPr>
      </w:pPr>
      <w:r w:rsidRPr="003A7E00">
        <w:rPr>
          <w:rFonts w:cstheme="minorHAnsi"/>
          <w:szCs w:val="22"/>
        </w:rPr>
        <w:t>In recent years, user demand has driven outstanding growth of data and applications over telecommunication infrastructure, which broadens options of virtual interaction, content consumption and remote communication for people all over the globe.</w:t>
      </w:r>
    </w:p>
    <w:p w14:paraId="70C3D618" w14:textId="77777777" w:rsidR="00C70455" w:rsidRPr="003A7E00" w:rsidRDefault="00C70455" w:rsidP="00632161">
      <w:pPr>
        <w:rPr>
          <w:rFonts w:cstheme="minorHAnsi"/>
          <w:szCs w:val="22"/>
        </w:rPr>
      </w:pPr>
      <w:r w:rsidRPr="003A7E00">
        <w:rPr>
          <w:rFonts w:cstheme="minorHAnsi"/>
          <w:szCs w:val="22"/>
        </w:rPr>
        <w:t xml:space="preserve">With the increasing presence of these new digital firms, issues arise on the economic impacts of new fiscal </w:t>
      </w:r>
      <w:proofErr w:type="gramStart"/>
      <w:r w:rsidRPr="003A7E00">
        <w:rPr>
          <w:rFonts w:cstheme="minorHAnsi"/>
          <w:szCs w:val="22"/>
        </w:rPr>
        <w:t>instruments;</w:t>
      </w:r>
      <w:proofErr w:type="gramEnd"/>
      <w:r w:rsidRPr="003A7E00">
        <w:rPr>
          <w:rFonts w:cstheme="minorHAnsi"/>
          <w:szCs w:val="22"/>
        </w:rPr>
        <w:t xml:space="preserve"> for instance, on investments, forms of cooperation between traditional telecommunication operators and OTT application service providers, among others.</w:t>
      </w:r>
    </w:p>
    <w:p w14:paraId="23F94EFB" w14:textId="486F2EC9" w:rsidR="00C70455" w:rsidRPr="003A7E00" w:rsidRDefault="00C70455" w:rsidP="00632161">
      <w:pPr>
        <w:rPr>
          <w:rFonts w:cstheme="minorHAnsi"/>
          <w:szCs w:val="22"/>
        </w:rPr>
      </w:pPr>
      <w:r w:rsidRPr="003A7E00">
        <w:rPr>
          <w:rFonts w:cstheme="minorHAnsi"/>
          <w:szCs w:val="22"/>
        </w:rPr>
        <w:t xml:space="preserve">Some parts of the telecommunications industry have proposed to apply the </w:t>
      </w:r>
      <w:r w:rsidR="006620A7" w:rsidRPr="003A7E00">
        <w:rPr>
          <w:rFonts w:cstheme="minorHAnsi"/>
          <w:szCs w:val="22"/>
          <w:lang w:val="en-GB"/>
        </w:rPr>
        <w:t>"</w:t>
      </w:r>
      <w:r w:rsidRPr="003A7E00">
        <w:rPr>
          <w:rFonts w:cstheme="minorHAnsi"/>
          <w:szCs w:val="22"/>
        </w:rPr>
        <w:t>sending-party-network-pays system</w:t>
      </w:r>
      <w:r w:rsidR="006620A7" w:rsidRPr="003A7E00">
        <w:rPr>
          <w:rFonts w:cstheme="minorHAnsi"/>
          <w:szCs w:val="22"/>
          <w:lang w:val="en-GB"/>
        </w:rPr>
        <w:t>"</w:t>
      </w:r>
      <w:r w:rsidRPr="003A7E00">
        <w:rPr>
          <w:rFonts w:cstheme="minorHAnsi"/>
          <w:szCs w:val="22"/>
        </w:rPr>
        <w:t xml:space="preserve"> (SPNP) and have called for some form of an Internet usage/traffic tax, </w:t>
      </w:r>
      <w:proofErr w:type="gramStart"/>
      <w:r w:rsidRPr="003A7E00">
        <w:rPr>
          <w:rFonts w:cstheme="minorHAnsi"/>
          <w:szCs w:val="22"/>
        </w:rPr>
        <w:t>levies</w:t>
      </w:r>
      <w:proofErr w:type="gramEnd"/>
      <w:r w:rsidRPr="003A7E00">
        <w:rPr>
          <w:rFonts w:cstheme="minorHAnsi"/>
          <w:szCs w:val="22"/>
        </w:rPr>
        <w:t xml:space="preserve"> or fees on “big technology content and service provider companies” and ISPs to help provide cost recovery for telecom service providers’ investments. However, some parts of the wider Internet ecosystem have cautioned that such approaches could be counterproductive.</w:t>
      </w:r>
    </w:p>
    <w:p w14:paraId="2E57BB31" w14:textId="77777777" w:rsidR="00C70455" w:rsidRPr="003A7E00" w:rsidRDefault="00C70455" w:rsidP="00632161">
      <w:pPr>
        <w:rPr>
          <w:rFonts w:cstheme="minorHAnsi"/>
          <w:szCs w:val="22"/>
        </w:rPr>
      </w:pPr>
      <w:r w:rsidRPr="003A7E00">
        <w:rPr>
          <w:rFonts w:cstheme="minorHAnsi"/>
          <w:szCs w:val="22"/>
        </w:rPr>
        <w:t>This session aims to gather the various industry perspectives on the economic, regulatory, and fiscal landscape in which telecom operators and content and application providers operate.</w:t>
      </w:r>
    </w:p>
    <w:p w14:paraId="76B50FA1" w14:textId="77777777" w:rsidR="00C70455" w:rsidRPr="003A7E00" w:rsidRDefault="00C70455" w:rsidP="00C70455">
      <w:pPr>
        <w:pStyle w:val="Headingb"/>
        <w:rPr>
          <w:rFonts w:asciiTheme="minorHAnsi" w:hAnsiTheme="minorHAnsi" w:cstheme="minorHAnsi"/>
          <w:b w:val="0"/>
          <w:bCs/>
          <w:szCs w:val="22"/>
        </w:rPr>
      </w:pPr>
      <w:r w:rsidRPr="003A7E00">
        <w:rPr>
          <w:rFonts w:asciiTheme="minorHAnsi" w:hAnsiTheme="minorHAnsi" w:cstheme="minorHAnsi"/>
          <w:szCs w:val="22"/>
        </w:rPr>
        <w:t>Session</w:t>
      </w:r>
      <w:r w:rsidRPr="003A7E00">
        <w:rPr>
          <w:rFonts w:asciiTheme="minorHAnsi" w:hAnsiTheme="minorHAnsi" w:cstheme="minorHAnsi"/>
          <w:bCs/>
          <w:szCs w:val="22"/>
        </w:rPr>
        <w:t xml:space="preserve"> 4 – ICT market impacts of international tax agreements</w:t>
      </w:r>
    </w:p>
    <w:p w14:paraId="1B25829C" w14:textId="77777777" w:rsidR="00C70455" w:rsidRPr="003A7E00" w:rsidRDefault="00C70455" w:rsidP="00632161">
      <w:pPr>
        <w:rPr>
          <w:rFonts w:cstheme="minorHAnsi"/>
          <w:szCs w:val="22"/>
        </w:rPr>
      </w:pPr>
      <w:r w:rsidRPr="003A7E00">
        <w:rPr>
          <w:rFonts w:cstheme="minorHAnsi"/>
          <w:szCs w:val="22"/>
        </w:rPr>
        <w:t xml:space="preserve">As investments around the world advance towards globalized intangible digital service-based assets, so do tax systems </w:t>
      </w:r>
      <w:proofErr w:type="gramStart"/>
      <w:r w:rsidRPr="003A7E00">
        <w:rPr>
          <w:rFonts w:cstheme="minorHAnsi"/>
          <w:szCs w:val="22"/>
        </w:rPr>
        <w:t>in order to</w:t>
      </w:r>
      <w:proofErr w:type="gramEnd"/>
      <w:r w:rsidRPr="003A7E00">
        <w:rPr>
          <w:rFonts w:cstheme="minorHAnsi"/>
          <w:szCs w:val="22"/>
        </w:rPr>
        <w:t xml:space="preserve"> adapt to the 21st century production structure. Given the importance of cross-border transactions, a commitment for international coordination on taxation was made through the OECD/G20 Inclusive Framework on Base Erosion and Profit Shifting (BEPS).</w:t>
      </w:r>
    </w:p>
    <w:p w14:paraId="09105C8A" w14:textId="77777777" w:rsidR="00C70455" w:rsidRPr="003A7E00" w:rsidRDefault="00C70455" w:rsidP="00632161">
      <w:pPr>
        <w:rPr>
          <w:rFonts w:cstheme="minorHAnsi"/>
          <w:szCs w:val="22"/>
        </w:rPr>
      </w:pPr>
      <w:r w:rsidRPr="003A7E00">
        <w:rPr>
          <w:rFonts w:cstheme="minorHAnsi"/>
          <w:szCs w:val="22"/>
        </w:rPr>
        <w:t xml:space="preserve">The OECD/G20 Inclusive Framework on BEPS has agreed a two-pillar solution to address the tax challenges arising from the </w:t>
      </w:r>
      <w:proofErr w:type="spellStart"/>
      <w:r w:rsidRPr="003A7E00">
        <w:rPr>
          <w:rFonts w:cstheme="minorHAnsi"/>
          <w:szCs w:val="22"/>
        </w:rPr>
        <w:t>digitalisation</w:t>
      </w:r>
      <w:proofErr w:type="spellEnd"/>
      <w:r w:rsidRPr="003A7E00">
        <w:rPr>
          <w:rFonts w:cstheme="minorHAnsi"/>
          <w:szCs w:val="22"/>
        </w:rPr>
        <w:t xml:space="preserve"> of the economy. Agreed by more than 135 countries and jurisdictions, representing more than 90 per cent of global GDP, this landmark deal represents a historic achievement towards a more stable and fairer international tax system.</w:t>
      </w:r>
    </w:p>
    <w:p w14:paraId="53BAC0A5" w14:textId="77777777" w:rsidR="00C70455" w:rsidRPr="003A7E00" w:rsidRDefault="00C70455" w:rsidP="00632161">
      <w:pPr>
        <w:rPr>
          <w:rFonts w:cstheme="minorHAnsi"/>
          <w:szCs w:val="22"/>
        </w:rPr>
      </w:pPr>
      <w:r w:rsidRPr="003A7E00">
        <w:rPr>
          <w:rFonts w:cstheme="minorHAnsi"/>
          <w:szCs w:val="22"/>
        </w:rPr>
        <w:t>This session aims to provide participants with a thorough understanding of the efforts undertaken in this initiative in terms of the tax challenges arising from the digitalization of the economy such as on automated digital services and on multinational enterprise business taxation. It also has the objective of broadening the knowledge on relevant aspects which relate to the ICT and telecommunication sector, as well as to possible outcomes on companies that operate over telecommunication infrastructure.</w:t>
      </w:r>
    </w:p>
    <w:p w14:paraId="3E7D61B8" w14:textId="77777777" w:rsidR="00C70455" w:rsidRPr="003A7E00" w:rsidRDefault="00C70455" w:rsidP="006620A7">
      <w:pPr>
        <w:pStyle w:val="Headingb"/>
        <w:tabs>
          <w:tab w:val="clear" w:pos="567"/>
        </w:tabs>
        <w:ind w:left="0" w:firstLine="0"/>
        <w:jc w:val="both"/>
        <w:rPr>
          <w:rFonts w:asciiTheme="minorHAnsi" w:hAnsiTheme="minorHAnsi" w:cstheme="minorHAnsi"/>
          <w:b w:val="0"/>
          <w:szCs w:val="22"/>
        </w:rPr>
      </w:pPr>
      <w:r w:rsidRPr="003A7E00">
        <w:rPr>
          <w:rFonts w:asciiTheme="minorHAnsi" w:hAnsiTheme="minorHAnsi" w:cstheme="minorHAnsi"/>
          <w:szCs w:val="22"/>
        </w:rPr>
        <w:t>Session 5 – International aspects, and multistakeholder impacts of established and new fiscal instruments</w:t>
      </w:r>
    </w:p>
    <w:p w14:paraId="6B1A9945" w14:textId="77777777" w:rsidR="00C70455" w:rsidRPr="003A7E00" w:rsidRDefault="00C70455" w:rsidP="00632161">
      <w:pPr>
        <w:rPr>
          <w:rFonts w:cstheme="minorHAnsi"/>
          <w:szCs w:val="22"/>
        </w:rPr>
      </w:pPr>
      <w:r w:rsidRPr="003A7E00">
        <w:rPr>
          <w:rFonts w:cstheme="minorHAnsi"/>
          <w:szCs w:val="22"/>
        </w:rPr>
        <w:t xml:space="preserve">There is an ongoing need to encourage investment in telecom infrastructure, particularly in new deployments and continual upgrades, especially in rural areas, to help close the digital divide. This raises the question of which funds, fiscal instruments, </w:t>
      </w:r>
      <w:proofErr w:type="gramStart"/>
      <w:r w:rsidRPr="003A7E00">
        <w:rPr>
          <w:rFonts w:cstheme="minorHAnsi"/>
          <w:szCs w:val="22"/>
        </w:rPr>
        <w:t>incentives</w:t>
      </w:r>
      <w:proofErr w:type="gramEnd"/>
      <w:r w:rsidRPr="003A7E00">
        <w:rPr>
          <w:rFonts w:cstheme="minorHAnsi"/>
          <w:szCs w:val="22"/>
        </w:rPr>
        <w:t xml:space="preserve"> and other measures could be most appropriate and effective in bridging the digital divide and in supporting the digital transformation.</w:t>
      </w:r>
    </w:p>
    <w:p w14:paraId="7676EC91" w14:textId="6C1C335D" w:rsidR="00C70455" w:rsidRPr="003A7E00" w:rsidRDefault="00C70455" w:rsidP="006620A7">
      <w:pPr>
        <w:keepNext/>
        <w:keepLines/>
        <w:rPr>
          <w:rFonts w:cstheme="minorHAnsi"/>
          <w:szCs w:val="22"/>
        </w:rPr>
      </w:pPr>
      <w:r w:rsidRPr="003A7E00">
        <w:rPr>
          <w:rFonts w:cstheme="minorHAnsi"/>
          <w:szCs w:val="22"/>
        </w:rPr>
        <w:lastRenderedPageBreak/>
        <w:t xml:space="preserve">There are challenges to Universal Service Funds (USF), which are shrinking as they are derived from telecom voice service revenues, affecting especially developing countries with varying economic consequences. Suggestions have been made to rescope or reform the service funds and derive them from broadband data service revenues, as well as to request </w:t>
      </w:r>
      <w:r w:rsidR="006620A7" w:rsidRPr="003A7E00">
        <w:rPr>
          <w:rFonts w:cstheme="minorHAnsi"/>
          <w:szCs w:val="22"/>
          <w:lang w:val="en-GB"/>
        </w:rPr>
        <w:t>"</w:t>
      </w:r>
      <w:r w:rsidRPr="003A7E00">
        <w:rPr>
          <w:rFonts w:cstheme="minorHAnsi"/>
          <w:szCs w:val="22"/>
        </w:rPr>
        <w:t>Big Tech</w:t>
      </w:r>
      <w:r w:rsidR="006620A7" w:rsidRPr="003A7E00">
        <w:rPr>
          <w:rFonts w:cstheme="minorHAnsi"/>
          <w:szCs w:val="22"/>
          <w:lang w:val="en-GB"/>
        </w:rPr>
        <w:t>"</w:t>
      </w:r>
      <w:r w:rsidRPr="003A7E00">
        <w:rPr>
          <w:rFonts w:cstheme="minorHAnsi"/>
          <w:szCs w:val="22"/>
        </w:rPr>
        <w:t xml:space="preserve"> companies to contribute to universal service obligations.</w:t>
      </w:r>
    </w:p>
    <w:p w14:paraId="4B5E644C" w14:textId="1333DFBB" w:rsidR="00C70455" w:rsidRPr="003A7E00" w:rsidRDefault="00C70455" w:rsidP="00632161">
      <w:pPr>
        <w:rPr>
          <w:rFonts w:cstheme="minorHAnsi"/>
          <w:szCs w:val="22"/>
        </w:rPr>
      </w:pPr>
      <w:r w:rsidRPr="003A7E00">
        <w:rPr>
          <w:rFonts w:cstheme="minorHAnsi"/>
          <w:szCs w:val="22"/>
        </w:rPr>
        <w:t xml:space="preserve">There are also debates surrounding applying the </w:t>
      </w:r>
      <w:r w:rsidR="006620A7" w:rsidRPr="003A7E00">
        <w:rPr>
          <w:rFonts w:cstheme="minorHAnsi"/>
          <w:szCs w:val="22"/>
          <w:lang w:val="en-GB"/>
        </w:rPr>
        <w:t>"</w:t>
      </w:r>
      <w:r w:rsidRPr="003A7E00">
        <w:rPr>
          <w:rFonts w:cstheme="minorHAnsi"/>
          <w:szCs w:val="22"/>
        </w:rPr>
        <w:t>sending-party-network-pays system</w:t>
      </w:r>
      <w:r w:rsidR="006620A7" w:rsidRPr="003A7E00">
        <w:rPr>
          <w:rFonts w:cstheme="minorHAnsi"/>
          <w:szCs w:val="22"/>
          <w:lang w:val="en-GB"/>
        </w:rPr>
        <w:t>"</w:t>
      </w:r>
      <w:r w:rsidRPr="003A7E00">
        <w:rPr>
          <w:rFonts w:cstheme="minorHAnsi"/>
          <w:szCs w:val="22"/>
        </w:rPr>
        <w:t xml:space="preserve"> (SPNP) and/or some form of an Internet usage/traffic tax, </w:t>
      </w:r>
      <w:proofErr w:type="gramStart"/>
      <w:r w:rsidRPr="003A7E00">
        <w:rPr>
          <w:rFonts w:cstheme="minorHAnsi"/>
          <w:szCs w:val="22"/>
        </w:rPr>
        <w:t>levies</w:t>
      </w:r>
      <w:proofErr w:type="gramEnd"/>
      <w:r w:rsidRPr="003A7E00">
        <w:rPr>
          <w:rFonts w:cstheme="minorHAnsi"/>
          <w:szCs w:val="22"/>
        </w:rPr>
        <w:t xml:space="preserve"> or fees on </w:t>
      </w:r>
      <w:r w:rsidR="006620A7" w:rsidRPr="003A7E00">
        <w:rPr>
          <w:rFonts w:cstheme="minorHAnsi"/>
          <w:szCs w:val="22"/>
          <w:lang w:val="en-GB"/>
        </w:rPr>
        <w:t>"</w:t>
      </w:r>
      <w:r w:rsidRPr="003A7E00">
        <w:rPr>
          <w:rFonts w:cstheme="minorHAnsi"/>
          <w:szCs w:val="22"/>
        </w:rPr>
        <w:t>big technology content and service provider companies</w:t>
      </w:r>
      <w:r w:rsidR="006620A7" w:rsidRPr="003A7E00">
        <w:rPr>
          <w:rFonts w:cstheme="minorHAnsi"/>
          <w:szCs w:val="22"/>
          <w:lang w:val="en-GB"/>
        </w:rPr>
        <w:t>"</w:t>
      </w:r>
      <w:r w:rsidRPr="003A7E00">
        <w:rPr>
          <w:rFonts w:cstheme="minorHAnsi"/>
          <w:szCs w:val="22"/>
        </w:rPr>
        <w:t xml:space="preserve"> and ISPs to help provide cost recovery for telecom service providers’ investments. </w:t>
      </w:r>
    </w:p>
    <w:p w14:paraId="7F3A878E" w14:textId="77777777" w:rsidR="00C70455" w:rsidRPr="003A7E00" w:rsidRDefault="00C70455" w:rsidP="00632161">
      <w:pPr>
        <w:rPr>
          <w:rFonts w:cstheme="minorHAnsi"/>
          <w:szCs w:val="22"/>
        </w:rPr>
      </w:pPr>
      <w:r w:rsidRPr="003A7E00">
        <w:rPr>
          <w:rFonts w:cstheme="minorHAnsi"/>
          <w:szCs w:val="22"/>
        </w:rPr>
        <w:t>Recently established European regulations such as the Digital Market Act and Digital Service Act that address digital/online platforms will be considered in this session, as well as the WTO moratorium not to impose customs duties on electronic transmissions, and an expected Connectivity Infrastructure Act.</w:t>
      </w:r>
    </w:p>
    <w:p w14:paraId="036F4B86" w14:textId="77777777" w:rsidR="00C70455" w:rsidRPr="003A7E00" w:rsidRDefault="00C70455" w:rsidP="00632161">
      <w:pPr>
        <w:rPr>
          <w:rFonts w:cstheme="minorHAnsi"/>
          <w:szCs w:val="22"/>
        </w:rPr>
      </w:pPr>
      <w:r w:rsidRPr="003A7E00">
        <w:rPr>
          <w:rFonts w:cstheme="minorHAnsi"/>
          <w:szCs w:val="22"/>
        </w:rPr>
        <w:t xml:space="preserve">A key objective of the session is to facilitate a dialogue among the experts regarding how they understand the economic consequences and regulatory implications of some Internet usage/traffic tax compared with other fiscal instruments such as tax relief, incentives and subsidies, and alternatives or other cost-sharing approaches. This includes considering compatibility with net-neutrality principles, the potential impact on innovation and competition, and the relationship with other forms of digital taxes, as well as the risk of double/over-taxation.  </w:t>
      </w:r>
    </w:p>
    <w:p w14:paraId="5FB10DBF" w14:textId="77777777" w:rsidR="00C70455" w:rsidRPr="003A7E00" w:rsidRDefault="00C70455" w:rsidP="00C70455">
      <w:pPr>
        <w:pStyle w:val="Headingb"/>
        <w:rPr>
          <w:rFonts w:asciiTheme="minorHAnsi" w:hAnsiTheme="minorHAnsi" w:cstheme="minorHAnsi"/>
          <w:b w:val="0"/>
          <w:bCs/>
          <w:szCs w:val="22"/>
        </w:rPr>
      </w:pPr>
      <w:r w:rsidRPr="003A7E00">
        <w:rPr>
          <w:rFonts w:asciiTheme="minorHAnsi" w:hAnsiTheme="minorHAnsi" w:cstheme="minorHAnsi"/>
          <w:szCs w:val="22"/>
        </w:rPr>
        <w:t>Session</w:t>
      </w:r>
      <w:r w:rsidRPr="003A7E00">
        <w:rPr>
          <w:rFonts w:asciiTheme="minorHAnsi" w:hAnsiTheme="minorHAnsi" w:cstheme="minorHAnsi"/>
          <w:bCs/>
          <w:szCs w:val="22"/>
        </w:rPr>
        <w:t xml:space="preserve"> 6 – Digital Inclusion in the Civil Society</w:t>
      </w:r>
    </w:p>
    <w:p w14:paraId="26694FD3" w14:textId="77777777" w:rsidR="00C70455" w:rsidRPr="003A7E00" w:rsidRDefault="00C70455" w:rsidP="00632161">
      <w:pPr>
        <w:rPr>
          <w:rFonts w:cstheme="minorHAnsi"/>
          <w:szCs w:val="22"/>
        </w:rPr>
      </w:pPr>
      <w:r w:rsidRPr="003A7E00">
        <w:rPr>
          <w:rFonts w:cstheme="minorHAnsi"/>
          <w:szCs w:val="22"/>
        </w:rPr>
        <w:t>As the world becomes increasingly digital, and new forms of fiscal instrument potentially arise in response, it is vital to consider the issue of digital inclusion – and especially views on this matter from the perspective of Civil Society.</w:t>
      </w:r>
    </w:p>
    <w:p w14:paraId="312819A9" w14:textId="77777777" w:rsidR="00C70455" w:rsidRPr="003A7E00" w:rsidRDefault="00C70455" w:rsidP="00632161">
      <w:pPr>
        <w:rPr>
          <w:rFonts w:cstheme="minorHAnsi"/>
          <w:szCs w:val="22"/>
        </w:rPr>
      </w:pPr>
      <w:r w:rsidRPr="003A7E00">
        <w:rPr>
          <w:rFonts w:cstheme="minorHAnsi"/>
          <w:szCs w:val="22"/>
        </w:rPr>
        <w:t>For instance, recent pandemics put into perspective the importance of connectivity to the people and the economy. It is, therefore, vital to consider economic barriers, regulatory measures and fiscal incentives which could help address digital inclusion, including affordability and availability of traditional and digital services.</w:t>
      </w:r>
    </w:p>
    <w:p w14:paraId="6A6D3139" w14:textId="77777777" w:rsidR="00C70455" w:rsidRPr="003A7E00" w:rsidRDefault="00C70455" w:rsidP="00632161">
      <w:pPr>
        <w:rPr>
          <w:rFonts w:cstheme="minorHAnsi"/>
          <w:szCs w:val="22"/>
        </w:rPr>
      </w:pPr>
      <w:r w:rsidRPr="003A7E00">
        <w:rPr>
          <w:rFonts w:cstheme="minorHAnsi"/>
          <w:szCs w:val="22"/>
        </w:rPr>
        <w:t>The objective of this session is to gather information on these issues through the lens of Civil Society, and especially from the perspective of consumers.</w:t>
      </w:r>
    </w:p>
    <w:p w14:paraId="7A0646D3" w14:textId="77777777" w:rsidR="00C70455" w:rsidRPr="003A7E00" w:rsidRDefault="00C70455" w:rsidP="00C70455">
      <w:pPr>
        <w:pStyle w:val="Headingb"/>
        <w:rPr>
          <w:rFonts w:asciiTheme="minorHAnsi" w:hAnsiTheme="minorHAnsi" w:cstheme="minorHAnsi"/>
          <w:b w:val="0"/>
          <w:bCs/>
          <w:szCs w:val="22"/>
        </w:rPr>
      </w:pPr>
      <w:r w:rsidRPr="003A7E00">
        <w:rPr>
          <w:rFonts w:asciiTheme="minorHAnsi" w:hAnsiTheme="minorHAnsi" w:cstheme="minorHAnsi"/>
          <w:szCs w:val="22"/>
        </w:rPr>
        <w:t>Session</w:t>
      </w:r>
      <w:r w:rsidRPr="003A7E00">
        <w:rPr>
          <w:rFonts w:asciiTheme="minorHAnsi" w:hAnsiTheme="minorHAnsi" w:cstheme="minorHAnsi"/>
          <w:bCs/>
          <w:szCs w:val="22"/>
        </w:rPr>
        <w:t xml:space="preserve"> 7 – Diversity of fiscal incentives in the world</w:t>
      </w:r>
    </w:p>
    <w:p w14:paraId="5DD7F4CD" w14:textId="600B5900" w:rsidR="00C70455" w:rsidRPr="003A7E00" w:rsidRDefault="00C70455" w:rsidP="00632161">
      <w:pPr>
        <w:rPr>
          <w:rFonts w:cstheme="minorHAnsi"/>
          <w:szCs w:val="22"/>
        </w:rPr>
      </w:pPr>
      <w:r w:rsidRPr="003A7E00">
        <w:rPr>
          <w:rFonts w:cstheme="minorHAnsi"/>
          <w:szCs w:val="22"/>
        </w:rPr>
        <w:t xml:space="preserve">The 2011 ITU Workshop on </w:t>
      </w:r>
      <w:r w:rsidR="006620A7" w:rsidRPr="003A7E00">
        <w:rPr>
          <w:rFonts w:cstheme="minorHAnsi"/>
          <w:szCs w:val="22"/>
          <w:lang w:val="en-GB"/>
        </w:rPr>
        <w:t>"</w:t>
      </w:r>
      <w:r w:rsidRPr="003A7E00">
        <w:rPr>
          <w:rFonts w:cstheme="minorHAnsi"/>
          <w:szCs w:val="22"/>
        </w:rPr>
        <w:t>Taxation of Telecommunication Services and Related Products</w:t>
      </w:r>
      <w:r w:rsidR="006620A7" w:rsidRPr="003A7E00">
        <w:rPr>
          <w:rFonts w:cstheme="minorHAnsi"/>
          <w:szCs w:val="22"/>
          <w:lang w:val="en-GB"/>
        </w:rPr>
        <w:t>"</w:t>
      </w:r>
      <w:r w:rsidRPr="003A7E00">
        <w:rPr>
          <w:rFonts w:cstheme="minorHAnsi"/>
          <w:szCs w:val="22"/>
        </w:rPr>
        <w:t xml:space="preserve"> examined the desirability of taxing telecommunications services, especially in developing countries, and discussed factors that should be considered </w:t>
      </w:r>
      <w:proofErr w:type="gramStart"/>
      <w:r w:rsidRPr="003A7E00">
        <w:rPr>
          <w:rFonts w:cstheme="minorHAnsi"/>
          <w:szCs w:val="22"/>
        </w:rPr>
        <w:t>in order to</w:t>
      </w:r>
      <w:proofErr w:type="gramEnd"/>
      <w:r w:rsidRPr="003A7E00">
        <w:rPr>
          <w:rFonts w:cstheme="minorHAnsi"/>
          <w:szCs w:val="22"/>
        </w:rPr>
        <w:t xml:space="preserve"> strike an appropriate balance between the goals of raising revenues and facilitating economic expansion throughout the telecommunications sector.</w:t>
      </w:r>
    </w:p>
    <w:p w14:paraId="40D748E5" w14:textId="77777777" w:rsidR="00C70455" w:rsidRPr="003A7E00" w:rsidRDefault="00C70455" w:rsidP="00632161">
      <w:pPr>
        <w:rPr>
          <w:rFonts w:cstheme="minorHAnsi"/>
          <w:szCs w:val="22"/>
        </w:rPr>
      </w:pPr>
      <w:r w:rsidRPr="003A7E00">
        <w:rPr>
          <w:rFonts w:cstheme="minorHAnsi"/>
          <w:szCs w:val="22"/>
        </w:rPr>
        <w:t>That workshop received presentations from countries and ITU members reporting on their experiences with taxation of telecommunications. More than a decade later, there have been outstanding technological innovations and the emergence of new business models and new forms of taxation.</w:t>
      </w:r>
    </w:p>
    <w:p w14:paraId="1E144CAA" w14:textId="77777777" w:rsidR="00C70455" w:rsidRPr="003A7E00" w:rsidRDefault="00C70455" w:rsidP="00632161">
      <w:pPr>
        <w:rPr>
          <w:rFonts w:cstheme="minorHAnsi"/>
          <w:szCs w:val="22"/>
        </w:rPr>
      </w:pPr>
      <w:r w:rsidRPr="003A7E00">
        <w:rPr>
          <w:rFonts w:cstheme="minorHAnsi"/>
          <w:szCs w:val="22"/>
        </w:rPr>
        <w:t xml:space="preserve">In this context, the objective of this session is to explore some of the various approaches to fiscal instruments that relate to telecommunications/ICT and OTTs in recent </w:t>
      </w:r>
      <w:proofErr w:type="gramStart"/>
      <w:r w:rsidRPr="003A7E00">
        <w:rPr>
          <w:rFonts w:cstheme="minorHAnsi"/>
          <w:szCs w:val="22"/>
        </w:rPr>
        <w:t>years, and</w:t>
      </w:r>
      <w:proofErr w:type="gramEnd"/>
      <w:r w:rsidRPr="003A7E00">
        <w:rPr>
          <w:rFonts w:cstheme="minorHAnsi"/>
          <w:szCs w:val="22"/>
        </w:rPr>
        <w:t xml:space="preserve"> considering how these national experiences can support collaboration at the regional and international levels.</w:t>
      </w:r>
    </w:p>
    <w:p w14:paraId="0BCDD693" w14:textId="77777777" w:rsidR="00C70455" w:rsidRPr="003A7E00" w:rsidRDefault="00C70455" w:rsidP="00C70455">
      <w:pPr>
        <w:pStyle w:val="Headingb"/>
        <w:rPr>
          <w:rFonts w:asciiTheme="minorHAnsi" w:hAnsiTheme="minorHAnsi" w:cstheme="minorHAnsi"/>
          <w:b w:val="0"/>
          <w:bCs/>
          <w:szCs w:val="22"/>
        </w:rPr>
      </w:pPr>
      <w:r w:rsidRPr="003A7E00">
        <w:rPr>
          <w:rFonts w:asciiTheme="minorHAnsi" w:hAnsiTheme="minorHAnsi" w:cstheme="minorHAnsi"/>
          <w:szCs w:val="22"/>
        </w:rPr>
        <w:t>Session</w:t>
      </w:r>
      <w:r w:rsidRPr="003A7E00">
        <w:rPr>
          <w:rFonts w:asciiTheme="minorHAnsi" w:hAnsiTheme="minorHAnsi" w:cstheme="minorHAnsi"/>
          <w:bCs/>
          <w:szCs w:val="22"/>
        </w:rPr>
        <w:t xml:space="preserve"> 8 – Research perspectives on challenges for the digital transformation</w:t>
      </w:r>
    </w:p>
    <w:p w14:paraId="72AD7D72" w14:textId="77777777" w:rsidR="00C70455" w:rsidRPr="003A7E00" w:rsidRDefault="00C70455" w:rsidP="00632161">
      <w:pPr>
        <w:rPr>
          <w:rFonts w:cstheme="minorHAnsi"/>
          <w:szCs w:val="22"/>
        </w:rPr>
      </w:pPr>
      <w:r w:rsidRPr="003A7E00">
        <w:rPr>
          <w:rFonts w:cstheme="minorHAnsi"/>
          <w:szCs w:val="22"/>
        </w:rPr>
        <w:t>As the digital transformation advances, featuring in this context the emergence and development of OTTs, new forms of fiscal policy and regulatory apparatus have appeared, each based on different premises for how state intervention can be shaped to address pertinent public policy issues.</w:t>
      </w:r>
    </w:p>
    <w:p w14:paraId="04B27986" w14:textId="77777777" w:rsidR="00C70455" w:rsidRPr="003A7E00" w:rsidRDefault="00C70455" w:rsidP="006620A7">
      <w:pPr>
        <w:keepNext/>
        <w:keepLines/>
        <w:rPr>
          <w:rFonts w:cstheme="minorHAnsi"/>
          <w:szCs w:val="22"/>
        </w:rPr>
      </w:pPr>
      <w:r w:rsidRPr="003A7E00">
        <w:rPr>
          <w:rFonts w:cstheme="minorHAnsi"/>
          <w:szCs w:val="22"/>
        </w:rPr>
        <w:lastRenderedPageBreak/>
        <w:t>Theoretically, these forms of economic and fiscal incentives should be based on their predicted impact on society. In this analysis, there is a space for the technical consideration of several issues that represent common international challenges. These issues may encompass competition and a level playing field, digital divide, macro and microeconomic effects of those state instruments, economic tax burden and others. Eventually, these various conclusions may lead to policy implications and best practices.</w:t>
      </w:r>
    </w:p>
    <w:p w14:paraId="4DECCDF0" w14:textId="77777777" w:rsidR="00C70455" w:rsidRPr="003A7E00" w:rsidRDefault="00C70455" w:rsidP="00632161">
      <w:pPr>
        <w:rPr>
          <w:rFonts w:cstheme="minorHAnsi"/>
          <w:szCs w:val="22"/>
        </w:rPr>
      </w:pPr>
      <w:r w:rsidRPr="003A7E00">
        <w:rPr>
          <w:rFonts w:cstheme="minorHAnsi"/>
          <w:szCs w:val="22"/>
        </w:rPr>
        <w:t>This session aims to explore some of these issues through the perspective of independent researchers, focusing on technical points relevant to this debate.</w:t>
      </w:r>
    </w:p>
    <w:p w14:paraId="4268AEC0" w14:textId="77777777" w:rsidR="00632161" w:rsidRPr="003A7E00" w:rsidRDefault="00C70455" w:rsidP="00632161">
      <w:pPr>
        <w:pStyle w:val="Headingb"/>
        <w:rPr>
          <w:rFonts w:asciiTheme="minorHAnsi" w:hAnsiTheme="minorHAnsi" w:cstheme="minorHAnsi"/>
          <w:bCs/>
          <w:szCs w:val="22"/>
        </w:rPr>
      </w:pPr>
      <w:r w:rsidRPr="003A7E00">
        <w:rPr>
          <w:rFonts w:asciiTheme="minorHAnsi" w:hAnsiTheme="minorHAnsi" w:cstheme="minorHAnsi"/>
          <w:szCs w:val="22"/>
        </w:rPr>
        <w:t>Session</w:t>
      </w:r>
      <w:r w:rsidRPr="003A7E00">
        <w:rPr>
          <w:rFonts w:asciiTheme="minorHAnsi" w:hAnsiTheme="minorHAnsi" w:cstheme="minorHAnsi"/>
          <w:bCs/>
          <w:szCs w:val="22"/>
        </w:rPr>
        <w:t xml:space="preserve"> 9 – Closing</w:t>
      </w:r>
    </w:p>
    <w:p w14:paraId="7F5C1BBC" w14:textId="070E15D8" w:rsidR="00551BEB" w:rsidRPr="003A7E00" w:rsidRDefault="00551BEB" w:rsidP="00632161">
      <w:pPr>
        <w:rPr>
          <w:rFonts w:cstheme="minorHAnsi"/>
          <w:szCs w:val="22"/>
          <w:lang w:val="en-GB"/>
        </w:rPr>
      </w:pPr>
      <w:r w:rsidRPr="003A7E00">
        <w:rPr>
          <w:rFonts w:cstheme="minorHAnsi"/>
          <w:szCs w:val="22"/>
        </w:rPr>
        <w:br w:type="page"/>
      </w:r>
    </w:p>
    <w:p w14:paraId="7169F4F6" w14:textId="77777777" w:rsidR="00632161" w:rsidRPr="003A7E00" w:rsidRDefault="00C70455" w:rsidP="00632161">
      <w:pPr>
        <w:pStyle w:val="AnnexNo"/>
        <w:rPr>
          <w:rFonts w:cstheme="minorHAnsi"/>
          <w:sz w:val="22"/>
          <w:szCs w:val="22"/>
        </w:rPr>
      </w:pPr>
      <w:r w:rsidRPr="003A7E00">
        <w:rPr>
          <w:rFonts w:cstheme="minorHAnsi"/>
          <w:sz w:val="22"/>
          <w:szCs w:val="22"/>
        </w:rPr>
        <w:lastRenderedPageBreak/>
        <w:t>Appendix</w:t>
      </w:r>
    </w:p>
    <w:p w14:paraId="32D040CA" w14:textId="7288491E" w:rsidR="00C70455" w:rsidRPr="003A7E00" w:rsidRDefault="00C70455" w:rsidP="00551BEB">
      <w:pPr>
        <w:pStyle w:val="Annextitle0"/>
        <w:rPr>
          <w:rFonts w:asciiTheme="minorHAnsi" w:hAnsiTheme="minorHAnsi" w:cstheme="minorHAnsi"/>
          <w:b w:val="0"/>
          <w:bCs/>
          <w:sz w:val="22"/>
          <w:szCs w:val="22"/>
        </w:rPr>
      </w:pPr>
      <w:r w:rsidRPr="003A7E00">
        <w:rPr>
          <w:rFonts w:asciiTheme="minorHAnsi" w:hAnsiTheme="minorHAnsi" w:cstheme="minorHAnsi"/>
          <w:bCs/>
          <w:sz w:val="22"/>
          <w:szCs w:val="22"/>
        </w:rPr>
        <w:t>Background information</w:t>
      </w:r>
    </w:p>
    <w:p w14:paraId="7A525ACC" w14:textId="1C10CC8C" w:rsidR="00C70455" w:rsidRPr="003A7E00" w:rsidRDefault="00C70455" w:rsidP="00632161">
      <w:pPr>
        <w:pStyle w:val="Normalaftertitle"/>
        <w:rPr>
          <w:rFonts w:cstheme="minorHAnsi"/>
          <w:szCs w:val="22"/>
        </w:rPr>
      </w:pPr>
      <w:r w:rsidRPr="003A7E00">
        <w:rPr>
          <w:rFonts w:cstheme="minorHAnsi"/>
          <w:szCs w:val="22"/>
        </w:rPr>
        <w:t xml:space="preserve">In 2011, ITU held a workshop on </w:t>
      </w:r>
      <w:r w:rsidR="00632161" w:rsidRPr="003A7E00">
        <w:rPr>
          <w:rFonts w:cstheme="minorHAnsi"/>
          <w:szCs w:val="22"/>
        </w:rPr>
        <w:t>"</w:t>
      </w:r>
      <w:hyperlink r:id="rId17" w:history="1">
        <w:r w:rsidRPr="003A7E00">
          <w:rPr>
            <w:rStyle w:val="Hyperlink"/>
            <w:rFonts w:cstheme="minorHAnsi"/>
            <w:szCs w:val="22"/>
          </w:rPr>
          <w:t>Taxation of Telecommunication Services and Related Products</w:t>
        </w:r>
      </w:hyperlink>
      <w:r w:rsidR="00632161" w:rsidRPr="003A7E00">
        <w:rPr>
          <w:rFonts w:cstheme="minorHAnsi"/>
          <w:szCs w:val="22"/>
        </w:rPr>
        <w:t>"</w:t>
      </w:r>
      <w:r w:rsidRPr="003A7E00">
        <w:rPr>
          <w:rFonts w:cstheme="minorHAnsi"/>
          <w:szCs w:val="22"/>
        </w:rPr>
        <w:t xml:space="preserve">, which was organized jointly by the Telecommunications Development Bureau (BDT) and the Telecommunications Standardization Bureau (TSB). The workshop took place prior to the 2012 World Conference on International Telecommunications (WCIT), in preparation of inputs for provisions on taxation matters. This workshop considered the desirability of taxing telecommunication services, especially in developing countries, and discussed factors that should be </w:t>
      </w:r>
      <w:proofErr w:type="gramStart"/>
      <w:r w:rsidRPr="003A7E00">
        <w:rPr>
          <w:rFonts w:cstheme="minorHAnsi"/>
          <w:szCs w:val="22"/>
        </w:rPr>
        <w:t>taken into account</w:t>
      </w:r>
      <w:proofErr w:type="gramEnd"/>
      <w:r w:rsidRPr="003A7E00">
        <w:rPr>
          <w:rFonts w:cstheme="minorHAnsi"/>
          <w:szCs w:val="22"/>
        </w:rPr>
        <w:t xml:space="preserve"> in order to strike an appropriate balance between the goals of raising revenues and facilitating economic expansion throughout the telecommunication sector.</w:t>
      </w:r>
    </w:p>
    <w:p w14:paraId="44724702" w14:textId="77777777" w:rsidR="00C70455" w:rsidRPr="003A7E00" w:rsidRDefault="00C70455" w:rsidP="00C70455">
      <w:pPr>
        <w:rPr>
          <w:rFonts w:cstheme="minorHAnsi"/>
          <w:szCs w:val="22"/>
        </w:rPr>
      </w:pPr>
      <w:r w:rsidRPr="003A7E00">
        <w:rPr>
          <w:rFonts w:cstheme="minorHAnsi"/>
          <w:szCs w:val="22"/>
        </w:rPr>
        <w:t xml:space="preserve">The workshop recognized a wider variation in the level of telecommunication taxation across the world. The workshop also received presentations from countries and members reporting on their experiences with the taxation of telecommunications. The workshop recognized the specificality of the telecommunication sector in that it generates externalities, which are relevant for considering taxation but was also aware of the risk of over-taxing the ICT sector, </w:t>
      </w:r>
      <w:proofErr w:type="gramStart"/>
      <w:r w:rsidRPr="003A7E00">
        <w:rPr>
          <w:rFonts w:cstheme="minorHAnsi"/>
          <w:szCs w:val="22"/>
        </w:rPr>
        <w:t>in particular by</w:t>
      </w:r>
      <w:proofErr w:type="gramEnd"/>
      <w:r w:rsidRPr="003A7E00">
        <w:rPr>
          <w:rFonts w:cstheme="minorHAnsi"/>
          <w:szCs w:val="22"/>
        </w:rPr>
        <w:t xml:space="preserve"> using tax revenues on ICTs to develop the national ICT infrastructure. The workshop also identified that cross-border activities could be at risk of double </w:t>
      </w:r>
      <w:proofErr w:type="gramStart"/>
      <w:r w:rsidRPr="003A7E00">
        <w:rPr>
          <w:rFonts w:cstheme="minorHAnsi"/>
          <w:szCs w:val="22"/>
        </w:rPr>
        <w:t>taxation, and</w:t>
      </w:r>
      <w:proofErr w:type="gramEnd"/>
      <w:r w:rsidRPr="003A7E00">
        <w:rPr>
          <w:rFonts w:cstheme="minorHAnsi"/>
          <w:szCs w:val="22"/>
        </w:rPr>
        <w:t xml:space="preserve"> discussed some principal mechanisms for avoiding it.</w:t>
      </w:r>
    </w:p>
    <w:p w14:paraId="6F1AFE27" w14:textId="77777777" w:rsidR="00C70455" w:rsidRPr="003A7E00" w:rsidRDefault="00C70455" w:rsidP="00C70455">
      <w:pPr>
        <w:rPr>
          <w:rFonts w:cstheme="minorHAnsi"/>
          <w:szCs w:val="22"/>
        </w:rPr>
      </w:pPr>
      <w:r w:rsidRPr="003A7E00">
        <w:rPr>
          <w:rFonts w:cstheme="minorHAnsi"/>
          <w:szCs w:val="22"/>
        </w:rPr>
        <w:t>Conclusions reached were to prefer simple and uniform tax regimes over regimes that include many special cases or exceptions. Public-private partnerships were felt likely to be the best method to ensure adequate investments in broadband infrastructure; in addition, this could be a better method than imposing excise taxes on telecommunications services and could include financial contributions from operators. It was concluded that governments should think carefully before imposing new telecommunications (or other) taxes, and only do so when there is no alternative way of increasing tax revenue that would be less damaging to the economy in terms of market distortions and negative impacts on economic growth. For the telecommunications industry to yield the maximum benefits as a source of growth, tax authorities, regulatory authorities and operators need to work together. Overall, more research and studies on taxation and the usage of tax revenues for telecommunications were deemed useful.</w:t>
      </w:r>
    </w:p>
    <w:p w14:paraId="7995039E" w14:textId="39A1AA5E" w:rsidR="00C70455" w:rsidRPr="003A7E00" w:rsidRDefault="00C70455" w:rsidP="00C70455">
      <w:pPr>
        <w:rPr>
          <w:rFonts w:cstheme="minorHAnsi"/>
          <w:szCs w:val="22"/>
        </w:rPr>
      </w:pPr>
      <w:r w:rsidRPr="003A7E00">
        <w:rPr>
          <w:rFonts w:cstheme="minorHAnsi"/>
          <w:szCs w:val="22"/>
          <w:bdr w:val="none" w:sz="0" w:space="0" w:color="auto" w:frame="1"/>
        </w:rPr>
        <w:t xml:space="preserve">Since that time, the telecommunication/ICT market has evolved considerably, leading to interest in this topic in the ITU Telecommunication Standardization Sector (ITU-T) – particularly in ITU-T Study Group 3 – and in the ITU Telecommunication Development Sector (ITU-D). New market structures, business models in a data-driven economy for </w:t>
      </w:r>
      <w:r w:rsidRPr="003A7E00">
        <w:rPr>
          <w:rFonts w:cstheme="minorHAnsi"/>
          <w:szCs w:val="22"/>
        </w:rPr>
        <w:t xml:space="preserve">OTTs or </w:t>
      </w:r>
      <w:bookmarkStart w:id="2" w:name="_Hlk114587805"/>
      <w:r w:rsidRPr="003A7E00">
        <w:rPr>
          <w:rFonts w:cstheme="minorHAnsi"/>
          <w:szCs w:val="22"/>
        </w:rPr>
        <w:t xml:space="preserve">over-the-top services and new services and applications </w:t>
      </w:r>
      <w:bookmarkEnd w:id="2"/>
      <w:r w:rsidRPr="003A7E00">
        <w:rPr>
          <w:rFonts w:cstheme="minorHAnsi"/>
          <w:szCs w:val="22"/>
        </w:rPr>
        <w:t xml:space="preserve">have emerged on a massive scale; such over-the-top services and new services and applications are typically provided by </w:t>
      </w:r>
      <w:r w:rsidR="00632161" w:rsidRPr="003A7E00">
        <w:rPr>
          <w:rFonts w:cstheme="minorHAnsi"/>
          <w:szCs w:val="22"/>
          <w:lang w:val="en-GB"/>
        </w:rPr>
        <w:t>"</w:t>
      </w:r>
      <w:r w:rsidRPr="003A7E00">
        <w:rPr>
          <w:rFonts w:cstheme="minorHAnsi"/>
          <w:szCs w:val="22"/>
        </w:rPr>
        <w:t>big technology content and service provider companies</w:t>
      </w:r>
      <w:r w:rsidR="00632161" w:rsidRPr="003A7E00">
        <w:rPr>
          <w:rFonts w:cstheme="minorHAnsi"/>
          <w:szCs w:val="22"/>
          <w:lang w:val="en-GB"/>
        </w:rPr>
        <w:t>"</w:t>
      </w:r>
      <w:r w:rsidRPr="003A7E00">
        <w:rPr>
          <w:rFonts w:cstheme="minorHAnsi"/>
          <w:szCs w:val="22"/>
        </w:rPr>
        <w:t xml:space="preserve"> and Internet Service Providers (ISPs). Discussions and debates by stakeholders and proponents, who are following </w:t>
      </w:r>
      <w:r w:rsidRPr="003A7E00">
        <w:rPr>
          <w:rFonts w:eastAsia="SimSun" w:cstheme="minorHAnsi"/>
          <w:szCs w:val="22"/>
        </w:rPr>
        <w:t xml:space="preserve">to apply the </w:t>
      </w:r>
      <w:r w:rsidR="00632161" w:rsidRPr="003A7E00">
        <w:rPr>
          <w:rFonts w:eastAsia="SimSun" w:cstheme="minorHAnsi"/>
          <w:szCs w:val="22"/>
          <w:lang w:val="en-GB"/>
        </w:rPr>
        <w:t>"</w:t>
      </w:r>
      <w:r w:rsidRPr="003A7E00">
        <w:rPr>
          <w:rFonts w:eastAsia="SimSun" w:cstheme="minorHAnsi"/>
          <w:szCs w:val="22"/>
        </w:rPr>
        <w:t>sending-party-network-pays system</w:t>
      </w:r>
      <w:r w:rsidR="00632161" w:rsidRPr="003A7E00">
        <w:rPr>
          <w:rFonts w:eastAsia="SimSun" w:cstheme="minorHAnsi"/>
          <w:szCs w:val="22"/>
          <w:lang w:val="en-GB"/>
        </w:rPr>
        <w:t>"</w:t>
      </w:r>
      <w:r w:rsidRPr="003A7E00">
        <w:rPr>
          <w:rFonts w:eastAsia="SimSun" w:cstheme="minorHAnsi"/>
          <w:szCs w:val="22"/>
        </w:rPr>
        <w:t xml:space="preserve"> (SPNP), </w:t>
      </w:r>
      <w:r w:rsidRPr="003A7E00">
        <w:rPr>
          <w:rFonts w:cstheme="minorHAnsi"/>
          <w:szCs w:val="22"/>
        </w:rPr>
        <w:t xml:space="preserve">have called for some form of an Internet usage/traffic tax, levies or fees that are attributed to fair, equitable and proportionate cost recovery for the benefit of the telecom service providers, to be imposed to the </w:t>
      </w:r>
      <w:r w:rsidR="00632161" w:rsidRPr="003A7E00">
        <w:rPr>
          <w:rFonts w:cstheme="minorHAnsi"/>
          <w:szCs w:val="22"/>
          <w:lang w:val="en-GB"/>
        </w:rPr>
        <w:t>"</w:t>
      </w:r>
      <w:r w:rsidRPr="003A7E00">
        <w:rPr>
          <w:rFonts w:cstheme="minorHAnsi"/>
          <w:szCs w:val="22"/>
        </w:rPr>
        <w:t>big technology content and service provider companies</w:t>
      </w:r>
      <w:r w:rsidR="00632161" w:rsidRPr="003A7E00">
        <w:rPr>
          <w:rFonts w:cstheme="minorHAnsi"/>
          <w:szCs w:val="22"/>
          <w:lang w:val="en-GB"/>
        </w:rPr>
        <w:t>"</w:t>
      </w:r>
      <w:r w:rsidRPr="003A7E00">
        <w:rPr>
          <w:rFonts w:cstheme="minorHAnsi"/>
          <w:szCs w:val="22"/>
        </w:rPr>
        <w:t xml:space="preserve"> and to ISPs.</w:t>
      </w:r>
    </w:p>
    <w:p w14:paraId="64B8C280" w14:textId="6AC2436D" w:rsidR="00C70455" w:rsidRPr="003A7E00" w:rsidRDefault="00C70455" w:rsidP="00C70455">
      <w:pPr>
        <w:rPr>
          <w:rFonts w:cstheme="minorHAnsi"/>
          <w:szCs w:val="22"/>
        </w:rPr>
      </w:pPr>
      <w:r w:rsidRPr="003A7E00">
        <w:rPr>
          <w:rFonts w:cstheme="minorHAnsi"/>
          <w:szCs w:val="22"/>
        </w:rPr>
        <w:t xml:space="preserve">Digital transformation and digitization in many sectors using all-IP platforms and tools, new IP-based applications and services, including those competing with traditional telecommunication communications services, Internet of Things (IoT), cloud computing services, new mobile communication technologies (4G, 5G) and high-speed </w:t>
      </w:r>
      <w:proofErr w:type="spellStart"/>
      <w:r w:rsidRPr="003A7E00">
        <w:rPr>
          <w:rFonts w:cstheme="minorHAnsi"/>
          <w:szCs w:val="22"/>
        </w:rPr>
        <w:t>fibre</w:t>
      </w:r>
      <w:proofErr w:type="spellEnd"/>
      <w:r w:rsidRPr="003A7E00">
        <w:rPr>
          <w:rFonts w:cstheme="minorHAnsi"/>
          <w:szCs w:val="22"/>
        </w:rPr>
        <w:t xml:space="preserve">/optical fixed networks, virtual mobile/network operators, video streaming with video now accounting for way more than half of the Internet protocol bandwidth, sophisticated online gaming applications and real-time, virtual reality applications in a </w:t>
      </w:r>
      <w:r w:rsidR="00632161" w:rsidRPr="003A7E00">
        <w:rPr>
          <w:rFonts w:cstheme="minorHAnsi"/>
          <w:szCs w:val="22"/>
          <w:lang w:val="en-GB"/>
        </w:rPr>
        <w:t>"</w:t>
      </w:r>
      <w:r w:rsidRPr="003A7E00">
        <w:rPr>
          <w:rFonts w:cstheme="minorHAnsi"/>
          <w:szCs w:val="22"/>
        </w:rPr>
        <w:t>meta verse</w:t>
      </w:r>
      <w:r w:rsidR="00632161" w:rsidRPr="003A7E00">
        <w:rPr>
          <w:rFonts w:cstheme="minorHAnsi"/>
          <w:szCs w:val="22"/>
          <w:lang w:val="en-GB"/>
        </w:rPr>
        <w:t>"</w:t>
      </w:r>
      <w:r w:rsidRPr="003A7E00">
        <w:rPr>
          <w:rFonts w:cstheme="minorHAnsi"/>
          <w:szCs w:val="22"/>
        </w:rPr>
        <w:t>, and a drastic ongoing increase of Internet traffic, are just a few among the many new developments and phenomena that the last decade has unleashed, and which put ambitious technical and economic requirements upon the underlying IP network and transport infrastructure.</w:t>
      </w:r>
    </w:p>
    <w:p w14:paraId="1F0A9D51" w14:textId="77777777" w:rsidR="00C70455" w:rsidRPr="003A7E00" w:rsidRDefault="00C70455" w:rsidP="00632161">
      <w:pPr>
        <w:keepNext/>
        <w:keepLines/>
        <w:rPr>
          <w:rFonts w:cstheme="minorHAnsi"/>
          <w:szCs w:val="22"/>
        </w:rPr>
      </w:pPr>
      <w:r w:rsidRPr="003A7E00">
        <w:rPr>
          <w:rFonts w:cstheme="minorHAnsi"/>
          <w:szCs w:val="22"/>
        </w:rPr>
        <w:lastRenderedPageBreak/>
        <w:t xml:space="preserve">Given the acceleration of this phenomena, various political and regulatory discussions are ongoing in several jurisdictions about the modification of the economic and fiscal landscape in response to this </w:t>
      </w:r>
      <w:proofErr w:type="spellStart"/>
      <w:r w:rsidRPr="003A7E00">
        <w:rPr>
          <w:rFonts w:cstheme="minorHAnsi"/>
          <w:szCs w:val="22"/>
        </w:rPr>
        <w:t>digitalisation</w:t>
      </w:r>
      <w:proofErr w:type="spellEnd"/>
      <w:r w:rsidRPr="003A7E00">
        <w:rPr>
          <w:rFonts w:cstheme="minorHAnsi"/>
          <w:szCs w:val="22"/>
        </w:rPr>
        <w:t>. Therefore, a new Workshop on these issues would serve as a relevant source of information as the previous one was more than a decade ago.</w:t>
      </w:r>
    </w:p>
    <w:p w14:paraId="7541E6B8" w14:textId="77777777" w:rsidR="00C70455" w:rsidRPr="003A7E00" w:rsidRDefault="00C70455" w:rsidP="00C70455">
      <w:pPr>
        <w:rPr>
          <w:rFonts w:cstheme="minorHAnsi"/>
          <w:szCs w:val="22"/>
        </w:rPr>
      </w:pPr>
      <w:r w:rsidRPr="003A7E00">
        <w:rPr>
          <w:rFonts w:cstheme="minorHAnsi"/>
          <w:szCs w:val="22"/>
        </w:rPr>
        <w:t>Various political and regulatory discussions are ongoing in several jurisdictions on the desire to tax OTTs or Big Techs such as by charging content and application providers for the use of the Internet infrastructure.</w:t>
      </w:r>
    </w:p>
    <w:p w14:paraId="15F45DA3" w14:textId="77777777" w:rsidR="00C70455" w:rsidRPr="007A3A92" w:rsidRDefault="00C70455" w:rsidP="00632161">
      <w:pPr>
        <w:spacing w:before="720"/>
        <w:jc w:val="center"/>
        <w:rPr>
          <w:lang w:val="ru-RU"/>
        </w:rPr>
      </w:pPr>
      <w:r w:rsidRPr="007A3A92">
        <w:rPr>
          <w:lang w:val="ru-RU"/>
        </w:rPr>
        <w:t>______________</w:t>
      </w:r>
    </w:p>
    <w:sectPr w:rsidR="00C70455" w:rsidRPr="007A3A92" w:rsidSect="008F6ADB">
      <w:headerReference w:type="default" r:id="rId18"/>
      <w:headerReference w:type="first" r:id="rId19"/>
      <w:footerReference w:type="first" r:id="rId20"/>
      <w:pgSz w:w="11907" w:h="16840"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0828" w14:textId="77777777" w:rsidR="004A7159" w:rsidRDefault="004A7159">
      <w:r>
        <w:separator/>
      </w:r>
    </w:p>
  </w:endnote>
  <w:endnote w:type="continuationSeparator" w:id="0">
    <w:p w14:paraId="501DA9DC" w14:textId="77777777" w:rsidR="004A7159" w:rsidRDefault="004A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9774" w14:textId="79196053" w:rsidR="000036E7" w:rsidRPr="00BF4D91" w:rsidRDefault="000036E7" w:rsidP="000036E7">
    <w:pPr>
      <w:tabs>
        <w:tab w:val="left" w:pos="5954"/>
        <w:tab w:val="right" w:pos="9639"/>
      </w:tabs>
      <w:jc w:val="center"/>
      <w:rPr>
        <w:caps/>
        <w:noProof/>
        <w:sz w:val="18"/>
        <w:szCs w:val="18"/>
      </w:rPr>
    </w:pPr>
    <w:r w:rsidRPr="00BF4D91">
      <w:rPr>
        <w:rFonts w:cs="Calibri"/>
        <w:noProof/>
        <w:color w:val="0070C0"/>
        <w:sz w:val="18"/>
        <w:szCs w:val="18"/>
        <w:lang w:val="fr-CH"/>
      </w:rPr>
      <w:t xml:space="preserve">International Telecommunication Union • Place des Nations </w:t>
    </w:r>
    <w:r w:rsidRPr="00BF4D91">
      <w:rPr>
        <w:rFonts w:cs="Calibri"/>
        <w:caps/>
        <w:noProof/>
        <w:color w:val="0070C0"/>
        <w:sz w:val="18"/>
        <w:szCs w:val="18"/>
        <w:lang w:val="fr-CH"/>
      </w:rPr>
      <w:t>•</w:t>
    </w:r>
    <w:r w:rsidRPr="00BF4D91">
      <w:rPr>
        <w:rFonts w:cs="Calibri"/>
        <w:noProof/>
        <w:color w:val="0070C0"/>
        <w:sz w:val="18"/>
        <w:szCs w:val="18"/>
        <w:lang w:val="fr-CH"/>
      </w:rPr>
      <w:t xml:space="preserve"> CH</w:t>
    </w:r>
    <w:r w:rsidRPr="00BF4D91">
      <w:rPr>
        <w:rFonts w:cs="Calibri"/>
        <w:noProof/>
        <w:color w:val="0070C0"/>
        <w:sz w:val="18"/>
        <w:szCs w:val="18"/>
        <w:lang w:val="fr-CH"/>
      </w:rPr>
      <w:noBreakHyphen/>
      <w:t xml:space="preserve">1211 Geneva 20 </w:t>
    </w:r>
    <w:r w:rsidRPr="00BF4D91">
      <w:rPr>
        <w:rFonts w:cs="Calibri"/>
        <w:caps/>
        <w:noProof/>
        <w:color w:val="0070C0"/>
        <w:sz w:val="18"/>
        <w:szCs w:val="18"/>
        <w:lang w:val="fr-CH"/>
      </w:rPr>
      <w:t>•</w:t>
    </w:r>
    <w:r w:rsidRPr="00BF4D91">
      <w:rPr>
        <w:rFonts w:cs="Calibri"/>
        <w:noProof/>
        <w:color w:val="0070C0"/>
        <w:sz w:val="18"/>
        <w:szCs w:val="18"/>
        <w:lang w:val="fr-CH"/>
      </w:rPr>
      <w:t xml:space="preserve"> Switzerland </w:t>
    </w:r>
    <w:r w:rsidRPr="00BF4D91">
      <w:rPr>
        <w:rFonts w:cs="Calibri"/>
        <w:caps/>
        <w:noProof/>
        <w:color w:val="0070C0"/>
        <w:sz w:val="18"/>
        <w:szCs w:val="18"/>
        <w:lang w:val="fr-CH"/>
      </w:rPr>
      <w:br/>
    </w:r>
    <w:r w:rsidRPr="00BF4D91">
      <w:rPr>
        <w:rFonts w:cs="Calibri"/>
        <w:noProof/>
        <w:color w:val="0070C0"/>
        <w:sz w:val="18"/>
        <w:szCs w:val="18"/>
        <w:lang w:val="ru-RU"/>
      </w:rPr>
      <w:t>Тел</w:t>
    </w:r>
    <w:r w:rsidRPr="00BF4D91">
      <w:rPr>
        <w:rFonts w:cs="Calibri"/>
        <w:noProof/>
        <w:color w:val="0070C0"/>
        <w:sz w:val="18"/>
        <w:szCs w:val="18"/>
        <w:lang w:val="fr-CH"/>
      </w:rPr>
      <w:t>:</w:t>
    </w:r>
    <w:r w:rsidRPr="00BF4D91">
      <w:rPr>
        <w:rFonts w:cs="Calibri"/>
        <w:caps/>
        <w:noProof/>
        <w:color w:val="0070C0"/>
        <w:sz w:val="18"/>
        <w:szCs w:val="18"/>
        <w:lang w:val="fr-CH"/>
      </w:rPr>
      <w:t xml:space="preserve"> +41 22 730 5111 • </w:t>
    </w:r>
    <w:r w:rsidRPr="00BF4D91">
      <w:rPr>
        <w:rFonts w:cs="Calibri"/>
        <w:noProof/>
        <w:color w:val="0070C0"/>
        <w:sz w:val="18"/>
        <w:szCs w:val="18"/>
        <w:lang w:val="ru-RU"/>
      </w:rPr>
      <w:t>Факс</w:t>
    </w:r>
    <w:r w:rsidRPr="00BF4D91">
      <w:rPr>
        <w:rFonts w:cs="Calibri"/>
        <w:caps/>
        <w:noProof/>
        <w:color w:val="0070C0"/>
        <w:sz w:val="18"/>
        <w:szCs w:val="18"/>
        <w:lang w:val="fr-CH"/>
      </w:rPr>
      <w:t xml:space="preserve">: +41 22 733 7256 • </w:t>
    </w:r>
    <w:r w:rsidRPr="00BF4D91">
      <w:rPr>
        <w:rFonts w:cs="Calibri"/>
        <w:noProof/>
        <w:color w:val="0070C0"/>
        <w:sz w:val="18"/>
        <w:szCs w:val="18"/>
        <w:lang w:val="ru-RU"/>
      </w:rPr>
      <w:t>Эл</w:t>
    </w:r>
    <w:r w:rsidRPr="00BF4D91">
      <w:rPr>
        <w:rFonts w:cs="Calibri"/>
        <w:noProof/>
        <w:color w:val="0070C0"/>
        <w:sz w:val="18"/>
        <w:szCs w:val="18"/>
      </w:rPr>
      <w:t xml:space="preserve">. </w:t>
    </w:r>
    <w:r w:rsidRPr="00BF4D91">
      <w:rPr>
        <w:rFonts w:cs="Calibri"/>
        <w:noProof/>
        <w:color w:val="0070C0"/>
        <w:sz w:val="18"/>
        <w:szCs w:val="18"/>
        <w:lang w:val="ru-RU"/>
      </w:rPr>
      <w:t>почта</w:t>
    </w:r>
    <w:r w:rsidRPr="00BF4D91">
      <w:rPr>
        <w:rFonts w:cs="Calibri"/>
        <w:caps/>
        <w:noProof/>
        <w:color w:val="0070C0"/>
        <w:sz w:val="18"/>
        <w:szCs w:val="18"/>
        <w:lang w:val="fr-CH"/>
      </w:rPr>
      <w:t xml:space="preserve">: </w:t>
    </w:r>
    <w:hyperlink r:id="rId1" w:history="1">
      <w:r w:rsidRPr="00BF4D91">
        <w:rPr>
          <w:rStyle w:val="Hyperlink"/>
          <w:rFonts w:cs="Calibri"/>
          <w:noProof/>
          <w:color w:val="0070C0"/>
          <w:sz w:val="18"/>
          <w:szCs w:val="18"/>
          <w:lang w:val="fr-CH"/>
        </w:rPr>
        <w:t>itumail@itu.int</w:t>
      </w:r>
    </w:hyperlink>
    <w:r w:rsidRPr="00BF4D91">
      <w:rPr>
        <w:rFonts w:cs="Calibri"/>
        <w:noProof/>
        <w:color w:val="0070C0"/>
        <w:sz w:val="18"/>
        <w:szCs w:val="18"/>
        <w:lang w:val="fr-CH"/>
      </w:rPr>
      <w:t xml:space="preserve"> • </w:t>
    </w:r>
    <w:hyperlink r:id="rId2" w:history="1">
      <w:r w:rsidRPr="00BF4D91">
        <w:rPr>
          <w:rStyle w:val="Hyperlink"/>
          <w:rFonts w:cs="Calibri"/>
          <w:noProof/>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D44C" w14:textId="77777777" w:rsidR="004A7159" w:rsidRDefault="004A7159">
      <w:r>
        <w:separator/>
      </w:r>
    </w:p>
  </w:footnote>
  <w:footnote w:type="continuationSeparator" w:id="0">
    <w:p w14:paraId="68B50AC7" w14:textId="77777777" w:rsidR="004A7159" w:rsidRDefault="004A7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AD9E" w14:textId="669DCBAC" w:rsidR="00281BAA" w:rsidRDefault="00CC7213" w:rsidP="00E918AF">
    <w:pPr>
      <w:pStyle w:val="Header"/>
      <w:rPr>
        <w:lang w:val="ru-RU"/>
      </w:rPr>
    </w:pPr>
    <w:r>
      <w:t xml:space="preserve">- </w:t>
    </w:r>
    <w:r w:rsidR="00281BAA" w:rsidRPr="00040901">
      <w:fldChar w:fldCharType="begin"/>
    </w:r>
    <w:r w:rsidR="00281BAA" w:rsidRPr="00040901">
      <w:instrText xml:space="preserve"> PAGE </w:instrText>
    </w:r>
    <w:r w:rsidR="00281BAA" w:rsidRPr="00040901">
      <w:fldChar w:fldCharType="separate"/>
    </w:r>
    <w:r w:rsidR="001C5C64">
      <w:rPr>
        <w:noProof/>
      </w:rPr>
      <w:t>3</w:t>
    </w:r>
    <w:r w:rsidR="00281BAA" w:rsidRPr="00040901">
      <w:fldChar w:fldCharType="end"/>
    </w:r>
    <w:r>
      <w:t>-</w:t>
    </w:r>
    <w:r w:rsidR="00281BAA">
      <w:rPr>
        <w:lang w:val="ru-RU"/>
      </w:rPr>
      <w:br/>
    </w:r>
    <w:r w:rsidR="00281BAA" w:rsidRPr="00DB7857">
      <w:rPr>
        <w:lang w:val="ru-RU"/>
      </w:rPr>
      <w:t xml:space="preserve">Циркуляр </w:t>
    </w:r>
    <w:r w:rsidR="00C9333C">
      <w:t>29</w:t>
    </w:r>
    <w:r w:rsidR="00281BAA" w:rsidRPr="00DB7857">
      <w:rPr>
        <w:lang w:val="ru-RU"/>
      </w:rPr>
      <w:t xml:space="preserve"> БСЭ</w:t>
    </w:r>
  </w:p>
  <w:p w14:paraId="32931D4F" w14:textId="357EA916" w:rsidR="00072E8C" w:rsidRDefault="00072E8C" w:rsidP="00E918AF">
    <w:pPr>
      <w:pStyle w:val="Header"/>
      <w:rPr>
        <w:lang w:val="ru-RU"/>
      </w:rPr>
    </w:pPr>
    <w:r>
      <w:rPr>
        <w:lang w:val="ru-RU"/>
      </w:rPr>
      <w:t xml:space="preserve">Циркуляр </w:t>
    </w:r>
    <w:r w:rsidR="00C9333C">
      <w:rPr>
        <w:lang w:val="en-GB"/>
      </w:rPr>
      <w:t>128</w:t>
    </w:r>
    <w:r>
      <w:rPr>
        <w:lang w:val="ru-RU"/>
      </w:rPr>
      <w:t xml:space="preserve"> БРЭ</w:t>
    </w:r>
  </w:p>
  <w:p w14:paraId="57297999" w14:textId="77777777" w:rsidR="006620A7" w:rsidRPr="00DB7857" w:rsidRDefault="006620A7" w:rsidP="00E918AF">
    <w:pPr>
      <w:pStyle w:val="Header"/>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E5C9" w14:textId="30E230CB" w:rsidR="00072E8C" w:rsidRDefault="00072E8C">
    <w:pPr>
      <w:pStyle w:val="Header"/>
    </w:pPr>
    <w:r w:rsidRPr="00A95234">
      <w:rPr>
        <w:rFonts w:ascii="Verdana" w:hAnsi="Verdana"/>
        <w:b/>
        <w:bCs/>
        <w:iCs/>
        <w:noProof/>
        <w:color w:val="FFFFFF"/>
        <w:sz w:val="26"/>
        <w:szCs w:val="26"/>
      </w:rPr>
      <w:drawing>
        <wp:inline distT="0" distB="0" distL="0" distR="0" wp14:anchorId="7076BC67" wp14:editId="1626A166">
          <wp:extent cx="810895" cy="810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8EC8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2FC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AC50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9817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205F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5E7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F631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BAA4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FAE7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A0C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2922E9C"/>
    <w:multiLevelType w:val="hybridMultilevel"/>
    <w:tmpl w:val="C6E0FE7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8"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40C287F"/>
    <w:multiLevelType w:val="multilevel"/>
    <w:tmpl w:val="7E6C54A4"/>
    <w:lvl w:ilvl="0">
      <w:start w:val="1"/>
      <w:numFmt w:val="lowerLetter"/>
      <w:lvlText w:val="%1)"/>
      <w:lvlJc w:val="left"/>
      <w:pPr>
        <w:tabs>
          <w:tab w:val="num" w:pos="1288"/>
        </w:tabs>
        <w:ind w:left="1288" w:hanging="360"/>
      </w:pPr>
    </w:lvl>
    <w:lvl w:ilvl="1">
      <w:start w:val="1"/>
      <w:numFmt w:val="decimal"/>
      <w:lvlText w:val="%2."/>
      <w:lvlJc w:val="left"/>
      <w:pPr>
        <w:tabs>
          <w:tab w:val="num" w:pos="2008"/>
        </w:tabs>
        <w:ind w:left="2008" w:hanging="360"/>
      </w:pPr>
    </w:lvl>
    <w:lvl w:ilvl="2">
      <w:start w:val="1"/>
      <w:numFmt w:val="decimal"/>
      <w:lvlText w:val="%3."/>
      <w:lvlJc w:val="left"/>
      <w:pPr>
        <w:tabs>
          <w:tab w:val="num" w:pos="2728"/>
        </w:tabs>
        <w:ind w:left="2728" w:hanging="360"/>
      </w:pPr>
    </w:lvl>
    <w:lvl w:ilvl="3">
      <w:start w:val="1"/>
      <w:numFmt w:val="decimal"/>
      <w:lvlText w:val="%4."/>
      <w:lvlJc w:val="left"/>
      <w:pPr>
        <w:tabs>
          <w:tab w:val="num" w:pos="3448"/>
        </w:tabs>
        <w:ind w:left="3448" w:hanging="360"/>
      </w:pPr>
    </w:lvl>
    <w:lvl w:ilvl="4">
      <w:start w:val="1"/>
      <w:numFmt w:val="decimal"/>
      <w:lvlText w:val="%5."/>
      <w:lvlJc w:val="left"/>
      <w:pPr>
        <w:tabs>
          <w:tab w:val="num" w:pos="4168"/>
        </w:tabs>
        <w:ind w:left="4168" w:hanging="360"/>
      </w:pPr>
    </w:lvl>
    <w:lvl w:ilvl="5">
      <w:start w:val="1"/>
      <w:numFmt w:val="decimal"/>
      <w:lvlText w:val="%6."/>
      <w:lvlJc w:val="left"/>
      <w:pPr>
        <w:tabs>
          <w:tab w:val="num" w:pos="4888"/>
        </w:tabs>
        <w:ind w:left="4888" w:hanging="360"/>
      </w:pPr>
    </w:lvl>
    <w:lvl w:ilvl="6">
      <w:start w:val="1"/>
      <w:numFmt w:val="decimal"/>
      <w:lvlText w:val="%7."/>
      <w:lvlJc w:val="left"/>
      <w:pPr>
        <w:tabs>
          <w:tab w:val="num" w:pos="5608"/>
        </w:tabs>
        <w:ind w:left="5608" w:hanging="360"/>
      </w:pPr>
    </w:lvl>
    <w:lvl w:ilvl="7">
      <w:start w:val="1"/>
      <w:numFmt w:val="decimal"/>
      <w:lvlText w:val="%8."/>
      <w:lvlJc w:val="left"/>
      <w:pPr>
        <w:tabs>
          <w:tab w:val="num" w:pos="6328"/>
        </w:tabs>
        <w:ind w:left="6328" w:hanging="360"/>
      </w:pPr>
    </w:lvl>
    <w:lvl w:ilvl="8">
      <w:start w:val="1"/>
      <w:numFmt w:val="decimal"/>
      <w:lvlText w:val="%9."/>
      <w:lvlJc w:val="left"/>
      <w:pPr>
        <w:tabs>
          <w:tab w:val="num" w:pos="7048"/>
        </w:tabs>
        <w:ind w:left="7048" w:hanging="360"/>
      </w:pPr>
    </w:lvl>
  </w:abstractNum>
  <w:abstractNum w:abstractNumId="20" w15:restartNumberingAfterBreak="0">
    <w:nsid w:val="2BAC1ED3"/>
    <w:multiLevelType w:val="hybridMultilevel"/>
    <w:tmpl w:val="9B8823B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3"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E10681"/>
    <w:multiLevelType w:val="hybridMultilevel"/>
    <w:tmpl w:val="02AE31AA"/>
    <w:lvl w:ilvl="0" w:tplc="4DA056BC">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26530C9"/>
    <w:multiLevelType w:val="hybridMultilevel"/>
    <w:tmpl w:val="7C2412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424D70"/>
    <w:multiLevelType w:val="hybridMultilevel"/>
    <w:tmpl w:val="1A34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2" w15:restartNumberingAfterBreak="0">
    <w:nsid w:val="612B6FFC"/>
    <w:multiLevelType w:val="hybridMultilevel"/>
    <w:tmpl w:val="EA24F4A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4297628">
    <w:abstractNumId w:val="28"/>
  </w:num>
  <w:num w:numId="2" w16cid:durableId="2131970510">
    <w:abstractNumId w:val="18"/>
  </w:num>
  <w:num w:numId="3" w16cid:durableId="2063094803">
    <w:abstractNumId w:val="36"/>
  </w:num>
  <w:num w:numId="4" w16cid:durableId="379327121">
    <w:abstractNumId w:val="14"/>
  </w:num>
  <w:num w:numId="5" w16cid:durableId="1010914661">
    <w:abstractNumId w:val="30"/>
  </w:num>
  <w:num w:numId="6" w16cid:durableId="1332030313">
    <w:abstractNumId w:val="12"/>
  </w:num>
  <w:num w:numId="7" w16cid:durableId="1380544076">
    <w:abstractNumId w:val="33"/>
  </w:num>
  <w:num w:numId="8" w16cid:durableId="2036539894">
    <w:abstractNumId w:val="25"/>
  </w:num>
  <w:num w:numId="9" w16cid:durableId="204370830">
    <w:abstractNumId w:val="27"/>
  </w:num>
  <w:num w:numId="10" w16cid:durableId="559093125">
    <w:abstractNumId w:val="17"/>
  </w:num>
  <w:num w:numId="11" w16cid:durableId="1191257405">
    <w:abstractNumId w:val="31"/>
  </w:num>
  <w:num w:numId="12" w16cid:durableId="1329285636">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16cid:durableId="1594048467">
    <w:abstractNumId w:val="22"/>
  </w:num>
  <w:num w:numId="14" w16cid:durableId="2016958937">
    <w:abstractNumId w:val="23"/>
  </w:num>
  <w:num w:numId="15" w16cid:durableId="1341078527">
    <w:abstractNumId w:val="15"/>
  </w:num>
  <w:num w:numId="16" w16cid:durableId="1923249857">
    <w:abstractNumId w:val="35"/>
  </w:num>
  <w:num w:numId="17" w16cid:durableId="1329403611">
    <w:abstractNumId w:val="34"/>
  </w:num>
  <w:num w:numId="18" w16cid:durableId="2096633967">
    <w:abstractNumId w:val="9"/>
  </w:num>
  <w:num w:numId="19" w16cid:durableId="763451057">
    <w:abstractNumId w:val="7"/>
  </w:num>
  <w:num w:numId="20" w16cid:durableId="990712420">
    <w:abstractNumId w:val="6"/>
  </w:num>
  <w:num w:numId="21" w16cid:durableId="272565700">
    <w:abstractNumId w:val="5"/>
  </w:num>
  <w:num w:numId="22" w16cid:durableId="1882597374">
    <w:abstractNumId w:val="4"/>
  </w:num>
  <w:num w:numId="23" w16cid:durableId="2080787785">
    <w:abstractNumId w:val="8"/>
  </w:num>
  <w:num w:numId="24" w16cid:durableId="1908998745">
    <w:abstractNumId w:val="3"/>
  </w:num>
  <w:num w:numId="25" w16cid:durableId="155927881">
    <w:abstractNumId w:val="2"/>
  </w:num>
  <w:num w:numId="26" w16cid:durableId="276300285">
    <w:abstractNumId w:val="1"/>
  </w:num>
  <w:num w:numId="27" w16cid:durableId="2044011208">
    <w:abstractNumId w:val="0"/>
  </w:num>
  <w:num w:numId="28" w16cid:durableId="1048141791">
    <w:abstractNumId w:val="16"/>
  </w:num>
  <w:num w:numId="29" w16cid:durableId="560403270">
    <w:abstractNumId w:val="11"/>
  </w:num>
  <w:num w:numId="30" w16cid:durableId="1998803732">
    <w:abstractNumId w:val="13"/>
  </w:num>
  <w:num w:numId="31" w16cid:durableId="1131632130">
    <w:abstractNumId w:val="32"/>
  </w:num>
  <w:num w:numId="32" w16cid:durableId="1311253106">
    <w:abstractNumId w:val="26"/>
  </w:num>
  <w:num w:numId="33" w16cid:durableId="2106073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3866655">
    <w:abstractNumId w:val="29"/>
  </w:num>
  <w:num w:numId="35" w16cid:durableId="748648569">
    <w:abstractNumId w:val="20"/>
  </w:num>
  <w:num w:numId="36" w16cid:durableId="81335665">
    <w:abstractNumId w:val="21"/>
  </w:num>
  <w:num w:numId="37" w16cid:durableId="4242323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ru-RU"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1" w:dllVersion="512" w:checkStyle="1"/>
  <w:activeWritingStyle w:appName="MSWord" w:lang="fr-FR" w:vendorID="9" w:dllVersion="512"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925"/>
    <w:rsid w:val="000036E7"/>
    <w:rsid w:val="00004E27"/>
    <w:rsid w:val="000202F5"/>
    <w:rsid w:val="00024565"/>
    <w:rsid w:val="000251D3"/>
    <w:rsid w:val="00030FB7"/>
    <w:rsid w:val="00031F4F"/>
    <w:rsid w:val="0003235D"/>
    <w:rsid w:val="00033B9A"/>
    <w:rsid w:val="00037425"/>
    <w:rsid w:val="00041C02"/>
    <w:rsid w:val="0004729A"/>
    <w:rsid w:val="000558E3"/>
    <w:rsid w:val="00061A82"/>
    <w:rsid w:val="0006618F"/>
    <w:rsid w:val="00072E8C"/>
    <w:rsid w:val="000826B4"/>
    <w:rsid w:val="00082B7B"/>
    <w:rsid w:val="00083345"/>
    <w:rsid w:val="000852EF"/>
    <w:rsid w:val="00095EA0"/>
    <w:rsid w:val="0009613E"/>
    <w:rsid w:val="0009646D"/>
    <w:rsid w:val="000A735C"/>
    <w:rsid w:val="000B0087"/>
    <w:rsid w:val="000C0E13"/>
    <w:rsid w:val="000C12AC"/>
    <w:rsid w:val="000C2147"/>
    <w:rsid w:val="000C45D0"/>
    <w:rsid w:val="000C4790"/>
    <w:rsid w:val="000C4E0B"/>
    <w:rsid w:val="000C7D98"/>
    <w:rsid w:val="000D16E1"/>
    <w:rsid w:val="000E2DAC"/>
    <w:rsid w:val="00103310"/>
    <w:rsid w:val="00103A84"/>
    <w:rsid w:val="00115B49"/>
    <w:rsid w:val="0011640C"/>
    <w:rsid w:val="001258EE"/>
    <w:rsid w:val="00133623"/>
    <w:rsid w:val="00134D64"/>
    <w:rsid w:val="0013799A"/>
    <w:rsid w:val="00140877"/>
    <w:rsid w:val="00145AA0"/>
    <w:rsid w:val="00156E27"/>
    <w:rsid w:val="001618FE"/>
    <w:rsid w:val="00161F68"/>
    <w:rsid w:val="001629DC"/>
    <w:rsid w:val="00163706"/>
    <w:rsid w:val="00166219"/>
    <w:rsid w:val="001817A3"/>
    <w:rsid w:val="00187C69"/>
    <w:rsid w:val="00193735"/>
    <w:rsid w:val="00194D26"/>
    <w:rsid w:val="001A19B9"/>
    <w:rsid w:val="001B4A74"/>
    <w:rsid w:val="001B4C44"/>
    <w:rsid w:val="001B7AB6"/>
    <w:rsid w:val="001C5C64"/>
    <w:rsid w:val="001D261C"/>
    <w:rsid w:val="001F216D"/>
    <w:rsid w:val="001F5D7D"/>
    <w:rsid w:val="00207341"/>
    <w:rsid w:val="002241E4"/>
    <w:rsid w:val="002432C5"/>
    <w:rsid w:val="00247701"/>
    <w:rsid w:val="00247C94"/>
    <w:rsid w:val="0025701E"/>
    <w:rsid w:val="00257D86"/>
    <w:rsid w:val="0026232A"/>
    <w:rsid w:val="00273354"/>
    <w:rsid w:val="00281BAA"/>
    <w:rsid w:val="00281C6B"/>
    <w:rsid w:val="002826A9"/>
    <w:rsid w:val="002B37F9"/>
    <w:rsid w:val="002B795B"/>
    <w:rsid w:val="002C3ADD"/>
    <w:rsid w:val="002D26FD"/>
    <w:rsid w:val="002D6764"/>
    <w:rsid w:val="002E4C41"/>
    <w:rsid w:val="002E7496"/>
    <w:rsid w:val="002F1D18"/>
    <w:rsid w:val="002F24B7"/>
    <w:rsid w:val="002F5D63"/>
    <w:rsid w:val="002F6F0A"/>
    <w:rsid w:val="00314BD4"/>
    <w:rsid w:val="0031528C"/>
    <w:rsid w:val="003178FF"/>
    <w:rsid w:val="003206A2"/>
    <w:rsid w:val="003267D7"/>
    <w:rsid w:val="00327A6A"/>
    <w:rsid w:val="0033434F"/>
    <w:rsid w:val="00336AD1"/>
    <w:rsid w:val="00337821"/>
    <w:rsid w:val="00340304"/>
    <w:rsid w:val="00343FEB"/>
    <w:rsid w:val="00355143"/>
    <w:rsid w:val="00362694"/>
    <w:rsid w:val="00364403"/>
    <w:rsid w:val="00382BFF"/>
    <w:rsid w:val="003870DD"/>
    <w:rsid w:val="00390CAA"/>
    <w:rsid w:val="003956AC"/>
    <w:rsid w:val="003A5DB2"/>
    <w:rsid w:val="003A7E00"/>
    <w:rsid w:val="003B4253"/>
    <w:rsid w:val="003B4757"/>
    <w:rsid w:val="003D551D"/>
    <w:rsid w:val="003D64AA"/>
    <w:rsid w:val="003D7633"/>
    <w:rsid w:val="003E3BEB"/>
    <w:rsid w:val="003F3E50"/>
    <w:rsid w:val="003F5B77"/>
    <w:rsid w:val="003F7DFD"/>
    <w:rsid w:val="00402C40"/>
    <w:rsid w:val="00403D48"/>
    <w:rsid w:val="00406322"/>
    <w:rsid w:val="004167E6"/>
    <w:rsid w:val="0041688E"/>
    <w:rsid w:val="00417534"/>
    <w:rsid w:val="00421AAE"/>
    <w:rsid w:val="00421D26"/>
    <w:rsid w:val="00422623"/>
    <w:rsid w:val="004274D9"/>
    <w:rsid w:val="004354A3"/>
    <w:rsid w:val="00440218"/>
    <w:rsid w:val="00444B73"/>
    <w:rsid w:val="004468B3"/>
    <w:rsid w:val="0044712D"/>
    <w:rsid w:val="00450435"/>
    <w:rsid w:val="004543FE"/>
    <w:rsid w:val="00455EFA"/>
    <w:rsid w:val="00466959"/>
    <w:rsid w:val="00475A27"/>
    <w:rsid w:val="00481B17"/>
    <w:rsid w:val="00490C41"/>
    <w:rsid w:val="00492CA4"/>
    <w:rsid w:val="00495F13"/>
    <w:rsid w:val="004A0D07"/>
    <w:rsid w:val="004A1B27"/>
    <w:rsid w:val="004A5077"/>
    <w:rsid w:val="004A6B8C"/>
    <w:rsid w:val="004A7092"/>
    <w:rsid w:val="004A7159"/>
    <w:rsid w:val="004B35FB"/>
    <w:rsid w:val="004B3E3B"/>
    <w:rsid w:val="004C3B81"/>
    <w:rsid w:val="004C5268"/>
    <w:rsid w:val="004C5C06"/>
    <w:rsid w:val="004D20E8"/>
    <w:rsid w:val="004D4C9C"/>
    <w:rsid w:val="004E01AE"/>
    <w:rsid w:val="004E0B94"/>
    <w:rsid w:val="004E643F"/>
    <w:rsid w:val="004F315B"/>
    <w:rsid w:val="004F48F0"/>
    <w:rsid w:val="0050310D"/>
    <w:rsid w:val="00507F7E"/>
    <w:rsid w:val="005122D4"/>
    <w:rsid w:val="00513C4D"/>
    <w:rsid w:val="00514426"/>
    <w:rsid w:val="00514FBE"/>
    <w:rsid w:val="00524D5E"/>
    <w:rsid w:val="00526F05"/>
    <w:rsid w:val="00530601"/>
    <w:rsid w:val="0053068E"/>
    <w:rsid w:val="00550E2A"/>
    <w:rsid w:val="00551214"/>
    <w:rsid w:val="00551BEB"/>
    <w:rsid w:val="00560589"/>
    <w:rsid w:val="005607FA"/>
    <w:rsid w:val="00561DB3"/>
    <w:rsid w:val="005644C0"/>
    <w:rsid w:val="00573746"/>
    <w:rsid w:val="0058379E"/>
    <w:rsid w:val="005848E6"/>
    <w:rsid w:val="005A7888"/>
    <w:rsid w:val="005B1A14"/>
    <w:rsid w:val="005B7193"/>
    <w:rsid w:val="005C4C69"/>
    <w:rsid w:val="005D044D"/>
    <w:rsid w:val="005D238F"/>
    <w:rsid w:val="005D2725"/>
    <w:rsid w:val="005D4F7B"/>
    <w:rsid w:val="005E41E1"/>
    <w:rsid w:val="005E616E"/>
    <w:rsid w:val="005F2FA6"/>
    <w:rsid w:val="005F5862"/>
    <w:rsid w:val="00602198"/>
    <w:rsid w:val="00602E3F"/>
    <w:rsid w:val="006034AF"/>
    <w:rsid w:val="006139B2"/>
    <w:rsid w:val="00625BAF"/>
    <w:rsid w:val="00626BA4"/>
    <w:rsid w:val="00627486"/>
    <w:rsid w:val="00630BA4"/>
    <w:rsid w:val="00631F9F"/>
    <w:rsid w:val="00632161"/>
    <w:rsid w:val="0063453A"/>
    <w:rsid w:val="006352E2"/>
    <w:rsid w:val="00635300"/>
    <w:rsid w:val="00636D90"/>
    <w:rsid w:val="00641486"/>
    <w:rsid w:val="006463C9"/>
    <w:rsid w:val="00657806"/>
    <w:rsid w:val="0066097F"/>
    <w:rsid w:val="006620A7"/>
    <w:rsid w:val="00671988"/>
    <w:rsid w:val="00671EE3"/>
    <w:rsid w:val="00674226"/>
    <w:rsid w:val="006777D5"/>
    <w:rsid w:val="006810B3"/>
    <w:rsid w:val="00683765"/>
    <w:rsid w:val="006B0A6D"/>
    <w:rsid w:val="006F1984"/>
    <w:rsid w:val="006F2A12"/>
    <w:rsid w:val="006F4E91"/>
    <w:rsid w:val="00701561"/>
    <w:rsid w:val="0070371C"/>
    <w:rsid w:val="007062D7"/>
    <w:rsid w:val="0071361F"/>
    <w:rsid w:val="00715680"/>
    <w:rsid w:val="00717255"/>
    <w:rsid w:val="007255FB"/>
    <w:rsid w:val="0072626F"/>
    <w:rsid w:val="00732825"/>
    <w:rsid w:val="00733022"/>
    <w:rsid w:val="00741C5B"/>
    <w:rsid w:val="0074299E"/>
    <w:rsid w:val="00750B7A"/>
    <w:rsid w:val="00753F18"/>
    <w:rsid w:val="00761E46"/>
    <w:rsid w:val="007635F4"/>
    <w:rsid w:val="007639B5"/>
    <w:rsid w:val="00763FF3"/>
    <w:rsid w:val="007644B1"/>
    <w:rsid w:val="00764E41"/>
    <w:rsid w:val="007656D7"/>
    <w:rsid w:val="00767B25"/>
    <w:rsid w:val="00774038"/>
    <w:rsid w:val="0079397B"/>
    <w:rsid w:val="007B492F"/>
    <w:rsid w:val="007C1C57"/>
    <w:rsid w:val="007D0BFA"/>
    <w:rsid w:val="007E088D"/>
    <w:rsid w:val="007E1E7D"/>
    <w:rsid w:val="007E5BCF"/>
    <w:rsid w:val="007F1B4C"/>
    <w:rsid w:val="007F29B7"/>
    <w:rsid w:val="00802451"/>
    <w:rsid w:val="00807670"/>
    <w:rsid w:val="00813747"/>
    <w:rsid w:val="00813BB1"/>
    <w:rsid w:val="00820156"/>
    <w:rsid w:val="00821342"/>
    <w:rsid w:val="0082212C"/>
    <w:rsid w:val="0082674F"/>
    <w:rsid w:val="00826959"/>
    <w:rsid w:val="00826CB4"/>
    <w:rsid w:val="00831FDC"/>
    <w:rsid w:val="00832A5A"/>
    <w:rsid w:val="00832C58"/>
    <w:rsid w:val="00836AE0"/>
    <w:rsid w:val="00846DAF"/>
    <w:rsid w:val="00863BF2"/>
    <w:rsid w:val="00871131"/>
    <w:rsid w:val="00874B28"/>
    <w:rsid w:val="008A752B"/>
    <w:rsid w:val="008B6BCF"/>
    <w:rsid w:val="008C36E1"/>
    <w:rsid w:val="008C5C0E"/>
    <w:rsid w:val="008C7044"/>
    <w:rsid w:val="008D1365"/>
    <w:rsid w:val="008E0925"/>
    <w:rsid w:val="008E6276"/>
    <w:rsid w:val="008F42D9"/>
    <w:rsid w:val="008F6ADB"/>
    <w:rsid w:val="00920E3C"/>
    <w:rsid w:val="009245C2"/>
    <w:rsid w:val="0093592D"/>
    <w:rsid w:val="0093690F"/>
    <w:rsid w:val="009469D2"/>
    <w:rsid w:val="009559DA"/>
    <w:rsid w:val="00964370"/>
    <w:rsid w:val="00974648"/>
    <w:rsid w:val="009979B5"/>
    <w:rsid w:val="009A2C9B"/>
    <w:rsid w:val="009B6144"/>
    <w:rsid w:val="009C2978"/>
    <w:rsid w:val="009C42DC"/>
    <w:rsid w:val="009E4999"/>
    <w:rsid w:val="009E6596"/>
    <w:rsid w:val="009E7803"/>
    <w:rsid w:val="009F5918"/>
    <w:rsid w:val="00A02E22"/>
    <w:rsid w:val="00A0636B"/>
    <w:rsid w:val="00A21DD2"/>
    <w:rsid w:val="00A24244"/>
    <w:rsid w:val="00A32714"/>
    <w:rsid w:val="00A36CAB"/>
    <w:rsid w:val="00A37966"/>
    <w:rsid w:val="00A41D67"/>
    <w:rsid w:val="00A43170"/>
    <w:rsid w:val="00A46A43"/>
    <w:rsid w:val="00A52E31"/>
    <w:rsid w:val="00A52EE0"/>
    <w:rsid w:val="00A55024"/>
    <w:rsid w:val="00A563C7"/>
    <w:rsid w:val="00A56624"/>
    <w:rsid w:val="00A57977"/>
    <w:rsid w:val="00A6146E"/>
    <w:rsid w:val="00A61E8F"/>
    <w:rsid w:val="00A65159"/>
    <w:rsid w:val="00A654CA"/>
    <w:rsid w:val="00A66683"/>
    <w:rsid w:val="00A66C90"/>
    <w:rsid w:val="00A677CF"/>
    <w:rsid w:val="00A8170F"/>
    <w:rsid w:val="00A84D1F"/>
    <w:rsid w:val="00A86DF1"/>
    <w:rsid w:val="00A91EB5"/>
    <w:rsid w:val="00A9263A"/>
    <w:rsid w:val="00A95234"/>
    <w:rsid w:val="00A95BD1"/>
    <w:rsid w:val="00AA3FA2"/>
    <w:rsid w:val="00AA5A03"/>
    <w:rsid w:val="00AB1CE9"/>
    <w:rsid w:val="00AB6E41"/>
    <w:rsid w:val="00AC1229"/>
    <w:rsid w:val="00AC151A"/>
    <w:rsid w:val="00AC1B8D"/>
    <w:rsid w:val="00AD3D11"/>
    <w:rsid w:val="00AD744C"/>
    <w:rsid w:val="00AF2B53"/>
    <w:rsid w:val="00B143D7"/>
    <w:rsid w:val="00B16D86"/>
    <w:rsid w:val="00B1739F"/>
    <w:rsid w:val="00B21052"/>
    <w:rsid w:val="00B27E62"/>
    <w:rsid w:val="00B34D84"/>
    <w:rsid w:val="00B371F0"/>
    <w:rsid w:val="00B423FA"/>
    <w:rsid w:val="00B4376C"/>
    <w:rsid w:val="00B57FD1"/>
    <w:rsid w:val="00B7177A"/>
    <w:rsid w:val="00B73569"/>
    <w:rsid w:val="00B7649E"/>
    <w:rsid w:val="00B812C8"/>
    <w:rsid w:val="00B96497"/>
    <w:rsid w:val="00BA04B6"/>
    <w:rsid w:val="00BB4E67"/>
    <w:rsid w:val="00BC17AE"/>
    <w:rsid w:val="00BC33B4"/>
    <w:rsid w:val="00BC723B"/>
    <w:rsid w:val="00BD5A3E"/>
    <w:rsid w:val="00BD7EE4"/>
    <w:rsid w:val="00BE120F"/>
    <w:rsid w:val="00BE7A1B"/>
    <w:rsid w:val="00BF4D91"/>
    <w:rsid w:val="00C00FC8"/>
    <w:rsid w:val="00C134CB"/>
    <w:rsid w:val="00C14CA8"/>
    <w:rsid w:val="00C176C0"/>
    <w:rsid w:val="00C22D6C"/>
    <w:rsid w:val="00C27546"/>
    <w:rsid w:val="00C27A35"/>
    <w:rsid w:val="00C3135D"/>
    <w:rsid w:val="00C339FB"/>
    <w:rsid w:val="00C5245D"/>
    <w:rsid w:val="00C537EB"/>
    <w:rsid w:val="00C60E38"/>
    <w:rsid w:val="00C623F1"/>
    <w:rsid w:val="00C63A4F"/>
    <w:rsid w:val="00C63CCE"/>
    <w:rsid w:val="00C65269"/>
    <w:rsid w:val="00C70455"/>
    <w:rsid w:val="00C74C6E"/>
    <w:rsid w:val="00C76384"/>
    <w:rsid w:val="00C8114D"/>
    <w:rsid w:val="00C84449"/>
    <w:rsid w:val="00C92447"/>
    <w:rsid w:val="00C9333C"/>
    <w:rsid w:val="00CA5954"/>
    <w:rsid w:val="00CA7BFE"/>
    <w:rsid w:val="00CA7C09"/>
    <w:rsid w:val="00CC037E"/>
    <w:rsid w:val="00CC1681"/>
    <w:rsid w:val="00CC7213"/>
    <w:rsid w:val="00CD4353"/>
    <w:rsid w:val="00CE3A6E"/>
    <w:rsid w:val="00CE5E8B"/>
    <w:rsid w:val="00CE5FF6"/>
    <w:rsid w:val="00D04949"/>
    <w:rsid w:val="00D14965"/>
    <w:rsid w:val="00D15D83"/>
    <w:rsid w:val="00D320DF"/>
    <w:rsid w:val="00D401D3"/>
    <w:rsid w:val="00D47122"/>
    <w:rsid w:val="00D52E1C"/>
    <w:rsid w:val="00D63F61"/>
    <w:rsid w:val="00D823B6"/>
    <w:rsid w:val="00D83022"/>
    <w:rsid w:val="00D8654C"/>
    <w:rsid w:val="00D9051C"/>
    <w:rsid w:val="00D911F5"/>
    <w:rsid w:val="00D94649"/>
    <w:rsid w:val="00DA1127"/>
    <w:rsid w:val="00DA1FBC"/>
    <w:rsid w:val="00DA3808"/>
    <w:rsid w:val="00DA46AC"/>
    <w:rsid w:val="00DB5204"/>
    <w:rsid w:val="00DB7857"/>
    <w:rsid w:val="00DC215D"/>
    <w:rsid w:val="00DC2CCE"/>
    <w:rsid w:val="00DC6716"/>
    <w:rsid w:val="00DD1F2E"/>
    <w:rsid w:val="00DD2CE8"/>
    <w:rsid w:val="00DD56C6"/>
    <w:rsid w:val="00DD7242"/>
    <w:rsid w:val="00DE57EC"/>
    <w:rsid w:val="00DF012B"/>
    <w:rsid w:val="00DF109B"/>
    <w:rsid w:val="00DF56A5"/>
    <w:rsid w:val="00E06941"/>
    <w:rsid w:val="00E07386"/>
    <w:rsid w:val="00E13CCC"/>
    <w:rsid w:val="00E14A1A"/>
    <w:rsid w:val="00E14A23"/>
    <w:rsid w:val="00E15227"/>
    <w:rsid w:val="00E17F1A"/>
    <w:rsid w:val="00E251D4"/>
    <w:rsid w:val="00E35055"/>
    <w:rsid w:val="00E35B5E"/>
    <w:rsid w:val="00E4211A"/>
    <w:rsid w:val="00E45C46"/>
    <w:rsid w:val="00E46711"/>
    <w:rsid w:val="00E645B4"/>
    <w:rsid w:val="00E71652"/>
    <w:rsid w:val="00E71953"/>
    <w:rsid w:val="00E7393C"/>
    <w:rsid w:val="00E803BC"/>
    <w:rsid w:val="00E87774"/>
    <w:rsid w:val="00E87819"/>
    <w:rsid w:val="00E918AF"/>
    <w:rsid w:val="00E97091"/>
    <w:rsid w:val="00EB1C4A"/>
    <w:rsid w:val="00EB4078"/>
    <w:rsid w:val="00EB435C"/>
    <w:rsid w:val="00EC2D7A"/>
    <w:rsid w:val="00EC7232"/>
    <w:rsid w:val="00ED0289"/>
    <w:rsid w:val="00ED6ECE"/>
    <w:rsid w:val="00EE27A3"/>
    <w:rsid w:val="00EF273F"/>
    <w:rsid w:val="00EF4248"/>
    <w:rsid w:val="00F100B3"/>
    <w:rsid w:val="00F11A1C"/>
    <w:rsid w:val="00F15118"/>
    <w:rsid w:val="00F17CFD"/>
    <w:rsid w:val="00F205F5"/>
    <w:rsid w:val="00F31DF7"/>
    <w:rsid w:val="00F56A53"/>
    <w:rsid w:val="00F63315"/>
    <w:rsid w:val="00F7611C"/>
    <w:rsid w:val="00F81B7B"/>
    <w:rsid w:val="00F830DA"/>
    <w:rsid w:val="00F86C0D"/>
    <w:rsid w:val="00F9496A"/>
    <w:rsid w:val="00F956C2"/>
    <w:rsid w:val="00F97C3E"/>
    <w:rsid w:val="00FA5F2E"/>
    <w:rsid w:val="00FB65EA"/>
    <w:rsid w:val="00FC019B"/>
    <w:rsid w:val="00FD1C10"/>
    <w:rsid w:val="00FD2089"/>
    <w:rsid w:val="00FD2AF2"/>
    <w:rsid w:val="00FD353E"/>
    <w:rsid w:val="00FD678B"/>
    <w:rsid w:val="00FE3F16"/>
    <w:rsid w:val="00FF45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B91B"/>
  <w15:docId w15:val="{6E171850-DE36-45CE-A1C9-69352D30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B9A"/>
    <w:pPr>
      <w:tabs>
        <w:tab w:val="left" w:pos="794"/>
        <w:tab w:val="left" w:pos="1191"/>
        <w:tab w:val="left" w:pos="1588"/>
        <w:tab w:val="left" w:pos="1985"/>
      </w:tabs>
      <w:spacing w:before="120"/>
      <w:jc w:val="both"/>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12AC"/>
    <w:pPr>
      <w:tabs>
        <w:tab w:val="clear" w:pos="794"/>
        <w:tab w:val="clear" w:pos="1191"/>
        <w:tab w:val="clear" w:pos="1588"/>
        <w:tab w:val="clear" w:pos="1985"/>
      </w:tabs>
      <w:spacing w:before="0"/>
      <w:jc w:val="center"/>
    </w:pPr>
    <w:rPr>
      <w:sz w:val="18"/>
    </w:rPr>
  </w:style>
  <w:style w:type="paragraph" w:styleId="Footer">
    <w:name w:val="footer"/>
    <w:aliases w:val="fo,pie de página,footer odd,footer,pie de p·gina"/>
    <w:basedOn w:val="Normal"/>
    <w:link w:val="FooterChar"/>
    <w:rsid w:val="00F9496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link w:val="TitleChar"/>
    <w:uiPriority w:val="5"/>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033B9A"/>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CEO_Hyperlink,超级链接,超?级链,Style 58,超????,하이퍼링크2,超链接1"/>
    <w:qFormat/>
    <w:rPr>
      <w:color w:val="0000FF"/>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033B9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 Char,pie de página Char,footer odd Char,footer Char,pie de p·gina Char"/>
    <w:basedOn w:val="DefaultParagraphFont"/>
    <w:link w:val="Footer"/>
    <w:rsid w:val="00F9496A"/>
    <w:rPr>
      <w:sz w:val="16"/>
      <w:szCs w:val="24"/>
      <w:lang w:eastAsia="en-US"/>
    </w:rPr>
  </w:style>
  <w:style w:type="character" w:customStyle="1" w:styleId="HeaderChar">
    <w:name w:val="Header Char"/>
    <w:basedOn w:val="DefaultParagraphFont"/>
    <w:link w:val="Header"/>
    <w:uiPriority w:val="99"/>
    <w:rsid w:val="000C12AC"/>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9C297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Normal"/>
    <w:rsid w:val="006034AF"/>
    <w:pPr>
      <w:tabs>
        <w:tab w:val="clear" w:pos="794"/>
        <w:tab w:val="clear" w:pos="1191"/>
        <w:tab w:val="clear" w:pos="1588"/>
        <w:tab w:val="clear" w:pos="1985"/>
      </w:tabs>
      <w:spacing w:before="40" w:line="280" w:lineRule="exact"/>
    </w:pPr>
    <w:rPr>
      <w:rFonts w:ascii="Calibri" w:hAnsi="Calibri" w:cs="Calibri"/>
      <w:sz w:val="16"/>
      <w:szCs w:val="22"/>
    </w:rPr>
  </w:style>
  <w:style w:type="character" w:customStyle="1" w:styleId="FootnoteTextChar">
    <w:name w:val="Footnote Text Char"/>
    <w:basedOn w:val="DefaultParagraphFont"/>
    <w:link w:val="FootnoteText"/>
    <w:uiPriority w:val="99"/>
    <w:semiHidden/>
    <w:rsid w:val="00FD678B"/>
    <w:rPr>
      <w:rFonts w:asciiTheme="minorHAnsi" w:hAnsiTheme="minorHAnsi"/>
      <w:lang w:eastAsia="en-US"/>
    </w:rPr>
  </w:style>
  <w:style w:type="paragraph" w:customStyle="1" w:styleId="Reasons">
    <w:name w:val="Reasons"/>
    <w:basedOn w:val="Normal"/>
    <w:qFormat/>
    <w:rsid w:val="00FD678B"/>
    <w:pPr>
      <w:tabs>
        <w:tab w:val="clear" w:pos="794"/>
        <w:tab w:val="clear" w:pos="1191"/>
        <w:tab w:val="clear" w:pos="1588"/>
        <w:tab w:val="clear" w:pos="1985"/>
      </w:tabs>
      <w:spacing w:before="0"/>
    </w:pPr>
    <w:rPr>
      <w:rFonts w:ascii="Times New Roman" w:hAnsi="Times New Roman"/>
      <w:sz w:val="24"/>
      <w:szCs w:val="20"/>
    </w:rPr>
  </w:style>
  <w:style w:type="paragraph" w:styleId="NormalWeb">
    <w:name w:val="Normal (Web)"/>
    <w:basedOn w:val="Normal"/>
    <w:rsid w:val="00134D64"/>
    <w:pPr>
      <w:tabs>
        <w:tab w:val="clear" w:pos="794"/>
        <w:tab w:val="clear" w:pos="1191"/>
        <w:tab w:val="clear" w:pos="1588"/>
        <w:tab w:val="clear" w:pos="1985"/>
      </w:tabs>
      <w:spacing w:before="100" w:after="100" w:line="240" w:lineRule="atLeast"/>
      <w:jc w:val="left"/>
    </w:pPr>
    <w:rPr>
      <w:rFonts w:ascii="Verdana" w:eastAsia="SimSun" w:hAnsi="Verdana"/>
      <w:sz w:val="18"/>
      <w:szCs w:val="18"/>
      <w:lang w:eastAsia="zh-CN"/>
    </w:rPr>
  </w:style>
  <w:style w:type="character" w:styleId="FollowedHyperlink">
    <w:name w:val="FollowedHyperlink"/>
    <w:basedOn w:val="DefaultParagraphFont"/>
    <w:semiHidden/>
    <w:unhideWhenUsed/>
    <w:rsid w:val="00A0636B"/>
    <w:rPr>
      <w:color w:val="800080" w:themeColor="followedHyperlink"/>
      <w:u w:val="single"/>
    </w:rPr>
  </w:style>
  <w:style w:type="paragraph" w:styleId="ListParagraph">
    <w:name w:val="List Paragraph"/>
    <w:aliases w:val="Citation List,List Paragraph Char Char,List Paragraph1,Bullets,list1,b1,Number_1,Normal Sentence,Colorful List - Accent 11,ListPar1,new,SGLText List Paragraph,List Paragraph2,List Paragraph11,Bullet 1,b1 + Justified,List Paragraph21"/>
    <w:basedOn w:val="Normal"/>
    <w:link w:val="ListParagraphChar"/>
    <w:uiPriority w:val="34"/>
    <w:qFormat/>
    <w:rsid w:val="00AC1229"/>
    <w:pPr>
      <w:ind w:left="720"/>
      <w:contextualSpacing/>
    </w:pPr>
  </w:style>
  <w:style w:type="character" w:customStyle="1" w:styleId="TitleChar">
    <w:name w:val="Title Char"/>
    <w:basedOn w:val="DefaultParagraphFont"/>
    <w:link w:val="Title"/>
    <w:uiPriority w:val="5"/>
    <w:rsid w:val="00BE120F"/>
    <w:rPr>
      <w:rFonts w:asciiTheme="minorHAnsi" w:hAnsiTheme="minorHAnsi"/>
      <w:b/>
      <w:bCs/>
      <w:sz w:val="24"/>
      <w:szCs w:val="24"/>
      <w:lang w:eastAsia="en-US"/>
    </w:rPr>
  </w:style>
  <w:style w:type="paragraph" w:customStyle="1" w:styleId="Tabletext0">
    <w:name w:val="Table_text"/>
    <w:basedOn w:val="Normal"/>
    <w:rsid w:val="008F6AD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pPr>
    <w:rPr>
      <w:sz w:val="24"/>
      <w:szCs w:val="20"/>
      <w:lang w:val="en-GB"/>
    </w:rPr>
  </w:style>
  <w:style w:type="character" w:styleId="LineNumber">
    <w:name w:val="line number"/>
    <w:basedOn w:val="DefaultParagraphFont"/>
    <w:rsid w:val="008F6ADB"/>
  </w:style>
  <w:style w:type="character" w:customStyle="1" w:styleId="BodyText2Char">
    <w:name w:val="Body Text 2 Char"/>
    <w:basedOn w:val="DefaultParagraphFont"/>
    <w:link w:val="BodyText2"/>
    <w:rsid w:val="008F6ADB"/>
    <w:rPr>
      <w:rFonts w:asciiTheme="minorHAnsi" w:hAnsiTheme="minorHAnsi"/>
      <w:sz w:val="24"/>
      <w:szCs w:val="24"/>
      <w:lang w:eastAsia="en-US"/>
    </w:rPr>
  </w:style>
  <w:style w:type="paragraph" w:customStyle="1" w:styleId="Default">
    <w:name w:val="Default"/>
    <w:rsid w:val="008F6ADB"/>
    <w:pPr>
      <w:autoSpaceDE w:val="0"/>
      <w:autoSpaceDN w:val="0"/>
      <w:adjustRightInd w:val="0"/>
    </w:pPr>
    <w:rPr>
      <w:rFonts w:eastAsiaTheme="minorEastAsia"/>
      <w:color w:val="000000"/>
      <w:sz w:val="24"/>
      <w:szCs w:val="24"/>
    </w:rPr>
  </w:style>
  <w:style w:type="table" w:styleId="TableGrid">
    <w:name w:val="Table Grid"/>
    <w:basedOn w:val="TableNormal"/>
    <w:rsid w:val="008F6ADB"/>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locked/>
    <w:rsid w:val="00F17CFD"/>
    <w:rPr>
      <w:rFonts w:asciiTheme="minorHAnsi" w:hAnsiTheme="minorHAnsi"/>
      <w:sz w:val="22"/>
      <w:lang w:val="en-GB" w:eastAsia="en-US"/>
    </w:rPr>
  </w:style>
  <w:style w:type="paragraph" w:customStyle="1" w:styleId="enumlev1">
    <w:name w:val="enumlev1"/>
    <w:basedOn w:val="Normal"/>
    <w:rsid w:val="00550E2A"/>
    <w:pPr>
      <w:tabs>
        <w:tab w:val="left" w:pos="2608"/>
        <w:tab w:val="left" w:pos="3345"/>
      </w:tabs>
      <w:overflowPunct w:val="0"/>
      <w:autoSpaceDE w:val="0"/>
      <w:autoSpaceDN w:val="0"/>
      <w:adjustRightInd w:val="0"/>
      <w:spacing w:before="80"/>
      <w:ind w:left="794" w:hanging="794"/>
      <w:jc w:val="left"/>
      <w:textAlignment w:val="baseline"/>
    </w:pPr>
    <w:rPr>
      <w:rFonts w:ascii="Calibri" w:hAnsi="Calibri"/>
      <w:szCs w:val="20"/>
      <w:lang w:val="en-GB"/>
    </w:rPr>
  </w:style>
  <w:style w:type="character" w:customStyle="1" w:styleId="UnresolvedMention1">
    <w:name w:val="Unresolved Mention1"/>
    <w:basedOn w:val="DefaultParagraphFont"/>
    <w:uiPriority w:val="99"/>
    <w:semiHidden/>
    <w:unhideWhenUsed/>
    <w:rsid w:val="00A46A43"/>
    <w:rPr>
      <w:color w:val="605E5C"/>
      <w:shd w:val="clear" w:color="auto" w:fill="E1DFDD"/>
    </w:rPr>
  </w:style>
  <w:style w:type="character" w:customStyle="1" w:styleId="UnresolvedMention2">
    <w:name w:val="Unresolved Mention2"/>
    <w:basedOn w:val="DefaultParagraphFont"/>
    <w:uiPriority w:val="99"/>
    <w:semiHidden/>
    <w:unhideWhenUsed/>
    <w:rsid w:val="004A6B8C"/>
    <w:rPr>
      <w:color w:val="605E5C"/>
      <w:shd w:val="clear" w:color="auto" w:fill="E1DFDD"/>
    </w:rPr>
  </w:style>
  <w:style w:type="character" w:customStyle="1" w:styleId="UnresolvedMention3">
    <w:name w:val="Unresolved Mention3"/>
    <w:basedOn w:val="DefaultParagraphFont"/>
    <w:uiPriority w:val="99"/>
    <w:semiHidden/>
    <w:unhideWhenUsed/>
    <w:rsid w:val="00B143D7"/>
    <w:rPr>
      <w:color w:val="605E5C"/>
      <w:shd w:val="clear" w:color="auto" w:fill="E1DFDD"/>
    </w:rPr>
  </w:style>
  <w:style w:type="paragraph" w:styleId="BalloonText">
    <w:name w:val="Balloon Text"/>
    <w:basedOn w:val="Normal"/>
    <w:link w:val="BalloonTextChar"/>
    <w:semiHidden/>
    <w:unhideWhenUsed/>
    <w:rsid w:val="00FD208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D2089"/>
    <w:rPr>
      <w:rFonts w:ascii="Segoe UI" w:hAnsi="Segoe UI" w:cs="Segoe UI"/>
      <w:sz w:val="18"/>
      <w:szCs w:val="18"/>
      <w:lang w:eastAsia="en-US"/>
    </w:rPr>
  </w:style>
  <w:style w:type="character" w:customStyle="1" w:styleId="ListParagraphChar">
    <w:name w:val="List Paragraph Char"/>
    <w:aliases w:val="Citation List Char,List Paragraph Char Char Char,List Paragraph1 Char,Bullets Char,list1 Char,b1 Char,Number_1 Char,Normal Sentence Char,Colorful List - Accent 11 Char,ListPar1 Char,new Char,SGLText List Paragraph Char,Bullet 1 Char"/>
    <w:link w:val="ListParagraph"/>
    <w:uiPriority w:val="34"/>
    <w:qFormat/>
    <w:locked/>
    <w:rsid w:val="00C70455"/>
    <w:rPr>
      <w:rFonts w:asciiTheme="minorHAnsi" w:hAnsiTheme="minorHAnsi"/>
      <w:sz w:val="22"/>
      <w:szCs w:val="24"/>
      <w:lang w:eastAsia="en-US"/>
    </w:rPr>
  </w:style>
  <w:style w:type="paragraph" w:customStyle="1" w:styleId="Annextitle0">
    <w:name w:val="Annex_title"/>
    <w:basedOn w:val="Normal"/>
    <w:next w:val="Normal"/>
    <w:rsid w:val="00C70455"/>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hAnsi="Calibri"/>
      <w:b/>
      <w:sz w:val="26"/>
      <w:szCs w:val="20"/>
      <w:lang w:val="en-GB"/>
    </w:rPr>
  </w:style>
  <w:style w:type="paragraph" w:customStyle="1" w:styleId="Headingb">
    <w:name w:val="Heading_b"/>
    <w:basedOn w:val="Heading3"/>
    <w:next w:val="Normal"/>
    <w:rsid w:val="00C70455"/>
    <w:pPr>
      <w:keepLines/>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160" w:after="0"/>
      <w:ind w:left="567" w:hanging="567"/>
      <w:jc w:val="left"/>
      <w:textAlignment w:val="baseline"/>
      <w:outlineLvl w:val="0"/>
    </w:pPr>
    <w:rPr>
      <w:rFonts w:ascii="Calibri" w:hAnsi="Calibri" w:cs="Times New Roman"/>
      <w:bCs w:val="0"/>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58704">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842168013">
      <w:bodyDiv w:val="1"/>
      <w:marLeft w:val="0"/>
      <w:marRight w:val="0"/>
      <w:marTop w:val="0"/>
      <w:marBottom w:val="0"/>
      <w:divBdr>
        <w:top w:val="none" w:sz="0" w:space="0" w:color="auto"/>
        <w:left w:val="none" w:sz="0" w:space="0" w:color="auto"/>
        <w:bottom w:val="none" w:sz="0" w:space="0" w:color="auto"/>
        <w:right w:val="none" w:sz="0" w:space="0" w:color="auto"/>
      </w:divBdr>
    </w:div>
    <w:div w:id="1629894737">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hyperlink" Target="http://itu.int/trave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yperlink" Target="https://www.itu.int/ITU-D/finance/work-cost-tariffs/events/tariff-seminars/Geneva_Taxation/Agenda.htm" TargetMode="External"/><Relationship Id="rId2" Type="http://schemas.openxmlformats.org/officeDocument/2006/relationships/numbering" Target="numbering.xml"/><Relationship Id="rId16" Type="http://schemas.openxmlformats.org/officeDocument/2006/relationships/hyperlink" Target="https://www.itu.int/en/ITU-T/Workshops-and-Seminars/2022/1103/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CRM/xreg/web/Login.aspx?src=Registration&amp;Event=C-00011717"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itu.int/en/ITU-T/Workshops-and-Seminars/2022/1103/Pages/default.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en/ITU-T/studygroups/2022-2024/03" TargetMode="External"/><Relationship Id="rId14" Type="http://schemas.openxmlformats.org/officeDocument/2006/relationships/hyperlink" Target="mailto:travel@itu.i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F04FB-F1AF-432D-9492-8D5402AC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2590</Words>
  <Characters>17223</Characters>
  <Application>Microsoft Office Word</Application>
  <DocSecurity>0</DocSecurity>
  <Lines>143</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ITU Normal.dot</vt:lpstr>
      <vt:lpstr>ITU Normal.dot</vt:lpstr>
    </vt:vector>
  </TitlesOfParts>
  <Company>ITU</Company>
  <LinksUpToDate>false</LinksUpToDate>
  <CharactersWithSpaces>19774</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Braud, Olivia</cp:lastModifiedBy>
  <cp:revision>9</cp:revision>
  <cp:lastPrinted>2022-12-15T13:54:00Z</cp:lastPrinted>
  <dcterms:created xsi:type="dcterms:W3CDTF">2022-09-27T19:34:00Z</dcterms:created>
  <dcterms:modified xsi:type="dcterms:W3CDTF">2022-12-15T13:55:00Z</dcterms:modified>
</cp:coreProperties>
</file>