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977"/>
        <w:gridCol w:w="2835"/>
        <w:gridCol w:w="2126"/>
        <w:gridCol w:w="8"/>
      </w:tblGrid>
      <w:tr w:rsidR="00036F4F" w:rsidRPr="008E6CD1" w14:paraId="5DD8A641" w14:textId="77777777" w:rsidTr="00AB3AB7">
        <w:trPr>
          <w:gridAfter w:val="1"/>
          <w:wAfter w:w="8" w:type="dxa"/>
          <w:cantSplit/>
          <w:jc w:val="center"/>
        </w:trPr>
        <w:tc>
          <w:tcPr>
            <w:tcW w:w="1418" w:type="dxa"/>
            <w:gridSpan w:val="3"/>
            <w:vAlign w:val="center"/>
          </w:tcPr>
          <w:p w14:paraId="28083240" w14:textId="77777777" w:rsidR="00036F4F" w:rsidRPr="008E6CD1" w:rsidRDefault="00036F4F" w:rsidP="008B30A0">
            <w:pPr>
              <w:tabs>
                <w:tab w:val="right" w:pos="8732"/>
              </w:tabs>
              <w:spacing w:before="0"/>
              <w:rPr>
                <w:b/>
                <w:bCs/>
                <w:iCs/>
                <w:color w:val="FFFFFF"/>
                <w:sz w:val="30"/>
                <w:szCs w:val="30"/>
              </w:rPr>
            </w:pPr>
            <w:r w:rsidRPr="008E6CD1">
              <w:rPr>
                <w:noProof/>
                <w:lang w:val="en-US"/>
              </w:rPr>
              <w:drawing>
                <wp:inline distT="0" distB="0" distL="0" distR="0" wp14:anchorId="26C4E81C" wp14:editId="6B09547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5D7C9C40" w14:textId="77777777" w:rsidR="00036F4F" w:rsidRPr="008E6CD1" w:rsidRDefault="00036F4F" w:rsidP="008B30A0">
            <w:pPr>
              <w:spacing w:before="0"/>
              <w:rPr>
                <w:rFonts w:cs="Times New Roman Bold"/>
                <w:b/>
                <w:bCs/>
                <w:iCs/>
                <w:smallCaps/>
                <w:sz w:val="34"/>
                <w:szCs w:val="34"/>
              </w:rPr>
            </w:pPr>
            <w:r w:rsidRPr="008E6CD1">
              <w:rPr>
                <w:rFonts w:cs="Times New Roman Bold"/>
                <w:b/>
                <w:bCs/>
                <w:iCs/>
                <w:smallCaps/>
                <w:sz w:val="34"/>
                <w:szCs w:val="34"/>
              </w:rPr>
              <w:t>Union internationale des télécommunications</w:t>
            </w:r>
          </w:p>
          <w:p w14:paraId="10832107" w14:textId="77777777" w:rsidR="00036F4F" w:rsidRPr="008E6CD1" w:rsidRDefault="00036F4F" w:rsidP="008B30A0">
            <w:pPr>
              <w:tabs>
                <w:tab w:val="right" w:pos="8732"/>
              </w:tabs>
              <w:spacing w:before="0"/>
              <w:rPr>
                <w:b/>
                <w:bCs/>
                <w:iCs/>
                <w:color w:val="FFFFFF"/>
                <w:sz w:val="30"/>
                <w:szCs w:val="30"/>
              </w:rPr>
            </w:pPr>
            <w:r w:rsidRPr="008E6CD1">
              <w:rPr>
                <w:rFonts w:cs="Times New Roman Bold"/>
                <w:b/>
                <w:bCs/>
                <w:iCs/>
                <w:smallCaps/>
                <w:sz w:val="28"/>
                <w:szCs w:val="28"/>
              </w:rPr>
              <w:t>B</w:t>
            </w:r>
            <w:r w:rsidRPr="008E6CD1">
              <w:rPr>
                <w:b/>
                <w:bCs/>
                <w:iCs/>
                <w:smallCaps/>
                <w:sz w:val="28"/>
                <w:szCs w:val="28"/>
              </w:rPr>
              <w:t>ureau de la Normalisation des Télécommunications</w:t>
            </w:r>
          </w:p>
        </w:tc>
        <w:tc>
          <w:tcPr>
            <w:tcW w:w="2126" w:type="dxa"/>
            <w:vAlign w:val="center"/>
          </w:tcPr>
          <w:p w14:paraId="1196B634" w14:textId="77777777" w:rsidR="00036F4F" w:rsidRPr="008E6CD1" w:rsidRDefault="00036F4F" w:rsidP="008B30A0">
            <w:pPr>
              <w:spacing w:before="0"/>
              <w:jc w:val="right"/>
              <w:rPr>
                <w:color w:val="FFFFFF"/>
                <w:sz w:val="26"/>
                <w:szCs w:val="26"/>
              </w:rPr>
            </w:pPr>
          </w:p>
        </w:tc>
      </w:tr>
      <w:tr w:rsidR="00036F4F" w:rsidRPr="008E6CD1" w14:paraId="5AC4D625" w14:textId="77777777" w:rsidTr="00AB3AB7">
        <w:trPr>
          <w:gridBefore w:val="1"/>
          <w:wBefore w:w="8" w:type="dxa"/>
          <w:cantSplit/>
          <w:jc w:val="center"/>
        </w:trPr>
        <w:tc>
          <w:tcPr>
            <w:tcW w:w="1977" w:type="dxa"/>
            <w:gridSpan w:val="3"/>
          </w:tcPr>
          <w:p w14:paraId="5B6F02BF" w14:textId="77777777" w:rsidR="00036F4F" w:rsidRPr="008E6CD1" w:rsidRDefault="00036F4F" w:rsidP="008B30A0">
            <w:pPr>
              <w:tabs>
                <w:tab w:val="left" w:pos="4111"/>
              </w:tabs>
              <w:spacing w:before="10"/>
              <w:ind w:left="57"/>
            </w:pPr>
          </w:p>
        </w:tc>
        <w:tc>
          <w:tcPr>
            <w:tcW w:w="2977" w:type="dxa"/>
          </w:tcPr>
          <w:p w14:paraId="4CC9523F" w14:textId="77777777" w:rsidR="00036F4F" w:rsidRPr="008E6CD1" w:rsidRDefault="00036F4F" w:rsidP="008B30A0">
            <w:pPr>
              <w:tabs>
                <w:tab w:val="left" w:pos="4111"/>
              </w:tabs>
              <w:spacing w:before="10"/>
              <w:ind w:left="57"/>
              <w:rPr>
                <w:b/>
              </w:rPr>
            </w:pPr>
          </w:p>
        </w:tc>
        <w:tc>
          <w:tcPr>
            <w:tcW w:w="4969" w:type="dxa"/>
            <w:gridSpan w:val="3"/>
          </w:tcPr>
          <w:p w14:paraId="62651433" w14:textId="0E4D423A" w:rsidR="00036F4F" w:rsidRPr="008E6CD1" w:rsidRDefault="00036F4F" w:rsidP="008B30A0">
            <w:pPr>
              <w:tabs>
                <w:tab w:val="clear" w:pos="794"/>
                <w:tab w:val="clear" w:pos="1191"/>
                <w:tab w:val="clear" w:pos="1588"/>
                <w:tab w:val="clear" w:pos="1985"/>
                <w:tab w:val="left" w:pos="284"/>
              </w:tabs>
              <w:spacing w:after="120"/>
              <w:ind w:left="284" w:hanging="227"/>
            </w:pPr>
            <w:r w:rsidRPr="008E6CD1">
              <w:t>Genève, le</w:t>
            </w:r>
            <w:r w:rsidR="003A2B66" w:rsidRPr="008E6CD1">
              <w:t xml:space="preserve"> </w:t>
            </w:r>
            <w:r w:rsidR="009A5958">
              <w:t>29 juillet</w:t>
            </w:r>
            <w:r w:rsidR="003A2B66" w:rsidRPr="008E6CD1">
              <w:t xml:space="preserve"> 2022</w:t>
            </w:r>
          </w:p>
        </w:tc>
      </w:tr>
      <w:tr w:rsidR="00036F4F" w:rsidRPr="008E6CD1" w14:paraId="293974D1" w14:textId="77777777" w:rsidTr="00AB3AB7">
        <w:trPr>
          <w:gridBefore w:val="1"/>
          <w:wBefore w:w="8" w:type="dxa"/>
          <w:cantSplit/>
          <w:trHeight w:val="340"/>
          <w:jc w:val="center"/>
        </w:trPr>
        <w:tc>
          <w:tcPr>
            <w:tcW w:w="1126" w:type="dxa"/>
          </w:tcPr>
          <w:p w14:paraId="708FC1D0" w14:textId="7BD44F5B" w:rsidR="00036F4F" w:rsidRPr="008E6CD1" w:rsidRDefault="00036F4F" w:rsidP="008B30A0">
            <w:pPr>
              <w:tabs>
                <w:tab w:val="left" w:pos="4111"/>
              </w:tabs>
              <w:spacing w:before="10"/>
              <w:ind w:left="57"/>
              <w:rPr>
                <w:b/>
                <w:bCs/>
              </w:rPr>
            </w:pPr>
            <w:r w:rsidRPr="008E6CD1">
              <w:rPr>
                <w:b/>
                <w:bCs/>
              </w:rPr>
              <w:t>Réf.:</w:t>
            </w:r>
          </w:p>
        </w:tc>
        <w:tc>
          <w:tcPr>
            <w:tcW w:w="3828" w:type="dxa"/>
            <w:gridSpan w:val="3"/>
          </w:tcPr>
          <w:p w14:paraId="560B2CF7" w14:textId="05FF3BAD" w:rsidR="00036F4F" w:rsidRPr="008E6CD1" w:rsidRDefault="003A2B66" w:rsidP="008B30A0">
            <w:pPr>
              <w:tabs>
                <w:tab w:val="left" w:pos="4111"/>
              </w:tabs>
              <w:spacing w:before="10"/>
              <w:ind w:left="57"/>
              <w:rPr>
                <w:b/>
              </w:rPr>
            </w:pPr>
            <w:r w:rsidRPr="008E6CD1">
              <w:rPr>
                <w:b/>
              </w:rPr>
              <w:t xml:space="preserve">Circulaire TSB </w:t>
            </w:r>
            <w:r w:rsidR="009A5958">
              <w:rPr>
                <w:b/>
              </w:rPr>
              <w:t>32</w:t>
            </w:r>
          </w:p>
          <w:p w14:paraId="05C8E8DC" w14:textId="13507F41" w:rsidR="00036F4F" w:rsidRPr="008E6CD1" w:rsidRDefault="003A2B66" w:rsidP="008B30A0">
            <w:pPr>
              <w:tabs>
                <w:tab w:val="left" w:pos="4111"/>
              </w:tabs>
              <w:spacing w:before="10"/>
              <w:ind w:left="57"/>
              <w:rPr>
                <w:b/>
              </w:rPr>
            </w:pPr>
            <w:r w:rsidRPr="008E6CD1">
              <w:t xml:space="preserve">CE </w:t>
            </w:r>
            <w:r w:rsidR="009A5958">
              <w:t>1</w:t>
            </w:r>
            <w:r w:rsidR="00F54B08" w:rsidRPr="008E6CD1">
              <w:t>3</w:t>
            </w:r>
            <w:r w:rsidRPr="008E6CD1">
              <w:t>/</w:t>
            </w:r>
            <w:r w:rsidR="009A5958">
              <w:t>TK</w:t>
            </w:r>
          </w:p>
        </w:tc>
        <w:tc>
          <w:tcPr>
            <w:tcW w:w="4969" w:type="dxa"/>
            <w:gridSpan w:val="3"/>
            <w:vMerge w:val="restart"/>
          </w:tcPr>
          <w:p w14:paraId="37328C34" w14:textId="02AA2674" w:rsidR="00036F4F" w:rsidRPr="008E6CD1" w:rsidRDefault="00036F4F" w:rsidP="008B30A0">
            <w:pPr>
              <w:tabs>
                <w:tab w:val="clear" w:pos="794"/>
                <w:tab w:val="clear" w:pos="1191"/>
                <w:tab w:val="clear" w:pos="1588"/>
                <w:tab w:val="clear" w:pos="1985"/>
                <w:tab w:val="left" w:pos="284"/>
              </w:tabs>
              <w:spacing w:before="0"/>
              <w:ind w:left="284" w:hanging="227"/>
            </w:pPr>
            <w:bookmarkStart w:id="0" w:name="Addressee_F"/>
            <w:bookmarkEnd w:id="0"/>
            <w:r w:rsidRPr="008E6CD1">
              <w:t>-</w:t>
            </w:r>
            <w:r w:rsidRPr="008E6CD1">
              <w:tab/>
            </w:r>
            <w:r w:rsidR="00AB3AB7">
              <w:t>Aux A</w:t>
            </w:r>
            <w:r w:rsidR="003A2B66" w:rsidRPr="008E6CD1">
              <w:t>dministrations des États Membres de l'Union</w:t>
            </w:r>
          </w:p>
        </w:tc>
      </w:tr>
      <w:tr w:rsidR="00036F4F" w:rsidRPr="008E6CD1" w14:paraId="4A0BE0B2" w14:textId="77777777" w:rsidTr="00AB3AB7">
        <w:trPr>
          <w:gridBefore w:val="1"/>
          <w:wBefore w:w="8" w:type="dxa"/>
          <w:cantSplit/>
          <w:jc w:val="center"/>
        </w:trPr>
        <w:tc>
          <w:tcPr>
            <w:tcW w:w="1126" w:type="dxa"/>
          </w:tcPr>
          <w:p w14:paraId="1C434C2C" w14:textId="77777777" w:rsidR="00036F4F" w:rsidRPr="008E6CD1" w:rsidRDefault="00036F4F" w:rsidP="008B30A0">
            <w:pPr>
              <w:tabs>
                <w:tab w:val="left" w:pos="4111"/>
              </w:tabs>
              <w:spacing w:before="10"/>
              <w:ind w:left="57"/>
              <w:rPr>
                <w:b/>
                <w:bCs/>
                <w:sz w:val="20"/>
              </w:rPr>
            </w:pPr>
            <w:r w:rsidRPr="008E6CD1">
              <w:rPr>
                <w:b/>
                <w:bCs/>
              </w:rPr>
              <w:t>Tél.:</w:t>
            </w:r>
          </w:p>
        </w:tc>
        <w:tc>
          <w:tcPr>
            <w:tcW w:w="3828" w:type="dxa"/>
            <w:gridSpan w:val="3"/>
          </w:tcPr>
          <w:p w14:paraId="5CCDEA15" w14:textId="49791254" w:rsidR="00036F4F" w:rsidRPr="008E6CD1" w:rsidRDefault="00036F4F" w:rsidP="008B30A0">
            <w:pPr>
              <w:tabs>
                <w:tab w:val="left" w:pos="4111"/>
              </w:tabs>
              <w:spacing w:before="0"/>
              <w:ind w:left="57"/>
            </w:pPr>
            <w:r w:rsidRPr="008E6CD1">
              <w:t>+41 22 730</w:t>
            </w:r>
            <w:r w:rsidR="003A2B66" w:rsidRPr="008E6CD1">
              <w:t xml:space="preserve"> 5</w:t>
            </w:r>
            <w:r w:rsidR="009A5958">
              <w:t>126</w:t>
            </w:r>
          </w:p>
        </w:tc>
        <w:tc>
          <w:tcPr>
            <w:tcW w:w="4969" w:type="dxa"/>
            <w:gridSpan w:val="3"/>
            <w:vMerge/>
          </w:tcPr>
          <w:p w14:paraId="629A0703" w14:textId="77777777" w:rsidR="00036F4F" w:rsidRPr="008E6CD1" w:rsidRDefault="00036F4F" w:rsidP="008B30A0">
            <w:pPr>
              <w:tabs>
                <w:tab w:val="left" w:pos="4111"/>
              </w:tabs>
              <w:spacing w:before="0"/>
              <w:rPr>
                <w:b/>
              </w:rPr>
            </w:pPr>
          </w:p>
        </w:tc>
      </w:tr>
      <w:tr w:rsidR="00036F4F" w:rsidRPr="008E6CD1" w14:paraId="2422C82D" w14:textId="77777777" w:rsidTr="00AB3AB7">
        <w:trPr>
          <w:gridBefore w:val="1"/>
          <w:wBefore w:w="8" w:type="dxa"/>
          <w:cantSplit/>
          <w:jc w:val="center"/>
        </w:trPr>
        <w:tc>
          <w:tcPr>
            <w:tcW w:w="1126" w:type="dxa"/>
          </w:tcPr>
          <w:p w14:paraId="44B7E800" w14:textId="76E4C250" w:rsidR="00036F4F" w:rsidRPr="008E6CD1" w:rsidRDefault="003A2B66" w:rsidP="008B30A0">
            <w:pPr>
              <w:tabs>
                <w:tab w:val="left" w:pos="4111"/>
              </w:tabs>
              <w:spacing w:before="10"/>
              <w:ind w:left="57"/>
              <w:rPr>
                <w:b/>
                <w:bCs/>
                <w:sz w:val="20"/>
              </w:rPr>
            </w:pPr>
            <w:r w:rsidRPr="008E6CD1">
              <w:rPr>
                <w:b/>
                <w:bCs/>
              </w:rPr>
              <w:t>Télécopie:</w:t>
            </w:r>
          </w:p>
        </w:tc>
        <w:tc>
          <w:tcPr>
            <w:tcW w:w="3828" w:type="dxa"/>
            <w:gridSpan w:val="3"/>
          </w:tcPr>
          <w:p w14:paraId="5E4C31F2" w14:textId="77777777" w:rsidR="00036F4F" w:rsidRPr="008E6CD1" w:rsidRDefault="00036F4F" w:rsidP="008B30A0">
            <w:pPr>
              <w:tabs>
                <w:tab w:val="left" w:pos="4111"/>
              </w:tabs>
              <w:spacing w:before="0"/>
              <w:ind w:left="57"/>
            </w:pPr>
            <w:r w:rsidRPr="008E6CD1">
              <w:t>+41 22 730 5853</w:t>
            </w:r>
          </w:p>
        </w:tc>
        <w:tc>
          <w:tcPr>
            <w:tcW w:w="4969" w:type="dxa"/>
            <w:gridSpan w:val="3"/>
            <w:vMerge/>
          </w:tcPr>
          <w:p w14:paraId="2C250AF9" w14:textId="77777777" w:rsidR="00036F4F" w:rsidRPr="008E6CD1" w:rsidRDefault="00036F4F" w:rsidP="008B30A0">
            <w:pPr>
              <w:tabs>
                <w:tab w:val="left" w:pos="4111"/>
              </w:tabs>
              <w:spacing w:before="0"/>
              <w:rPr>
                <w:b/>
              </w:rPr>
            </w:pPr>
          </w:p>
        </w:tc>
      </w:tr>
      <w:tr w:rsidR="00517A03" w:rsidRPr="008E6CD1" w14:paraId="7285BB13" w14:textId="77777777" w:rsidTr="00AB3AB7">
        <w:trPr>
          <w:gridBefore w:val="1"/>
          <w:wBefore w:w="8" w:type="dxa"/>
          <w:cantSplit/>
          <w:jc w:val="center"/>
        </w:trPr>
        <w:tc>
          <w:tcPr>
            <w:tcW w:w="1126" w:type="dxa"/>
          </w:tcPr>
          <w:p w14:paraId="65663864" w14:textId="78375DDE" w:rsidR="00517A03" w:rsidRPr="008E6CD1" w:rsidRDefault="003A2B66" w:rsidP="008B30A0">
            <w:pPr>
              <w:tabs>
                <w:tab w:val="left" w:pos="4111"/>
              </w:tabs>
              <w:spacing w:before="10"/>
              <w:ind w:left="57"/>
              <w:rPr>
                <w:b/>
                <w:bCs/>
                <w:sz w:val="20"/>
              </w:rPr>
            </w:pPr>
            <w:r w:rsidRPr="008E6CD1">
              <w:rPr>
                <w:b/>
                <w:bCs/>
              </w:rPr>
              <w:t>Courriel:</w:t>
            </w:r>
          </w:p>
        </w:tc>
        <w:tc>
          <w:tcPr>
            <w:tcW w:w="3828" w:type="dxa"/>
            <w:gridSpan w:val="3"/>
          </w:tcPr>
          <w:p w14:paraId="1D8E5090" w14:textId="71EE8342" w:rsidR="00517A03" w:rsidRPr="008E6CD1" w:rsidRDefault="00127FB3" w:rsidP="008B30A0">
            <w:pPr>
              <w:tabs>
                <w:tab w:val="left" w:pos="4111"/>
              </w:tabs>
              <w:spacing w:before="0"/>
              <w:ind w:left="57"/>
            </w:pPr>
            <w:hyperlink r:id="rId9" w:history="1">
              <w:r w:rsidR="009A5958" w:rsidRPr="009A5958">
                <w:rPr>
                  <w:rStyle w:val="Hyperlink"/>
                  <w:lang w:val="en-GB"/>
                </w:rPr>
                <w:t>tsbsg13@itu.int</w:t>
              </w:r>
            </w:hyperlink>
          </w:p>
        </w:tc>
        <w:tc>
          <w:tcPr>
            <w:tcW w:w="4969" w:type="dxa"/>
            <w:gridSpan w:val="3"/>
          </w:tcPr>
          <w:p w14:paraId="77B55DEE" w14:textId="77777777" w:rsidR="00517A03" w:rsidRPr="008E6CD1" w:rsidRDefault="00517A03" w:rsidP="008B30A0">
            <w:pPr>
              <w:tabs>
                <w:tab w:val="left" w:pos="4111"/>
              </w:tabs>
              <w:spacing w:before="0"/>
            </w:pPr>
            <w:r w:rsidRPr="008E6CD1">
              <w:rPr>
                <w:b/>
              </w:rPr>
              <w:t>Copie</w:t>
            </w:r>
            <w:r w:rsidRPr="008E6CD1">
              <w:t>:</w:t>
            </w:r>
          </w:p>
          <w:p w14:paraId="6BDA4E52" w14:textId="77777777" w:rsidR="003A2B66" w:rsidRPr="008E6CD1" w:rsidRDefault="00517A03" w:rsidP="008B30A0">
            <w:pPr>
              <w:tabs>
                <w:tab w:val="clear" w:pos="794"/>
                <w:tab w:val="left" w:pos="226"/>
                <w:tab w:val="left" w:pos="4111"/>
              </w:tabs>
              <w:spacing w:before="0"/>
              <w:ind w:left="226" w:hanging="226"/>
            </w:pPr>
            <w:r w:rsidRPr="008E6CD1">
              <w:t>-</w:t>
            </w:r>
            <w:r w:rsidRPr="008E6CD1">
              <w:tab/>
            </w:r>
            <w:r w:rsidR="003A2B66" w:rsidRPr="008E6CD1">
              <w:t>Aux Membres du Secteur UIT-T;</w:t>
            </w:r>
          </w:p>
          <w:p w14:paraId="30FB985A" w14:textId="61FB0D4A" w:rsidR="003A2B66" w:rsidRPr="008E6CD1" w:rsidRDefault="003A2B66" w:rsidP="008B30A0">
            <w:pPr>
              <w:tabs>
                <w:tab w:val="clear" w:pos="794"/>
                <w:tab w:val="left" w:pos="226"/>
                <w:tab w:val="left" w:pos="4111"/>
              </w:tabs>
              <w:spacing w:before="0"/>
              <w:ind w:left="226" w:hanging="226"/>
            </w:pPr>
            <w:r w:rsidRPr="008E6CD1">
              <w:t>-</w:t>
            </w:r>
            <w:r w:rsidRPr="008E6CD1">
              <w:tab/>
              <w:t xml:space="preserve">Aux Associés participant aux travaux de la Commission d'études </w:t>
            </w:r>
            <w:r w:rsidR="009A5958">
              <w:t>1</w:t>
            </w:r>
            <w:r w:rsidR="00F54B08" w:rsidRPr="008E6CD1">
              <w:t>3</w:t>
            </w:r>
            <w:r w:rsidR="00CA38A2" w:rsidRPr="008E6CD1">
              <w:t xml:space="preserve"> de l'UIT-T</w:t>
            </w:r>
            <w:r w:rsidRPr="008E6CD1">
              <w:t>;</w:t>
            </w:r>
          </w:p>
          <w:p w14:paraId="3F107236" w14:textId="3D71F290" w:rsidR="003A2B66" w:rsidRPr="008E6CD1" w:rsidRDefault="003A2B66" w:rsidP="008B30A0">
            <w:pPr>
              <w:tabs>
                <w:tab w:val="clear" w:pos="794"/>
                <w:tab w:val="left" w:pos="226"/>
                <w:tab w:val="left" w:pos="4111"/>
              </w:tabs>
              <w:spacing w:before="0"/>
              <w:ind w:left="226" w:hanging="226"/>
            </w:pPr>
            <w:r w:rsidRPr="008E6CD1">
              <w:t>-</w:t>
            </w:r>
            <w:r w:rsidRPr="008E6CD1">
              <w:tab/>
              <w:t>Aux établissements universitaires participant aux travaux de l'UIT;</w:t>
            </w:r>
          </w:p>
          <w:p w14:paraId="74FA6053" w14:textId="5ECF1E3A" w:rsidR="003A2B66" w:rsidRPr="008E6CD1" w:rsidRDefault="003A2B66" w:rsidP="008B30A0">
            <w:pPr>
              <w:tabs>
                <w:tab w:val="clear" w:pos="794"/>
                <w:tab w:val="left" w:pos="226"/>
                <w:tab w:val="left" w:pos="4111"/>
              </w:tabs>
              <w:spacing w:before="0"/>
              <w:ind w:left="226" w:hanging="226"/>
            </w:pPr>
            <w:r w:rsidRPr="008E6CD1">
              <w:t>-</w:t>
            </w:r>
            <w:r w:rsidRPr="008E6CD1">
              <w:tab/>
              <w:t xml:space="preserve">Aux Président et Vice-Présidents de la Commission d'études </w:t>
            </w:r>
            <w:r w:rsidR="009A5958">
              <w:t>1</w:t>
            </w:r>
            <w:r w:rsidR="00F54B08" w:rsidRPr="008E6CD1">
              <w:t>3</w:t>
            </w:r>
            <w:r w:rsidRPr="008E6CD1">
              <w:t xml:space="preserve"> de l'UIT-T;</w:t>
            </w:r>
          </w:p>
          <w:p w14:paraId="444E40C5" w14:textId="627B2861" w:rsidR="003A2B66" w:rsidRPr="008E6CD1" w:rsidRDefault="003A2B66" w:rsidP="008B30A0">
            <w:pPr>
              <w:tabs>
                <w:tab w:val="clear" w:pos="794"/>
                <w:tab w:val="left" w:pos="226"/>
                <w:tab w:val="left" w:pos="4111"/>
              </w:tabs>
              <w:spacing w:before="0"/>
              <w:ind w:left="226" w:hanging="226"/>
            </w:pPr>
            <w:r w:rsidRPr="008E6CD1">
              <w:t>-</w:t>
            </w:r>
            <w:r w:rsidRPr="008E6CD1">
              <w:tab/>
              <w:t>À la Directrice du Bureau de développement des télécommunications;</w:t>
            </w:r>
          </w:p>
          <w:p w14:paraId="11011B6C" w14:textId="1FAC64E0" w:rsidR="00517A03" w:rsidRPr="008E6CD1" w:rsidRDefault="003A2B66" w:rsidP="008B30A0">
            <w:pPr>
              <w:tabs>
                <w:tab w:val="clear" w:pos="794"/>
                <w:tab w:val="left" w:pos="226"/>
                <w:tab w:val="left" w:pos="4111"/>
              </w:tabs>
              <w:spacing w:before="0" w:after="120"/>
              <w:ind w:left="226" w:hanging="226"/>
            </w:pPr>
            <w:r w:rsidRPr="008E6CD1">
              <w:t>-</w:t>
            </w:r>
            <w:r w:rsidRPr="008E6CD1">
              <w:tab/>
              <w:t>Au Directeur du Bureau des radiocommunications</w:t>
            </w:r>
          </w:p>
        </w:tc>
      </w:tr>
      <w:tr w:rsidR="00517A03" w:rsidRPr="008E6CD1" w14:paraId="615BC9AD" w14:textId="77777777" w:rsidTr="00AB3AB7">
        <w:trPr>
          <w:gridBefore w:val="1"/>
          <w:gridAfter w:val="1"/>
          <w:wBefore w:w="8" w:type="dxa"/>
          <w:wAfter w:w="8" w:type="dxa"/>
          <w:cantSplit/>
          <w:trHeight w:val="844"/>
          <w:jc w:val="center"/>
        </w:trPr>
        <w:tc>
          <w:tcPr>
            <w:tcW w:w="1126" w:type="dxa"/>
          </w:tcPr>
          <w:p w14:paraId="0F66CBA1" w14:textId="77777777" w:rsidR="00517A03" w:rsidRPr="008E6CD1" w:rsidRDefault="00517A03" w:rsidP="008B30A0">
            <w:pPr>
              <w:tabs>
                <w:tab w:val="left" w:pos="4111"/>
              </w:tabs>
              <w:ind w:left="57"/>
              <w:rPr>
                <w:b/>
                <w:bCs/>
                <w:szCs w:val="22"/>
              </w:rPr>
            </w:pPr>
            <w:r w:rsidRPr="008E6CD1">
              <w:rPr>
                <w:b/>
                <w:bCs/>
                <w:szCs w:val="22"/>
              </w:rPr>
              <w:t>Objet:</w:t>
            </w:r>
          </w:p>
        </w:tc>
        <w:tc>
          <w:tcPr>
            <w:tcW w:w="8789" w:type="dxa"/>
            <w:gridSpan w:val="5"/>
          </w:tcPr>
          <w:p w14:paraId="759E9F8D" w14:textId="0DE2AFA2" w:rsidR="00517A03" w:rsidRPr="008B30A0" w:rsidRDefault="003A2B66" w:rsidP="00A003B0">
            <w:pPr>
              <w:tabs>
                <w:tab w:val="left" w:pos="4111"/>
              </w:tabs>
              <w:spacing w:after="240"/>
              <w:ind w:left="57"/>
              <w:rPr>
                <w:b/>
                <w:bCs/>
                <w:szCs w:val="22"/>
              </w:rPr>
            </w:pPr>
            <w:r w:rsidRPr="008B30A0">
              <w:rPr>
                <w:b/>
                <w:bCs/>
                <w:szCs w:val="22"/>
              </w:rPr>
              <w:t>Proposition de suppression de</w:t>
            </w:r>
            <w:r w:rsidR="00F54B08" w:rsidRPr="008B30A0">
              <w:rPr>
                <w:b/>
                <w:bCs/>
                <w:szCs w:val="22"/>
              </w:rPr>
              <w:t xml:space="preserve"> la</w:t>
            </w:r>
            <w:r w:rsidRPr="008B30A0">
              <w:rPr>
                <w:b/>
                <w:bCs/>
                <w:szCs w:val="22"/>
              </w:rPr>
              <w:t xml:space="preserve"> Recommandation UIT-T </w:t>
            </w:r>
            <w:r w:rsidR="009A5958" w:rsidRPr="008B30A0">
              <w:rPr>
                <w:b/>
                <w:bCs/>
                <w:szCs w:val="22"/>
              </w:rPr>
              <w:t>I.373</w:t>
            </w:r>
            <w:r w:rsidR="00C176C5">
              <w:rPr>
                <w:b/>
                <w:bCs/>
                <w:szCs w:val="22"/>
              </w:rPr>
              <w:t xml:space="preserve"> approuvée par </w:t>
            </w:r>
            <w:r w:rsidR="00CA38A2" w:rsidRPr="008B30A0">
              <w:rPr>
                <w:b/>
                <w:bCs/>
                <w:szCs w:val="22"/>
              </w:rPr>
              <w:t xml:space="preserve">la </w:t>
            </w:r>
            <w:r w:rsidR="00C176C5">
              <w:rPr>
                <w:b/>
                <w:bCs/>
              </w:rPr>
              <w:t>CE</w:t>
            </w:r>
            <w:r w:rsidR="00A003B0">
              <w:rPr>
                <w:b/>
                <w:bCs/>
              </w:rPr>
              <w:t> </w:t>
            </w:r>
            <w:r w:rsidR="00CA38A2" w:rsidRPr="008B30A0">
              <w:rPr>
                <w:b/>
                <w:bCs/>
              </w:rPr>
              <w:t xml:space="preserve">13 de l'UIT-T </w:t>
            </w:r>
            <w:r w:rsidR="00C176C5" w:rsidRPr="008B30A0">
              <w:rPr>
                <w:b/>
                <w:bCs/>
                <w:szCs w:val="22"/>
              </w:rPr>
              <w:t xml:space="preserve">à </w:t>
            </w:r>
            <w:r w:rsidR="00C176C5">
              <w:rPr>
                <w:b/>
                <w:bCs/>
                <w:szCs w:val="22"/>
              </w:rPr>
              <w:t xml:space="preserve">sa </w:t>
            </w:r>
            <w:r w:rsidR="00C176C5" w:rsidRPr="008B30A0">
              <w:rPr>
                <w:b/>
                <w:bCs/>
                <w:szCs w:val="22"/>
              </w:rPr>
              <w:t>réunion</w:t>
            </w:r>
            <w:r w:rsidR="00C176C5" w:rsidRPr="008B30A0">
              <w:rPr>
                <w:b/>
                <w:bCs/>
              </w:rPr>
              <w:t xml:space="preserve"> </w:t>
            </w:r>
            <w:r w:rsidRPr="008B30A0">
              <w:rPr>
                <w:b/>
                <w:bCs/>
                <w:szCs w:val="22"/>
              </w:rPr>
              <w:t>tenue du </w:t>
            </w:r>
            <w:r w:rsidR="009A5958" w:rsidRPr="008B30A0">
              <w:rPr>
                <w:b/>
                <w:bCs/>
                <w:szCs w:val="22"/>
              </w:rPr>
              <w:t>4</w:t>
            </w:r>
            <w:r w:rsidR="00C30986" w:rsidRPr="008B30A0">
              <w:rPr>
                <w:b/>
                <w:bCs/>
                <w:szCs w:val="22"/>
              </w:rPr>
              <w:t> </w:t>
            </w:r>
            <w:r w:rsidRPr="008B30A0">
              <w:rPr>
                <w:b/>
                <w:bCs/>
                <w:szCs w:val="22"/>
              </w:rPr>
              <w:t>au</w:t>
            </w:r>
            <w:r w:rsidR="00FA16C1" w:rsidRPr="008B30A0">
              <w:rPr>
                <w:b/>
                <w:bCs/>
                <w:szCs w:val="22"/>
              </w:rPr>
              <w:t> </w:t>
            </w:r>
            <w:r w:rsidR="009A5958" w:rsidRPr="008B30A0">
              <w:rPr>
                <w:b/>
                <w:bCs/>
                <w:szCs w:val="22"/>
              </w:rPr>
              <w:t>15 juillet</w:t>
            </w:r>
            <w:r w:rsidRPr="008B30A0">
              <w:rPr>
                <w:b/>
                <w:bCs/>
                <w:szCs w:val="22"/>
              </w:rPr>
              <w:t xml:space="preserve"> 202</w:t>
            </w:r>
            <w:r w:rsidR="00F54B08" w:rsidRPr="008B30A0">
              <w:rPr>
                <w:b/>
                <w:bCs/>
                <w:szCs w:val="22"/>
              </w:rPr>
              <w:t>2</w:t>
            </w:r>
          </w:p>
        </w:tc>
      </w:tr>
    </w:tbl>
    <w:p w14:paraId="1954C997" w14:textId="510A7F17" w:rsidR="00517A03" w:rsidRPr="008E6CD1" w:rsidRDefault="00517A03" w:rsidP="00AB3AB7">
      <w:pPr>
        <w:spacing w:before="480"/>
      </w:pPr>
      <w:bookmarkStart w:id="1" w:name="StartTyping_F"/>
      <w:bookmarkEnd w:id="1"/>
      <w:r w:rsidRPr="008E6CD1">
        <w:t>Madame, Monsieur,</w:t>
      </w:r>
    </w:p>
    <w:p w14:paraId="3869F1A7" w14:textId="2F138CA9" w:rsidR="003A2B66" w:rsidRPr="008E6CD1" w:rsidRDefault="003A2B66" w:rsidP="008B30A0">
      <w:pPr>
        <w:rPr>
          <w:bCs/>
        </w:rPr>
      </w:pPr>
      <w:r w:rsidRPr="008E6CD1">
        <w:rPr>
          <w:bCs/>
        </w:rPr>
        <w:t>1</w:t>
      </w:r>
      <w:r w:rsidRPr="008E6CD1">
        <w:rPr>
          <w:bCs/>
        </w:rPr>
        <w:tab/>
        <w:t xml:space="preserve">À la demande du Président de la Commission d'études </w:t>
      </w:r>
      <w:r w:rsidR="009A5958">
        <w:rPr>
          <w:bCs/>
        </w:rPr>
        <w:t>1</w:t>
      </w:r>
      <w:r w:rsidR="00F54B08" w:rsidRPr="008E6CD1">
        <w:rPr>
          <w:szCs w:val="24"/>
        </w:rPr>
        <w:t>3 (</w:t>
      </w:r>
      <w:r w:rsidR="00CA4740" w:rsidRPr="008B30A0">
        <w:rPr>
          <w:i/>
          <w:iCs/>
          <w:szCs w:val="24"/>
        </w:rPr>
        <w:t>Réseaux futurs et technologies de réseau émergentes</w:t>
      </w:r>
      <w:r w:rsidR="00F54B08" w:rsidRPr="008E6CD1">
        <w:rPr>
          <w:szCs w:val="24"/>
        </w:rPr>
        <w:t>)</w:t>
      </w:r>
      <w:r w:rsidRPr="008E6CD1">
        <w:rPr>
          <w:bCs/>
          <w:szCs w:val="24"/>
        </w:rPr>
        <w:t xml:space="preserve">, </w:t>
      </w:r>
      <w:r w:rsidRPr="008E6CD1">
        <w:rPr>
          <w:bCs/>
        </w:rPr>
        <w:t xml:space="preserve">j'ai l'honneur de vous informer que cette </w:t>
      </w:r>
      <w:r w:rsidR="006361AF" w:rsidRPr="008E6CD1">
        <w:rPr>
          <w:bCs/>
        </w:rPr>
        <w:t>C</w:t>
      </w:r>
      <w:r w:rsidR="0066039B" w:rsidRPr="008E6CD1">
        <w:rPr>
          <w:bCs/>
        </w:rPr>
        <w:t xml:space="preserve">ommission </w:t>
      </w:r>
      <w:r w:rsidRPr="008E6CD1">
        <w:rPr>
          <w:bCs/>
        </w:rPr>
        <w:t xml:space="preserve">d'études, à sa réunion tenue du </w:t>
      </w:r>
      <w:r w:rsidR="009A5958">
        <w:rPr>
          <w:bCs/>
        </w:rPr>
        <w:t>4</w:t>
      </w:r>
      <w:r w:rsidRPr="008E6CD1">
        <w:rPr>
          <w:bCs/>
        </w:rPr>
        <w:t xml:space="preserve"> au </w:t>
      </w:r>
      <w:r w:rsidR="009A5958">
        <w:rPr>
          <w:bCs/>
        </w:rPr>
        <w:t>15 juillet</w:t>
      </w:r>
      <w:r w:rsidRPr="008E6CD1">
        <w:rPr>
          <w:bCs/>
        </w:rPr>
        <w:t xml:space="preserve"> 2022, a décidé </w:t>
      </w:r>
      <w:r w:rsidR="00C74B87" w:rsidRPr="008E6CD1">
        <w:rPr>
          <w:color w:val="000000"/>
        </w:rPr>
        <w:t>d'entamer la procédure de</w:t>
      </w:r>
      <w:r w:rsidR="00C74B87" w:rsidRPr="008E6CD1" w:rsidDel="00C74B87">
        <w:rPr>
          <w:bCs/>
        </w:rPr>
        <w:t xml:space="preserve"> </w:t>
      </w:r>
      <w:r w:rsidR="00A139BE" w:rsidRPr="008E6CD1">
        <w:rPr>
          <w:bCs/>
        </w:rPr>
        <w:t>suppression de</w:t>
      </w:r>
      <w:r w:rsidR="00F54B08" w:rsidRPr="008E6CD1">
        <w:rPr>
          <w:bCs/>
        </w:rPr>
        <w:t xml:space="preserve"> la</w:t>
      </w:r>
      <w:r w:rsidR="00A139BE" w:rsidRPr="008E6CD1">
        <w:rPr>
          <w:bCs/>
        </w:rPr>
        <w:t xml:space="preserve"> </w:t>
      </w:r>
      <w:r w:rsidRPr="008E6CD1">
        <w:rPr>
          <w:bCs/>
        </w:rPr>
        <w:t xml:space="preserve">Recommandation UIT-T </w:t>
      </w:r>
      <w:r w:rsidR="00A139BE" w:rsidRPr="008E6CD1">
        <w:rPr>
          <w:bCs/>
        </w:rPr>
        <w:t>susmentionnée</w:t>
      </w:r>
      <w:r w:rsidRPr="008E6CD1">
        <w:rPr>
          <w:bCs/>
        </w:rPr>
        <w:t>, conformément aux dispositions du</w:t>
      </w:r>
      <w:r w:rsidR="006361AF" w:rsidRPr="008E6CD1">
        <w:rPr>
          <w:bCs/>
        </w:rPr>
        <w:t xml:space="preserve"> </w:t>
      </w:r>
      <w:r w:rsidRPr="008E6CD1">
        <w:rPr>
          <w:bCs/>
        </w:rPr>
        <w:t xml:space="preserve">§ 9.8.2 de la Section 9 de la Résolution 1 de l'AMNT (Rév. Genève, 2022). </w:t>
      </w:r>
      <w:r w:rsidR="00C74B87" w:rsidRPr="008E6CD1">
        <w:rPr>
          <w:bCs/>
        </w:rPr>
        <w:t xml:space="preserve">Les </w:t>
      </w:r>
      <w:r w:rsidRPr="008E6CD1">
        <w:rPr>
          <w:bCs/>
        </w:rPr>
        <w:t xml:space="preserve">États Membres </w:t>
      </w:r>
      <w:r w:rsidR="00DD7068" w:rsidRPr="008E6CD1">
        <w:rPr>
          <w:bCs/>
        </w:rPr>
        <w:t xml:space="preserve">ou </w:t>
      </w:r>
      <w:r w:rsidR="00C74B87" w:rsidRPr="008E6CD1">
        <w:rPr>
          <w:bCs/>
        </w:rPr>
        <w:t xml:space="preserve">les </w:t>
      </w:r>
      <w:r w:rsidRPr="008E6CD1">
        <w:rPr>
          <w:bCs/>
        </w:rPr>
        <w:t xml:space="preserve">Membres </w:t>
      </w:r>
      <w:r w:rsidR="00C74B87" w:rsidRPr="008E6CD1">
        <w:rPr>
          <w:bCs/>
        </w:rPr>
        <w:t xml:space="preserve">de </w:t>
      </w:r>
      <w:r w:rsidRPr="008E6CD1">
        <w:rPr>
          <w:bCs/>
        </w:rPr>
        <w:t xml:space="preserve">Secteur </w:t>
      </w:r>
      <w:r w:rsidR="00C74B87" w:rsidRPr="008E6CD1">
        <w:rPr>
          <w:bCs/>
        </w:rPr>
        <w:t>ayant</w:t>
      </w:r>
      <w:r w:rsidRPr="008E6CD1">
        <w:rPr>
          <w:bCs/>
        </w:rPr>
        <w:t xml:space="preserve"> participé à la réunion</w:t>
      </w:r>
      <w:r w:rsidR="00C74B87" w:rsidRPr="008E6CD1">
        <w:rPr>
          <w:bCs/>
        </w:rPr>
        <w:t xml:space="preserve"> n</w:t>
      </w:r>
      <w:r w:rsidR="006361AF" w:rsidRPr="008E6CD1">
        <w:rPr>
          <w:bCs/>
        </w:rPr>
        <w:t>'</w:t>
      </w:r>
      <w:r w:rsidR="00C74B87" w:rsidRPr="008E6CD1">
        <w:rPr>
          <w:bCs/>
        </w:rPr>
        <w:t>ont émis aucune objection contre cette décision</w:t>
      </w:r>
      <w:r w:rsidRPr="008E6CD1">
        <w:rPr>
          <w:bCs/>
        </w:rPr>
        <w:t>.</w:t>
      </w:r>
    </w:p>
    <w:p w14:paraId="5368681C" w14:textId="77777777" w:rsidR="003A2B66" w:rsidRPr="008E6CD1" w:rsidRDefault="003A2B66" w:rsidP="008B30A0">
      <w:pPr>
        <w:rPr>
          <w:bCs/>
        </w:rPr>
      </w:pPr>
      <w:r w:rsidRPr="008E6CD1">
        <w:rPr>
          <w:bCs/>
        </w:rPr>
        <w:t>2</w:t>
      </w:r>
      <w:r w:rsidRPr="008E6CD1">
        <w:rPr>
          <w:bCs/>
        </w:rPr>
        <w:tab/>
        <w:t>L'</w:t>
      </w:r>
      <w:r w:rsidRPr="008E6CD1">
        <w:rPr>
          <w:b/>
          <w:bCs/>
        </w:rPr>
        <w:t>Annexe 1</w:t>
      </w:r>
      <w:r w:rsidRPr="008E6CD1">
        <w:rPr>
          <w:bCs/>
        </w:rPr>
        <w:t xml:space="preserve"> donne des informations sur cette décision et contient un résumé explicatif des motifs de la suppression.</w:t>
      </w:r>
    </w:p>
    <w:p w14:paraId="676EEF35" w14:textId="14D3A464" w:rsidR="003A2B66" w:rsidRPr="008E6CD1" w:rsidRDefault="003A2B66" w:rsidP="008B30A0">
      <w:pPr>
        <w:rPr>
          <w:bCs/>
        </w:rPr>
      </w:pPr>
      <w:r w:rsidRPr="008E6CD1">
        <w:rPr>
          <w:bCs/>
        </w:rPr>
        <w:t>3</w:t>
      </w:r>
      <w:r w:rsidRPr="008E6CD1">
        <w:rPr>
          <w:bCs/>
        </w:rPr>
        <w:tab/>
        <w:t>Eu égard aux dispositions de la Section 9 de la Résolution 1, je vous serais reconnaissant de bien vouloir m'informer</w:t>
      </w:r>
      <w:r w:rsidR="00CA38A2">
        <w:rPr>
          <w:bCs/>
        </w:rPr>
        <w:t>,</w:t>
      </w:r>
      <w:r w:rsidRPr="008E6CD1">
        <w:rPr>
          <w:bCs/>
        </w:rPr>
        <w:t xml:space="preserve"> d'ici </w:t>
      </w:r>
      <w:r w:rsidRPr="008E6CD1">
        <w:t xml:space="preserve">au </w:t>
      </w:r>
      <w:bookmarkStart w:id="2" w:name="_Hlk110404325"/>
      <w:r w:rsidR="009A5958">
        <w:rPr>
          <w:b/>
          <w:bCs/>
        </w:rPr>
        <w:t>29 octobre</w:t>
      </w:r>
      <w:r w:rsidRPr="008E6CD1">
        <w:rPr>
          <w:b/>
          <w:bCs/>
        </w:rPr>
        <w:t xml:space="preserve"> </w:t>
      </w:r>
      <w:bookmarkEnd w:id="2"/>
      <w:r w:rsidRPr="008E6CD1">
        <w:rPr>
          <w:b/>
          <w:bCs/>
        </w:rPr>
        <w:t>2022</w:t>
      </w:r>
      <w:r w:rsidR="00CA38A2" w:rsidRPr="008E6CD1">
        <w:rPr>
          <w:bCs/>
        </w:rPr>
        <w:t xml:space="preserve"> </w:t>
      </w:r>
      <w:r w:rsidRPr="008E6CD1">
        <w:rPr>
          <w:bCs/>
        </w:rPr>
        <w:t>à 24 heures UTC au plus tard, si votre Administration/organisation approuve ou rejette cette suppression.</w:t>
      </w:r>
    </w:p>
    <w:p w14:paraId="25DBB9D1" w14:textId="47BBBC5B" w:rsidR="003A2B66" w:rsidRPr="008E6CD1" w:rsidRDefault="006361AF" w:rsidP="008B30A0">
      <w:pPr>
        <w:ind w:left="794" w:hanging="794"/>
        <w:rPr>
          <w:bCs/>
        </w:rPr>
      </w:pPr>
      <w:r w:rsidRPr="008E6CD1">
        <w:rPr>
          <w:bCs/>
        </w:rPr>
        <w:tab/>
      </w:r>
      <w:r w:rsidR="003A2B66" w:rsidRPr="008E6CD1">
        <w:rPr>
          <w:bCs/>
        </w:rPr>
        <w:t>Au cas où des États Membres ou des Membres du Secteur estimeraient que la suppression ne doit pas être acceptée, ils devraient indiquer le motif de leur désaccord et la question serait renvoyée à la commission d'études.</w:t>
      </w:r>
    </w:p>
    <w:p w14:paraId="54559970" w14:textId="77777777" w:rsidR="00AB3AB7" w:rsidRDefault="00AB3AB7" w:rsidP="008B30A0">
      <w:pPr>
        <w:rPr>
          <w:bCs/>
        </w:rPr>
      </w:pPr>
      <w:r>
        <w:rPr>
          <w:bCs/>
        </w:rPr>
        <w:br w:type="page"/>
      </w:r>
    </w:p>
    <w:p w14:paraId="311BCD6C" w14:textId="77777777" w:rsidR="00180BFA" w:rsidRDefault="00180BFA" w:rsidP="008B30A0">
      <w:pPr>
        <w:rPr>
          <w:bCs/>
        </w:rPr>
      </w:pPr>
    </w:p>
    <w:p w14:paraId="79746089" w14:textId="234F37C9" w:rsidR="003A2B66" w:rsidRPr="008E6CD1" w:rsidRDefault="003A2B66" w:rsidP="008B30A0">
      <w:pPr>
        <w:rPr>
          <w:bCs/>
        </w:rPr>
      </w:pPr>
      <w:r w:rsidRPr="008E6CD1">
        <w:rPr>
          <w:bCs/>
        </w:rPr>
        <w:t>4</w:t>
      </w:r>
      <w:r w:rsidRPr="008E6CD1">
        <w:rPr>
          <w:bCs/>
        </w:rPr>
        <w:tab/>
        <w:t>Après la date limite susmentionnée (</w:t>
      </w:r>
      <w:r w:rsidR="009A5958">
        <w:rPr>
          <w:b/>
          <w:bCs/>
        </w:rPr>
        <w:t>29 octobre</w:t>
      </w:r>
      <w:r w:rsidR="009A5958" w:rsidRPr="008E6CD1">
        <w:rPr>
          <w:b/>
          <w:bCs/>
        </w:rPr>
        <w:t xml:space="preserve"> </w:t>
      </w:r>
      <w:r w:rsidRPr="008E6CD1">
        <w:rPr>
          <w:b/>
          <w:bCs/>
        </w:rPr>
        <w:t>2022</w:t>
      </w:r>
      <w:r w:rsidRPr="008E6CD1">
        <w:rPr>
          <w:bCs/>
        </w:rPr>
        <w:t>), le Directeur du TSB fera connaître, dans une circulaire, le résultat de la consultation. Cette information sera également publiée dans le Bulletin d'exploitation de l'UIT.</w:t>
      </w:r>
    </w:p>
    <w:p w14:paraId="00A87144" w14:textId="074E7DAF" w:rsidR="003A2B66" w:rsidRPr="008E6CD1" w:rsidRDefault="003A2B66" w:rsidP="008B30A0">
      <w:pPr>
        <w:rPr>
          <w:bCs/>
        </w:rPr>
      </w:pPr>
      <w:r w:rsidRPr="008E6CD1">
        <w:rPr>
          <w:bCs/>
        </w:rPr>
        <w:t>Veuillez agréer, Madame, Monsieur, l'assurance de ma considération distinguée.</w:t>
      </w:r>
    </w:p>
    <w:p w14:paraId="00EADB0F" w14:textId="77777777" w:rsidR="00036F4F" w:rsidRPr="008E6CD1" w:rsidRDefault="00036F4F" w:rsidP="008B30A0">
      <w:pPr>
        <w:keepNext/>
        <w:keepLines/>
        <w:spacing w:before="480" w:after="480"/>
        <w:rPr>
          <w:i/>
          <w:iCs/>
        </w:rPr>
      </w:pPr>
      <w:r w:rsidRPr="008E6CD1">
        <w:rPr>
          <w:i/>
          <w:iCs/>
        </w:rPr>
        <w:t>(signé)</w:t>
      </w:r>
    </w:p>
    <w:p w14:paraId="3B02CD60" w14:textId="3E4424E7" w:rsidR="003A2B66" w:rsidRPr="008E6CD1" w:rsidRDefault="00036F4F" w:rsidP="008B30A0">
      <w:pPr>
        <w:keepNext/>
        <w:keepLines/>
        <w:spacing w:before="360"/>
        <w:ind w:right="-284"/>
        <w:rPr>
          <w:b/>
        </w:rPr>
      </w:pPr>
      <w:r w:rsidRPr="008E6CD1">
        <w:t>Chaesub Lee</w:t>
      </w:r>
      <w:r w:rsidRPr="008E6CD1">
        <w:br/>
        <w:t xml:space="preserve">Directeur du Bureau de la normalisation </w:t>
      </w:r>
      <w:r w:rsidRPr="008E6CD1">
        <w:br/>
        <w:t>des télécommunications</w:t>
      </w:r>
    </w:p>
    <w:p w14:paraId="57488217" w14:textId="7531367D" w:rsidR="003A2B66" w:rsidRPr="008E6CD1" w:rsidRDefault="003A2B66" w:rsidP="008B30A0">
      <w:pPr>
        <w:spacing w:before="840"/>
        <w:rPr>
          <w:bCs/>
        </w:rPr>
      </w:pPr>
      <w:r w:rsidRPr="008E6CD1">
        <w:rPr>
          <w:b/>
          <w:bCs/>
        </w:rPr>
        <w:t>Annexe</w:t>
      </w:r>
      <w:r w:rsidRPr="008E6CD1">
        <w:rPr>
          <w:bCs/>
        </w:rPr>
        <w:t>: 1</w:t>
      </w:r>
    </w:p>
    <w:p w14:paraId="7C04465A" w14:textId="1D14F29B" w:rsidR="00101288" w:rsidRPr="008E6CD1" w:rsidRDefault="00101288" w:rsidP="008B30A0">
      <w:r w:rsidRPr="008E6CD1">
        <w:br w:type="page"/>
      </w:r>
    </w:p>
    <w:p w14:paraId="49DA3EB3" w14:textId="77777777" w:rsidR="00180BFA" w:rsidRDefault="00180BFA" w:rsidP="008B30A0">
      <w:pPr>
        <w:pStyle w:val="AnnexTitle"/>
        <w:rPr>
          <w:sz w:val="28"/>
          <w:szCs w:val="28"/>
        </w:rPr>
      </w:pPr>
    </w:p>
    <w:p w14:paraId="47ABF694" w14:textId="12A472F1" w:rsidR="00101288" w:rsidRPr="00AB3AB7" w:rsidRDefault="00101288" w:rsidP="008B30A0">
      <w:pPr>
        <w:pStyle w:val="AnnexTitle"/>
        <w:rPr>
          <w:sz w:val="28"/>
          <w:szCs w:val="28"/>
        </w:rPr>
      </w:pPr>
      <w:r w:rsidRPr="00AB3AB7">
        <w:rPr>
          <w:sz w:val="28"/>
          <w:szCs w:val="28"/>
        </w:rPr>
        <w:t>Annexe 1</w:t>
      </w:r>
      <w:r w:rsidR="0032506C">
        <w:rPr>
          <w:sz w:val="28"/>
          <w:szCs w:val="28"/>
        </w:rPr>
        <w:br/>
      </w:r>
      <w:r w:rsidRPr="00AB3AB7">
        <w:rPr>
          <w:sz w:val="28"/>
          <w:szCs w:val="28"/>
        </w:rPr>
        <w:br/>
      </w:r>
      <w:r w:rsidR="00DD7068" w:rsidRPr="00AB3AB7">
        <w:rPr>
          <w:sz w:val="28"/>
          <w:szCs w:val="28"/>
        </w:rPr>
        <w:t>Recommandation qu'il est proposé de supprimer</w:t>
      </w:r>
      <w:r w:rsidRPr="00AB3AB7">
        <w:rPr>
          <w:sz w:val="28"/>
          <w:szCs w:val="28"/>
        </w:rPr>
        <w:t xml:space="preserve">: </w:t>
      </w:r>
      <w:r w:rsidR="00F54B08" w:rsidRPr="00AB3AB7">
        <w:rPr>
          <w:sz w:val="28"/>
          <w:szCs w:val="28"/>
        </w:rPr>
        <w:t>UIT</w:t>
      </w:r>
      <w:r w:rsidRPr="00AB3AB7">
        <w:rPr>
          <w:sz w:val="28"/>
          <w:szCs w:val="28"/>
        </w:rPr>
        <w:t xml:space="preserve">-T </w:t>
      </w:r>
      <w:r w:rsidR="00036D38" w:rsidRPr="00AB3AB7">
        <w:rPr>
          <w:bCs/>
          <w:sz w:val="28"/>
          <w:szCs w:val="28"/>
        </w:rPr>
        <w:t>I.373</w:t>
      </w:r>
    </w:p>
    <w:p w14:paraId="3EDDA645" w14:textId="36653749" w:rsidR="00036D38" w:rsidRDefault="001E135D" w:rsidP="0032506C">
      <w:pPr>
        <w:pStyle w:val="headingb"/>
        <w:spacing w:before="480"/>
      </w:pPr>
      <w:r w:rsidRPr="001E135D">
        <w:t xml:space="preserve">Recommandation </w:t>
      </w:r>
      <w:r>
        <w:t xml:space="preserve">UIT-T </w:t>
      </w:r>
      <w:hyperlink r:id="rId10" w:history="1">
        <w:r w:rsidRPr="001E135D">
          <w:rPr>
            <w:rStyle w:val="Hyperlink"/>
            <w:bCs/>
          </w:rPr>
          <w:t>I.373</w:t>
        </w:r>
      </w:hyperlink>
      <w:r>
        <w:t xml:space="preserve"> "</w:t>
      </w:r>
      <w:r w:rsidRPr="001E135D">
        <w:t>Caractéristiques réseau nécessaires à la prise en charge des télécommunications personnelles universelles</w:t>
      </w:r>
      <w:r>
        <w:t>"</w:t>
      </w:r>
    </w:p>
    <w:p w14:paraId="642F042B" w14:textId="0F828C03" w:rsidR="001E135D" w:rsidRDefault="00FD5D71" w:rsidP="008B30A0">
      <w:pPr>
        <w:pStyle w:val="headingb"/>
        <w:tabs>
          <w:tab w:val="clear" w:pos="2127"/>
          <w:tab w:val="clear" w:pos="2410"/>
          <w:tab w:val="clear" w:pos="2921"/>
          <w:tab w:val="clear" w:pos="3261"/>
          <w:tab w:val="left" w:pos="1701"/>
        </w:tabs>
        <w:rPr>
          <w:lang w:eastAsia="ja-JP"/>
        </w:rPr>
      </w:pPr>
      <w:r w:rsidRPr="00FD5D71">
        <w:rPr>
          <w:lang w:eastAsia="ja-JP"/>
        </w:rPr>
        <w:t>Date d'approbation</w:t>
      </w:r>
      <w:r w:rsidR="0032506C">
        <w:rPr>
          <w:lang w:eastAsia="ja-JP"/>
        </w:rPr>
        <w:t>: m</w:t>
      </w:r>
      <w:r w:rsidR="001E135D">
        <w:rPr>
          <w:lang w:eastAsia="ja-JP"/>
        </w:rPr>
        <w:t>ars 1993</w:t>
      </w:r>
    </w:p>
    <w:p w14:paraId="6512CF72" w14:textId="77777777" w:rsidR="001E135D" w:rsidRDefault="001E135D" w:rsidP="008B30A0">
      <w:pPr>
        <w:pStyle w:val="headingi"/>
      </w:pPr>
      <w:r>
        <w:t>Champ d'application</w:t>
      </w:r>
    </w:p>
    <w:p w14:paraId="1DAD40AD" w14:textId="77777777" w:rsidR="001E135D" w:rsidRDefault="001E135D" w:rsidP="008B30A0">
      <w:r>
        <w:t>La Recommandation I.373 identifie les spécifications fonctionnelles et les architectures de réseau, et spécifie les</w:t>
      </w:r>
      <w:r>
        <w:rPr>
          <w:spacing w:val="40"/>
        </w:rPr>
        <w:t xml:space="preserve"> </w:t>
      </w:r>
      <w:r>
        <w:t>capacités réseau pour prendre en charge les télécommunications personnelles universelles (UPT) (</w:t>
      </w:r>
      <w:r>
        <w:rPr>
          <w:i/>
        </w:rPr>
        <w:t>universal personal telecommunication</w:t>
      </w:r>
      <w:r>
        <w:t>), en vue de fournir une large gamme de services aux usagers UPT dans un environnement de télécommunication multiréseaux.</w:t>
      </w:r>
    </w:p>
    <w:p w14:paraId="1A96F4C8" w14:textId="5BA330D7" w:rsidR="001E135D" w:rsidRDefault="001E135D" w:rsidP="008B30A0">
      <w:r>
        <w:t>La présente Recommandation doit être ap</w:t>
      </w:r>
      <w:r w:rsidR="0032506C">
        <w:t>p</w:t>
      </w:r>
      <w:r>
        <w:t xml:space="preserve">réciée à la lumière des projets de Recommandation </w:t>
      </w:r>
      <w:r>
        <w:rPr>
          <w:spacing w:val="-2"/>
        </w:rPr>
        <w:t>suivants:</w:t>
      </w:r>
    </w:p>
    <w:p w14:paraId="2C395E85" w14:textId="7E8D76BC" w:rsidR="001E135D" w:rsidRDefault="001E135D" w:rsidP="008B30A0">
      <w:pPr>
        <w:pStyle w:val="enumlev1"/>
      </w:pPr>
      <w:r>
        <w:t>a)</w:t>
      </w:r>
      <w:r>
        <w:tab/>
        <w:t xml:space="preserve">I.114 (Glossaire des termes de </w:t>
      </w:r>
      <w:r>
        <w:rPr>
          <w:spacing w:val="-2"/>
        </w:rPr>
        <w:t>l'UPT);</w:t>
      </w:r>
    </w:p>
    <w:p w14:paraId="2FEBE132" w14:textId="6DD5D133" w:rsidR="001E135D" w:rsidRDefault="001E135D" w:rsidP="008B30A0">
      <w:pPr>
        <w:pStyle w:val="enumlev1"/>
      </w:pPr>
      <w:r>
        <w:t>b)</w:t>
      </w:r>
      <w:r>
        <w:tab/>
        <w:t xml:space="preserve">I.312 (Principes de l'architecture du réseau </w:t>
      </w:r>
      <w:r>
        <w:rPr>
          <w:spacing w:val="-2"/>
        </w:rPr>
        <w:t>intelligent);</w:t>
      </w:r>
    </w:p>
    <w:p w14:paraId="072AFC95" w14:textId="0E6D3B6F" w:rsidR="001E135D" w:rsidRDefault="001E135D" w:rsidP="008B30A0">
      <w:pPr>
        <w:pStyle w:val="enumlev1"/>
      </w:pPr>
      <w:r>
        <w:t>c)</w:t>
      </w:r>
      <w:r>
        <w:tab/>
        <w:t xml:space="preserve">I.328 (Réseau intelligent – Architecture du plan des </w:t>
      </w:r>
      <w:r>
        <w:rPr>
          <w:spacing w:val="-2"/>
        </w:rPr>
        <w:t>services);</w:t>
      </w:r>
    </w:p>
    <w:p w14:paraId="17288333" w14:textId="56D8512E" w:rsidR="001E135D" w:rsidRDefault="001E135D" w:rsidP="008B30A0">
      <w:pPr>
        <w:pStyle w:val="enumlev1"/>
      </w:pPr>
      <w:r>
        <w:t>d)</w:t>
      </w:r>
      <w:r>
        <w:tab/>
        <w:t>I.329</w:t>
      </w:r>
      <w:r>
        <w:rPr>
          <w:spacing w:val="-2"/>
        </w:rPr>
        <w:t xml:space="preserve"> </w:t>
      </w:r>
      <w:r>
        <w:t>(Réseau</w:t>
      </w:r>
      <w:r>
        <w:rPr>
          <w:spacing w:val="1"/>
        </w:rPr>
        <w:t xml:space="preserve"> </w:t>
      </w:r>
      <w:r>
        <w:t>intelligent</w:t>
      </w:r>
      <w:r>
        <w:rPr>
          <w:spacing w:val="1"/>
        </w:rPr>
        <w:t xml:space="preserve"> </w:t>
      </w:r>
      <w:r>
        <w:t>–</w:t>
      </w:r>
      <w:r>
        <w:rPr>
          <w:spacing w:val="1"/>
        </w:rPr>
        <w:t xml:space="preserve"> </w:t>
      </w:r>
      <w:r>
        <w:t>Architecture</w:t>
      </w:r>
      <w:r>
        <w:rPr>
          <w:spacing w:val="1"/>
        </w:rPr>
        <w:t xml:space="preserve"> </w:t>
      </w:r>
      <w:r>
        <w:t>du</w:t>
      </w:r>
      <w:r>
        <w:rPr>
          <w:spacing w:val="1"/>
        </w:rPr>
        <w:t xml:space="preserve"> </w:t>
      </w:r>
      <w:r>
        <w:t>plan</w:t>
      </w:r>
      <w:r>
        <w:rPr>
          <w:spacing w:val="1"/>
        </w:rPr>
        <w:t xml:space="preserve"> </w:t>
      </w:r>
      <w:r>
        <w:t>fonctionnel</w:t>
      </w:r>
      <w:r>
        <w:rPr>
          <w:spacing w:val="1"/>
        </w:rPr>
        <w:t xml:space="preserve"> </w:t>
      </w:r>
      <w:r>
        <w:rPr>
          <w:spacing w:val="-2"/>
        </w:rPr>
        <w:t>global);</w:t>
      </w:r>
    </w:p>
    <w:p w14:paraId="083DEF4E" w14:textId="2F8F7244" w:rsidR="001E135D" w:rsidRDefault="001E135D" w:rsidP="008B30A0">
      <w:pPr>
        <w:pStyle w:val="enumlev1"/>
      </w:pPr>
      <w:r>
        <w:t>e)</w:t>
      </w:r>
      <w:r>
        <w:tab/>
        <w:t xml:space="preserve">F.850 (Principes des télécommunications personnelles </w:t>
      </w:r>
      <w:r>
        <w:rPr>
          <w:spacing w:val="-2"/>
        </w:rPr>
        <w:t>universelles);</w:t>
      </w:r>
    </w:p>
    <w:p w14:paraId="4B124A84" w14:textId="6A5F3D51" w:rsidR="001E135D" w:rsidRDefault="001E135D" w:rsidP="008B30A0">
      <w:pPr>
        <w:pStyle w:val="enumlev1"/>
      </w:pPr>
      <w:r>
        <w:t>f)</w:t>
      </w:r>
      <w:r>
        <w:tab/>
        <w:t xml:space="preserve">E.168 (Application des plans de numérotage de la Recommandation E.164 aux </w:t>
      </w:r>
      <w:r>
        <w:rPr>
          <w:spacing w:val="-2"/>
        </w:rPr>
        <w:t>UPT).</w:t>
      </w:r>
    </w:p>
    <w:p w14:paraId="205AA5B8" w14:textId="71B67EA7" w:rsidR="00DF5F86" w:rsidRDefault="00DF5F86" w:rsidP="008B30A0">
      <w:pPr>
        <w:pStyle w:val="headingi"/>
        <w:rPr>
          <w:lang w:eastAsia="ja-JP"/>
        </w:rPr>
      </w:pPr>
      <w:r w:rsidRPr="008E6CD1">
        <w:rPr>
          <w:lang w:eastAsia="ja-JP"/>
        </w:rPr>
        <w:t xml:space="preserve">Motifs de la suppression de la Recommandation </w:t>
      </w:r>
      <w:r w:rsidR="00FD5D71" w:rsidRPr="00FD5D71">
        <w:rPr>
          <w:lang w:eastAsia="ja-JP"/>
        </w:rPr>
        <w:t>mentionné</w:t>
      </w:r>
      <w:r w:rsidR="00FD5D71">
        <w:rPr>
          <w:lang w:eastAsia="ja-JP"/>
        </w:rPr>
        <w:t>e</w:t>
      </w:r>
      <w:r w:rsidR="00FD5D71" w:rsidRPr="00FD5D71">
        <w:rPr>
          <w:lang w:eastAsia="ja-JP"/>
        </w:rPr>
        <w:t xml:space="preserve"> </w:t>
      </w:r>
      <w:r w:rsidRPr="008E6CD1">
        <w:rPr>
          <w:lang w:eastAsia="ja-JP"/>
        </w:rPr>
        <w:t>ci-dessus:</w:t>
      </w:r>
    </w:p>
    <w:p w14:paraId="49C87D71" w14:textId="322FD0B7" w:rsidR="00DF5F86" w:rsidRPr="008B30A0" w:rsidRDefault="003F041C" w:rsidP="008B30A0">
      <w:pPr>
        <w:rPr>
          <w:lang w:eastAsia="ja-JP"/>
        </w:rPr>
      </w:pPr>
      <w:r w:rsidRPr="003F041C">
        <w:rPr>
          <w:lang w:eastAsia="ja-JP"/>
        </w:rPr>
        <w:t>Lorsque ce</w:t>
      </w:r>
      <w:r>
        <w:rPr>
          <w:lang w:eastAsia="ja-JP"/>
        </w:rPr>
        <w:t xml:space="preserve">tte </w:t>
      </w:r>
      <w:r w:rsidRPr="003F041C">
        <w:rPr>
          <w:lang w:eastAsia="ja-JP"/>
        </w:rPr>
        <w:t xml:space="preserve">Recommandation </w:t>
      </w:r>
      <w:r>
        <w:rPr>
          <w:lang w:eastAsia="ja-JP"/>
        </w:rPr>
        <w:t>a</w:t>
      </w:r>
      <w:r w:rsidRPr="003F041C">
        <w:rPr>
          <w:lang w:eastAsia="ja-JP"/>
        </w:rPr>
        <w:t xml:space="preserve"> été approuvée, la notion de télécommunication </w:t>
      </w:r>
      <w:r w:rsidR="0011027D" w:rsidRPr="0011027D">
        <w:rPr>
          <w:lang w:eastAsia="ja-JP"/>
        </w:rPr>
        <w:t xml:space="preserve">UPT </w:t>
      </w:r>
      <w:r w:rsidRPr="003F041C">
        <w:rPr>
          <w:lang w:eastAsia="ja-JP"/>
        </w:rPr>
        <w:t>employait des concepts de technologies et de services particuliers</w:t>
      </w:r>
      <w:r w:rsidRPr="008B30A0">
        <w:rPr>
          <w:lang w:eastAsia="ja-JP"/>
        </w:rPr>
        <w:t xml:space="preserve">. Depuis 1993, la technologie a évolué et les services </w:t>
      </w:r>
      <w:r w:rsidR="0011027D" w:rsidRPr="0011027D">
        <w:rPr>
          <w:lang w:eastAsia="ja-JP"/>
        </w:rPr>
        <w:t xml:space="preserve">dont il est question </w:t>
      </w:r>
      <w:r w:rsidRPr="008B30A0">
        <w:rPr>
          <w:lang w:eastAsia="ja-JP"/>
        </w:rPr>
        <w:t xml:space="preserve">dans une </w:t>
      </w:r>
      <w:r w:rsidR="00FB0F5F">
        <w:rPr>
          <w:lang w:eastAsia="ja-JP"/>
        </w:rPr>
        <w:t>série</w:t>
      </w:r>
      <w:r w:rsidR="0011027D" w:rsidRPr="0011027D">
        <w:rPr>
          <w:lang w:eastAsia="ja-JP"/>
        </w:rPr>
        <w:t xml:space="preserve"> </w:t>
      </w:r>
      <w:r w:rsidRPr="008B30A0">
        <w:rPr>
          <w:lang w:eastAsia="ja-JP"/>
        </w:rPr>
        <w:t xml:space="preserve">de Recommandations </w:t>
      </w:r>
      <w:r w:rsidR="0011027D">
        <w:t xml:space="preserve">UPT </w:t>
      </w:r>
      <w:r w:rsidRPr="008B30A0">
        <w:rPr>
          <w:lang w:eastAsia="ja-JP"/>
        </w:rPr>
        <w:t>ne sont plus offerts.</w:t>
      </w:r>
      <w:r w:rsidR="0011027D" w:rsidRPr="0011027D">
        <w:t xml:space="preserve"> </w:t>
      </w:r>
      <w:r w:rsidR="00FB0F5F">
        <w:t>Ainsi, c</w:t>
      </w:r>
      <w:r w:rsidR="0011027D" w:rsidRPr="00FB0F5F">
        <w:rPr>
          <w:lang w:eastAsia="ja-JP"/>
        </w:rPr>
        <w:t>ette Recommandation est devenue obsolète</w:t>
      </w:r>
      <w:r w:rsidR="00DF5F86" w:rsidRPr="008B30A0">
        <w:rPr>
          <w:lang w:eastAsia="ja-JP"/>
        </w:rPr>
        <w:t>.</w:t>
      </w:r>
    </w:p>
    <w:p w14:paraId="109EEC24" w14:textId="7485C5CB" w:rsidR="00DF5F86" w:rsidRDefault="00DF5F86" w:rsidP="008B30A0">
      <w:pPr>
        <w:rPr>
          <w:lang w:eastAsia="ja-JP"/>
        </w:rPr>
      </w:pPr>
      <w:r w:rsidRPr="008E6CD1">
        <w:rPr>
          <w:lang w:eastAsia="ja-JP"/>
        </w:rPr>
        <w:t xml:space="preserve">Compte tenu de ce qui précède, la CE </w:t>
      </w:r>
      <w:r>
        <w:rPr>
          <w:lang w:eastAsia="ja-JP"/>
        </w:rPr>
        <w:t>1</w:t>
      </w:r>
      <w:r w:rsidRPr="008E6CD1">
        <w:rPr>
          <w:lang w:eastAsia="ja-JP"/>
        </w:rPr>
        <w:t xml:space="preserve">3 a recommandé au Directeur du TSB d'entamer la procédure de suppression de la Recommandation UIT-T </w:t>
      </w:r>
      <w:r>
        <w:rPr>
          <w:lang w:eastAsia="ja-JP"/>
        </w:rPr>
        <w:t>I.373</w:t>
      </w:r>
      <w:r w:rsidRPr="008E6CD1">
        <w:rPr>
          <w:lang w:eastAsia="ja-JP"/>
        </w:rPr>
        <w:t>.</w:t>
      </w:r>
    </w:p>
    <w:p w14:paraId="603891A8" w14:textId="77777777" w:rsidR="00DF5F86" w:rsidRDefault="00DF5F86" w:rsidP="008B30A0">
      <w:pPr>
        <w:spacing w:before="360"/>
        <w:jc w:val="center"/>
      </w:pPr>
      <w:r>
        <w:t>______________</w:t>
      </w:r>
    </w:p>
    <w:sectPr w:rsidR="00DF5F86" w:rsidSect="00A15179">
      <w:headerReference w:type="default" r:id="rId11"/>
      <w:footerReference w:type="first" r:id="rId1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8138" w14:textId="77777777" w:rsidR="003A2B66" w:rsidRDefault="003A2B66">
      <w:r>
        <w:separator/>
      </w:r>
    </w:p>
  </w:endnote>
  <w:endnote w:type="continuationSeparator" w:id="0">
    <w:p w14:paraId="417F0C31" w14:textId="77777777" w:rsidR="003A2B66" w:rsidRDefault="003A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224B"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7FC" w14:textId="77777777" w:rsidR="003A2B66" w:rsidRDefault="003A2B66">
      <w:r>
        <w:t>____________________</w:t>
      </w:r>
    </w:p>
  </w:footnote>
  <w:footnote w:type="continuationSeparator" w:id="0">
    <w:p w14:paraId="2D4118E0" w14:textId="77777777" w:rsidR="003A2B66" w:rsidRDefault="003A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68B0" w14:textId="49CF6A4C" w:rsidR="00697BC1" w:rsidRPr="00697BC1" w:rsidRDefault="00127FB3"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A003B0">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101288">
      <w:rPr>
        <w:noProof/>
        <w:sz w:val="18"/>
        <w:szCs w:val="16"/>
      </w:rPr>
      <w:br/>
      <w:t xml:space="preserve">Circulaire TSB </w:t>
    </w:r>
    <w:r w:rsidR="009A5958">
      <w:rPr>
        <w:noProof/>
        <w:sz w:val="18"/>
        <w:szCs w:val="16"/>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BC23803"/>
    <w:multiLevelType w:val="multilevel"/>
    <w:tmpl w:val="0004F024"/>
    <w:lvl w:ilvl="0">
      <w:numFmt w:val="decimal"/>
      <w:lvlText w:val="%1"/>
      <w:lvlJc w:val="left"/>
      <w:pPr>
        <w:ind w:left="903" w:hanging="795"/>
        <w:jc w:val="left"/>
      </w:pPr>
      <w:rPr>
        <w:rFonts w:ascii="Times New Roman" w:eastAsia="Times New Roman" w:hAnsi="Times New Roman" w:cs="Times New Roman" w:hint="default"/>
        <w:b/>
        <w:bCs/>
        <w:i w:val="0"/>
        <w:iCs w:val="0"/>
        <w:w w:val="100"/>
        <w:sz w:val="24"/>
        <w:szCs w:val="24"/>
        <w:lang w:val="fr-FR" w:eastAsia="en-US" w:bidi="ar-SA"/>
      </w:rPr>
    </w:lvl>
    <w:lvl w:ilvl="1">
      <w:start w:val="1"/>
      <w:numFmt w:val="decimal"/>
      <w:lvlText w:val="%1.%2"/>
      <w:lvlJc w:val="left"/>
      <w:pPr>
        <w:ind w:left="903" w:hanging="795"/>
        <w:jc w:val="left"/>
      </w:pPr>
      <w:rPr>
        <w:rFonts w:ascii="Times New Roman" w:eastAsia="Times New Roman" w:hAnsi="Times New Roman" w:cs="Times New Roman" w:hint="default"/>
        <w:b/>
        <w:bCs/>
        <w:i w:val="0"/>
        <w:iCs w:val="0"/>
        <w:w w:val="99"/>
        <w:sz w:val="22"/>
        <w:szCs w:val="22"/>
        <w:lang w:val="fr-FR" w:eastAsia="en-US" w:bidi="ar-SA"/>
      </w:rPr>
    </w:lvl>
    <w:lvl w:ilvl="2">
      <w:start w:val="1"/>
      <w:numFmt w:val="decimal"/>
      <w:lvlText w:val="%1.%2.%3"/>
      <w:lvlJc w:val="left"/>
      <w:pPr>
        <w:ind w:left="108" w:hanging="795"/>
        <w:jc w:val="left"/>
      </w:pPr>
      <w:rPr>
        <w:rFonts w:ascii="Times New Roman" w:eastAsia="Times New Roman" w:hAnsi="Times New Roman" w:cs="Times New Roman" w:hint="default"/>
        <w:b/>
        <w:bCs/>
        <w:i w:val="0"/>
        <w:iCs w:val="0"/>
        <w:w w:val="100"/>
        <w:sz w:val="20"/>
        <w:szCs w:val="20"/>
        <w:lang w:val="fr-FR" w:eastAsia="en-US" w:bidi="ar-SA"/>
      </w:rPr>
    </w:lvl>
    <w:lvl w:ilvl="3">
      <w:start w:val="1"/>
      <w:numFmt w:val="decimal"/>
      <w:lvlText w:val="%1.%2.%3.%4"/>
      <w:lvlJc w:val="left"/>
      <w:pPr>
        <w:ind w:left="903" w:hanging="795"/>
        <w:jc w:val="left"/>
      </w:pPr>
      <w:rPr>
        <w:rFonts w:ascii="Times New Roman" w:eastAsia="Times New Roman" w:hAnsi="Times New Roman" w:cs="Times New Roman" w:hint="default"/>
        <w:b/>
        <w:bCs/>
        <w:i w:val="0"/>
        <w:iCs w:val="0"/>
        <w:w w:val="100"/>
        <w:sz w:val="20"/>
        <w:szCs w:val="20"/>
        <w:lang w:val="fr-FR" w:eastAsia="en-US" w:bidi="ar-SA"/>
      </w:rPr>
    </w:lvl>
    <w:lvl w:ilvl="4">
      <w:start w:val="1"/>
      <w:numFmt w:val="lowerLetter"/>
      <w:lvlText w:val="%5)"/>
      <w:lvlJc w:val="left"/>
      <w:pPr>
        <w:ind w:left="1300" w:hanging="398"/>
        <w:jc w:val="left"/>
      </w:pPr>
      <w:rPr>
        <w:rFonts w:ascii="Times New Roman" w:eastAsia="Times New Roman" w:hAnsi="Times New Roman" w:cs="Times New Roman" w:hint="default"/>
        <w:b w:val="0"/>
        <w:bCs w:val="0"/>
        <w:i w:val="0"/>
        <w:iCs w:val="0"/>
        <w:w w:val="100"/>
        <w:sz w:val="20"/>
        <w:szCs w:val="20"/>
        <w:lang w:val="fr-FR" w:eastAsia="en-US" w:bidi="ar-SA"/>
      </w:rPr>
    </w:lvl>
    <w:lvl w:ilvl="5">
      <w:numFmt w:val="bullet"/>
      <w:lvlText w:val="•"/>
      <w:lvlJc w:val="left"/>
      <w:pPr>
        <w:ind w:left="4555" w:hanging="398"/>
      </w:pPr>
      <w:rPr>
        <w:rFonts w:hint="default"/>
        <w:lang w:val="fr-FR" w:eastAsia="en-US" w:bidi="ar-SA"/>
      </w:rPr>
    </w:lvl>
    <w:lvl w:ilvl="6">
      <w:numFmt w:val="bullet"/>
      <w:lvlText w:val="•"/>
      <w:lvlJc w:val="left"/>
      <w:pPr>
        <w:ind w:left="5640" w:hanging="398"/>
      </w:pPr>
      <w:rPr>
        <w:rFonts w:hint="default"/>
        <w:lang w:val="fr-FR" w:eastAsia="en-US" w:bidi="ar-SA"/>
      </w:rPr>
    </w:lvl>
    <w:lvl w:ilvl="7">
      <w:numFmt w:val="bullet"/>
      <w:lvlText w:val="•"/>
      <w:lvlJc w:val="left"/>
      <w:pPr>
        <w:ind w:left="6725" w:hanging="398"/>
      </w:pPr>
      <w:rPr>
        <w:rFonts w:hint="default"/>
        <w:lang w:val="fr-FR" w:eastAsia="en-US" w:bidi="ar-SA"/>
      </w:rPr>
    </w:lvl>
    <w:lvl w:ilvl="8">
      <w:numFmt w:val="bullet"/>
      <w:lvlText w:val="•"/>
      <w:lvlJc w:val="left"/>
      <w:pPr>
        <w:ind w:left="7810" w:hanging="398"/>
      </w:pPr>
      <w:rPr>
        <w:rFonts w:hint="default"/>
        <w:lang w:val="fr-FR" w:eastAsia="en-US" w:bidi="ar-SA"/>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4730313C"/>
    <w:multiLevelType w:val="hybridMultilevel"/>
    <w:tmpl w:val="F18AF5AA"/>
    <w:lvl w:ilvl="0" w:tplc="26CEFECC">
      <w:start w:val="1"/>
      <w:numFmt w:val="lowerLetter"/>
      <w:lvlText w:val="%1)"/>
      <w:lvlJc w:val="left"/>
      <w:pPr>
        <w:ind w:left="1300" w:hanging="398"/>
        <w:jc w:val="left"/>
      </w:pPr>
      <w:rPr>
        <w:rFonts w:ascii="Times New Roman" w:eastAsia="Times New Roman" w:hAnsi="Times New Roman" w:cs="Times New Roman" w:hint="default"/>
        <w:b w:val="0"/>
        <w:bCs w:val="0"/>
        <w:i w:val="0"/>
        <w:iCs w:val="0"/>
        <w:w w:val="100"/>
        <w:sz w:val="20"/>
        <w:szCs w:val="20"/>
        <w:lang w:val="fr-FR" w:eastAsia="en-US" w:bidi="ar-SA"/>
      </w:rPr>
    </w:lvl>
    <w:lvl w:ilvl="1" w:tplc="9ED27140">
      <w:numFmt w:val="bullet"/>
      <w:lvlText w:val="•"/>
      <w:lvlJc w:val="left"/>
      <w:pPr>
        <w:ind w:left="2168" w:hanging="398"/>
      </w:pPr>
      <w:rPr>
        <w:rFonts w:hint="default"/>
        <w:lang w:val="fr-FR" w:eastAsia="en-US" w:bidi="ar-SA"/>
      </w:rPr>
    </w:lvl>
    <w:lvl w:ilvl="2" w:tplc="12048DBE">
      <w:numFmt w:val="bullet"/>
      <w:lvlText w:val="•"/>
      <w:lvlJc w:val="left"/>
      <w:pPr>
        <w:ind w:left="3036" w:hanging="398"/>
      </w:pPr>
      <w:rPr>
        <w:rFonts w:hint="default"/>
        <w:lang w:val="fr-FR" w:eastAsia="en-US" w:bidi="ar-SA"/>
      </w:rPr>
    </w:lvl>
    <w:lvl w:ilvl="3" w:tplc="291ED3B0">
      <w:numFmt w:val="bullet"/>
      <w:lvlText w:val="•"/>
      <w:lvlJc w:val="left"/>
      <w:pPr>
        <w:ind w:left="3904" w:hanging="398"/>
      </w:pPr>
      <w:rPr>
        <w:rFonts w:hint="default"/>
        <w:lang w:val="fr-FR" w:eastAsia="en-US" w:bidi="ar-SA"/>
      </w:rPr>
    </w:lvl>
    <w:lvl w:ilvl="4" w:tplc="BA78139E">
      <w:numFmt w:val="bullet"/>
      <w:lvlText w:val="•"/>
      <w:lvlJc w:val="left"/>
      <w:pPr>
        <w:ind w:left="4772" w:hanging="398"/>
      </w:pPr>
      <w:rPr>
        <w:rFonts w:hint="default"/>
        <w:lang w:val="fr-FR" w:eastAsia="en-US" w:bidi="ar-SA"/>
      </w:rPr>
    </w:lvl>
    <w:lvl w:ilvl="5" w:tplc="F7620DB8">
      <w:numFmt w:val="bullet"/>
      <w:lvlText w:val="•"/>
      <w:lvlJc w:val="left"/>
      <w:pPr>
        <w:ind w:left="5640" w:hanging="398"/>
      </w:pPr>
      <w:rPr>
        <w:rFonts w:hint="default"/>
        <w:lang w:val="fr-FR" w:eastAsia="en-US" w:bidi="ar-SA"/>
      </w:rPr>
    </w:lvl>
    <w:lvl w:ilvl="6" w:tplc="B70E3408">
      <w:numFmt w:val="bullet"/>
      <w:lvlText w:val="•"/>
      <w:lvlJc w:val="left"/>
      <w:pPr>
        <w:ind w:left="6508" w:hanging="398"/>
      </w:pPr>
      <w:rPr>
        <w:rFonts w:hint="default"/>
        <w:lang w:val="fr-FR" w:eastAsia="en-US" w:bidi="ar-SA"/>
      </w:rPr>
    </w:lvl>
    <w:lvl w:ilvl="7" w:tplc="93407754">
      <w:numFmt w:val="bullet"/>
      <w:lvlText w:val="•"/>
      <w:lvlJc w:val="left"/>
      <w:pPr>
        <w:ind w:left="7376" w:hanging="398"/>
      </w:pPr>
      <w:rPr>
        <w:rFonts w:hint="default"/>
        <w:lang w:val="fr-FR" w:eastAsia="en-US" w:bidi="ar-SA"/>
      </w:rPr>
    </w:lvl>
    <w:lvl w:ilvl="8" w:tplc="757EC3B2">
      <w:numFmt w:val="bullet"/>
      <w:lvlText w:val="•"/>
      <w:lvlJc w:val="left"/>
      <w:pPr>
        <w:ind w:left="8244" w:hanging="398"/>
      </w:pPr>
      <w:rPr>
        <w:rFonts w:hint="default"/>
        <w:lang w:val="fr-FR" w:eastAsia="en-US" w:bidi="ar-SA"/>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7162202">
    <w:abstractNumId w:val="1"/>
  </w:num>
  <w:num w:numId="2" w16cid:durableId="201793168">
    <w:abstractNumId w:val="5"/>
  </w:num>
  <w:num w:numId="3" w16cid:durableId="1439911739">
    <w:abstractNumId w:val="3"/>
  </w:num>
  <w:num w:numId="4" w16cid:durableId="1644963890">
    <w:abstractNumId w:val="0"/>
  </w:num>
  <w:num w:numId="5" w16cid:durableId="1940407536">
    <w:abstractNumId w:val="4"/>
  </w:num>
  <w:num w:numId="6" w16cid:durableId="559753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66"/>
    <w:rsid w:val="000039EE"/>
    <w:rsid w:val="00005622"/>
    <w:rsid w:val="0002519E"/>
    <w:rsid w:val="00035B43"/>
    <w:rsid w:val="00036D38"/>
    <w:rsid w:val="00036F4F"/>
    <w:rsid w:val="00074015"/>
    <w:rsid w:val="000758B3"/>
    <w:rsid w:val="00085F5A"/>
    <w:rsid w:val="0008691A"/>
    <w:rsid w:val="000B0D96"/>
    <w:rsid w:val="000B59D8"/>
    <w:rsid w:val="000C1F6B"/>
    <w:rsid w:val="000C25CC"/>
    <w:rsid w:val="000C56BE"/>
    <w:rsid w:val="00101288"/>
    <w:rsid w:val="001026FD"/>
    <w:rsid w:val="001077FD"/>
    <w:rsid w:val="0011027D"/>
    <w:rsid w:val="00113E8C"/>
    <w:rsid w:val="001151E0"/>
    <w:rsid w:val="00115DD7"/>
    <w:rsid w:val="00160099"/>
    <w:rsid w:val="00167472"/>
    <w:rsid w:val="00167F92"/>
    <w:rsid w:val="00173738"/>
    <w:rsid w:val="00180BFA"/>
    <w:rsid w:val="00181B65"/>
    <w:rsid w:val="001B79A3"/>
    <w:rsid w:val="001C3AAB"/>
    <w:rsid w:val="001E135D"/>
    <w:rsid w:val="002152A3"/>
    <w:rsid w:val="002156FB"/>
    <w:rsid w:val="00221BC1"/>
    <w:rsid w:val="00257766"/>
    <w:rsid w:val="002E3872"/>
    <w:rsid w:val="002E395D"/>
    <w:rsid w:val="003070E1"/>
    <w:rsid w:val="003131F0"/>
    <w:rsid w:val="0032506C"/>
    <w:rsid w:val="00333A80"/>
    <w:rsid w:val="00341117"/>
    <w:rsid w:val="00364E95"/>
    <w:rsid w:val="00372875"/>
    <w:rsid w:val="00384F48"/>
    <w:rsid w:val="003A264D"/>
    <w:rsid w:val="003A2B66"/>
    <w:rsid w:val="003B1E80"/>
    <w:rsid w:val="003B66E8"/>
    <w:rsid w:val="003E66AD"/>
    <w:rsid w:val="003F041C"/>
    <w:rsid w:val="003F7CFA"/>
    <w:rsid w:val="004033F1"/>
    <w:rsid w:val="00414B0C"/>
    <w:rsid w:val="00423C21"/>
    <w:rsid w:val="004257AC"/>
    <w:rsid w:val="0043711B"/>
    <w:rsid w:val="004977C9"/>
    <w:rsid w:val="004B13D1"/>
    <w:rsid w:val="004B732E"/>
    <w:rsid w:val="004D51F4"/>
    <w:rsid w:val="004D64E0"/>
    <w:rsid w:val="004F14F9"/>
    <w:rsid w:val="0050228C"/>
    <w:rsid w:val="005120A2"/>
    <w:rsid w:val="0051210D"/>
    <w:rsid w:val="005136D2"/>
    <w:rsid w:val="00517A03"/>
    <w:rsid w:val="005A3DD9"/>
    <w:rsid w:val="005B02FD"/>
    <w:rsid w:val="005B1DFC"/>
    <w:rsid w:val="005C3866"/>
    <w:rsid w:val="005E3082"/>
    <w:rsid w:val="005F123D"/>
    <w:rsid w:val="00601682"/>
    <w:rsid w:val="00603470"/>
    <w:rsid w:val="00622A6D"/>
    <w:rsid w:val="00625E79"/>
    <w:rsid w:val="006333F7"/>
    <w:rsid w:val="006361AF"/>
    <w:rsid w:val="006427A1"/>
    <w:rsid w:val="00644741"/>
    <w:rsid w:val="0066039B"/>
    <w:rsid w:val="00697BC1"/>
    <w:rsid w:val="006A6FFE"/>
    <w:rsid w:val="006C09E8"/>
    <w:rsid w:val="006C5A91"/>
    <w:rsid w:val="00705834"/>
    <w:rsid w:val="00716BBC"/>
    <w:rsid w:val="007201F3"/>
    <w:rsid w:val="007239C2"/>
    <w:rsid w:val="007321BC"/>
    <w:rsid w:val="00740531"/>
    <w:rsid w:val="00760063"/>
    <w:rsid w:val="0076595D"/>
    <w:rsid w:val="00775E4B"/>
    <w:rsid w:val="0079553B"/>
    <w:rsid w:val="00795679"/>
    <w:rsid w:val="007A40FE"/>
    <w:rsid w:val="007C770A"/>
    <w:rsid w:val="00810105"/>
    <w:rsid w:val="008157E0"/>
    <w:rsid w:val="00850477"/>
    <w:rsid w:val="00854E1D"/>
    <w:rsid w:val="008555EA"/>
    <w:rsid w:val="008613EC"/>
    <w:rsid w:val="00887FA6"/>
    <w:rsid w:val="00893D75"/>
    <w:rsid w:val="008B01B3"/>
    <w:rsid w:val="008B30A0"/>
    <w:rsid w:val="008B5643"/>
    <w:rsid w:val="008C4397"/>
    <w:rsid w:val="008C465A"/>
    <w:rsid w:val="008E6CD1"/>
    <w:rsid w:val="008F2C9B"/>
    <w:rsid w:val="00923CD6"/>
    <w:rsid w:val="00935AA8"/>
    <w:rsid w:val="0095727F"/>
    <w:rsid w:val="00971C9A"/>
    <w:rsid w:val="009A5958"/>
    <w:rsid w:val="009D51FA"/>
    <w:rsid w:val="009F1E23"/>
    <w:rsid w:val="00A003B0"/>
    <w:rsid w:val="00A139BE"/>
    <w:rsid w:val="00A15179"/>
    <w:rsid w:val="00A51537"/>
    <w:rsid w:val="00A5280F"/>
    <w:rsid w:val="00A5645A"/>
    <w:rsid w:val="00A60FC1"/>
    <w:rsid w:val="00A61F72"/>
    <w:rsid w:val="00A64D94"/>
    <w:rsid w:val="00A97C37"/>
    <w:rsid w:val="00AA131B"/>
    <w:rsid w:val="00AB3AB7"/>
    <w:rsid w:val="00AC37B5"/>
    <w:rsid w:val="00AD2DDD"/>
    <w:rsid w:val="00AD752F"/>
    <w:rsid w:val="00AF08A4"/>
    <w:rsid w:val="00B03118"/>
    <w:rsid w:val="00B27B41"/>
    <w:rsid w:val="00B42659"/>
    <w:rsid w:val="00B65424"/>
    <w:rsid w:val="00B8324D"/>
    <w:rsid w:val="00B8573E"/>
    <w:rsid w:val="00BB24C0"/>
    <w:rsid w:val="00BD6ECF"/>
    <w:rsid w:val="00C03AF2"/>
    <w:rsid w:val="00C11F55"/>
    <w:rsid w:val="00C176C5"/>
    <w:rsid w:val="00C26F2E"/>
    <w:rsid w:val="00C302E3"/>
    <w:rsid w:val="00C30986"/>
    <w:rsid w:val="00C45376"/>
    <w:rsid w:val="00C71CB0"/>
    <w:rsid w:val="00C74B87"/>
    <w:rsid w:val="00C9028F"/>
    <w:rsid w:val="00CA0416"/>
    <w:rsid w:val="00CA38A2"/>
    <w:rsid w:val="00CA4740"/>
    <w:rsid w:val="00CB1125"/>
    <w:rsid w:val="00CB3727"/>
    <w:rsid w:val="00CD042E"/>
    <w:rsid w:val="00CF2560"/>
    <w:rsid w:val="00CF5B46"/>
    <w:rsid w:val="00D35BA2"/>
    <w:rsid w:val="00D46B68"/>
    <w:rsid w:val="00D542A5"/>
    <w:rsid w:val="00D54531"/>
    <w:rsid w:val="00DC038D"/>
    <w:rsid w:val="00DC3D47"/>
    <w:rsid w:val="00DD7068"/>
    <w:rsid w:val="00DD77DA"/>
    <w:rsid w:val="00DE1777"/>
    <w:rsid w:val="00DF5F86"/>
    <w:rsid w:val="00E06C61"/>
    <w:rsid w:val="00E11CA1"/>
    <w:rsid w:val="00E13DB3"/>
    <w:rsid w:val="00E2408B"/>
    <w:rsid w:val="00E42408"/>
    <w:rsid w:val="00E44FA8"/>
    <w:rsid w:val="00E62CEA"/>
    <w:rsid w:val="00E72AE1"/>
    <w:rsid w:val="00ED6A7A"/>
    <w:rsid w:val="00EE4C36"/>
    <w:rsid w:val="00EE6578"/>
    <w:rsid w:val="00EE7989"/>
    <w:rsid w:val="00F346CE"/>
    <w:rsid w:val="00F34F98"/>
    <w:rsid w:val="00F40540"/>
    <w:rsid w:val="00F54B08"/>
    <w:rsid w:val="00F67402"/>
    <w:rsid w:val="00F766A2"/>
    <w:rsid w:val="00F82654"/>
    <w:rsid w:val="00F9451D"/>
    <w:rsid w:val="00FA16C1"/>
    <w:rsid w:val="00FB0F5F"/>
    <w:rsid w:val="00FB3F13"/>
    <w:rsid w:val="00FD5D7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1E590"/>
  <w15:docId w15:val="{F56530E6-BCD4-4823-AA3C-A1267550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3A2B66"/>
    <w:rPr>
      <w:color w:val="605E5C"/>
      <w:shd w:val="clear" w:color="auto" w:fill="E1DFDD"/>
    </w:rPr>
  </w:style>
  <w:style w:type="paragraph" w:customStyle="1" w:styleId="Reasons">
    <w:name w:val="Reasons"/>
    <w:basedOn w:val="Normal"/>
    <w:qFormat/>
    <w:rsid w:val="00F82654"/>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Revision">
    <w:name w:val="Revision"/>
    <w:hidden/>
    <w:uiPriority w:val="99"/>
    <w:semiHidden/>
    <w:rsid w:val="0066039B"/>
    <w:rPr>
      <w:rFonts w:asciiTheme="minorHAnsi" w:hAnsiTheme="minorHAnsi"/>
      <w:sz w:val="24"/>
      <w:lang w:val="fr-FR" w:eastAsia="en-US"/>
    </w:rPr>
  </w:style>
  <w:style w:type="character" w:styleId="CommentReference">
    <w:name w:val="annotation reference"/>
    <w:basedOn w:val="DefaultParagraphFont"/>
    <w:semiHidden/>
    <w:unhideWhenUsed/>
    <w:rsid w:val="00A64D94"/>
    <w:rPr>
      <w:sz w:val="16"/>
      <w:szCs w:val="16"/>
    </w:rPr>
  </w:style>
  <w:style w:type="paragraph" w:styleId="CommentText">
    <w:name w:val="annotation text"/>
    <w:basedOn w:val="Normal"/>
    <w:link w:val="CommentTextChar"/>
    <w:semiHidden/>
    <w:unhideWhenUsed/>
    <w:rsid w:val="00A64D94"/>
    <w:rPr>
      <w:sz w:val="20"/>
    </w:rPr>
  </w:style>
  <w:style w:type="character" w:customStyle="1" w:styleId="CommentTextChar">
    <w:name w:val="Comment Text Char"/>
    <w:basedOn w:val="DefaultParagraphFont"/>
    <w:link w:val="CommentText"/>
    <w:semiHidden/>
    <w:rsid w:val="00A64D94"/>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A64D94"/>
    <w:rPr>
      <w:b/>
      <w:bCs/>
    </w:rPr>
  </w:style>
  <w:style w:type="character" w:customStyle="1" w:styleId="CommentSubjectChar">
    <w:name w:val="Comment Subject Char"/>
    <w:basedOn w:val="CommentTextChar"/>
    <w:link w:val="CommentSubject"/>
    <w:semiHidden/>
    <w:rsid w:val="00A64D94"/>
    <w:rPr>
      <w:rFonts w:asciiTheme="minorHAnsi" w:hAnsiTheme="minorHAnsi"/>
      <w:b/>
      <w:bCs/>
      <w:lang w:val="fr-FR" w:eastAsia="en-US"/>
    </w:rPr>
  </w:style>
  <w:style w:type="character" w:styleId="FollowedHyperlink">
    <w:name w:val="FollowedHyperlink"/>
    <w:basedOn w:val="DefaultParagraphFont"/>
    <w:semiHidden/>
    <w:unhideWhenUsed/>
    <w:rsid w:val="006361AF"/>
    <w:rPr>
      <w:color w:val="800080" w:themeColor="followedHyperlink"/>
      <w:u w:val="single"/>
    </w:rPr>
  </w:style>
  <w:style w:type="paragraph" w:styleId="ListParagraph">
    <w:name w:val="List Paragraph"/>
    <w:basedOn w:val="Normal"/>
    <w:uiPriority w:val="1"/>
    <w:qFormat/>
    <w:rsid w:val="001E135D"/>
    <w:pPr>
      <w:widowControl w:val="0"/>
      <w:tabs>
        <w:tab w:val="clear" w:pos="794"/>
        <w:tab w:val="clear" w:pos="1191"/>
        <w:tab w:val="clear" w:pos="1588"/>
        <w:tab w:val="clear" w:pos="1985"/>
      </w:tabs>
      <w:overflowPunct/>
      <w:adjustRightInd/>
      <w:spacing w:before="0"/>
      <w:ind w:left="1300" w:hanging="398"/>
      <w:textAlignment w:val="auto"/>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rec/T-REC-I.373/en"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3B59-B0EA-43E0-A9D4-6B01A78A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0</TotalTime>
  <Pages>3</Pages>
  <Words>597</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4145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Mairéad Maguire</cp:lastModifiedBy>
  <cp:revision>2</cp:revision>
  <cp:lastPrinted>2011-04-15T08:01:00Z</cp:lastPrinted>
  <dcterms:created xsi:type="dcterms:W3CDTF">2022-08-11T10:02:00Z</dcterms:created>
  <dcterms:modified xsi:type="dcterms:W3CDTF">2022-08-11T10:02:00Z</dcterms:modified>
</cp:coreProperties>
</file>