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Layout w:type="fixed"/>
        <w:tblCellMar>
          <w:left w:w="0" w:type="dxa"/>
          <w:right w:w="0" w:type="dxa"/>
        </w:tblCellMar>
        <w:tblLook w:val="0000" w:firstRow="0" w:lastRow="0" w:firstColumn="0" w:lastColumn="0" w:noHBand="0" w:noVBand="0"/>
      </w:tblPr>
      <w:tblGrid>
        <w:gridCol w:w="9"/>
        <w:gridCol w:w="1267"/>
        <w:gridCol w:w="166"/>
        <w:gridCol w:w="566"/>
        <w:gridCol w:w="2897"/>
        <w:gridCol w:w="2908"/>
        <w:gridCol w:w="2131"/>
        <w:gridCol w:w="12"/>
      </w:tblGrid>
      <w:tr w:rsidR="00036F4F" w:rsidRPr="005D146A" w14:paraId="48E7B878" w14:textId="77777777" w:rsidTr="003B21F5">
        <w:trPr>
          <w:gridAfter w:val="1"/>
          <w:wAfter w:w="12" w:type="dxa"/>
          <w:cantSplit/>
        </w:trPr>
        <w:tc>
          <w:tcPr>
            <w:tcW w:w="1442" w:type="dxa"/>
            <w:gridSpan w:val="3"/>
            <w:vAlign w:val="center"/>
          </w:tcPr>
          <w:p w14:paraId="6A968898" w14:textId="77777777" w:rsidR="00036F4F" w:rsidRPr="005D146A" w:rsidRDefault="00036F4F" w:rsidP="00D14F31">
            <w:pPr>
              <w:tabs>
                <w:tab w:val="right" w:pos="8732"/>
              </w:tabs>
              <w:spacing w:before="0"/>
              <w:rPr>
                <w:b/>
                <w:bCs/>
                <w:iCs/>
                <w:color w:val="FFFFFF"/>
                <w:sz w:val="30"/>
                <w:szCs w:val="30"/>
              </w:rPr>
            </w:pPr>
            <w:r w:rsidRPr="005D146A">
              <w:rPr>
                <w:noProof/>
                <w:lang w:eastAsia="zh-CN"/>
              </w:rPr>
              <w:drawing>
                <wp:inline distT="0" distB="0" distL="0" distR="0" wp14:anchorId="099DB537" wp14:editId="023DA3A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1" w:type="dxa"/>
            <w:gridSpan w:val="3"/>
            <w:vAlign w:val="center"/>
          </w:tcPr>
          <w:p w14:paraId="2C032382" w14:textId="77777777" w:rsidR="00036F4F" w:rsidRPr="005D146A" w:rsidRDefault="00036F4F" w:rsidP="00D14F31">
            <w:pPr>
              <w:spacing w:before="0"/>
              <w:rPr>
                <w:rFonts w:cs="Times New Roman Bold"/>
                <w:b/>
                <w:bCs/>
                <w:iCs/>
                <w:smallCaps/>
                <w:sz w:val="34"/>
                <w:szCs w:val="34"/>
              </w:rPr>
            </w:pPr>
            <w:r w:rsidRPr="005D146A">
              <w:rPr>
                <w:rFonts w:cs="Times New Roman Bold"/>
                <w:b/>
                <w:bCs/>
                <w:iCs/>
                <w:smallCaps/>
                <w:sz w:val="34"/>
                <w:szCs w:val="34"/>
              </w:rPr>
              <w:t>Union internationale des télécommunications</w:t>
            </w:r>
          </w:p>
          <w:p w14:paraId="0F760879" w14:textId="77777777" w:rsidR="00036F4F" w:rsidRPr="005D146A" w:rsidRDefault="00036F4F" w:rsidP="00D14F31">
            <w:pPr>
              <w:tabs>
                <w:tab w:val="right" w:pos="8732"/>
              </w:tabs>
              <w:spacing w:before="0"/>
              <w:rPr>
                <w:b/>
                <w:bCs/>
                <w:iCs/>
                <w:color w:val="FFFFFF"/>
                <w:sz w:val="30"/>
                <w:szCs w:val="30"/>
              </w:rPr>
            </w:pPr>
            <w:r w:rsidRPr="005D146A">
              <w:rPr>
                <w:rFonts w:cs="Times New Roman Bold"/>
                <w:b/>
                <w:bCs/>
                <w:iCs/>
                <w:smallCaps/>
                <w:sz w:val="28"/>
                <w:szCs w:val="28"/>
              </w:rPr>
              <w:t>B</w:t>
            </w:r>
            <w:r w:rsidRPr="005D146A">
              <w:rPr>
                <w:b/>
                <w:bCs/>
                <w:iCs/>
                <w:smallCaps/>
                <w:sz w:val="28"/>
                <w:szCs w:val="28"/>
              </w:rPr>
              <w:t>ureau de la Normalisation des Télécommunications</w:t>
            </w:r>
          </w:p>
        </w:tc>
        <w:tc>
          <w:tcPr>
            <w:tcW w:w="2131" w:type="dxa"/>
            <w:vAlign w:val="center"/>
          </w:tcPr>
          <w:p w14:paraId="3E2FC00E" w14:textId="77777777" w:rsidR="00036F4F" w:rsidRPr="005D146A" w:rsidRDefault="00036F4F" w:rsidP="00D14F31">
            <w:pPr>
              <w:spacing w:before="0"/>
              <w:jc w:val="right"/>
              <w:rPr>
                <w:color w:val="FFFFFF"/>
                <w:sz w:val="26"/>
                <w:szCs w:val="26"/>
              </w:rPr>
            </w:pPr>
          </w:p>
        </w:tc>
      </w:tr>
      <w:tr w:rsidR="00036F4F" w:rsidRPr="00567F65" w14:paraId="551BDE5D" w14:textId="77777777" w:rsidTr="003B21F5">
        <w:trPr>
          <w:gridBefore w:val="1"/>
          <w:wBefore w:w="9" w:type="dxa"/>
          <w:cantSplit/>
        </w:trPr>
        <w:tc>
          <w:tcPr>
            <w:tcW w:w="1999" w:type="dxa"/>
            <w:gridSpan w:val="3"/>
          </w:tcPr>
          <w:p w14:paraId="7C9CB632" w14:textId="77777777" w:rsidR="00036F4F" w:rsidRPr="00567F65" w:rsidRDefault="00036F4F" w:rsidP="00A5280F">
            <w:pPr>
              <w:tabs>
                <w:tab w:val="left" w:pos="4111"/>
              </w:tabs>
              <w:spacing w:before="10"/>
              <w:ind w:left="57"/>
              <w:rPr>
                <w:sz w:val="22"/>
                <w:szCs w:val="22"/>
              </w:rPr>
            </w:pPr>
          </w:p>
        </w:tc>
        <w:tc>
          <w:tcPr>
            <w:tcW w:w="2897" w:type="dxa"/>
          </w:tcPr>
          <w:p w14:paraId="23069DDE" w14:textId="77777777" w:rsidR="00036F4F" w:rsidRPr="00567F65" w:rsidRDefault="00036F4F" w:rsidP="00A5280F">
            <w:pPr>
              <w:tabs>
                <w:tab w:val="left" w:pos="4111"/>
              </w:tabs>
              <w:spacing w:before="10"/>
              <w:ind w:left="57"/>
              <w:rPr>
                <w:b/>
                <w:sz w:val="22"/>
                <w:szCs w:val="22"/>
              </w:rPr>
            </w:pPr>
          </w:p>
        </w:tc>
        <w:tc>
          <w:tcPr>
            <w:tcW w:w="5051" w:type="dxa"/>
            <w:gridSpan w:val="3"/>
          </w:tcPr>
          <w:p w14:paraId="4FE3114F" w14:textId="70AF6401" w:rsidR="00036F4F" w:rsidRPr="00567F65" w:rsidRDefault="00036F4F" w:rsidP="00A5645A">
            <w:pPr>
              <w:tabs>
                <w:tab w:val="clear" w:pos="794"/>
                <w:tab w:val="clear" w:pos="1191"/>
                <w:tab w:val="clear" w:pos="1588"/>
                <w:tab w:val="clear" w:pos="1985"/>
                <w:tab w:val="left" w:pos="284"/>
              </w:tabs>
              <w:spacing w:after="120"/>
              <w:ind w:left="284" w:hanging="227"/>
              <w:rPr>
                <w:sz w:val="22"/>
                <w:szCs w:val="22"/>
              </w:rPr>
            </w:pPr>
            <w:r w:rsidRPr="00567F65">
              <w:rPr>
                <w:sz w:val="22"/>
                <w:szCs w:val="22"/>
              </w:rPr>
              <w:t>Genève, le</w:t>
            </w:r>
            <w:r w:rsidR="00732EAD" w:rsidRPr="00567F65">
              <w:rPr>
                <w:sz w:val="22"/>
                <w:szCs w:val="22"/>
              </w:rPr>
              <w:t xml:space="preserve"> 16 septembre 2022</w:t>
            </w:r>
          </w:p>
        </w:tc>
      </w:tr>
      <w:tr w:rsidR="00036F4F" w:rsidRPr="00567F65" w14:paraId="78D6236F" w14:textId="77777777" w:rsidTr="003B21F5">
        <w:trPr>
          <w:gridBefore w:val="1"/>
          <w:gridAfter w:val="1"/>
          <w:wBefore w:w="9" w:type="dxa"/>
          <w:wAfter w:w="12" w:type="dxa"/>
          <w:cantSplit/>
          <w:trHeight w:val="340"/>
        </w:trPr>
        <w:tc>
          <w:tcPr>
            <w:tcW w:w="1267" w:type="dxa"/>
          </w:tcPr>
          <w:p w14:paraId="7440ED05" w14:textId="6371EA31" w:rsidR="00036F4F" w:rsidRPr="00567F65" w:rsidRDefault="00036F4F" w:rsidP="00036F4F">
            <w:pPr>
              <w:tabs>
                <w:tab w:val="left" w:pos="4111"/>
              </w:tabs>
              <w:spacing w:before="10"/>
              <w:ind w:left="57"/>
              <w:rPr>
                <w:b/>
                <w:bCs/>
                <w:sz w:val="22"/>
                <w:szCs w:val="22"/>
              </w:rPr>
            </w:pPr>
            <w:proofErr w:type="gramStart"/>
            <w:r w:rsidRPr="00567F65">
              <w:rPr>
                <w:b/>
                <w:bCs/>
                <w:sz w:val="22"/>
                <w:szCs w:val="22"/>
              </w:rPr>
              <w:t>Réf.:</w:t>
            </w:r>
            <w:proofErr w:type="gramEnd"/>
          </w:p>
        </w:tc>
        <w:tc>
          <w:tcPr>
            <w:tcW w:w="3629" w:type="dxa"/>
            <w:gridSpan w:val="3"/>
          </w:tcPr>
          <w:p w14:paraId="015FF380" w14:textId="626477E9" w:rsidR="00036F4F" w:rsidRPr="00567F65" w:rsidRDefault="00036F4F" w:rsidP="00036F4F">
            <w:pPr>
              <w:tabs>
                <w:tab w:val="left" w:pos="4111"/>
              </w:tabs>
              <w:spacing w:before="10"/>
              <w:ind w:left="57"/>
              <w:rPr>
                <w:b/>
                <w:sz w:val="22"/>
                <w:szCs w:val="22"/>
              </w:rPr>
            </w:pPr>
            <w:r w:rsidRPr="00567F65">
              <w:rPr>
                <w:b/>
                <w:sz w:val="22"/>
                <w:szCs w:val="22"/>
              </w:rPr>
              <w:t>Circulaire TSB</w:t>
            </w:r>
            <w:r w:rsidR="00CF539A" w:rsidRPr="00567F65">
              <w:rPr>
                <w:b/>
                <w:sz w:val="22"/>
                <w:szCs w:val="22"/>
              </w:rPr>
              <w:t xml:space="preserve"> 39</w:t>
            </w:r>
          </w:p>
        </w:tc>
        <w:tc>
          <w:tcPr>
            <w:tcW w:w="5039" w:type="dxa"/>
            <w:gridSpan w:val="2"/>
            <w:vMerge w:val="restart"/>
          </w:tcPr>
          <w:p w14:paraId="590D25AD" w14:textId="12650311" w:rsidR="00036F4F" w:rsidRPr="00567F65" w:rsidRDefault="00036F4F" w:rsidP="00A5280F">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567F65">
              <w:rPr>
                <w:sz w:val="22"/>
                <w:szCs w:val="22"/>
              </w:rPr>
              <w:t>-</w:t>
            </w:r>
            <w:r w:rsidRPr="00567F65">
              <w:rPr>
                <w:sz w:val="22"/>
                <w:szCs w:val="22"/>
              </w:rPr>
              <w:tab/>
              <w:t xml:space="preserve">Aux administrations des </w:t>
            </w:r>
            <w:r w:rsidR="00CF539A" w:rsidRPr="00567F65">
              <w:rPr>
                <w:sz w:val="22"/>
                <w:szCs w:val="22"/>
              </w:rPr>
              <w:t>États</w:t>
            </w:r>
            <w:r w:rsidRPr="00567F65">
              <w:rPr>
                <w:sz w:val="22"/>
                <w:szCs w:val="22"/>
              </w:rPr>
              <w:t xml:space="preserve"> Membres de </w:t>
            </w:r>
            <w:proofErr w:type="gramStart"/>
            <w:r w:rsidRPr="00567F65">
              <w:rPr>
                <w:sz w:val="22"/>
                <w:szCs w:val="22"/>
              </w:rPr>
              <w:t>l'Union</w:t>
            </w:r>
            <w:r w:rsidR="003B21F5" w:rsidRPr="00567F65">
              <w:rPr>
                <w:sz w:val="22"/>
                <w:szCs w:val="22"/>
              </w:rPr>
              <w:t>;</w:t>
            </w:r>
            <w:proofErr w:type="gramEnd"/>
          </w:p>
          <w:p w14:paraId="53E5C50F" w14:textId="77777777" w:rsidR="00CF539A" w:rsidRPr="00567F65" w:rsidRDefault="00CF539A" w:rsidP="00CF539A">
            <w:pPr>
              <w:tabs>
                <w:tab w:val="left" w:pos="284"/>
              </w:tabs>
              <w:spacing w:before="0"/>
              <w:ind w:left="284" w:hanging="284"/>
              <w:rPr>
                <w:sz w:val="22"/>
                <w:szCs w:val="22"/>
              </w:rPr>
            </w:pPr>
            <w:r w:rsidRPr="00567F65">
              <w:rPr>
                <w:color w:val="000000"/>
                <w:sz w:val="22"/>
                <w:szCs w:val="22"/>
              </w:rPr>
              <w:t>-</w:t>
            </w:r>
            <w:r w:rsidRPr="00567F65">
              <w:rPr>
                <w:color w:val="000000"/>
                <w:sz w:val="22"/>
                <w:szCs w:val="22"/>
              </w:rPr>
              <w:tab/>
            </w:r>
            <w:r w:rsidRPr="00567F65">
              <w:rPr>
                <w:sz w:val="22"/>
                <w:szCs w:val="22"/>
              </w:rPr>
              <w:t>Aux Membres du Secteur UIT-</w:t>
            </w:r>
            <w:proofErr w:type="gramStart"/>
            <w:r w:rsidRPr="00567F65">
              <w:rPr>
                <w:sz w:val="22"/>
                <w:szCs w:val="22"/>
              </w:rPr>
              <w:t>T;</w:t>
            </w:r>
            <w:proofErr w:type="gramEnd"/>
          </w:p>
          <w:p w14:paraId="2AE44058" w14:textId="77777777" w:rsidR="001174B8" w:rsidRPr="00567F65" w:rsidRDefault="00CF539A" w:rsidP="001174B8">
            <w:pPr>
              <w:tabs>
                <w:tab w:val="left" w:pos="284"/>
              </w:tabs>
              <w:spacing w:before="0"/>
              <w:ind w:left="284" w:hanging="284"/>
              <w:rPr>
                <w:sz w:val="22"/>
                <w:szCs w:val="22"/>
              </w:rPr>
            </w:pPr>
            <w:r w:rsidRPr="00567F65">
              <w:rPr>
                <w:sz w:val="22"/>
                <w:szCs w:val="22"/>
              </w:rPr>
              <w:t>-</w:t>
            </w:r>
            <w:r w:rsidRPr="00567F65">
              <w:rPr>
                <w:sz w:val="22"/>
                <w:szCs w:val="22"/>
              </w:rPr>
              <w:tab/>
              <w:t>Aux Associés de l'UIT-</w:t>
            </w:r>
            <w:proofErr w:type="gramStart"/>
            <w:r w:rsidRPr="00567F65">
              <w:rPr>
                <w:sz w:val="22"/>
                <w:szCs w:val="22"/>
              </w:rPr>
              <w:t>T;</w:t>
            </w:r>
            <w:proofErr w:type="gramEnd"/>
          </w:p>
          <w:p w14:paraId="686B562E" w14:textId="43DA5B10" w:rsidR="00036F4F" w:rsidRPr="00567F65" w:rsidRDefault="00CF539A" w:rsidP="001174B8">
            <w:pPr>
              <w:tabs>
                <w:tab w:val="left" w:pos="284"/>
              </w:tabs>
              <w:spacing w:before="0"/>
              <w:ind w:left="284" w:hanging="284"/>
              <w:rPr>
                <w:sz w:val="22"/>
                <w:szCs w:val="22"/>
              </w:rPr>
            </w:pPr>
            <w:r w:rsidRPr="00567F65">
              <w:rPr>
                <w:sz w:val="22"/>
                <w:szCs w:val="22"/>
              </w:rPr>
              <w:t>-</w:t>
            </w:r>
            <w:r w:rsidRPr="00567F65">
              <w:rPr>
                <w:sz w:val="22"/>
                <w:szCs w:val="22"/>
              </w:rPr>
              <w:tab/>
              <w:t>Aux établissements universitaires participant aux travaux de l'UIT</w:t>
            </w:r>
          </w:p>
        </w:tc>
      </w:tr>
      <w:tr w:rsidR="00036F4F" w:rsidRPr="00567F65" w14:paraId="4E1F4336" w14:textId="77777777" w:rsidTr="003B21F5">
        <w:trPr>
          <w:gridBefore w:val="1"/>
          <w:gridAfter w:val="1"/>
          <w:wBefore w:w="9" w:type="dxa"/>
          <w:wAfter w:w="12" w:type="dxa"/>
          <w:cantSplit/>
        </w:trPr>
        <w:tc>
          <w:tcPr>
            <w:tcW w:w="1267" w:type="dxa"/>
          </w:tcPr>
          <w:p w14:paraId="4A1A5BC6" w14:textId="77777777" w:rsidR="00036F4F" w:rsidRPr="00567F65" w:rsidRDefault="00036F4F" w:rsidP="00A5280F">
            <w:pPr>
              <w:tabs>
                <w:tab w:val="left" w:pos="4111"/>
              </w:tabs>
              <w:spacing w:before="10"/>
              <w:ind w:left="57"/>
              <w:rPr>
                <w:b/>
                <w:bCs/>
                <w:sz w:val="22"/>
                <w:szCs w:val="22"/>
              </w:rPr>
            </w:pPr>
            <w:proofErr w:type="gramStart"/>
            <w:r w:rsidRPr="00567F65">
              <w:rPr>
                <w:b/>
                <w:bCs/>
                <w:sz w:val="22"/>
                <w:szCs w:val="22"/>
              </w:rPr>
              <w:t>Tél.:</w:t>
            </w:r>
            <w:proofErr w:type="gramEnd"/>
          </w:p>
        </w:tc>
        <w:tc>
          <w:tcPr>
            <w:tcW w:w="3629" w:type="dxa"/>
            <w:gridSpan w:val="3"/>
          </w:tcPr>
          <w:p w14:paraId="703F9DE8" w14:textId="2336D3A4" w:rsidR="00036F4F" w:rsidRPr="00567F65" w:rsidRDefault="00036F4F" w:rsidP="00A5280F">
            <w:pPr>
              <w:tabs>
                <w:tab w:val="left" w:pos="4111"/>
              </w:tabs>
              <w:spacing w:before="0"/>
              <w:ind w:left="57"/>
              <w:rPr>
                <w:sz w:val="22"/>
                <w:szCs w:val="22"/>
              </w:rPr>
            </w:pPr>
            <w:r w:rsidRPr="00567F65">
              <w:rPr>
                <w:sz w:val="22"/>
                <w:szCs w:val="22"/>
              </w:rPr>
              <w:t>+41 22 730</w:t>
            </w:r>
            <w:r w:rsidR="00CF539A" w:rsidRPr="00567F65">
              <w:rPr>
                <w:sz w:val="22"/>
                <w:szCs w:val="22"/>
              </w:rPr>
              <w:t xml:space="preserve"> 5356</w:t>
            </w:r>
          </w:p>
        </w:tc>
        <w:tc>
          <w:tcPr>
            <w:tcW w:w="5039" w:type="dxa"/>
            <w:gridSpan w:val="2"/>
            <w:vMerge/>
          </w:tcPr>
          <w:p w14:paraId="5399CB76" w14:textId="77777777" w:rsidR="00036F4F" w:rsidRPr="00567F65" w:rsidRDefault="00036F4F" w:rsidP="00A5280F">
            <w:pPr>
              <w:tabs>
                <w:tab w:val="left" w:pos="4111"/>
              </w:tabs>
              <w:spacing w:before="0"/>
              <w:rPr>
                <w:b/>
                <w:sz w:val="22"/>
                <w:szCs w:val="22"/>
              </w:rPr>
            </w:pPr>
          </w:p>
        </w:tc>
      </w:tr>
      <w:tr w:rsidR="00036F4F" w:rsidRPr="00567F65" w14:paraId="39253254" w14:textId="77777777" w:rsidTr="003B21F5">
        <w:trPr>
          <w:gridBefore w:val="1"/>
          <w:gridAfter w:val="1"/>
          <w:wBefore w:w="9" w:type="dxa"/>
          <w:wAfter w:w="12" w:type="dxa"/>
          <w:cantSplit/>
        </w:trPr>
        <w:tc>
          <w:tcPr>
            <w:tcW w:w="1267" w:type="dxa"/>
          </w:tcPr>
          <w:p w14:paraId="20624430" w14:textId="7EF397DF" w:rsidR="00036F4F" w:rsidRPr="00567F65" w:rsidRDefault="003B21F5" w:rsidP="00A5280F">
            <w:pPr>
              <w:tabs>
                <w:tab w:val="left" w:pos="4111"/>
              </w:tabs>
              <w:spacing w:before="10"/>
              <w:ind w:left="57"/>
              <w:rPr>
                <w:b/>
                <w:bCs/>
                <w:sz w:val="22"/>
                <w:szCs w:val="22"/>
              </w:rPr>
            </w:pPr>
            <w:proofErr w:type="gramStart"/>
            <w:r w:rsidRPr="00567F65">
              <w:rPr>
                <w:b/>
                <w:bCs/>
                <w:sz w:val="22"/>
                <w:szCs w:val="22"/>
              </w:rPr>
              <w:t>Télécopie</w:t>
            </w:r>
            <w:r w:rsidR="00036F4F" w:rsidRPr="00567F65">
              <w:rPr>
                <w:b/>
                <w:bCs/>
                <w:sz w:val="22"/>
                <w:szCs w:val="22"/>
              </w:rPr>
              <w:t>:</w:t>
            </w:r>
            <w:proofErr w:type="gramEnd"/>
          </w:p>
        </w:tc>
        <w:tc>
          <w:tcPr>
            <w:tcW w:w="3629" w:type="dxa"/>
            <w:gridSpan w:val="3"/>
          </w:tcPr>
          <w:p w14:paraId="74DEA98B" w14:textId="77777777" w:rsidR="00036F4F" w:rsidRPr="00567F65" w:rsidRDefault="00036F4F" w:rsidP="00A5280F">
            <w:pPr>
              <w:tabs>
                <w:tab w:val="left" w:pos="4111"/>
              </w:tabs>
              <w:spacing w:before="0"/>
              <w:ind w:left="57"/>
              <w:rPr>
                <w:sz w:val="22"/>
                <w:szCs w:val="22"/>
              </w:rPr>
            </w:pPr>
            <w:r w:rsidRPr="00567F65">
              <w:rPr>
                <w:sz w:val="22"/>
                <w:szCs w:val="22"/>
              </w:rPr>
              <w:t>+41 22 730 5853</w:t>
            </w:r>
          </w:p>
        </w:tc>
        <w:tc>
          <w:tcPr>
            <w:tcW w:w="5039" w:type="dxa"/>
            <w:gridSpan w:val="2"/>
            <w:vMerge/>
          </w:tcPr>
          <w:p w14:paraId="1D1B3DF9" w14:textId="77777777" w:rsidR="00036F4F" w:rsidRPr="00567F65" w:rsidRDefault="00036F4F" w:rsidP="00A5280F">
            <w:pPr>
              <w:tabs>
                <w:tab w:val="left" w:pos="4111"/>
              </w:tabs>
              <w:spacing w:before="0"/>
              <w:rPr>
                <w:b/>
                <w:sz w:val="22"/>
                <w:szCs w:val="22"/>
              </w:rPr>
            </w:pPr>
          </w:p>
        </w:tc>
      </w:tr>
      <w:tr w:rsidR="00517A03" w:rsidRPr="00567F65" w14:paraId="23E29E4F" w14:textId="77777777" w:rsidTr="003B21F5">
        <w:trPr>
          <w:gridBefore w:val="1"/>
          <w:gridAfter w:val="1"/>
          <w:wBefore w:w="9" w:type="dxa"/>
          <w:wAfter w:w="12" w:type="dxa"/>
          <w:cantSplit/>
        </w:trPr>
        <w:tc>
          <w:tcPr>
            <w:tcW w:w="1267" w:type="dxa"/>
          </w:tcPr>
          <w:p w14:paraId="6308952F" w14:textId="4BE42A44" w:rsidR="00517A03" w:rsidRPr="00567F65" w:rsidRDefault="003B21F5" w:rsidP="00A5280F">
            <w:pPr>
              <w:tabs>
                <w:tab w:val="left" w:pos="4111"/>
              </w:tabs>
              <w:spacing w:before="10"/>
              <w:ind w:left="57"/>
              <w:rPr>
                <w:b/>
                <w:bCs/>
                <w:sz w:val="22"/>
                <w:szCs w:val="22"/>
              </w:rPr>
            </w:pPr>
            <w:proofErr w:type="gramStart"/>
            <w:r w:rsidRPr="00567F65">
              <w:rPr>
                <w:b/>
                <w:bCs/>
                <w:sz w:val="22"/>
                <w:szCs w:val="22"/>
              </w:rPr>
              <w:t>Courriel</w:t>
            </w:r>
            <w:r w:rsidR="00036F4F" w:rsidRPr="00567F65">
              <w:rPr>
                <w:b/>
                <w:bCs/>
                <w:sz w:val="22"/>
                <w:szCs w:val="22"/>
              </w:rPr>
              <w:t>:</w:t>
            </w:r>
            <w:proofErr w:type="gramEnd"/>
          </w:p>
        </w:tc>
        <w:tc>
          <w:tcPr>
            <w:tcW w:w="3629" w:type="dxa"/>
            <w:gridSpan w:val="3"/>
          </w:tcPr>
          <w:p w14:paraId="5B500FA7" w14:textId="2C2BF757" w:rsidR="00517A03" w:rsidRPr="00567F65" w:rsidRDefault="007A6CF3" w:rsidP="00A5280F">
            <w:pPr>
              <w:tabs>
                <w:tab w:val="left" w:pos="4111"/>
              </w:tabs>
              <w:spacing w:before="0"/>
              <w:ind w:left="57"/>
              <w:rPr>
                <w:sz w:val="22"/>
                <w:szCs w:val="22"/>
              </w:rPr>
            </w:pPr>
            <w:hyperlink r:id="rId9" w:history="1">
              <w:r w:rsidR="00CF539A" w:rsidRPr="00567F65">
                <w:rPr>
                  <w:rStyle w:val="Hyperlink"/>
                  <w:sz w:val="22"/>
                  <w:szCs w:val="22"/>
                </w:rPr>
                <w:t>tsbevents@itu.int</w:t>
              </w:r>
            </w:hyperlink>
          </w:p>
        </w:tc>
        <w:tc>
          <w:tcPr>
            <w:tcW w:w="5039" w:type="dxa"/>
            <w:gridSpan w:val="2"/>
          </w:tcPr>
          <w:p w14:paraId="297562DE" w14:textId="77777777" w:rsidR="00517A03" w:rsidRPr="00567F65" w:rsidRDefault="00517A03" w:rsidP="00A5280F">
            <w:pPr>
              <w:tabs>
                <w:tab w:val="left" w:pos="4111"/>
              </w:tabs>
              <w:spacing w:before="0"/>
              <w:rPr>
                <w:sz w:val="22"/>
                <w:szCs w:val="22"/>
              </w:rPr>
            </w:pPr>
            <w:proofErr w:type="gramStart"/>
            <w:r w:rsidRPr="00567F65">
              <w:rPr>
                <w:b/>
                <w:sz w:val="22"/>
                <w:szCs w:val="22"/>
              </w:rPr>
              <w:t>Copie</w:t>
            </w:r>
            <w:r w:rsidRPr="00567F65">
              <w:rPr>
                <w:sz w:val="22"/>
                <w:szCs w:val="22"/>
              </w:rPr>
              <w:t>:</w:t>
            </w:r>
            <w:proofErr w:type="gramEnd"/>
          </w:p>
          <w:p w14:paraId="5DC34079" w14:textId="516E7ECD" w:rsidR="00517A03" w:rsidRPr="00567F65" w:rsidRDefault="00517A03" w:rsidP="00CF539A">
            <w:pPr>
              <w:tabs>
                <w:tab w:val="clear" w:pos="794"/>
                <w:tab w:val="left" w:pos="226"/>
                <w:tab w:val="left" w:pos="4111"/>
              </w:tabs>
              <w:spacing w:before="0"/>
              <w:ind w:left="226" w:hanging="226"/>
              <w:rPr>
                <w:sz w:val="22"/>
                <w:szCs w:val="22"/>
              </w:rPr>
            </w:pPr>
            <w:r w:rsidRPr="00567F65">
              <w:rPr>
                <w:sz w:val="22"/>
                <w:szCs w:val="22"/>
              </w:rPr>
              <w:t>-</w:t>
            </w:r>
            <w:r w:rsidRPr="00567F65">
              <w:rPr>
                <w:sz w:val="22"/>
                <w:szCs w:val="22"/>
              </w:rPr>
              <w:tab/>
              <w:t>Aux Président et Vice-Présidents de</w:t>
            </w:r>
            <w:r w:rsidR="00732EAD" w:rsidRPr="00567F65">
              <w:rPr>
                <w:sz w:val="22"/>
                <w:szCs w:val="22"/>
              </w:rPr>
              <w:t xml:space="preserve">s </w:t>
            </w:r>
            <w:r w:rsidR="00046EDA" w:rsidRPr="00567F65">
              <w:rPr>
                <w:sz w:val="22"/>
                <w:szCs w:val="22"/>
              </w:rPr>
              <w:t>C</w:t>
            </w:r>
            <w:r w:rsidRPr="00567F65">
              <w:rPr>
                <w:sz w:val="22"/>
                <w:szCs w:val="22"/>
              </w:rPr>
              <w:t>ommission</w:t>
            </w:r>
            <w:r w:rsidR="00732EAD" w:rsidRPr="00567F65">
              <w:rPr>
                <w:sz w:val="22"/>
                <w:szCs w:val="22"/>
              </w:rPr>
              <w:t>s</w:t>
            </w:r>
            <w:r w:rsidRPr="00567F65">
              <w:rPr>
                <w:sz w:val="22"/>
                <w:szCs w:val="22"/>
              </w:rPr>
              <w:t xml:space="preserve"> d</w:t>
            </w:r>
            <w:r w:rsidR="00167472" w:rsidRPr="00567F65">
              <w:rPr>
                <w:sz w:val="22"/>
                <w:szCs w:val="22"/>
              </w:rPr>
              <w:t>'</w:t>
            </w:r>
            <w:r w:rsidRPr="00567F65">
              <w:rPr>
                <w:sz w:val="22"/>
                <w:szCs w:val="22"/>
              </w:rPr>
              <w:t>études</w:t>
            </w:r>
            <w:r w:rsidR="00732EAD" w:rsidRPr="00567F65">
              <w:rPr>
                <w:sz w:val="22"/>
                <w:szCs w:val="22"/>
              </w:rPr>
              <w:t xml:space="preserve"> de l'UIT-</w:t>
            </w:r>
            <w:proofErr w:type="gramStart"/>
            <w:r w:rsidR="00732EAD" w:rsidRPr="00567F65">
              <w:rPr>
                <w:sz w:val="22"/>
                <w:szCs w:val="22"/>
              </w:rPr>
              <w:t>T</w:t>
            </w:r>
            <w:r w:rsidRPr="00567F65">
              <w:rPr>
                <w:sz w:val="22"/>
                <w:szCs w:val="22"/>
              </w:rPr>
              <w:t>;</w:t>
            </w:r>
            <w:proofErr w:type="gramEnd"/>
          </w:p>
          <w:p w14:paraId="268D502E" w14:textId="77777777" w:rsidR="00517A03" w:rsidRPr="00567F65" w:rsidRDefault="00517A03" w:rsidP="00A5280F">
            <w:pPr>
              <w:tabs>
                <w:tab w:val="clear" w:pos="794"/>
                <w:tab w:val="left" w:pos="226"/>
                <w:tab w:val="left" w:pos="4111"/>
              </w:tabs>
              <w:spacing w:before="0"/>
              <w:ind w:left="226" w:hanging="226"/>
              <w:rPr>
                <w:sz w:val="22"/>
                <w:szCs w:val="22"/>
              </w:rPr>
            </w:pPr>
            <w:r w:rsidRPr="00567F65">
              <w:rPr>
                <w:sz w:val="22"/>
                <w:szCs w:val="22"/>
              </w:rPr>
              <w:t>-</w:t>
            </w:r>
            <w:r w:rsidRPr="00567F65">
              <w:rPr>
                <w:sz w:val="22"/>
                <w:szCs w:val="22"/>
              </w:rPr>
              <w:tab/>
            </w:r>
            <w:r w:rsidR="00603470" w:rsidRPr="00567F65">
              <w:rPr>
                <w:sz w:val="22"/>
                <w:szCs w:val="22"/>
              </w:rPr>
              <w:t xml:space="preserve">A la Directrice </w:t>
            </w:r>
            <w:r w:rsidRPr="00567F65">
              <w:rPr>
                <w:sz w:val="22"/>
                <w:szCs w:val="22"/>
              </w:rPr>
              <w:t xml:space="preserve">du Bureau de développement des </w:t>
            </w:r>
            <w:proofErr w:type="gramStart"/>
            <w:r w:rsidRPr="00567F65">
              <w:rPr>
                <w:sz w:val="22"/>
                <w:szCs w:val="22"/>
              </w:rPr>
              <w:t>télécommunications;</w:t>
            </w:r>
            <w:proofErr w:type="gramEnd"/>
          </w:p>
          <w:p w14:paraId="1649AF9C" w14:textId="18E7BA5F" w:rsidR="00517A03" w:rsidRPr="00567F65" w:rsidRDefault="00517A03" w:rsidP="00A5280F">
            <w:pPr>
              <w:tabs>
                <w:tab w:val="clear" w:pos="794"/>
                <w:tab w:val="left" w:pos="226"/>
                <w:tab w:val="left" w:pos="4111"/>
              </w:tabs>
              <w:spacing w:before="0"/>
              <w:ind w:left="226" w:hanging="226"/>
              <w:rPr>
                <w:sz w:val="22"/>
                <w:szCs w:val="22"/>
              </w:rPr>
            </w:pPr>
            <w:r w:rsidRPr="00567F65">
              <w:rPr>
                <w:sz w:val="22"/>
                <w:szCs w:val="22"/>
              </w:rPr>
              <w:t>-</w:t>
            </w:r>
            <w:r w:rsidRPr="00567F65">
              <w:rPr>
                <w:sz w:val="22"/>
                <w:szCs w:val="22"/>
              </w:rPr>
              <w:tab/>
              <w:t>Au Directeur du Bureau des</w:t>
            </w:r>
            <w:r w:rsidR="00CF539A" w:rsidRPr="00567F65">
              <w:rPr>
                <w:sz w:val="22"/>
                <w:szCs w:val="22"/>
              </w:rPr>
              <w:t xml:space="preserve"> </w:t>
            </w:r>
            <w:r w:rsidRPr="00567F65">
              <w:rPr>
                <w:sz w:val="22"/>
                <w:szCs w:val="22"/>
              </w:rPr>
              <w:t>radiocommunications</w:t>
            </w:r>
          </w:p>
        </w:tc>
      </w:tr>
      <w:tr w:rsidR="00517A03" w:rsidRPr="00567F65" w14:paraId="2355376B" w14:textId="77777777" w:rsidTr="003B21F5">
        <w:trPr>
          <w:gridBefore w:val="1"/>
          <w:gridAfter w:val="1"/>
          <w:wBefore w:w="9" w:type="dxa"/>
          <w:wAfter w:w="12" w:type="dxa"/>
          <w:cantSplit/>
          <w:trHeight w:val="680"/>
        </w:trPr>
        <w:tc>
          <w:tcPr>
            <w:tcW w:w="1267" w:type="dxa"/>
          </w:tcPr>
          <w:p w14:paraId="47DFFDBD" w14:textId="77777777" w:rsidR="00517A03" w:rsidRPr="00567F65" w:rsidRDefault="00517A03" w:rsidP="003B21F5">
            <w:pPr>
              <w:tabs>
                <w:tab w:val="left" w:pos="4111"/>
              </w:tabs>
              <w:ind w:left="57"/>
              <w:rPr>
                <w:b/>
                <w:bCs/>
                <w:sz w:val="22"/>
                <w:szCs w:val="22"/>
              </w:rPr>
            </w:pPr>
            <w:proofErr w:type="gramStart"/>
            <w:r w:rsidRPr="00567F65">
              <w:rPr>
                <w:b/>
                <w:bCs/>
                <w:sz w:val="22"/>
                <w:szCs w:val="22"/>
              </w:rPr>
              <w:t>Objet:</w:t>
            </w:r>
            <w:proofErr w:type="gramEnd"/>
          </w:p>
        </w:tc>
        <w:tc>
          <w:tcPr>
            <w:tcW w:w="8668" w:type="dxa"/>
            <w:gridSpan w:val="5"/>
          </w:tcPr>
          <w:p w14:paraId="7716089C" w14:textId="60820FD0" w:rsidR="00517A03" w:rsidRPr="00567F65" w:rsidRDefault="00CF539A" w:rsidP="003B21F5">
            <w:pPr>
              <w:tabs>
                <w:tab w:val="left" w:pos="4111"/>
              </w:tabs>
              <w:ind w:left="57"/>
              <w:rPr>
                <w:b/>
                <w:bCs/>
                <w:sz w:val="22"/>
                <w:szCs w:val="22"/>
              </w:rPr>
            </w:pPr>
            <w:r w:rsidRPr="00567F65">
              <w:rPr>
                <w:b/>
                <w:bCs/>
                <w:sz w:val="22"/>
                <w:szCs w:val="22"/>
              </w:rPr>
              <w:t>14ème Colloque sur les TIC, l'environnement, les changements climatiques et l'économie circulaire (Rome, Italie, 25 octobre 2022)</w:t>
            </w:r>
          </w:p>
        </w:tc>
      </w:tr>
    </w:tbl>
    <w:p w14:paraId="173BC955" w14:textId="77777777" w:rsidR="00517A03" w:rsidRPr="00567F65" w:rsidRDefault="00517A03" w:rsidP="003B21F5">
      <w:pPr>
        <w:spacing w:before="240"/>
        <w:rPr>
          <w:sz w:val="22"/>
          <w:szCs w:val="22"/>
        </w:rPr>
      </w:pPr>
      <w:bookmarkStart w:id="1" w:name="StartTyping_F"/>
      <w:bookmarkEnd w:id="1"/>
      <w:r w:rsidRPr="00567F65">
        <w:rPr>
          <w:sz w:val="22"/>
          <w:szCs w:val="22"/>
        </w:rPr>
        <w:t>Madame, Monsieur,</w:t>
      </w:r>
    </w:p>
    <w:p w14:paraId="61D56A0C" w14:textId="7F9A72E9" w:rsidR="00AA6FD4" w:rsidRPr="00567F65" w:rsidRDefault="00AA6FD4" w:rsidP="00AA6FD4">
      <w:pPr>
        <w:tabs>
          <w:tab w:val="left" w:pos="567"/>
        </w:tabs>
        <w:rPr>
          <w:sz w:val="22"/>
          <w:szCs w:val="22"/>
        </w:rPr>
      </w:pPr>
      <w:r w:rsidRPr="00567F65">
        <w:rPr>
          <w:bCs/>
          <w:sz w:val="22"/>
          <w:szCs w:val="22"/>
        </w:rPr>
        <w:t>1</w:t>
      </w:r>
      <w:r w:rsidRPr="00567F65">
        <w:rPr>
          <w:sz w:val="22"/>
          <w:szCs w:val="22"/>
        </w:rPr>
        <w:tab/>
        <w:t>J'ai l'honneur de vous informer que l'Union internationale des télécommunications (UIT), aux côtés du Ministère du développement économique de l'Italie et de l'Université "Tor Vergata" de</w:t>
      </w:r>
      <w:r w:rsidR="00D071FF" w:rsidRPr="00567F65">
        <w:rPr>
          <w:sz w:val="22"/>
          <w:szCs w:val="22"/>
        </w:rPr>
        <w:t> </w:t>
      </w:r>
      <w:r w:rsidRPr="00567F65">
        <w:rPr>
          <w:sz w:val="22"/>
          <w:szCs w:val="22"/>
        </w:rPr>
        <w:t xml:space="preserve">Rome, organise le </w:t>
      </w:r>
      <w:r w:rsidRPr="00567F65">
        <w:rPr>
          <w:b/>
          <w:bCs/>
          <w:sz w:val="22"/>
          <w:szCs w:val="22"/>
        </w:rPr>
        <w:t>14ème Colloque sur les TIC, l'environnement, les changements climatiques et l'économie circulaire</w:t>
      </w:r>
      <w:r w:rsidRPr="00567F65">
        <w:rPr>
          <w:sz w:val="22"/>
          <w:szCs w:val="22"/>
        </w:rPr>
        <w:t xml:space="preserve">, qui se déroulera le </w:t>
      </w:r>
      <w:r w:rsidRPr="00567F65">
        <w:rPr>
          <w:b/>
          <w:bCs/>
          <w:sz w:val="22"/>
          <w:szCs w:val="22"/>
        </w:rPr>
        <w:t>25 octobre 2022 à Rome (Italie)</w:t>
      </w:r>
      <w:r w:rsidRPr="00567F65">
        <w:rPr>
          <w:sz w:val="22"/>
          <w:szCs w:val="22"/>
        </w:rPr>
        <w:t xml:space="preserve">. Cette année, le Colloque aura pour thème "Transformation numérique </w:t>
      </w:r>
      <w:proofErr w:type="gramStart"/>
      <w:r w:rsidRPr="00567F65">
        <w:rPr>
          <w:sz w:val="22"/>
          <w:szCs w:val="22"/>
        </w:rPr>
        <w:t>durable:</w:t>
      </w:r>
      <w:proofErr w:type="gramEnd"/>
      <w:r w:rsidRPr="00567F65">
        <w:rPr>
          <w:sz w:val="22"/>
          <w:szCs w:val="22"/>
        </w:rPr>
        <w:t xml:space="preserve"> le rôle des TIC et des technologies numériques pour parvenir à la neutralité carbone".</w:t>
      </w:r>
    </w:p>
    <w:p w14:paraId="53522786" w14:textId="791F1A77" w:rsidR="00AA6FD4" w:rsidRPr="00567F65" w:rsidRDefault="00AA6FD4" w:rsidP="00AA6FD4">
      <w:pPr>
        <w:rPr>
          <w:sz w:val="22"/>
          <w:szCs w:val="22"/>
        </w:rPr>
      </w:pPr>
      <w:r w:rsidRPr="00567F65">
        <w:rPr>
          <w:sz w:val="22"/>
          <w:szCs w:val="22"/>
        </w:rPr>
        <w:t xml:space="preserve">Ce Colloque se tiendra en parallèle de la prochaine réunion de la </w:t>
      </w:r>
      <w:hyperlink r:id="rId10" w:history="1">
        <w:r w:rsidRPr="00567F65">
          <w:rPr>
            <w:rStyle w:val="Hyperlink"/>
            <w:sz w:val="22"/>
            <w:szCs w:val="22"/>
          </w:rPr>
          <w:t>Commission d'études 5 de l'UIT</w:t>
        </w:r>
        <w:r w:rsidRPr="00567F65">
          <w:rPr>
            <w:rStyle w:val="Hyperlink"/>
            <w:sz w:val="22"/>
            <w:szCs w:val="22"/>
          </w:rPr>
          <w:noBreakHyphen/>
          <w:t>T</w:t>
        </w:r>
      </w:hyperlink>
      <w:r w:rsidRPr="00567F65">
        <w:rPr>
          <w:sz w:val="22"/>
          <w:szCs w:val="22"/>
        </w:rPr>
        <w:t xml:space="preserve"> (Environnement, changements climatiques et économie circulaire), qui aura lieu du </w:t>
      </w:r>
      <w:r w:rsidRPr="00567F65">
        <w:rPr>
          <w:b/>
          <w:bCs/>
          <w:sz w:val="22"/>
          <w:szCs w:val="22"/>
        </w:rPr>
        <w:t>17</w:t>
      </w:r>
      <w:r w:rsidR="00D071FF" w:rsidRPr="00567F65">
        <w:rPr>
          <w:b/>
          <w:bCs/>
          <w:sz w:val="22"/>
          <w:szCs w:val="22"/>
        </w:rPr>
        <w:t> </w:t>
      </w:r>
      <w:r w:rsidRPr="00567F65">
        <w:rPr>
          <w:b/>
          <w:bCs/>
          <w:sz w:val="22"/>
          <w:szCs w:val="22"/>
        </w:rPr>
        <w:t>au 27 octobre 2022.</w:t>
      </w:r>
    </w:p>
    <w:p w14:paraId="11C31F5E" w14:textId="77777777" w:rsidR="00AA6FD4" w:rsidRPr="00567F65" w:rsidRDefault="00AA6FD4" w:rsidP="00AA6FD4">
      <w:pPr>
        <w:tabs>
          <w:tab w:val="left" w:pos="567"/>
        </w:tabs>
        <w:rPr>
          <w:sz w:val="22"/>
          <w:szCs w:val="22"/>
        </w:rPr>
      </w:pPr>
      <w:r w:rsidRPr="00567F65">
        <w:rPr>
          <w:bCs/>
          <w:sz w:val="22"/>
          <w:szCs w:val="22"/>
        </w:rPr>
        <w:t>2</w:t>
      </w:r>
      <w:r w:rsidRPr="00567F65">
        <w:rPr>
          <w:sz w:val="22"/>
          <w:szCs w:val="22"/>
        </w:rPr>
        <w:tab/>
        <w:t>Ce Colloque aura lieu en anglais seulement. Il sera possible d'y participer à distance.</w:t>
      </w:r>
    </w:p>
    <w:p w14:paraId="05970AE8" w14:textId="70115813" w:rsidR="00AA6FD4" w:rsidRPr="00567F65" w:rsidRDefault="00AA6FD4" w:rsidP="00AA6FD4">
      <w:pPr>
        <w:tabs>
          <w:tab w:val="left" w:pos="567"/>
        </w:tabs>
        <w:rPr>
          <w:sz w:val="22"/>
          <w:szCs w:val="22"/>
        </w:rPr>
      </w:pPr>
      <w:r w:rsidRPr="00567F65">
        <w:rPr>
          <w:sz w:val="22"/>
          <w:szCs w:val="22"/>
        </w:rPr>
        <w:t>3</w:t>
      </w:r>
      <w:r w:rsidRPr="00567F65">
        <w:rPr>
          <w:sz w:val="22"/>
          <w:szCs w:val="22"/>
        </w:rPr>
        <w:tab/>
        <w:t xml:space="preserve">La participation au Colloque est ouverte aux États Membres de l'UIT, aux Membres de Secteur, aux Associés de l'UIT, aux établissements universitaires participant aux travaux de l'UIT ainsi qu'à toute personne issue d'un pays Membre de l'UIT qui souhaite contribuer aux travaux. </w:t>
      </w:r>
      <w:r w:rsidRPr="00567F65">
        <w:rPr>
          <w:color w:val="000000"/>
          <w:sz w:val="22"/>
          <w:szCs w:val="22"/>
        </w:rPr>
        <w:t>Il peut s'agir de personnes qui sont aussi membres d'organisations internationales, régionales ou nationales. La participation au Colloque est gratuite.</w:t>
      </w:r>
    </w:p>
    <w:p w14:paraId="7C313A23" w14:textId="75C71B57" w:rsidR="00AA6FD4" w:rsidRPr="00567F65" w:rsidRDefault="00AA6FD4" w:rsidP="00AA6FD4">
      <w:pPr>
        <w:tabs>
          <w:tab w:val="left" w:pos="567"/>
        </w:tabs>
        <w:rPr>
          <w:sz w:val="22"/>
          <w:szCs w:val="22"/>
        </w:rPr>
      </w:pPr>
      <w:r w:rsidRPr="00567F65">
        <w:rPr>
          <w:sz w:val="22"/>
          <w:szCs w:val="22"/>
        </w:rPr>
        <w:t>4</w:t>
      </w:r>
      <w:r w:rsidRPr="00567F65">
        <w:rPr>
          <w:sz w:val="22"/>
          <w:szCs w:val="22"/>
        </w:rPr>
        <w:tab/>
        <w:t>L'objectif du Colloque est de mettre en évidence le rôle essentiel que jouent les technologies de l'information et de la communication et les technologies numériques pour permettre des solutions innovantes favorisant une transformation numérique durable à l'échelle mondiale.</w:t>
      </w:r>
    </w:p>
    <w:p w14:paraId="07905258" w14:textId="7270D462" w:rsidR="00AA6FD4" w:rsidRPr="00567F65" w:rsidRDefault="00AA6FD4" w:rsidP="00AA6FD4">
      <w:pPr>
        <w:tabs>
          <w:tab w:val="left" w:pos="567"/>
        </w:tabs>
        <w:rPr>
          <w:sz w:val="22"/>
          <w:szCs w:val="22"/>
        </w:rPr>
      </w:pPr>
      <w:r w:rsidRPr="00567F65">
        <w:rPr>
          <w:sz w:val="22"/>
          <w:szCs w:val="22"/>
        </w:rPr>
        <w:t>5</w:t>
      </w:r>
      <w:r w:rsidRPr="00567F65">
        <w:rPr>
          <w:sz w:val="22"/>
          <w:szCs w:val="22"/>
        </w:rPr>
        <w:tab/>
        <w:t xml:space="preserve">Toutes les renseignements utiles concernant la manifestation (c'est-à-dire le programme provisoire, la liste des intervenants, le lien pour les inscriptions et les informations concernant la connexion à distance), seront publiés sur le site web de la manifestation, à l'adresse </w:t>
      </w:r>
      <w:proofErr w:type="gramStart"/>
      <w:r w:rsidRPr="00567F65">
        <w:rPr>
          <w:sz w:val="22"/>
          <w:szCs w:val="22"/>
        </w:rPr>
        <w:t>suivante:</w:t>
      </w:r>
      <w:proofErr w:type="gramEnd"/>
      <w:r w:rsidRPr="00567F65">
        <w:rPr>
          <w:sz w:val="22"/>
          <w:szCs w:val="22"/>
        </w:rPr>
        <w:t xml:space="preserve"> </w:t>
      </w:r>
      <w:hyperlink r:id="rId11" w:history="1">
        <w:r w:rsidRPr="00567F65">
          <w:rPr>
            <w:rStyle w:val="Hyperlink"/>
            <w:sz w:val="22"/>
            <w:szCs w:val="22"/>
          </w:rPr>
          <w:t>https://www.itu.int/en/ITU-T/climatechange/symposia/202210/Pages/default.aspx</w:t>
        </w:r>
      </w:hyperlink>
      <w:r w:rsidRPr="00567F65">
        <w:rPr>
          <w:sz w:val="22"/>
          <w:szCs w:val="22"/>
        </w:rPr>
        <w:t>.</w:t>
      </w:r>
    </w:p>
    <w:p w14:paraId="46B3B6BC" w14:textId="6D90B680" w:rsidR="00AA6FD4" w:rsidRPr="00567F65" w:rsidRDefault="00AA6FD4" w:rsidP="00AA6FD4">
      <w:pPr>
        <w:tabs>
          <w:tab w:val="left" w:pos="567"/>
        </w:tabs>
        <w:rPr>
          <w:sz w:val="22"/>
          <w:szCs w:val="22"/>
        </w:rPr>
      </w:pPr>
      <w:r w:rsidRPr="00567F65">
        <w:rPr>
          <w:sz w:val="22"/>
          <w:szCs w:val="22"/>
        </w:rPr>
        <w:t>Ce site web sera mis à jour périodiquement à mesure que parviendront des informations nouvelles ou modifiées. Les participants sont encouragés à consulter régulièrement le site web pour prendre connaissances des données les plus récentes.</w:t>
      </w:r>
    </w:p>
    <w:p w14:paraId="7776300C" w14:textId="63B632ED" w:rsidR="00AA6FD4" w:rsidRPr="00567F65" w:rsidRDefault="00AA6FD4" w:rsidP="00AA6FD4">
      <w:pPr>
        <w:tabs>
          <w:tab w:val="left" w:pos="567"/>
        </w:tabs>
        <w:rPr>
          <w:b/>
          <w:bCs/>
          <w:sz w:val="22"/>
          <w:szCs w:val="22"/>
        </w:rPr>
      </w:pPr>
      <w:r w:rsidRPr="00567F65">
        <w:rPr>
          <w:sz w:val="22"/>
          <w:szCs w:val="22"/>
        </w:rPr>
        <w:t>6</w:t>
      </w:r>
      <w:r w:rsidRPr="00567F65">
        <w:rPr>
          <w:sz w:val="22"/>
          <w:szCs w:val="22"/>
        </w:rPr>
        <w:tab/>
        <w:t xml:space="preserve">Afin de permettre à l'UIT de prendre les dispositions nécessaires concernant l'organisation du Colloque, nous vous saurions gré de bien vouloir vous inscrire au moyen du </w:t>
      </w:r>
      <w:hyperlink r:id="rId12" w:history="1">
        <w:r w:rsidRPr="00567F65">
          <w:rPr>
            <w:rStyle w:val="Hyperlink"/>
            <w:sz w:val="22"/>
            <w:szCs w:val="22"/>
          </w:rPr>
          <w:t>formulaire en ligne</w:t>
        </w:r>
      </w:hyperlink>
      <w:r w:rsidRPr="00567F65">
        <w:rPr>
          <w:sz w:val="22"/>
          <w:szCs w:val="22"/>
        </w:rPr>
        <w:t xml:space="preserve"> dès que possible, et </w:t>
      </w:r>
      <w:r w:rsidRPr="00567F65">
        <w:rPr>
          <w:b/>
          <w:bCs/>
          <w:sz w:val="22"/>
          <w:szCs w:val="22"/>
        </w:rPr>
        <w:t>au plus tard le 12 octobre 2022</w:t>
      </w:r>
      <w:r w:rsidRPr="00567F65">
        <w:rPr>
          <w:sz w:val="22"/>
          <w:szCs w:val="22"/>
        </w:rPr>
        <w:t xml:space="preserve">. </w:t>
      </w:r>
      <w:r w:rsidRPr="00567F65">
        <w:rPr>
          <w:b/>
          <w:bCs/>
          <w:sz w:val="22"/>
          <w:szCs w:val="22"/>
        </w:rPr>
        <w:t xml:space="preserve">Veuillez noter que l'inscription préalable des participants au Colloque est obligatoire et se fait exclusivement </w:t>
      </w:r>
      <w:r w:rsidRPr="00567F65">
        <w:rPr>
          <w:b/>
          <w:bCs/>
          <w:i/>
          <w:iCs/>
          <w:sz w:val="22"/>
          <w:szCs w:val="22"/>
        </w:rPr>
        <w:t>en ligne</w:t>
      </w:r>
      <w:r w:rsidRPr="00567F65">
        <w:rPr>
          <w:sz w:val="22"/>
          <w:szCs w:val="22"/>
        </w:rPr>
        <w:t>.</w:t>
      </w:r>
    </w:p>
    <w:p w14:paraId="147E7C84" w14:textId="786F6250" w:rsidR="00036F4F" w:rsidRPr="00567F65" w:rsidRDefault="00AA6FD4" w:rsidP="00AA6FD4">
      <w:pPr>
        <w:tabs>
          <w:tab w:val="left" w:pos="567"/>
        </w:tabs>
        <w:rPr>
          <w:sz w:val="22"/>
          <w:szCs w:val="22"/>
        </w:rPr>
      </w:pPr>
      <w:r w:rsidRPr="00567F65">
        <w:rPr>
          <w:sz w:val="22"/>
          <w:szCs w:val="22"/>
        </w:rPr>
        <w:lastRenderedPageBreak/>
        <w:t>7</w:t>
      </w:r>
      <w:r w:rsidRPr="00567F65">
        <w:rPr>
          <w:sz w:val="22"/>
          <w:szCs w:val="22"/>
        </w:rPr>
        <w:tab/>
        <w:t xml:space="preserve">Nous vous rappelons que, pour les ressortissants de certains pays, l'entrée et le séjour en Italie, quelle qu'en soit la durée, sont soumis à l'obtention d'un visa. </w:t>
      </w:r>
      <w:r w:rsidRPr="00567F65">
        <w:rPr>
          <w:color w:val="000000"/>
          <w:sz w:val="22"/>
          <w:szCs w:val="22"/>
        </w:rPr>
        <w:t>Ce visa doit être demandé</w:t>
      </w:r>
      <w:r w:rsidRPr="00567F65">
        <w:rPr>
          <w:b/>
          <w:bCs/>
          <w:color w:val="000000"/>
          <w:sz w:val="22"/>
          <w:szCs w:val="22"/>
        </w:rPr>
        <w:t xml:space="preserve"> </w:t>
      </w:r>
      <w:r w:rsidRPr="00567F65">
        <w:rPr>
          <w:color w:val="000000"/>
          <w:sz w:val="22"/>
          <w:szCs w:val="22"/>
        </w:rPr>
        <w:t xml:space="preserve">et obtenu auprès de </w:t>
      </w:r>
      <w:r w:rsidRPr="00567F65">
        <w:rPr>
          <w:sz w:val="22"/>
          <w:szCs w:val="22"/>
        </w:rPr>
        <w:t>la représentation de l'Italie (ambassade ou consulat) dans votre pays ou, à défaut, dans le pays le plus proche de votre pays de départ. Les demandes d'assistance pour l'obtention d'un visa doivent être adressées directement à l'organisme hôte. On trouvera des instructions dans la rubrique "informations pratiques" sur le site web de la manifestation.</w:t>
      </w:r>
    </w:p>
    <w:p w14:paraId="537B8914" w14:textId="09C445A9" w:rsidR="00BD6ECF" w:rsidRPr="00567F65" w:rsidRDefault="00517A03" w:rsidP="00BD6ECF">
      <w:pPr>
        <w:rPr>
          <w:sz w:val="22"/>
          <w:szCs w:val="22"/>
        </w:rPr>
      </w:pPr>
      <w:r w:rsidRPr="00567F65">
        <w:rPr>
          <w:sz w:val="22"/>
          <w:szCs w:val="22"/>
        </w:rPr>
        <w:t>Veuillez agréer, Madame, Monsieur, l</w:t>
      </w:r>
      <w:r w:rsidR="00167472" w:rsidRPr="00567F65">
        <w:rPr>
          <w:sz w:val="22"/>
          <w:szCs w:val="22"/>
        </w:rPr>
        <w:t>'</w:t>
      </w:r>
      <w:r w:rsidRPr="00567F65">
        <w:rPr>
          <w:sz w:val="22"/>
          <w:szCs w:val="22"/>
        </w:rPr>
        <w:t>assurance de ma haute considération.</w:t>
      </w:r>
    </w:p>
    <w:p w14:paraId="3FED31D6" w14:textId="49B12761" w:rsidR="00517A03" w:rsidRPr="00567F65" w:rsidRDefault="007A6CF3" w:rsidP="00136989">
      <w:pPr>
        <w:keepNext/>
        <w:keepLines/>
        <w:spacing w:before="960"/>
        <w:ind w:right="-284"/>
        <w:rPr>
          <w:sz w:val="22"/>
          <w:szCs w:val="22"/>
        </w:rPr>
      </w:pPr>
      <w:r>
        <w:rPr>
          <w:noProof/>
          <w:sz w:val="22"/>
          <w:szCs w:val="22"/>
        </w:rPr>
        <w:drawing>
          <wp:anchor distT="0" distB="0" distL="114300" distR="114300" simplePos="0" relativeHeight="251658240" behindDoc="1" locked="0" layoutInCell="1" allowOverlap="1" wp14:anchorId="1BFA3D47" wp14:editId="3E583DE6">
            <wp:simplePos x="0" y="0"/>
            <wp:positionH relativeFrom="column">
              <wp:posOffset>636</wp:posOffset>
            </wp:positionH>
            <wp:positionV relativeFrom="paragraph">
              <wp:posOffset>80010</wp:posOffset>
            </wp:positionV>
            <wp:extent cx="546100" cy="409575"/>
            <wp:effectExtent l="0" t="0" r="6350"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6920" cy="410190"/>
                    </a:xfrm>
                    <a:prstGeom prst="rect">
                      <a:avLst/>
                    </a:prstGeom>
                  </pic:spPr>
                </pic:pic>
              </a:graphicData>
            </a:graphic>
            <wp14:sizeRelH relativeFrom="margin">
              <wp14:pctWidth>0</wp14:pctWidth>
            </wp14:sizeRelH>
            <wp14:sizeRelV relativeFrom="margin">
              <wp14:pctHeight>0</wp14:pctHeight>
            </wp14:sizeRelV>
          </wp:anchor>
        </w:drawing>
      </w:r>
      <w:r w:rsidR="00036F4F" w:rsidRPr="00567F65">
        <w:rPr>
          <w:sz w:val="22"/>
          <w:szCs w:val="22"/>
        </w:rPr>
        <w:t>Chaesub Lee</w:t>
      </w:r>
      <w:r w:rsidR="00036F4F" w:rsidRPr="00567F65">
        <w:rPr>
          <w:sz w:val="22"/>
          <w:szCs w:val="22"/>
        </w:rPr>
        <w:br/>
        <w:t xml:space="preserve">Directeur du Bureau de la normalisation </w:t>
      </w:r>
      <w:r w:rsidR="00036F4F" w:rsidRPr="00567F65">
        <w:rPr>
          <w:sz w:val="22"/>
          <w:szCs w:val="22"/>
        </w:rPr>
        <w:br/>
        <w:t>des télécommunications</w:t>
      </w:r>
    </w:p>
    <w:sectPr w:rsidR="00517A03" w:rsidRPr="00567F65"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9939" w14:textId="77777777" w:rsidR="00795F19" w:rsidRDefault="00795F19">
      <w:r>
        <w:separator/>
      </w:r>
    </w:p>
  </w:endnote>
  <w:endnote w:type="continuationSeparator" w:id="0">
    <w:p w14:paraId="73C6E633" w14:textId="77777777" w:rsidR="00795F19" w:rsidRDefault="007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C96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6BC9" w14:textId="77777777" w:rsidR="00795F19" w:rsidRDefault="00795F19">
      <w:r>
        <w:t>____________________</w:t>
      </w:r>
    </w:p>
  </w:footnote>
  <w:footnote w:type="continuationSeparator" w:id="0">
    <w:p w14:paraId="46C71C68" w14:textId="77777777" w:rsidR="00795F19" w:rsidRDefault="0079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AEE6" w14:textId="3A6E8012" w:rsidR="00697BC1" w:rsidRPr="00567F65" w:rsidRDefault="007A6CF3" w:rsidP="00697BC1">
    <w:pPr>
      <w:pStyle w:val="Header"/>
      <w:rPr>
        <w:noProof/>
        <w:sz w:val="18"/>
        <w:szCs w:val="18"/>
      </w:rPr>
    </w:pPr>
    <w:sdt>
      <w:sdtPr>
        <w:rPr>
          <w:sz w:val="18"/>
          <w:szCs w:val="18"/>
        </w:rPr>
        <w:id w:val="526448189"/>
        <w:docPartObj>
          <w:docPartGallery w:val="Page Numbers (Top of Page)"/>
          <w:docPartUnique/>
        </w:docPartObj>
      </w:sdtPr>
      <w:sdtEndPr>
        <w:rPr>
          <w:noProof/>
        </w:rPr>
      </w:sdtEndPr>
      <w:sdtContent>
        <w:r w:rsidR="005120A2" w:rsidRPr="00567F65">
          <w:rPr>
            <w:sz w:val="18"/>
            <w:szCs w:val="18"/>
          </w:rPr>
          <w:t>-</w:t>
        </w:r>
        <w:r w:rsidR="00697BC1" w:rsidRPr="00567F65">
          <w:rPr>
            <w:sz w:val="18"/>
            <w:szCs w:val="18"/>
          </w:rPr>
          <w:t xml:space="preserve"> </w:t>
        </w:r>
        <w:r w:rsidR="00697BC1" w:rsidRPr="00567F65">
          <w:rPr>
            <w:sz w:val="18"/>
            <w:szCs w:val="18"/>
          </w:rPr>
          <w:fldChar w:fldCharType="begin"/>
        </w:r>
        <w:r w:rsidR="00697BC1" w:rsidRPr="00567F65">
          <w:rPr>
            <w:sz w:val="18"/>
            <w:szCs w:val="18"/>
          </w:rPr>
          <w:instrText xml:space="preserve"> PAGE   \* MERGEFORMAT </w:instrText>
        </w:r>
        <w:r w:rsidR="00697BC1" w:rsidRPr="00567F65">
          <w:rPr>
            <w:sz w:val="18"/>
            <w:szCs w:val="18"/>
          </w:rPr>
          <w:fldChar w:fldCharType="separate"/>
        </w:r>
        <w:r w:rsidR="00036F4F" w:rsidRPr="00567F65">
          <w:rPr>
            <w:noProof/>
            <w:sz w:val="18"/>
            <w:szCs w:val="18"/>
          </w:rPr>
          <w:t>2</w:t>
        </w:r>
        <w:r w:rsidR="00697BC1" w:rsidRPr="00567F65">
          <w:rPr>
            <w:noProof/>
            <w:sz w:val="18"/>
            <w:szCs w:val="18"/>
          </w:rPr>
          <w:fldChar w:fldCharType="end"/>
        </w:r>
      </w:sdtContent>
    </w:sdt>
    <w:r w:rsidR="00697BC1" w:rsidRPr="00567F65">
      <w:rPr>
        <w:noProof/>
        <w:sz w:val="18"/>
        <w:szCs w:val="18"/>
      </w:rPr>
      <w:t xml:space="preserve"> </w:t>
    </w:r>
    <w:r w:rsidR="005120A2" w:rsidRPr="00567F65">
      <w:rPr>
        <w:noProof/>
        <w:sz w:val="18"/>
        <w:szCs w:val="18"/>
      </w:rPr>
      <w:t>-</w:t>
    </w:r>
  </w:p>
  <w:p w14:paraId="3C33FDB1" w14:textId="4824F50D" w:rsidR="00AA6FD4" w:rsidRPr="00567F65" w:rsidRDefault="00AA6FD4" w:rsidP="00697BC1">
    <w:pPr>
      <w:pStyle w:val="Header"/>
      <w:rPr>
        <w:sz w:val="18"/>
        <w:szCs w:val="18"/>
      </w:rPr>
    </w:pPr>
    <w:r w:rsidRPr="00567F65">
      <w:rPr>
        <w:noProof/>
        <w:sz w:val="18"/>
        <w:szCs w:val="18"/>
      </w:rPr>
      <w:t>Circulaire TSB 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1365492">
    <w:abstractNumId w:val="1"/>
  </w:num>
  <w:num w:numId="2" w16cid:durableId="784692327">
    <w:abstractNumId w:val="3"/>
  </w:num>
  <w:num w:numId="3" w16cid:durableId="844201176">
    <w:abstractNumId w:val="2"/>
  </w:num>
  <w:num w:numId="4" w16cid:durableId="209597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A"/>
    <w:rsid w:val="000039EE"/>
    <w:rsid w:val="00005622"/>
    <w:rsid w:val="0002519E"/>
    <w:rsid w:val="00035B43"/>
    <w:rsid w:val="00036F4F"/>
    <w:rsid w:val="00046EDA"/>
    <w:rsid w:val="000758B3"/>
    <w:rsid w:val="00085F5A"/>
    <w:rsid w:val="000B0D96"/>
    <w:rsid w:val="000B59D8"/>
    <w:rsid w:val="000C1F6B"/>
    <w:rsid w:val="000C25CC"/>
    <w:rsid w:val="000C56BE"/>
    <w:rsid w:val="001026FD"/>
    <w:rsid w:val="001077FD"/>
    <w:rsid w:val="00115DD7"/>
    <w:rsid w:val="001174B8"/>
    <w:rsid w:val="00136989"/>
    <w:rsid w:val="00167472"/>
    <w:rsid w:val="00167F92"/>
    <w:rsid w:val="00173738"/>
    <w:rsid w:val="001B79A3"/>
    <w:rsid w:val="002152A3"/>
    <w:rsid w:val="002E395D"/>
    <w:rsid w:val="003131F0"/>
    <w:rsid w:val="00333A80"/>
    <w:rsid w:val="00341117"/>
    <w:rsid w:val="00364E95"/>
    <w:rsid w:val="00372875"/>
    <w:rsid w:val="003B1E80"/>
    <w:rsid w:val="003B21F5"/>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67F65"/>
    <w:rsid w:val="005A3DD9"/>
    <w:rsid w:val="005B1DFC"/>
    <w:rsid w:val="005D146A"/>
    <w:rsid w:val="00601682"/>
    <w:rsid w:val="00603470"/>
    <w:rsid w:val="00625E79"/>
    <w:rsid w:val="006333F7"/>
    <w:rsid w:val="006427A1"/>
    <w:rsid w:val="00644741"/>
    <w:rsid w:val="00697BC1"/>
    <w:rsid w:val="006A6FFE"/>
    <w:rsid w:val="006C5A91"/>
    <w:rsid w:val="00716BBC"/>
    <w:rsid w:val="007321BC"/>
    <w:rsid w:val="00732EAD"/>
    <w:rsid w:val="00760063"/>
    <w:rsid w:val="00775E4B"/>
    <w:rsid w:val="0079553B"/>
    <w:rsid w:val="00795679"/>
    <w:rsid w:val="00795F19"/>
    <w:rsid w:val="007A40FE"/>
    <w:rsid w:val="007A6CF3"/>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A6FD4"/>
    <w:rsid w:val="00AC37B5"/>
    <w:rsid w:val="00AD752F"/>
    <w:rsid w:val="00AF08A4"/>
    <w:rsid w:val="00B27B41"/>
    <w:rsid w:val="00B42659"/>
    <w:rsid w:val="00B8573E"/>
    <w:rsid w:val="00BB24C0"/>
    <w:rsid w:val="00BD6ECF"/>
    <w:rsid w:val="00C26F2E"/>
    <w:rsid w:val="00C302E3"/>
    <w:rsid w:val="00C45376"/>
    <w:rsid w:val="00C9028F"/>
    <w:rsid w:val="00C95EBC"/>
    <w:rsid w:val="00CA0416"/>
    <w:rsid w:val="00CB1125"/>
    <w:rsid w:val="00CD042E"/>
    <w:rsid w:val="00CF2560"/>
    <w:rsid w:val="00CF539A"/>
    <w:rsid w:val="00CF5B46"/>
    <w:rsid w:val="00D071FF"/>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81AAC"/>
  <w15:docId w15:val="{2F3DF9EF-1AC1-495D-BED9-FB47B3E0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CF539A"/>
    <w:rPr>
      <w:color w:val="800080" w:themeColor="followedHyperlink"/>
      <w:u w:val="single"/>
    </w:rPr>
  </w:style>
  <w:style w:type="character" w:styleId="UnresolvedMention">
    <w:name w:val="Unresolved Mention"/>
    <w:basedOn w:val="DefaultParagraphFont"/>
    <w:uiPriority w:val="99"/>
    <w:semiHidden/>
    <w:unhideWhenUsed/>
    <w:rsid w:val="00CF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59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2210/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studygroups/2022-2024/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12</cp:revision>
  <cp:lastPrinted>2022-12-15T13:45:00Z</cp:lastPrinted>
  <dcterms:created xsi:type="dcterms:W3CDTF">2022-09-28T15:07:00Z</dcterms:created>
  <dcterms:modified xsi:type="dcterms:W3CDTF">2022-12-15T13:45:00Z</dcterms:modified>
</cp:coreProperties>
</file>