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4418BB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093167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3167">
              <w:rPr>
                <w:noProof/>
                <w:lang w:val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09316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9316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09316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316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09316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40D7C671" w:rsidR="001629DC" w:rsidRPr="00093167" w:rsidRDefault="001629DC" w:rsidP="00EE0F6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093167">
        <w:rPr>
          <w:lang w:val="ru-RU"/>
        </w:rPr>
        <w:tab/>
        <w:t>Женева,</w:t>
      </w:r>
      <w:r w:rsidR="00B54B88" w:rsidRPr="00093167">
        <w:rPr>
          <w:lang w:val="ru-RU"/>
        </w:rPr>
        <w:t xml:space="preserve"> </w:t>
      </w:r>
      <w:r w:rsidR="009E48E6" w:rsidRPr="00093167">
        <w:rPr>
          <w:lang w:val="ru-RU"/>
        </w:rPr>
        <w:t>2</w:t>
      </w:r>
      <w:r w:rsidR="00DC47ED" w:rsidRPr="00093167">
        <w:rPr>
          <w:lang w:val="ru-RU"/>
        </w:rPr>
        <w:t>8</w:t>
      </w:r>
      <w:r w:rsidR="004B1F5D" w:rsidRPr="00093167">
        <w:rPr>
          <w:lang w:val="ru-RU"/>
        </w:rPr>
        <w:t xml:space="preserve"> </w:t>
      </w:r>
      <w:r w:rsidR="00875ABA" w:rsidRPr="00093167">
        <w:rPr>
          <w:lang w:val="ru-RU"/>
        </w:rPr>
        <w:t>сентября</w:t>
      </w:r>
      <w:r w:rsidR="00DB6ECD" w:rsidRPr="00093167">
        <w:rPr>
          <w:lang w:val="ru-RU"/>
        </w:rPr>
        <w:t xml:space="preserve"> </w:t>
      </w:r>
      <w:r w:rsidR="00CD765A" w:rsidRPr="00093167">
        <w:rPr>
          <w:lang w:val="ru-RU"/>
        </w:rPr>
        <w:t>20</w:t>
      </w:r>
      <w:r w:rsidR="00DB6ECD" w:rsidRPr="00093167">
        <w:rPr>
          <w:lang w:val="ru-RU"/>
        </w:rPr>
        <w:t>2</w:t>
      </w:r>
      <w:r w:rsidR="00DC47ED" w:rsidRPr="00093167">
        <w:rPr>
          <w:lang w:val="ru-RU"/>
        </w:rPr>
        <w:t>2</w:t>
      </w:r>
      <w:r w:rsidR="007D4F1A" w:rsidRPr="00093167">
        <w:rPr>
          <w:lang w:val="ru-RU"/>
        </w:rPr>
        <w:t> </w:t>
      </w:r>
      <w:r w:rsidR="00A32FD5" w:rsidRPr="00093167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093167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093167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093167">
              <w:rPr>
                <w:b/>
                <w:bCs/>
                <w:lang w:val="ru-RU"/>
              </w:rPr>
              <w:t>Осн</w:t>
            </w:r>
            <w:proofErr w:type="spellEnd"/>
            <w:r w:rsidRPr="00093167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30E4A848" w:rsidR="001629DC" w:rsidRPr="00093167" w:rsidRDefault="001629DC" w:rsidP="00DC47ED">
            <w:pPr>
              <w:spacing w:before="0"/>
              <w:rPr>
                <w:lang w:val="ru-RU"/>
              </w:rPr>
            </w:pPr>
            <w:r w:rsidRPr="00093167">
              <w:rPr>
                <w:b/>
                <w:bCs/>
                <w:lang w:val="ru-RU"/>
              </w:rPr>
              <w:t xml:space="preserve">Циркуляр </w:t>
            </w:r>
            <w:r w:rsidR="00185945" w:rsidRPr="00093167">
              <w:rPr>
                <w:b/>
                <w:bCs/>
                <w:lang w:val="ru-RU"/>
              </w:rPr>
              <w:t>4</w:t>
            </w:r>
            <w:r w:rsidR="009E48E6" w:rsidRPr="00093167">
              <w:rPr>
                <w:b/>
                <w:bCs/>
                <w:lang w:val="ru-RU"/>
              </w:rPr>
              <w:t>2</w:t>
            </w:r>
            <w:r w:rsidRPr="00093167">
              <w:rPr>
                <w:b/>
                <w:bCs/>
                <w:lang w:val="ru-RU"/>
              </w:rPr>
              <w:t xml:space="preserve"> БСЭ</w:t>
            </w:r>
            <w:r w:rsidR="00867192" w:rsidRPr="00093167">
              <w:rPr>
                <w:b/>
                <w:bCs/>
                <w:lang w:val="ru-RU"/>
              </w:rPr>
              <w:br/>
            </w:r>
            <w:r w:rsidR="007D1544" w:rsidRPr="00093167">
              <w:rPr>
                <w:lang w:val="ru-RU"/>
              </w:rPr>
              <w:t>SG</w:t>
            </w:r>
            <w:r w:rsidR="007D6A7A" w:rsidRPr="00093167">
              <w:rPr>
                <w:lang w:val="ru-RU"/>
              </w:rPr>
              <w:t>17</w:t>
            </w:r>
            <w:r w:rsidR="007D1544" w:rsidRPr="00093167">
              <w:rPr>
                <w:lang w:val="ru-RU"/>
              </w:rPr>
              <w:t>/</w:t>
            </w:r>
            <w:r w:rsidR="007D6A7A" w:rsidRPr="00093167">
              <w:rPr>
                <w:lang w:val="ru-RU"/>
              </w:rPr>
              <w:t>XY</w:t>
            </w:r>
          </w:p>
        </w:tc>
        <w:tc>
          <w:tcPr>
            <w:tcW w:w="4809" w:type="dxa"/>
          </w:tcPr>
          <w:p w14:paraId="53D9B041" w14:textId="77777777" w:rsidR="008526FF" w:rsidRPr="00093167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3167">
              <w:rPr>
                <w:b/>
                <w:bCs/>
                <w:lang w:val="ru-RU"/>
              </w:rPr>
              <w:t>Кому</w:t>
            </w:r>
            <w:r w:rsidRPr="00093167">
              <w:rPr>
                <w:lang w:val="ru-RU"/>
              </w:rPr>
              <w:t>:</w:t>
            </w:r>
          </w:p>
          <w:p w14:paraId="614B8FEB" w14:textId="77777777" w:rsidR="001629DC" w:rsidRPr="0009316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3167">
              <w:rPr>
                <w:lang w:val="ru-RU"/>
              </w:rPr>
              <w:t>–</w:t>
            </w:r>
            <w:r w:rsidRPr="00093167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093167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4418BB" w14:paraId="75A5890E" w14:textId="77777777" w:rsidTr="00D4378F">
        <w:trPr>
          <w:cantSplit/>
        </w:trPr>
        <w:tc>
          <w:tcPr>
            <w:tcW w:w="1418" w:type="dxa"/>
          </w:tcPr>
          <w:p w14:paraId="2FDA310D" w14:textId="1BAA0BDF" w:rsidR="001629DC" w:rsidRPr="00093167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093167">
              <w:rPr>
                <w:b/>
                <w:bCs/>
                <w:lang w:val="ru-RU"/>
              </w:rPr>
              <w:t>Тел</w:t>
            </w:r>
            <w:r w:rsidRPr="00093167">
              <w:rPr>
                <w:lang w:val="ru-RU"/>
              </w:rPr>
              <w:t>.:</w:t>
            </w:r>
            <w:r w:rsidR="00867192" w:rsidRPr="00093167">
              <w:rPr>
                <w:lang w:val="ru-RU"/>
              </w:rPr>
              <w:br/>
            </w:r>
            <w:r w:rsidRPr="00093167">
              <w:rPr>
                <w:b/>
                <w:bCs/>
                <w:lang w:val="ru-RU"/>
              </w:rPr>
              <w:t>Факс</w:t>
            </w:r>
            <w:r w:rsidRPr="00093167">
              <w:rPr>
                <w:lang w:val="ru-RU"/>
              </w:rPr>
              <w:t>:</w:t>
            </w:r>
            <w:r w:rsidR="00867192" w:rsidRPr="00093167">
              <w:rPr>
                <w:lang w:val="ru-RU"/>
              </w:rPr>
              <w:br/>
            </w:r>
            <w:r w:rsidRPr="00093167">
              <w:rPr>
                <w:b/>
                <w:bCs/>
                <w:lang w:val="ru-RU"/>
              </w:rPr>
              <w:t>Эл. почта</w:t>
            </w:r>
            <w:r w:rsidRPr="00093167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559DCF4A" w:rsidR="001629DC" w:rsidRPr="00093167" w:rsidRDefault="00CC0BAF" w:rsidP="008526FF">
            <w:pPr>
              <w:spacing w:before="0"/>
              <w:rPr>
                <w:lang w:val="ru-RU"/>
              </w:rPr>
            </w:pPr>
            <w:r w:rsidRPr="00093167">
              <w:rPr>
                <w:lang w:val="ru-RU"/>
              </w:rPr>
              <w:t xml:space="preserve">+41 22 730 </w:t>
            </w:r>
            <w:r w:rsidR="00CD765A" w:rsidRPr="00093167">
              <w:rPr>
                <w:lang w:val="ru-RU"/>
              </w:rPr>
              <w:t>6</w:t>
            </w:r>
            <w:r w:rsidR="007D6A7A" w:rsidRPr="00093167">
              <w:rPr>
                <w:lang w:val="ru-RU"/>
              </w:rPr>
              <w:t>206</w:t>
            </w:r>
            <w:r w:rsidR="001629DC" w:rsidRPr="00093167">
              <w:rPr>
                <w:lang w:val="ru-RU"/>
              </w:rPr>
              <w:br/>
            </w:r>
            <w:r w:rsidR="007D1544" w:rsidRPr="00093167">
              <w:rPr>
                <w:lang w:val="ru-RU"/>
              </w:rPr>
              <w:t>+41 22 730 5853</w:t>
            </w:r>
            <w:r w:rsidR="00867192" w:rsidRPr="00093167">
              <w:rPr>
                <w:lang w:val="ru-RU"/>
              </w:rPr>
              <w:br/>
            </w:r>
            <w:hyperlink r:id="rId9" w:history="1">
              <w:r w:rsidR="007D6A7A" w:rsidRPr="00093167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09316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3167">
              <w:rPr>
                <w:b/>
                <w:bCs/>
                <w:lang w:val="ru-RU"/>
              </w:rPr>
              <w:t>Копии</w:t>
            </w:r>
            <w:r w:rsidRPr="00093167">
              <w:rPr>
                <w:lang w:val="ru-RU"/>
              </w:rPr>
              <w:t>:</w:t>
            </w:r>
          </w:p>
          <w:p w14:paraId="4F59247E" w14:textId="316864FA" w:rsidR="007D1544" w:rsidRPr="0009316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3167">
              <w:rPr>
                <w:lang w:val="ru-RU"/>
              </w:rPr>
              <w:t>–</w:t>
            </w:r>
            <w:r w:rsidRPr="00093167">
              <w:rPr>
                <w:lang w:val="ru-RU"/>
              </w:rPr>
              <w:tab/>
              <w:t>Членам Сектора МСЭ-Т</w:t>
            </w:r>
            <w:r w:rsidR="00020491" w:rsidRPr="00093167">
              <w:rPr>
                <w:lang w:val="ru-RU"/>
              </w:rPr>
              <w:t>;</w:t>
            </w:r>
          </w:p>
          <w:p w14:paraId="29D9E245" w14:textId="69CD7EF5" w:rsidR="007D1544" w:rsidRPr="00093167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3167">
              <w:rPr>
                <w:lang w:val="ru-RU"/>
              </w:rPr>
              <w:t>–</w:t>
            </w:r>
            <w:r w:rsidRPr="00093167">
              <w:rPr>
                <w:lang w:val="ru-RU"/>
              </w:rPr>
              <w:tab/>
              <w:t>Ассоциированным членам</w:t>
            </w:r>
            <w:r w:rsidR="00F746E0" w:rsidRPr="00093167">
              <w:rPr>
                <w:lang w:val="ru-RU"/>
              </w:rPr>
              <w:t xml:space="preserve"> МСЭ</w:t>
            </w:r>
            <w:r w:rsidR="00F746E0" w:rsidRPr="00093167">
              <w:rPr>
                <w:lang w:val="ru-RU"/>
              </w:rPr>
              <w:noBreakHyphen/>
              <w:t>Т</w:t>
            </w:r>
            <w:r w:rsidR="0095157E" w:rsidRPr="00093167">
              <w:rPr>
                <w:lang w:val="ru-RU"/>
              </w:rPr>
              <w:t xml:space="preserve">, </w:t>
            </w:r>
            <w:r w:rsidR="00FD0853" w:rsidRPr="00093167">
              <w:rPr>
                <w:lang w:val="ru-RU"/>
              </w:rPr>
              <w:t xml:space="preserve">участвующим </w:t>
            </w:r>
            <w:r w:rsidR="008526FF" w:rsidRPr="00093167">
              <w:rPr>
                <w:lang w:val="ru-RU"/>
              </w:rPr>
              <w:t xml:space="preserve">в работе </w:t>
            </w:r>
            <w:r w:rsidR="007D6A7A" w:rsidRPr="00093167">
              <w:rPr>
                <w:lang w:val="ru-RU"/>
              </w:rPr>
              <w:t>17</w:t>
            </w:r>
            <w:r w:rsidR="008526FF" w:rsidRPr="00093167">
              <w:rPr>
                <w:lang w:val="ru-RU"/>
              </w:rPr>
              <w:noBreakHyphen/>
              <w:t>й </w:t>
            </w:r>
            <w:r w:rsidR="0095157E" w:rsidRPr="00093167">
              <w:rPr>
                <w:lang w:val="ru-RU"/>
              </w:rPr>
              <w:t>Исследовательской комиссии</w:t>
            </w:r>
            <w:r w:rsidR="00020491" w:rsidRPr="00093167">
              <w:rPr>
                <w:lang w:val="ru-RU"/>
              </w:rPr>
              <w:t>;</w:t>
            </w:r>
          </w:p>
          <w:p w14:paraId="26CA4B82" w14:textId="0B8C689B" w:rsidR="007D1544" w:rsidRPr="0009316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3167">
              <w:rPr>
                <w:lang w:val="ru-RU"/>
              </w:rPr>
              <w:t>–</w:t>
            </w:r>
            <w:r w:rsidRPr="00093167">
              <w:rPr>
                <w:lang w:val="ru-RU"/>
              </w:rPr>
              <w:tab/>
              <w:t>Академическим организациям − Членам МСЭ</w:t>
            </w:r>
            <w:r w:rsidR="00020491" w:rsidRPr="00093167">
              <w:rPr>
                <w:lang w:val="ru-RU"/>
              </w:rPr>
              <w:t>;</w:t>
            </w:r>
          </w:p>
          <w:p w14:paraId="39BF76EB" w14:textId="2495AF7E" w:rsidR="007D1544" w:rsidRPr="00093167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3167">
              <w:rPr>
                <w:lang w:val="ru-RU"/>
              </w:rPr>
              <w:t>–</w:t>
            </w:r>
            <w:r w:rsidRPr="00093167">
              <w:rPr>
                <w:lang w:val="ru-RU"/>
              </w:rPr>
              <w:tab/>
              <w:t xml:space="preserve">Председателю и заместителям </w:t>
            </w:r>
            <w:r w:rsidR="00F66010" w:rsidRPr="00093167">
              <w:rPr>
                <w:lang w:val="ru-RU"/>
              </w:rPr>
              <w:t>П</w:t>
            </w:r>
            <w:r w:rsidR="000708F5" w:rsidRPr="00093167">
              <w:rPr>
                <w:lang w:val="ru-RU"/>
              </w:rPr>
              <w:t xml:space="preserve">редседателя </w:t>
            </w:r>
            <w:r w:rsidR="007D6A7A" w:rsidRPr="00093167">
              <w:rPr>
                <w:lang w:val="ru-RU"/>
              </w:rPr>
              <w:t>17</w:t>
            </w:r>
            <w:r w:rsidR="00D4378F" w:rsidRPr="00093167">
              <w:rPr>
                <w:lang w:val="ru-RU"/>
              </w:rPr>
              <w:noBreakHyphen/>
            </w:r>
            <w:r w:rsidR="007D1544" w:rsidRPr="00093167">
              <w:rPr>
                <w:lang w:val="ru-RU"/>
              </w:rPr>
              <w:t>й Исследовательской комиссии МСЭ-Т</w:t>
            </w:r>
            <w:r w:rsidR="00020491" w:rsidRPr="00093167">
              <w:rPr>
                <w:lang w:val="ru-RU"/>
              </w:rPr>
              <w:t>;</w:t>
            </w:r>
          </w:p>
          <w:p w14:paraId="0141F429" w14:textId="1D7A3C8F" w:rsidR="007D1544" w:rsidRPr="0009316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3167">
              <w:rPr>
                <w:lang w:val="ru-RU"/>
              </w:rPr>
              <w:t>–</w:t>
            </w:r>
            <w:r w:rsidRPr="00093167">
              <w:rPr>
                <w:lang w:val="ru-RU"/>
              </w:rPr>
              <w:tab/>
              <w:t>Директору Бюро развития электросвязи</w:t>
            </w:r>
            <w:r w:rsidR="00020491" w:rsidRPr="00093167">
              <w:rPr>
                <w:lang w:val="ru-RU"/>
              </w:rPr>
              <w:t>;</w:t>
            </w:r>
          </w:p>
          <w:p w14:paraId="5A4073C1" w14:textId="77777777" w:rsidR="001629DC" w:rsidRPr="0009316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3167">
              <w:rPr>
                <w:lang w:val="ru-RU"/>
              </w:rPr>
              <w:t>–</w:t>
            </w:r>
            <w:r w:rsidRPr="00093167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093167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4418BB" w14:paraId="4EE927C7" w14:textId="77777777" w:rsidTr="006555F5">
        <w:trPr>
          <w:cantSplit/>
        </w:trPr>
        <w:tc>
          <w:tcPr>
            <w:tcW w:w="1418" w:type="dxa"/>
          </w:tcPr>
          <w:p w14:paraId="7756A66C" w14:textId="1248118C" w:rsidR="001629DC" w:rsidRPr="00093167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093167">
              <w:rPr>
                <w:b/>
                <w:bCs/>
                <w:lang w:val="ru-RU"/>
              </w:rPr>
              <w:t>Предмет</w:t>
            </w:r>
            <w:r w:rsidRPr="00093167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176A6EF9" w:rsidR="001629DC" w:rsidRPr="00093167" w:rsidRDefault="009E48E6" w:rsidP="007F79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b/>
                <w:lang w:val="ru-RU"/>
              </w:rPr>
            </w:pPr>
            <w:r w:rsidRPr="00093167">
              <w:rPr>
                <w:b/>
                <w:lang w:val="ru-RU"/>
              </w:rPr>
              <w:t xml:space="preserve">Консультации с Государствами-Членами по </w:t>
            </w:r>
            <w:r w:rsidR="001C2EA2" w:rsidRPr="00093167">
              <w:rPr>
                <w:b/>
                <w:lang w:val="ru-RU"/>
              </w:rPr>
              <w:t>проектам</w:t>
            </w:r>
            <w:r w:rsidRPr="00093167">
              <w:rPr>
                <w:b/>
                <w:lang w:val="ru-RU"/>
              </w:rPr>
              <w:t xml:space="preserve"> новых Рекомендаций МСЭ-Т X.1</w:t>
            </w:r>
            <w:r w:rsidR="007F794D" w:rsidRPr="00093167">
              <w:rPr>
                <w:b/>
                <w:lang w:val="ru-RU"/>
              </w:rPr>
              <w:t>353</w:t>
            </w:r>
            <w:r w:rsidRPr="00093167">
              <w:rPr>
                <w:b/>
                <w:lang w:val="ru-RU"/>
              </w:rPr>
              <w:t xml:space="preserve"> </w:t>
            </w:r>
            <w:r w:rsidR="007F794D" w:rsidRPr="00093167">
              <w:rPr>
                <w:b/>
                <w:lang w:val="ru-RU"/>
              </w:rPr>
              <w:t>(</w:t>
            </w:r>
            <w:proofErr w:type="spellStart"/>
            <w:r w:rsidR="007F794D" w:rsidRPr="00093167">
              <w:rPr>
                <w:b/>
                <w:lang w:val="ru-RU"/>
              </w:rPr>
              <w:t>X.ztd-iot</w:t>
            </w:r>
            <w:proofErr w:type="spellEnd"/>
            <w:r w:rsidR="007F794D" w:rsidRPr="00093167">
              <w:rPr>
                <w:b/>
                <w:lang w:val="ru-RU"/>
              </w:rPr>
              <w:t>), X.1380 (</w:t>
            </w:r>
            <w:proofErr w:type="spellStart"/>
            <w:r w:rsidR="007F794D" w:rsidRPr="00093167">
              <w:rPr>
                <w:b/>
                <w:lang w:val="ru-RU"/>
              </w:rPr>
              <w:t>X.edr-sec</w:t>
            </w:r>
            <w:proofErr w:type="spellEnd"/>
            <w:r w:rsidR="007F794D" w:rsidRPr="00093167">
              <w:rPr>
                <w:b/>
                <w:lang w:val="ru-RU"/>
              </w:rPr>
              <w:t>), X.1381 (</w:t>
            </w:r>
            <w:proofErr w:type="spellStart"/>
            <w:r w:rsidR="007F794D" w:rsidRPr="00093167">
              <w:rPr>
                <w:b/>
                <w:lang w:val="ru-RU"/>
              </w:rPr>
              <w:t>X.eivn-sec</w:t>
            </w:r>
            <w:proofErr w:type="spellEnd"/>
            <w:r w:rsidR="007F794D" w:rsidRPr="00093167">
              <w:rPr>
                <w:b/>
                <w:lang w:val="ru-RU"/>
              </w:rPr>
              <w:t>), X.1382 (</w:t>
            </w:r>
            <w:proofErr w:type="spellStart"/>
            <w:r w:rsidR="007F794D" w:rsidRPr="00093167">
              <w:rPr>
                <w:b/>
                <w:lang w:val="ru-RU"/>
              </w:rPr>
              <w:t>X.fstsicv</w:t>
            </w:r>
            <w:proofErr w:type="spellEnd"/>
            <w:r w:rsidR="007F794D" w:rsidRPr="00093167">
              <w:rPr>
                <w:b/>
                <w:lang w:val="ru-RU"/>
              </w:rPr>
              <w:t>), X1383 (</w:t>
            </w:r>
            <w:proofErr w:type="spellStart"/>
            <w:r w:rsidR="007F794D" w:rsidRPr="00093167">
              <w:rPr>
                <w:b/>
                <w:lang w:val="ru-RU"/>
              </w:rPr>
              <w:t>X.srcd</w:t>
            </w:r>
            <w:proofErr w:type="spellEnd"/>
            <w:r w:rsidR="007F794D" w:rsidRPr="00093167">
              <w:rPr>
                <w:b/>
                <w:lang w:val="ru-RU"/>
              </w:rPr>
              <w:t>), X.1410 (X.sa-</w:t>
            </w:r>
            <w:proofErr w:type="spellStart"/>
            <w:r w:rsidR="007F794D" w:rsidRPr="00093167">
              <w:rPr>
                <w:b/>
                <w:lang w:val="ru-RU"/>
              </w:rPr>
              <w:t>dsm</w:t>
            </w:r>
            <w:proofErr w:type="spellEnd"/>
            <w:r w:rsidR="007F794D" w:rsidRPr="00093167">
              <w:rPr>
                <w:b/>
                <w:lang w:val="ru-RU"/>
              </w:rPr>
              <w:t>), X.1411 (</w:t>
            </w:r>
            <w:proofErr w:type="spellStart"/>
            <w:r w:rsidR="007F794D" w:rsidRPr="00093167">
              <w:rPr>
                <w:b/>
                <w:lang w:val="ru-RU"/>
              </w:rPr>
              <w:t>X.BaaS-sec</w:t>
            </w:r>
            <w:proofErr w:type="spellEnd"/>
            <w:r w:rsidR="007F794D" w:rsidRPr="00093167">
              <w:rPr>
                <w:b/>
                <w:lang w:val="ru-RU"/>
              </w:rPr>
              <w:t>), X.1454 (</w:t>
            </w:r>
            <w:proofErr w:type="spellStart"/>
            <w:r w:rsidR="007F794D" w:rsidRPr="00093167">
              <w:rPr>
                <w:b/>
                <w:lang w:val="ru-RU"/>
              </w:rPr>
              <w:t>X.sles</w:t>
            </w:r>
            <w:proofErr w:type="spellEnd"/>
            <w:r w:rsidR="007F794D" w:rsidRPr="00093167">
              <w:rPr>
                <w:b/>
                <w:lang w:val="ru-RU"/>
              </w:rPr>
              <w:t>), X.1644 (</w:t>
            </w:r>
            <w:proofErr w:type="spellStart"/>
            <w:r w:rsidR="007F794D" w:rsidRPr="00093167">
              <w:rPr>
                <w:b/>
                <w:lang w:val="ru-RU"/>
              </w:rPr>
              <w:t>X.sgdc</w:t>
            </w:r>
            <w:proofErr w:type="spellEnd"/>
            <w:r w:rsidR="007F794D" w:rsidRPr="00093167">
              <w:rPr>
                <w:b/>
                <w:lang w:val="ru-RU"/>
              </w:rPr>
              <w:t>), X.1815 (X.5Gsec-ecs)</w:t>
            </w:r>
            <w:r w:rsidRPr="00093167">
              <w:rPr>
                <w:b/>
                <w:lang w:val="ru-RU"/>
              </w:rPr>
              <w:t xml:space="preserve"> и </w:t>
            </w:r>
            <w:r w:rsidR="007F794D" w:rsidRPr="00093167">
              <w:rPr>
                <w:b/>
                <w:lang w:val="ru-RU"/>
              </w:rPr>
              <w:t>X.1816 (X.5Gsec-ssl)</w:t>
            </w:r>
            <w:r w:rsidRPr="00093167">
              <w:rPr>
                <w:b/>
                <w:lang w:val="ru-RU"/>
              </w:rPr>
              <w:t xml:space="preserve">, </w:t>
            </w:r>
            <w:r w:rsidR="00D171AA" w:rsidRPr="00093167">
              <w:rPr>
                <w:b/>
                <w:lang w:val="ru-RU"/>
              </w:rPr>
              <w:t xml:space="preserve">по которым сделано заключение и </w:t>
            </w:r>
            <w:r w:rsidRPr="00093167">
              <w:rPr>
                <w:b/>
                <w:lang w:val="ru-RU"/>
              </w:rPr>
              <w:t>которые предложены для утверждения на</w:t>
            </w:r>
            <w:r w:rsidR="004E1989" w:rsidRPr="00093167">
              <w:rPr>
                <w:b/>
                <w:lang w:val="ru-RU"/>
              </w:rPr>
              <w:t xml:space="preserve"> </w:t>
            </w:r>
            <w:r w:rsidR="001C2EA2" w:rsidRPr="00093167">
              <w:rPr>
                <w:b/>
                <w:lang w:val="ru-RU"/>
              </w:rPr>
              <w:t>пленарном заседании</w:t>
            </w:r>
            <w:r w:rsidRPr="00093167">
              <w:rPr>
                <w:b/>
                <w:lang w:val="ru-RU"/>
              </w:rPr>
              <w:t xml:space="preserve"> 17</w:t>
            </w:r>
            <w:r w:rsidRPr="00093167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093167">
              <w:rPr>
                <w:b/>
                <w:lang w:val="ru-RU"/>
              </w:rPr>
              <w:noBreakHyphen/>
              <w:t>Т (</w:t>
            </w:r>
            <w:r w:rsidR="007F794D" w:rsidRPr="00093167">
              <w:rPr>
                <w:b/>
                <w:lang w:val="ru-RU"/>
              </w:rPr>
              <w:t>Женева</w:t>
            </w:r>
            <w:r w:rsidRPr="00093167">
              <w:rPr>
                <w:b/>
                <w:lang w:val="ru-RU"/>
              </w:rPr>
              <w:t xml:space="preserve">, </w:t>
            </w:r>
            <w:r w:rsidR="007F794D" w:rsidRPr="00093167">
              <w:rPr>
                <w:b/>
                <w:lang w:val="ru-RU"/>
              </w:rPr>
              <w:t>21 февраля − 3</w:t>
            </w:r>
            <w:r w:rsidR="00D171AA" w:rsidRPr="00093167">
              <w:rPr>
                <w:b/>
                <w:lang w:val="ru-RU"/>
              </w:rPr>
              <w:t> </w:t>
            </w:r>
            <w:r w:rsidR="007F794D" w:rsidRPr="00093167">
              <w:rPr>
                <w:b/>
                <w:lang w:val="ru-RU"/>
              </w:rPr>
              <w:t>марта</w:t>
            </w:r>
            <w:r w:rsidRPr="00093167">
              <w:rPr>
                <w:b/>
                <w:lang w:val="ru-RU"/>
              </w:rPr>
              <w:t xml:space="preserve"> 202</w:t>
            </w:r>
            <w:r w:rsidR="007F794D" w:rsidRPr="00093167">
              <w:rPr>
                <w:b/>
                <w:lang w:val="ru-RU"/>
              </w:rPr>
              <w:t>3</w:t>
            </w:r>
            <w:r w:rsidRPr="00093167">
              <w:rPr>
                <w:b/>
                <w:lang w:val="ru-RU"/>
              </w:rPr>
              <w:t xml:space="preserve"> г.)</w:t>
            </w:r>
          </w:p>
        </w:tc>
      </w:tr>
    </w:tbl>
    <w:p w14:paraId="61A7D329" w14:textId="733D6329" w:rsidR="007D1544" w:rsidRPr="00093167" w:rsidRDefault="007D1544" w:rsidP="008E5344">
      <w:pPr>
        <w:pStyle w:val="Normalaftertitle"/>
        <w:spacing w:before="480"/>
        <w:rPr>
          <w:lang w:val="ru-RU"/>
        </w:rPr>
      </w:pPr>
      <w:r w:rsidRPr="00093167">
        <w:rPr>
          <w:lang w:val="ru-RU"/>
        </w:rPr>
        <w:t>Уважаемая госпожа,</w:t>
      </w:r>
      <w:r w:rsidRPr="00093167">
        <w:rPr>
          <w:lang w:val="ru-RU"/>
        </w:rPr>
        <w:br/>
        <w:t>уважаемый господин,</w:t>
      </w:r>
    </w:p>
    <w:p w14:paraId="45AEBBB0" w14:textId="1D326D8F" w:rsidR="00D171AA" w:rsidRPr="00093167" w:rsidRDefault="00D171AA" w:rsidP="00D171AA">
      <w:pPr>
        <w:jc w:val="both"/>
        <w:rPr>
          <w:szCs w:val="22"/>
          <w:lang w:val="ru-RU"/>
        </w:rPr>
      </w:pPr>
      <w:r w:rsidRPr="00093167">
        <w:rPr>
          <w:lang w:val="ru-RU"/>
        </w:rPr>
        <w:t>1</w:t>
      </w:r>
      <w:r w:rsidRPr="00093167">
        <w:rPr>
          <w:lang w:val="ru-RU"/>
        </w:rPr>
        <w:tab/>
      </w:r>
      <w:r w:rsidRPr="00093167">
        <w:rPr>
          <w:szCs w:val="22"/>
          <w:lang w:val="ru-RU"/>
        </w:rPr>
        <w:t>17-я Исследовательская комиссия МСЭ</w:t>
      </w:r>
      <w:r w:rsidRPr="00093167">
        <w:rPr>
          <w:szCs w:val="22"/>
          <w:lang w:val="ru-RU"/>
        </w:rPr>
        <w:noBreakHyphen/>
        <w:t>Т (Безопасность) намеревается</w:t>
      </w:r>
      <w:r w:rsidRPr="00093167">
        <w:rPr>
          <w:lang w:val="ru-RU"/>
        </w:rPr>
        <w:t xml:space="preserve"> применить традиционную процедуру утверждения, описанную в разделе </w:t>
      </w:r>
      <w:r w:rsidRPr="00093167">
        <w:rPr>
          <w:szCs w:val="22"/>
          <w:lang w:val="ru-RU"/>
        </w:rPr>
        <w:t xml:space="preserve">9 Резолюции 1 (Пересм. </w:t>
      </w:r>
      <w:r w:rsidR="007F794D" w:rsidRPr="00093167">
        <w:rPr>
          <w:szCs w:val="22"/>
          <w:lang w:val="ru-RU"/>
        </w:rPr>
        <w:t>Женева</w:t>
      </w:r>
      <w:r w:rsidRPr="00093167">
        <w:rPr>
          <w:szCs w:val="22"/>
          <w:lang w:val="ru-RU"/>
        </w:rPr>
        <w:t>, 20</w:t>
      </w:r>
      <w:r w:rsidR="007F794D" w:rsidRPr="00093167">
        <w:rPr>
          <w:szCs w:val="22"/>
          <w:lang w:val="ru-RU"/>
        </w:rPr>
        <w:t>22</w:t>
      </w:r>
      <w:r w:rsidRPr="00093167">
        <w:rPr>
          <w:szCs w:val="22"/>
          <w:lang w:val="ru-RU"/>
        </w:rPr>
        <w:t xml:space="preserve"> г.) ВАСЭ, для утверждения упомянутых выше проектов Рекомендаций на своем следующем собрании, которое </w:t>
      </w:r>
      <w:r w:rsidR="001C2EA2" w:rsidRPr="00093167">
        <w:rPr>
          <w:szCs w:val="22"/>
          <w:lang w:val="ru-RU"/>
        </w:rPr>
        <w:t xml:space="preserve">проводится </w:t>
      </w:r>
      <w:r w:rsidR="007F794D" w:rsidRPr="00093167">
        <w:rPr>
          <w:szCs w:val="22"/>
          <w:lang w:val="ru-RU"/>
        </w:rPr>
        <w:t xml:space="preserve">21 февраля </w:t>
      </w:r>
      <w:r w:rsidR="00A64345" w:rsidRPr="00093167">
        <w:rPr>
          <w:szCs w:val="22"/>
          <w:lang w:val="ru-RU"/>
        </w:rPr>
        <w:t>–</w:t>
      </w:r>
      <w:r w:rsidR="007F794D" w:rsidRPr="00093167">
        <w:rPr>
          <w:szCs w:val="22"/>
          <w:lang w:val="ru-RU"/>
        </w:rPr>
        <w:t xml:space="preserve"> 3</w:t>
      </w:r>
      <w:r w:rsidRPr="00093167">
        <w:rPr>
          <w:szCs w:val="22"/>
          <w:lang w:val="ru-RU"/>
        </w:rPr>
        <w:t xml:space="preserve"> </w:t>
      </w:r>
      <w:r w:rsidR="007F794D" w:rsidRPr="00093167">
        <w:rPr>
          <w:szCs w:val="22"/>
          <w:lang w:val="ru-RU"/>
        </w:rPr>
        <w:t>марта</w:t>
      </w:r>
      <w:r w:rsidRPr="00093167">
        <w:rPr>
          <w:lang w:val="ru-RU"/>
        </w:rPr>
        <w:t xml:space="preserve"> 202</w:t>
      </w:r>
      <w:r w:rsidR="007F794D" w:rsidRPr="00093167">
        <w:rPr>
          <w:lang w:val="ru-RU"/>
        </w:rPr>
        <w:t>3</w:t>
      </w:r>
      <w:r w:rsidRPr="00093167">
        <w:rPr>
          <w:lang w:val="ru-RU"/>
        </w:rPr>
        <w:t> года. Повестка дня и вся соответствующая информация, касающаяся собрания 17-й Исследовательской комиссии МСЭ</w:t>
      </w:r>
      <w:r w:rsidRPr="00093167">
        <w:rPr>
          <w:lang w:val="ru-RU"/>
        </w:rPr>
        <w:noBreakHyphen/>
        <w:t xml:space="preserve">Т, будет представлена в Коллективном письме </w:t>
      </w:r>
      <w:hyperlink r:id="rId10" w:history="1">
        <w:r w:rsidRPr="00093167">
          <w:rPr>
            <w:rStyle w:val="Hyperlink"/>
            <w:rFonts w:cstheme="minorHAnsi"/>
            <w:szCs w:val="22"/>
            <w:lang w:val="ru-RU"/>
          </w:rPr>
          <w:t>3/17</w:t>
        </w:r>
      </w:hyperlink>
      <w:r w:rsidRPr="00093167">
        <w:rPr>
          <w:lang w:val="ru-RU"/>
        </w:rPr>
        <w:t>.</w:t>
      </w:r>
    </w:p>
    <w:p w14:paraId="5B631777" w14:textId="605C8FF3" w:rsidR="00D171AA" w:rsidRPr="00093167" w:rsidRDefault="00D171AA" w:rsidP="00D171AA">
      <w:pPr>
        <w:jc w:val="both"/>
        <w:rPr>
          <w:lang w:val="ru-RU"/>
        </w:rPr>
      </w:pPr>
      <w:r w:rsidRPr="00093167">
        <w:rPr>
          <w:bCs/>
          <w:szCs w:val="22"/>
          <w:lang w:val="ru-RU"/>
        </w:rPr>
        <w:t>2</w:t>
      </w:r>
      <w:r w:rsidRPr="00093167">
        <w:rPr>
          <w:szCs w:val="22"/>
          <w:lang w:val="ru-RU"/>
        </w:rPr>
        <w:tab/>
      </w:r>
      <w:r w:rsidRPr="00093167">
        <w:rPr>
          <w:lang w:val="ru-RU"/>
        </w:rPr>
        <w:t xml:space="preserve">Названия и резюме предлагаемых к утверждению проектов </w:t>
      </w:r>
      <w:r w:rsidRPr="00093167">
        <w:rPr>
          <w:bCs/>
          <w:lang w:val="ru-RU"/>
        </w:rPr>
        <w:t>Рекомендаций МСЭ-Т</w:t>
      </w:r>
      <w:r w:rsidRPr="00093167">
        <w:rPr>
          <w:rFonts w:cstheme="minorHAnsi"/>
          <w:szCs w:val="22"/>
          <w:lang w:val="ru-RU"/>
        </w:rPr>
        <w:t xml:space="preserve">, </w:t>
      </w:r>
      <w:r w:rsidRPr="00093167">
        <w:rPr>
          <w:lang w:val="ru-RU"/>
        </w:rPr>
        <w:t xml:space="preserve">а также указания на места их размещения содержатся в </w:t>
      </w:r>
      <w:r w:rsidRPr="00093167">
        <w:rPr>
          <w:b/>
          <w:bCs/>
          <w:lang w:val="ru-RU"/>
        </w:rPr>
        <w:t>Приложении 1</w:t>
      </w:r>
      <w:r w:rsidRPr="00093167">
        <w:rPr>
          <w:lang w:val="ru-RU"/>
        </w:rPr>
        <w:t>.</w:t>
      </w:r>
    </w:p>
    <w:p w14:paraId="0A69340B" w14:textId="16029077" w:rsidR="00D171AA" w:rsidRPr="00093167" w:rsidRDefault="00D171AA" w:rsidP="00D171AA">
      <w:pPr>
        <w:jc w:val="both"/>
        <w:rPr>
          <w:rFonts w:cstheme="minorHAnsi"/>
          <w:lang w:val="ru-RU"/>
        </w:rPr>
      </w:pPr>
      <w:r w:rsidRPr="00093167">
        <w:rPr>
          <w:rFonts w:ascii="Calibri" w:hAnsi="Calibri" w:cs="Calibri"/>
          <w:szCs w:val="22"/>
          <w:lang w:val="ru-RU"/>
        </w:rPr>
        <w:t>ПРИМЕЧАНИЕ 1 БСЭ. –</w:t>
      </w:r>
      <w:r w:rsidRPr="00093167">
        <w:rPr>
          <w:lang w:val="ru-RU"/>
        </w:rPr>
        <w:t> </w:t>
      </w:r>
      <w:r w:rsidR="008B3E2F" w:rsidRPr="00093167">
        <w:rPr>
          <w:lang w:val="ru-RU"/>
        </w:rPr>
        <w:t>За исключением проектов X.1382 (</w:t>
      </w:r>
      <w:proofErr w:type="spellStart"/>
      <w:proofErr w:type="gramStart"/>
      <w:r w:rsidR="008B3E2F" w:rsidRPr="00093167">
        <w:rPr>
          <w:lang w:val="ru-RU"/>
        </w:rPr>
        <w:t>X.fstsicv</w:t>
      </w:r>
      <w:proofErr w:type="spellEnd"/>
      <w:proofErr w:type="gramEnd"/>
      <w:r w:rsidR="008B3E2F" w:rsidRPr="00093167">
        <w:rPr>
          <w:lang w:val="ru-RU"/>
        </w:rPr>
        <w:t>), X.1815 (</w:t>
      </w:r>
      <w:r w:rsidR="00EE0F64" w:rsidRPr="00093167">
        <w:rPr>
          <w:lang w:val="ru-RU"/>
        </w:rPr>
        <w:t>X.</w:t>
      </w:r>
      <w:r w:rsidR="008B3E2F" w:rsidRPr="00093167">
        <w:rPr>
          <w:lang w:val="ru-RU"/>
        </w:rPr>
        <w:t xml:space="preserve">5Gsec-ecs) и X.1816 (X.5Gsec-ssl), </w:t>
      </w:r>
      <w:r w:rsidRPr="00093167">
        <w:rPr>
          <w:rFonts w:ascii="Calibri" w:hAnsi="Calibri" w:cs="Calibri"/>
          <w:szCs w:val="22"/>
          <w:lang w:val="ru-RU"/>
        </w:rPr>
        <w:t xml:space="preserve">для </w:t>
      </w:r>
      <w:r w:rsidR="008B3E2F" w:rsidRPr="00093167">
        <w:rPr>
          <w:rFonts w:ascii="Calibri" w:hAnsi="Calibri" w:cs="Calibri"/>
          <w:szCs w:val="22"/>
          <w:lang w:val="ru-RU"/>
        </w:rPr>
        <w:t>остальных</w:t>
      </w:r>
      <w:r w:rsidRPr="00093167">
        <w:rPr>
          <w:rFonts w:ascii="Calibri" w:hAnsi="Calibri" w:cs="Calibri"/>
          <w:szCs w:val="22"/>
          <w:lang w:val="ru-RU"/>
        </w:rPr>
        <w:t xml:space="preserve"> проектов текстов, по которым сделан</w:t>
      </w:r>
      <w:r w:rsidR="008B3E2F" w:rsidRPr="00093167">
        <w:rPr>
          <w:rFonts w:ascii="Calibri" w:hAnsi="Calibri" w:cs="Calibri"/>
          <w:szCs w:val="22"/>
          <w:lang w:val="ru-RU"/>
        </w:rPr>
        <w:t>о</w:t>
      </w:r>
      <w:r w:rsidRPr="00093167">
        <w:rPr>
          <w:rFonts w:ascii="Calibri" w:hAnsi="Calibri" w:cs="Calibri"/>
          <w:szCs w:val="22"/>
          <w:lang w:val="ru-RU"/>
        </w:rPr>
        <w:t xml:space="preserve"> заключени</w:t>
      </w:r>
      <w:r w:rsidR="008B3E2F" w:rsidRPr="00093167">
        <w:rPr>
          <w:rFonts w:ascii="Calibri" w:hAnsi="Calibri" w:cs="Calibri"/>
          <w:szCs w:val="22"/>
          <w:lang w:val="ru-RU"/>
        </w:rPr>
        <w:t>е</w:t>
      </w:r>
      <w:r w:rsidRPr="00093167">
        <w:rPr>
          <w:rFonts w:ascii="Calibri" w:hAnsi="Calibri" w:cs="Calibri"/>
          <w:szCs w:val="22"/>
          <w:lang w:val="ru-RU"/>
        </w:rPr>
        <w:t>, не был подготовлен обосновывающий документ согласно Рекомендации A.5 МСЭ-Т.</w:t>
      </w:r>
    </w:p>
    <w:p w14:paraId="00FE3CF4" w14:textId="0F25BF2C" w:rsidR="00D171AA" w:rsidRPr="00093167" w:rsidRDefault="00D171AA" w:rsidP="00D171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093167">
        <w:rPr>
          <w:rFonts w:ascii="Calibri" w:hAnsi="Calibri" w:cs="Calibri"/>
          <w:szCs w:val="22"/>
          <w:lang w:val="ru-RU"/>
        </w:rPr>
        <w:t xml:space="preserve">ПРИМЕЧАНИЕ 2 БСЭ. – На дату настоящего Циркуляра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093167">
          <w:rPr>
            <w:rFonts w:ascii="Calibri" w:hAnsi="Calibri" w:cs="Calibri"/>
            <w:color w:val="0000FF"/>
            <w:szCs w:val="22"/>
            <w:u w:val="single"/>
            <w:lang w:val="ru-RU"/>
          </w:rPr>
          <w:t>www.itu.int/ipr/</w:t>
        </w:r>
      </w:hyperlink>
      <w:r w:rsidRPr="00093167">
        <w:rPr>
          <w:rFonts w:ascii="Calibri" w:hAnsi="Calibri" w:cs="Calibri"/>
          <w:szCs w:val="22"/>
          <w:lang w:val="ru-RU"/>
        </w:rPr>
        <w:t>.</w:t>
      </w:r>
    </w:p>
    <w:p w14:paraId="038829D8" w14:textId="1E2208F2" w:rsidR="00D171AA" w:rsidRPr="00093167" w:rsidRDefault="00D171AA" w:rsidP="00633053">
      <w:pPr>
        <w:keepLines/>
        <w:jc w:val="both"/>
        <w:rPr>
          <w:bCs/>
          <w:lang w:val="ru-RU"/>
        </w:rPr>
      </w:pPr>
      <w:r w:rsidRPr="00093167">
        <w:rPr>
          <w:bCs/>
          <w:szCs w:val="22"/>
          <w:lang w:val="ru-RU"/>
        </w:rPr>
        <w:lastRenderedPageBreak/>
        <w:t>3</w:t>
      </w:r>
      <w:r w:rsidRPr="00093167">
        <w:rPr>
          <w:szCs w:val="22"/>
          <w:lang w:val="ru-RU"/>
        </w:rPr>
        <w:tab/>
        <w:t>Настоящий Циркуляр открывает официальные консультации с Государствами − Членами МСЭ относительно возможности рассмотрения этих Рекомендаций с целью их утверждения на предстоящем собрании в соответствии с п.</w:t>
      </w:r>
      <w:r w:rsidR="00532367" w:rsidRPr="00093167">
        <w:rPr>
          <w:szCs w:val="22"/>
          <w:lang w:val="ru-RU"/>
        </w:rPr>
        <w:t> </w:t>
      </w:r>
      <w:r w:rsidRPr="00093167">
        <w:rPr>
          <w:szCs w:val="22"/>
          <w:lang w:val="ru-RU"/>
        </w:rPr>
        <w:t xml:space="preserve">9.4 Резолюции 1. Государствам-Членам предлагается заполнить содержащуюся в </w:t>
      </w:r>
      <w:r w:rsidRPr="00093167">
        <w:rPr>
          <w:b/>
          <w:bCs/>
          <w:szCs w:val="22"/>
          <w:lang w:val="ru-RU"/>
        </w:rPr>
        <w:t>Приложении 2</w:t>
      </w:r>
      <w:r w:rsidRPr="00093167">
        <w:rPr>
          <w:szCs w:val="22"/>
          <w:lang w:val="ru-RU"/>
        </w:rPr>
        <w:t xml:space="preserve"> форму и вернуть ее не позднее 23 час. 59 мин. UTC </w:t>
      </w:r>
      <w:r w:rsidR="007F794D" w:rsidRPr="00093167">
        <w:rPr>
          <w:b/>
          <w:bCs/>
          <w:szCs w:val="22"/>
          <w:lang w:val="ru-RU"/>
        </w:rPr>
        <w:t>9</w:t>
      </w:r>
      <w:r w:rsidRPr="00093167">
        <w:rPr>
          <w:b/>
          <w:bCs/>
          <w:szCs w:val="22"/>
          <w:lang w:val="ru-RU"/>
        </w:rPr>
        <w:t> </w:t>
      </w:r>
      <w:r w:rsidR="007F794D" w:rsidRPr="00093167">
        <w:rPr>
          <w:b/>
          <w:bCs/>
          <w:szCs w:val="22"/>
          <w:lang w:val="ru-RU"/>
        </w:rPr>
        <w:t>февраля</w:t>
      </w:r>
      <w:r w:rsidRPr="00093167">
        <w:rPr>
          <w:b/>
          <w:bCs/>
          <w:szCs w:val="22"/>
          <w:lang w:val="ru-RU"/>
        </w:rPr>
        <w:t xml:space="preserve"> 202</w:t>
      </w:r>
      <w:r w:rsidR="007F794D" w:rsidRPr="00093167">
        <w:rPr>
          <w:b/>
          <w:bCs/>
          <w:szCs w:val="22"/>
          <w:lang w:val="ru-RU"/>
        </w:rPr>
        <w:t>3</w:t>
      </w:r>
      <w:r w:rsidRPr="00093167">
        <w:rPr>
          <w:b/>
          <w:bCs/>
          <w:szCs w:val="22"/>
          <w:lang w:val="ru-RU"/>
        </w:rPr>
        <w:t> года</w:t>
      </w:r>
      <w:r w:rsidRPr="00093167">
        <w:rPr>
          <w:lang w:val="ru-RU"/>
        </w:rPr>
        <w:t>.</w:t>
      </w:r>
    </w:p>
    <w:p w14:paraId="19B9EF61" w14:textId="77777777" w:rsidR="00D171AA" w:rsidRPr="00093167" w:rsidRDefault="00D171AA" w:rsidP="00D171AA">
      <w:pPr>
        <w:jc w:val="both"/>
        <w:rPr>
          <w:szCs w:val="22"/>
          <w:lang w:val="ru-RU"/>
        </w:rPr>
      </w:pPr>
      <w:r w:rsidRPr="00093167">
        <w:rPr>
          <w:bCs/>
          <w:lang w:val="ru-RU"/>
        </w:rPr>
        <w:t>4</w:t>
      </w:r>
      <w:r w:rsidRPr="00093167">
        <w:rPr>
          <w:lang w:val="ru-RU"/>
        </w:rPr>
        <w:tab/>
        <w:t>Если в своих ответах 70 или более процентов Государств-Членов поддержат рассмотрение с целью утверждения, то одно пленарное заседание будет посвящено применению процедуры утверждения.</w:t>
      </w:r>
      <w:r w:rsidRPr="00093167">
        <w:rPr>
          <w:szCs w:val="22"/>
          <w:lang w:val="ru-RU"/>
        </w:rPr>
        <w:t xml:space="preserve"> </w:t>
      </w:r>
      <w:r w:rsidRPr="00093167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093167">
        <w:rPr>
          <w:szCs w:val="22"/>
          <w:lang w:val="ru-RU"/>
        </w:rPr>
        <w:t>.</w:t>
      </w:r>
    </w:p>
    <w:p w14:paraId="3691FB2C" w14:textId="7B6CE7D7" w:rsidR="006D34FD" w:rsidRPr="00093167" w:rsidRDefault="006D34FD" w:rsidP="007E0352">
      <w:pPr>
        <w:keepNext/>
        <w:keepLines/>
        <w:jc w:val="both"/>
        <w:rPr>
          <w:lang w:val="ru-RU"/>
        </w:rPr>
      </w:pPr>
      <w:r w:rsidRPr="00093167">
        <w:rPr>
          <w:lang w:val="ru-RU"/>
        </w:rPr>
        <w:t>С уважением,</w:t>
      </w:r>
    </w:p>
    <w:p w14:paraId="2714A639" w14:textId="22AEEED9" w:rsidR="00E366CB" w:rsidRPr="00093167" w:rsidRDefault="00352F27" w:rsidP="004418BB">
      <w:pPr>
        <w:spacing w:before="960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2C0DD02D" wp14:editId="6A641127">
            <wp:simplePos x="0" y="0"/>
            <wp:positionH relativeFrom="column">
              <wp:posOffset>3810</wp:posOffset>
            </wp:positionH>
            <wp:positionV relativeFrom="paragraph">
              <wp:posOffset>157480</wp:posOffset>
            </wp:positionV>
            <wp:extent cx="710514" cy="3810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1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366CB" w:rsidRPr="00093167">
        <w:rPr>
          <w:szCs w:val="22"/>
          <w:lang w:val="ru-RU"/>
        </w:rPr>
        <w:t>Чхе</w:t>
      </w:r>
      <w:proofErr w:type="spellEnd"/>
      <w:r w:rsidR="00E366CB" w:rsidRPr="00093167">
        <w:rPr>
          <w:szCs w:val="22"/>
          <w:lang w:val="ru-RU"/>
        </w:rPr>
        <w:t xml:space="preserve"> </w:t>
      </w:r>
      <w:proofErr w:type="spellStart"/>
      <w:r w:rsidR="00E366CB" w:rsidRPr="00093167">
        <w:rPr>
          <w:szCs w:val="22"/>
          <w:lang w:val="ru-RU"/>
        </w:rPr>
        <w:t>Суб</w:t>
      </w:r>
      <w:proofErr w:type="spellEnd"/>
      <w:r w:rsidR="00E366CB" w:rsidRPr="00093167">
        <w:rPr>
          <w:szCs w:val="22"/>
          <w:lang w:val="ru-RU"/>
        </w:rPr>
        <w:t xml:space="preserve"> Ли</w:t>
      </w:r>
      <w:r w:rsidR="00E366CB" w:rsidRPr="00093167">
        <w:rPr>
          <w:szCs w:val="22"/>
          <w:lang w:val="ru-RU"/>
        </w:rPr>
        <w:br/>
        <w:t>Директор Бюро</w:t>
      </w:r>
      <w:r w:rsidR="00E366CB" w:rsidRPr="00093167">
        <w:rPr>
          <w:szCs w:val="22"/>
          <w:lang w:val="ru-RU"/>
        </w:rPr>
        <w:br/>
        <w:t>стандартизации электросвязи</w:t>
      </w:r>
    </w:p>
    <w:p w14:paraId="60F24A90" w14:textId="1BB39528" w:rsidR="00532367" w:rsidRPr="00093167" w:rsidRDefault="00532367" w:rsidP="00532367">
      <w:pPr>
        <w:spacing w:before="1080"/>
        <w:rPr>
          <w:szCs w:val="22"/>
          <w:lang w:val="ru-RU"/>
        </w:rPr>
      </w:pPr>
      <w:r w:rsidRPr="00093167">
        <w:rPr>
          <w:b/>
          <w:bCs/>
          <w:szCs w:val="22"/>
          <w:lang w:val="ru-RU"/>
        </w:rPr>
        <w:t>Приложения</w:t>
      </w:r>
      <w:r w:rsidRPr="00093167">
        <w:rPr>
          <w:szCs w:val="22"/>
          <w:lang w:val="ru-RU"/>
        </w:rPr>
        <w:t>: 2</w:t>
      </w:r>
    </w:p>
    <w:p w14:paraId="536DD973" w14:textId="383BFA47" w:rsidR="00532367" w:rsidRPr="00093167" w:rsidRDefault="0053236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093167">
        <w:rPr>
          <w:szCs w:val="22"/>
          <w:lang w:val="ru-RU"/>
        </w:rPr>
        <w:br w:type="page"/>
      </w:r>
    </w:p>
    <w:p w14:paraId="0EC4D5E8" w14:textId="6E138753" w:rsidR="008E5344" w:rsidRPr="00093167" w:rsidRDefault="008E5344" w:rsidP="008E5344">
      <w:pPr>
        <w:pStyle w:val="AnnexNo"/>
        <w:rPr>
          <w:lang w:val="ru-RU"/>
        </w:rPr>
      </w:pPr>
      <w:r w:rsidRPr="00093167">
        <w:rPr>
          <w:lang w:val="ru-RU"/>
        </w:rPr>
        <w:lastRenderedPageBreak/>
        <w:t>ПРИЛОЖЕНИЕ 1</w:t>
      </w:r>
    </w:p>
    <w:p w14:paraId="304ED78F" w14:textId="511DCEBB" w:rsidR="008E5344" w:rsidRPr="00093167" w:rsidRDefault="008E5344" w:rsidP="008E5344">
      <w:pPr>
        <w:pStyle w:val="Annextitle0"/>
        <w:rPr>
          <w:lang w:val="ru-RU"/>
        </w:rPr>
      </w:pPr>
      <w:r w:rsidRPr="00093167">
        <w:rPr>
          <w:lang w:val="ru-RU"/>
        </w:rPr>
        <w:t xml:space="preserve">Резюме и указание на место размещения проектов новых Рекомендаций МСЭ-Т </w:t>
      </w:r>
      <w:r w:rsidR="00373891" w:rsidRPr="00093167">
        <w:rPr>
          <w:lang w:val="ru-RU"/>
        </w:rPr>
        <w:t>ITU-T X.1353 (</w:t>
      </w:r>
      <w:proofErr w:type="spellStart"/>
      <w:r w:rsidR="00373891" w:rsidRPr="00093167">
        <w:rPr>
          <w:lang w:val="ru-RU"/>
        </w:rPr>
        <w:t>X.ztd-iot</w:t>
      </w:r>
      <w:proofErr w:type="spellEnd"/>
      <w:r w:rsidR="00373891" w:rsidRPr="00093167">
        <w:rPr>
          <w:lang w:val="ru-RU"/>
        </w:rPr>
        <w:t>), X.1380 (</w:t>
      </w:r>
      <w:proofErr w:type="spellStart"/>
      <w:r w:rsidR="00373891" w:rsidRPr="00093167">
        <w:rPr>
          <w:lang w:val="ru-RU"/>
        </w:rPr>
        <w:t>X.ed</w:t>
      </w:r>
      <w:r w:rsidR="00EE0F64" w:rsidRPr="00093167">
        <w:rPr>
          <w:lang w:val="ru-RU"/>
        </w:rPr>
        <w:t>r</w:t>
      </w:r>
      <w:r w:rsidR="00373891" w:rsidRPr="00093167">
        <w:rPr>
          <w:lang w:val="ru-RU"/>
        </w:rPr>
        <w:t>-sec</w:t>
      </w:r>
      <w:proofErr w:type="spellEnd"/>
      <w:r w:rsidR="00373891" w:rsidRPr="00093167">
        <w:rPr>
          <w:lang w:val="ru-RU"/>
        </w:rPr>
        <w:t>), X.1381 (</w:t>
      </w:r>
      <w:proofErr w:type="spellStart"/>
      <w:r w:rsidR="00373891" w:rsidRPr="00093167">
        <w:rPr>
          <w:lang w:val="ru-RU"/>
        </w:rPr>
        <w:t>X.eivn-sec</w:t>
      </w:r>
      <w:proofErr w:type="spellEnd"/>
      <w:r w:rsidR="00373891" w:rsidRPr="00093167">
        <w:rPr>
          <w:lang w:val="ru-RU"/>
        </w:rPr>
        <w:t>), X.1382 (</w:t>
      </w:r>
      <w:proofErr w:type="spellStart"/>
      <w:r w:rsidR="00373891" w:rsidRPr="00093167">
        <w:rPr>
          <w:lang w:val="ru-RU"/>
        </w:rPr>
        <w:t>X.fstsicv</w:t>
      </w:r>
      <w:proofErr w:type="spellEnd"/>
      <w:r w:rsidR="00373891" w:rsidRPr="00093167">
        <w:rPr>
          <w:lang w:val="ru-RU"/>
        </w:rPr>
        <w:t>), X1383</w:t>
      </w:r>
      <w:r w:rsidR="00A64345" w:rsidRPr="00093167">
        <w:rPr>
          <w:lang w:val="ru-RU"/>
        </w:rPr>
        <w:t> </w:t>
      </w:r>
      <w:r w:rsidR="00373891" w:rsidRPr="00093167">
        <w:rPr>
          <w:lang w:val="ru-RU"/>
        </w:rPr>
        <w:t>(</w:t>
      </w:r>
      <w:proofErr w:type="spellStart"/>
      <w:r w:rsidR="00373891" w:rsidRPr="00093167">
        <w:rPr>
          <w:lang w:val="ru-RU"/>
        </w:rPr>
        <w:t>X.srcd</w:t>
      </w:r>
      <w:proofErr w:type="spellEnd"/>
      <w:r w:rsidR="00373891" w:rsidRPr="00093167">
        <w:rPr>
          <w:lang w:val="ru-RU"/>
        </w:rPr>
        <w:t>), X.1410 (X.sa-</w:t>
      </w:r>
      <w:proofErr w:type="spellStart"/>
      <w:r w:rsidR="00373891" w:rsidRPr="00093167">
        <w:rPr>
          <w:lang w:val="ru-RU"/>
        </w:rPr>
        <w:t>dsm</w:t>
      </w:r>
      <w:proofErr w:type="spellEnd"/>
      <w:r w:rsidR="00373891" w:rsidRPr="00093167">
        <w:rPr>
          <w:lang w:val="ru-RU"/>
        </w:rPr>
        <w:t>), X.1411 (</w:t>
      </w:r>
      <w:proofErr w:type="spellStart"/>
      <w:r w:rsidR="00373891" w:rsidRPr="00093167">
        <w:rPr>
          <w:lang w:val="ru-RU"/>
        </w:rPr>
        <w:t>X.BaaS-sec</w:t>
      </w:r>
      <w:proofErr w:type="spellEnd"/>
      <w:r w:rsidR="00373891" w:rsidRPr="00093167">
        <w:rPr>
          <w:lang w:val="ru-RU"/>
        </w:rPr>
        <w:t>), X.1454 (</w:t>
      </w:r>
      <w:proofErr w:type="spellStart"/>
      <w:r w:rsidR="00373891" w:rsidRPr="00093167">
        <w:rPr>
          <w:lang w:val="ru-RU"/>
        </w:rPr>
        <w:t>X.sles</w:t>
      </w:r>
      <w:proofErr w:type="spellEnd"/>
      <w:r w:rsidR="00373891" w:rsidRPr="00093167">
        <w:rPr>
          <w:lang w:val="ru-RU"/>
        </w:rPr>
        <w:t>), X.1644 (</w:t>
      </w:r>
      <w:proofErr w:type="spellStart"/>
      <w:r w:rsidR="00373891" w:rsidRPr="00093167">
        <w:rPr>
          <w:lang w:val="ru-RU"/>
        </w:rPr>
        <w:t>X.sgdc</w:t>
      </w:r>
      <w:proofErr w:type="spellEnd"/>
      <w:r w:rsidR="00373891" w:rsidRPr="00093167">
        <w:rPr>
          <w:lang w:val="ru-RU"/>
        </w:rPr>
        <w:t>), X.1815 (X.5Gsec-ecs)</w:t>
      </w:r>
      <w:r w:rsidRPr="00093167">
        <w:rPr>
          <w:lang w:val="ru-RU"/>
        </w:rPr>
        <w:t xml:space="preserve"> и </w:t>
      </w:r>
      <w:r w:rsidR="00373891" w:rsidRPr="00093167">
        <w:rPr>
          <w:lang w:val="ru-RU"/>
        </w:rPr>
        <w:t>X.1816 (X.5Gsec-ssl)</w:t>
      </w:r>
      <w:r w:rsidRPr="00093167">
        <w:rPr>
          <w:lang w:val="ru-RU"/>
        </w:rPr>
        <w:t>, по которым сделано заключение</w:t>
      </w:r>
    </w:p>
    <w:p w14:paraId="5BB05E37" w14:textId="4004105B" w:rsidR="008E5344" w:rsidRPr="00093167" w:rsidRDefault="008E5344" w:rsidP="008D5051">
      <w:pPr>
        <w:pStyle w:val="Heading1"/>
        <w:spacing w:before="480"/>
        <w:rPr>
          <w:lang w:val="ru-RU"/>
        </w:rPr>
      </w:pPr>
      <w:r w:rsidRPr="00093167">
        <w:rPr>
          <w:lang w:val="ru-RU"/>
        </w:rPr>
        <w:t>1</w:t>
      </w:r>
      <w:r w:rsidRPr="00093167">
        <w:rPr>
          <w:lang w:val="ru-RU"/>
        </w:rPr>
        <w:tab/>
        <w:t>Пр</w:t>
      </w:r>
      <w:r w:rsidR="00100969" w:rsidRPr="00093167">
        <w:rPr>
          <w:lang w:val="ru-RU"/>
        </w:rPr>
        <w:t>оект новой Рекомендации МСЭ-T X.1353 (</w:t>
      </w:r>
      <w:proofErr w:type="spellStart"/>
      <w:r w:rsidR="00100969" w:rsidRPr="00093167">
        <w:rPr>
          <w:lang w:val="ru-RU"/>
        </w:rPr>
        <w:t>X.ztd-iot</w:t>
      </w:r>
      <w:proofErr w:type="spellEnd"/>
      <w:r w:rsidR="00100969" w:rsidRPr="00093167">
        <w:rPr>
          <w:lang w:val="ru-RU"/>
        </w:rPr>
        <w:t>) [</w:t>
      </w:r>
      <w:hyperlink r:id="rId13" w:history="1">
        <w:r w:rsidR="00100969" w:rsidRPr="00093167">
          <w:rPr>
            <w:rStyle w:val="Hyperlink"/>
            <w:bCs/>
            <w:lang w:val="ru-RU"/>
          </w:rPr>
          <w:t>R18</w:t>
        </w:r>
      </w:hyperlink>
      <w:r w:rsidR="00100969" w:rsidRPr="00093167">
        <w:rPr>
          <w:lang w:val="ru-RU"/>
        </w:rPr>
        <w:t>]</w:t>
      </w:r>
    </w:p>
    <w:p w14:paraId="181B58F2" w14:textId="03494CCF" w:rsidR="008E5344" w:rsidRPr="00093167" w:rsidRDefault="00687CD4" w:rsidP="00350496">
      <w:pPr>
        <w:pStyle w:val="Headingb"/>
        <w:jc w:val="both"/>
        <w:rPr>
          <w:lang w:val="ru-RU"/>
        </w:rPr>
      </w:pPr>
      <w:r w:rsidRPr="00093167">
        <w:rPr>
          <w:szCs w:val="22"/>
          <w:lang w:val="ru-RU"/>
        </w:rPr>
        <w:t xml:space="preserve">Методика обеспечения безопасности автоматического развертывания массового </w:t>
      </w:r>
      <w:proofErr w:type="spellStart"/>
      <w:r w:rsidR="00100969" w:rsidRPr="00093167">
        <w:rPr>
          <w:szCs w:val="22"/>
          <w:lang w:val="ru-RU"/>
        </w:rPr>
        <w:t>IoT</w:t>
      </w:r>
      <w:proofErr w:type="spellEnd"/>
      <w:r w:rsidR="00100969" w:rsidRPr="00093167">
        <w:rPr>
          <w:szCs w:val="22"/>
          <w:lang w:val="ru-RU"/>
        </w:rPr>
        <w:t xml:space="preserve"> </w:t>
      </w:r>
      <w:r w:rsidRPr="00093167">
        <w:rPr>
          <w:szCs w:val="22"/>
          <w:lang w:val="ru-RU"/>
        </w:rPr>
        <w:t xml:space="preserve">на основе </w:t>
      </w:r>
      <w:proofErr w:type="spellStart"/>
      <w:r w:rsidRPr="00093167">
        <w:rPr>
          <w:szCs w:val="22"/>
          <w:lang w:val="ru-RU"/>
        </w:rPr>
        <w:t>блокчейна</w:t>
      </w:r>
      <w:proofErr w:type="spellEnd"/>
    </w:p>
    <w:p w14:paraId="6C300424" w14:textId="597EA39E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49756A93" w14:textId="006FFEFE" w:rsidR="00100969" w:rsidRPr="00093167" w:rsidRDefault="006C2947" w:rsidP="00100969">
      <w:pPr>
        <w:jc w:val="both"/>
        <w:rPr>
          <w:szCs w:val="22"/>
          <w:lang w:val="ru-RU"/>
        </w:rPr>
      </w:pPr>
      <w:r w:rsidRPr="00093167">
        <w:rPr>
          <w:szCs w:val="22"/>
          <w:lang w:val="ru-RU"/>
        </w:rPr>
        <w:t xml:space="preserve">Массовый интернет вещей </w:t>
      </w:r>
      <w:r w:rsidR="00100969" w:rsidRPr="00093167">
        <w:rPr>
          <w:szCs w:val="22"/>
          <w:lang w:val="ru-RU"/>
        </w:rPr>
        <w:t>(</w:t>
      </w:r>
      <w:proofErr w:type="spellStart"/>
      <w:r w:rsidR="00100969" w:rsidRPr="00093167">
        <w:rPr>
          <w:szCs w:val="22"/>
          <w:lang w:val="ru-RU"/>
        </w:rPr>
        <w:t>mIoT</w:t>
      </w:r>
      <w:proofErr w:type="spellEnd"/>
      <w:r w:rsidR="00100969" w:rsidRPr="00093167">
        <w:rPr>
          <w:szCs w:val="22"/>
          <w:lang w:val="ru-RU"/>
        </w:rPr>
        <w:t xml:space="preserve">) </w:t>
      </w:r>
      <w:r w:rsidR="000D5C9C" w:rsidRPr="00093167">
        <w:rPr>
          <w:szCs w:val="22"/>
          <w:lang w:val="ru-RU"/>
        </w:rPr>
        <w:t>– э</w:t>
      </w:r>
      <w:r w:rsidRPr="00093167">
        <w:rPr>
          <w:szCs w:val="22"/>
          <w:lang w:val="ru-RU"/>
        </w:rPr>
        <w:t xml:space="preserve">то важное приложение будущих сетей связи. В силу того, что в </w:t>
      </w:r>
      <w:proofErr w:type="spellStart"/>
      <w:r w:rsidRPr="00093167">
        <w:rPr>
          <w:szCs w:val="22"/>
          <w:lang w:val="ru-RU"/>
        </w:rPr>
        <w:t>mIoT</w:t>
      </w:r>
      <w:proofErr w:type="spellEnd"/>
      <w:r w:rsidRPr="00093167">
        <w:rPr>
          <w:szCs w:val="22"/>
          <w:lang w:val="ru-RU"/>
        </w:rPr>
        <w:t xml:space="preserve"> ожидаются различные сценарии использования, производителям сложно предварительно установить на выпускаемые ими устройства IoT информацию, относящуюся к конкретному оператору подвижной связи и/или конкретной услуге (например, идентификационные данные и ключи), поскольку производители могут не знать, где в итоге будут развернуты и активированы их устройства. Текущий подход основан на </w:t>
      </w:r>
      <w:r w:rsidR="00A407C3" w:rsidRPr="00093167">
        <w:rPr>
          <w:szCs w:val="22"/>
          <w:lang w:val="ru-RU"/>
        </w:rPr>
        <w:t xml:space="preserve">выполнении клиентами </w:t>
      </w:r>
      <w:r w:rsidRPr="00093167">
        <w:rPr>
          <w:szCs w:val="22"/>
          <w:lang w:val="ru-RU"/>
        </w:rPr>
        <w:t>ручной настройк</w:t>
      </w:r>
      <w:r w:rsidR="00A407C3" w:rsidRPr="00093167">
        <w:rPr>
          <w:szCs w:val="22"/>
          <w:lang w:val="ru-RU"/>
        </w:rPr>
        <w:t>и</w:t>
      </w:r>
      <w:r w:rsidRPr="00093167">
        <w:rPr>
          <w:szCs w:val="22"/>
          <w:lang w:val="ru-RU"/>
        </w:rPr>
        <w:t xml:space="preserve">, что приемлемо для </w:t>
      </w:r>
      <w:r w:rsidR="00A407C3" w:rsidRPr="00093167">
        <w:rPr>
          <w:szCs w:val="22"/>
          <w:lang w:val="ru-RU"/>
        </w:rPr>
        <w:t>маломасштабных</w:t>
      </w:r>
      <w:r w:rsidRPr="00093167">
        <w:rPr>
          <w:szCs w:val="22"/>
          <w:lang w:val="ru-RU"/>
        </w:rPr>
        <w:t xml:space="preserve"> приложений IoT. Однако для устройств </w:t>
      </w:r>
      <w:proofErr w:type="spellStart"/>
      <w:r w:rsidRPr="00093167">
        <w:rPr>
          <w:szCs w:val="22"/>
          <w:lang w:val="ru-RU"/>
        </w:rPr>
        <w:t>mIoT</w:t>
      </w:r>
      <w:proofErr w:type="spellEnd"/>
      <w:r w:rsidRPr="00093167">
        <w:rPr>
          <w:szCs w:val="22"/>
          <w:lang w:val="ru-RU"/>
        </w:rPr>
        <w:t xml:space="preserve"> указанный выше подход неприемлем </w:t>
      </w:r>
      <w:r w:rsidR="00D12066" w:rsidRPr="00093167">
        <w:rPr>
          <w:szCs w:val="22"/>
          <w:lang w:val="ru-RU"/>
        </w:rPr>
        <w:t>вследствие</w:t>
      </w:r>
      <w:r w:rsidRPr="00093167">
        <w:rPr>
          <w:szCs w:val="22"/>
          <w:lang w:val="ru-RU"/>
        </w:rPr>
        <w:t xml:space="preserve"> того, что ручная настройка </w:t>
      </w:r>
      <w:r w:rsidR="00D12066" w:rsidRPr="00093167">
        <w:rPr>
          <w:szCs w:val="22"/>
          <w:lang w:val="ru-RU"/>
        </w:rPr>
        <w:t>является трудоемкой</w:t>
      </w:r>
      <w:r w:rsidRPr="00093167">
        <w:rPr>
          <w:szCs w:val="22"/>
          <w:lang w:val="ru-RU"/>
        </w:rPr>
        <w:t>, нерентабельн</w:t>
      </w:r>
      <w:r w:rsidR="00D12066" w:rsidRPr="00093167">
        <w:rPr>
          <w:szCs w:val="22"/>
          <w:lang w:val="ru-RU"/>
        </w:rPr>
        <w:t>ой</w:t>
      </w:r>
      <w:r w:rsidRPr="00093167">
        <w:rPr>
          <w:szCs w:val="22"/>
          <w:lang w:val="ru-RU"/>
        </w:rPr>
        <w:t xml:space="preserve"> и громоздк</w:t>
      </w:r>
      <w:r w:rsidR="00D12066" w:rsidRPr="00093167">
        <w:rPr>
          <w:szCs w:val="22"/>
          <w:lang w:val="ru-RU"/>
        </w:rPr>
        <w:t>ой</w:t>
      </w:r>
      <w:r w:rsidRPr="00093167">
        <w:rPr>
          <w:szCs w:val="22"/>
          <w:lang w:val="ru-RU"/>
        </w:rPr>
        <w:t xml:space="preserve">. Таким образом, для </w:t>
      </w:r>
      <w:proofErr w:type="spellStart"/>
      <w:r w:rsidRPr="00093167">
        <w:rPr>
          <w:szCs w:val="22"/>
          <w:lang w:val="ru-RU"/>
        </w:rPr>
        <w:t>mIoT</w:t>
      </w:r>
      <w:proofErr w:type="spellEnd"/>
      <w:r w:rsidRPr="00093167">
        <w:rPr>
          <w:szCs w:val="22"/>
          <w:lang w:val="ru-RU"/>
        </w:rPr>
        <w:t xml:space="preserve"> необходима автоматическая подготовка учетных данных без участия пользователя, </w:t>
      </w:r>
      <w:r w:rsidR="000D5C9C" w:rsidRPr="00093167">
        <w:rPr>
          <w:szCs w:val="22"/>
          <w:lang w:val="ru-RU"/>
        </w:rPr>
        <w:t>называемая</w:t>
      </w:r>
      <w:r w:rsidRPr="00093167">
        <w:rPr>
          <w:szCs w:val="22"/>
          <w:lang w:val="ru-RU"/>
        </w:rPr>
        <w:t xml:space="preserve"> </w:t>
      </w:r>
      <w:r w:rsidR="000D5C9C" w:rsidRPr="00093167">
        <w:rPr>
          <w:szCs w:val="22"/>
          <w:lang w:val="ru-RU"/>
        </w:rPr>
        <w:t>"полностью автоматическая"</w:t>
      </w:r>
      <w:r w:rsidRPr="00093167">
        <w:rPr>
          <w:szCs w:val="22"/>
          <w:lang w:val="ru-RU"/>
        </w:rPr>
        <w:t>.</w:t>
      </w:r>
    </w:p>
    <w:p w14:paraId="091BDD2E" w14:textId="512F96F4" w:rsidR="008E5344" w:rsidRPr="00093167" w:rsidRDefault="000D5C9C" w:rsidP="00100969">
      <w:pPr>
        <w:jc w:val="both"/>
        <w:rPr>
          <w:lang w:val="ru-RU"/>
        </w:rPr>
      </w:pPr>
      <w:r w:rsidRPr="00093167">
        <w:rPr>
          <w:szCs w:val="22"/>
          <w:lang w:val="ru-RU"/>
        </w:rPr>
        <w:t xml:space="preserve">В настоящей Рекомендации представлена методика обеспечения безопасности </w:t>
      </w:r>
      <w:r w:rsidR="00633053" w:rsidRPr="00093167">
        <w:rPr>
          <w:szCs w:val="22"/>
          <w:lang w:val="ru-RU"/>
        </w:rPr>
        <w:t>при</w:t>
      </w:r>
      <w:r w:rsidRPr="00093167">
        <w:rPr>
          <w:szCs w:val="22"/>
          <w:lang w:val="ru-RU"/>
        </w:rPr>
        <w:t xml:space="preserve"> </w:t>
      </w:r>
      <w:r w:rsidR="00633053" w:rsidRPr="00093167">
        <w:rPr>
          <w:szCs w:val="22"/>
          <w:lang w:val="ru-RU"/>
        </w:rPr>
        <w:t>проектировании</w:t>
      </w:r>
      <w:r w:rsidRPr="00093167">
        <w:rPr>
          <w:szCs w:val="22"/>
          <w:lang w:val="ru-RU"/>
        </w:rPr>
        <w:t xml:space="preserve"> децентрализованной системы управления определением идентичности для поддержки полностью автоматического развертывания будущего </w:t>
      </w:r>
      <w:proofErr w:type="spellStart"/>
      <w:r w:rsidRPr="00093167">
        <w:rPr>
          <w:szCs w:val="22"/>
          <w:lang w:val="ru-RU"/>
        </w:rPr>
        <w:t>mIoT</w:t>
      </w:r>
      <w:proofErr w:type="spellEnd"/>
      <w:r w:rsidRPr="00093167">
        <w:rPr>
          <w:szCs w:val="22"/>
          <w:lang w:val="ru-RU"/>
        </w:rPr>
        <w:t xml:space="preserve">. Полностью автоматическое развертывание позволит устройствам IoT автоматически находить своего оператора сети подвижной связи и своего поставщика услуг, автоматически получать от них учетные данные и автоматически подключаться к сети и услуге. Это значительно упростит будущее развертывание устройств </w:t>
      </w:r>
      <w:proofErr w:type="spellStart"/>
      <w:r w:rsidRPr="00093167">
        <w:rPr>
          <w:szCs w:val="22"/>
          <w:lang w:val="ru-RU"/>
        </w:rPr>
        <w:t>mIoT</w:t>
      </w:r>
      <w:proofErr w:type="spellEnd"/>
      <w:r w:rsidRPr="00093167">
        <w:rPr>
          <w:szCs w:val="22"/>
          <w:lang w:val="ru-RU"/>
        </w:rPr>
        <w:t xml:space="preserve"> для отраслевых вертикалей. Содержание настоящей Рекомендации охватывает архитектуру безопасности, вопросы безопасности и соответствующие процедуры обеспечения безопасности (такие как аттестация устройств, аутентификация и подготовка учетных данных), которые необходимы для создания такой платформы полностью автоматического развертывания </w:t>
      </w:r>
      <w:proofErr w:type="spellStart"/>
      <w:r w:rsidRPr="00093167">
        <w:rPr>
          <w:szCs w:val="22"/>
          <w:lang w:val="ru-RU"/>
        </w:rPr>
        <w:t>mIoT</w:t>
      </w:r>
      <w:proofErr w:type="spellEnd"/>
      <w:r w:rsidRPr="00093167">
        <w:rPr>
          <w:szCs w:val="22"/>
          <w:lang w:val="ru-RU"/>
        </w:rPr>
        <w:t>.</w:t>
      </w:r>
    </w:p>
    <w:p w14:paraId="0D00EA2E" w14:textId="4C3F2573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t>2</w:t>
      </w:r>
      <w:r w:rsidRPr="00093167">
        <w:rPr>
          <w:lang w:val="ru-RU"/>
        </w:rPr>
        <w:tab/>
        <w:t>Проект новой Рекомендации МСЭ-T X.</w:t>
      </w:r>
      <w:r w:rsidR="00100969" w:rsidRPr="00093167">
        <w:rPr>
          <w:lang w:val="ru-RU"/>
        </w:rPr>
        <w:t>1380 (</w:t>
      </w:r>
      <w:proofErr w:type="spellStart"/>
      <w:r w:rsidR="00100969" w:rsidRPr="00093167">
        <w:rPr>
          <w:lang w:val="ru-RU"/>
        </w:rPr>
        <w:t>X.edr-sec</w:t>
      </w:r>
      <w:proofErr w:type="spellEnd"/>
      <w:r w:rsidR="00100969" w:rsidRPr="00093167">
        <w:rPr>
          <w:lang w:val="ru-RU"/>
        </w:rPr>
        <w:t>) [</w:t>
      </w:r>
      <w:hyperlink r:id="rId14" w:history="1">
        <w:r w:rsidR="00100969" w:rsidRPr="00093167">
          <w:rPr>
            <w:rStyle w:val="Hyperlink"/>
            <w:lang w:val="ru-RU"/>
          </w:rPr>
          <w:t>R22</w:t>
        </w:r>
      </w:hyperlink>
      <w:r w:rsidR="00100969" w:rsidRPr="00093167">
        <w:rPr>
          <w:lang w:val="ru-RU"/>
        </w:rPr>
        <w:t>]</w:t>
      </w:r>
    </w:p>
    <w:p w14:paraId="7724B096" w14:textId="5257EDC3" w:rsidR="008E5344" w:rsidRPr="00093167" w:rsidRDefault="009D6CF7" w:rsidP="008E5344">
      <w:pPr>
        <w:pStyle w:val="Headingb"/>
        <w:rPr>
          <w:lang w:val="ru-RU"/>
        </w:rPr>
      </w:pPr>
      <w:r w:rsidRPr="00093167">
        <w:rPr>
          <w:lang w:val="ru-RU"/>
        </w:rPr>
        <w:t xml:space="preserve">Руководящие указания по обеспечению безопасности </w:t>
      </w:r>
      <w:r w:rsidR="00E17EE7" w:rsidRPr="00093167">
        <w:rPr>
          <w:lang w:val="ru-RU"/>
        </w:rPr>
        <w:t xml:space="preserve">облачных </w:t>
      </w:r>
      <w:r w:rsidRPr="00093167">
        <w:rPr>
          <w:lang w:val="ru-RU"/>
        </w:rPr>
        <w:t>регистраторов данных в</w:t>
      </w:r>
      <w:r w:rsidR="00E17EE7" w:rsidRPr="00093167">
        <w:rPr>
          <w:lang w:val="ru-RU"/>
        </w:rPr>
        <w:t> </w:t>
      </w:r>
      <w:r w:rsidRPr="00093167">
        <w:rPr>
          <w:lang w:val="ru-RU"/>
        </w:rPr>
        <w:t>автомобильной среде</w:t>
      </w:r>
    </w:p>
    <w:p w14:paraId="642E2254" w14:textId="77777777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5A42893A" w14:textId="7305908B" w:rsidR="00CF4D91" w:rsidRPr="00093167" w:rsidRDefault="00CF4D91" w:rsidP="00100969">
      <w:pPr>
        <w:jc w:val="both"/>
        <w:rPr>
          <w:lang w:val="ru-RU"/>
        </w:rPr>
      </w:pPr>
      <w:r w:rsidRPr="00093167">
        <w:rPr>
          <w:lang w:val="ru-RU"/>
        </w:rPr>
        <w:t>Регистраторы данных о событиях (EDR) являются одним из наиболее важных компонентов, устан</w:t>
      </w:r>
      <w:r w:rsidR="00C84C4B" w:rsidRPr="00093167">
        <w:rPr>
          <w:lang w:val="ru-RU"/>
        </w:rPr>
        <w:t>авливаемых</w:t>
      </w:r>
      <w:r w:rsidRPr="00093167">
        <w:rPr>
          <w:lang w:val="ru-RU"/>
        </w:rPr>
        <w:t xml:space="preserve"> в дорожных транспортных средствах для регистрации состояния транспортного средства, его движения и действий пользователя во время аварий. Анализируя данные о событии, можно понять причину аварии и, в итоге, использовать </w:t>
      </w:r>
      <w:r w:rsidR="00C84C4B" w:rsidRPr="00093167">
        <w:rPr>
          <w:lang w:val="ru-RU"/>
        </w:rPr>
        <w:t>это</w:t>
      </w:r>
      <w:r w:rsidRPr="00093167">
        <w:rPr>
          <w:lang w:val="ru-RU"/>
        </w:rPr>
        <w:t xml:space="preserve"> для повышения безопасности в автомобильной среде. Система хранения данных для автоматизированного вождения также является важным компонентом </w:t>
      </w:r>
      <w:r w:rsidR="00C84C4B" w:rsidRPr="00093167">
        <w:rPr>
          <w:lang w:val="ru-RU"/>
        </w:rPr>
        <w:t>регистрации</w:t>
      </w:r>
      <w:r w:rsidRPr="00093167">
        <w:rPr>
          <w:lang w:val="ru-RU"/>
        </w:rPr>
        <w:t xml:space="preserve"> данных, которые дадут четкое представление о взаимодействии водител</w:t>
      </w:r>
      <w:r w:rsidR="00C84C4B" w:rsidRPr="00093167">
        <w:rPr>
          <w:lang w:val="ru-RU"/>
        </w:rPr>
        <w:t>я</w:t>
      </w:r>
      <w:r w:rsidRPr="00093167">
        <w:rPr>
          <w:lang w:val="ru-RU"/>
        </w:rPr>
        <w:t xml:space="preserve"> и </w:t>
      </w:r>
      <w:r w:rsidR="00C84C4B" w:rsidRPr="00093167">
        <w:rPr>
          <w:lang w:val="ru-RU"/>
        </w:rPr>
        <w:t xml:space="preserve">системы </w:t>
      </w:r>
      <w:r w:rsidRPr="00093167">
        <w:rPr>
          <w:lang w:val="ru-RU"/>
        </w:rPr>
        <w:t>автоматизированно</w:t>
      </w:r>
      <w:r w:rsidR="00C84C4B" w:rsidRPr="00093167">
        <w:rPr>
          <w:lang w:val="ru-RU"/>
        </w:rPr>
        <w:t>го</w:t>
      </w:r>
      <w:r w:rsidRPr="00093167">
        <w:rPr>
          <w:lang w:val="ru-RU"/>
        </w:rPr>
        <w:t xml:space="preserve"> вождения. Однако </w:t>
      </w:r>
      <w:r w:rsidR="00C84C4B" w:rsidRPr="00093167">
        <w:rPr>
          <w:lang w:val="ru-RU"/>
        </w:rPr>
        <w:t>традиционные</w:t>
      </w:r>
      <w:r w:rsidRPr="00093167">
        <w:rPr>
          <w:lang w:val="ru-RU"/>
        </w:rPr>
        <w:t xml:space="preserve"> регистраторы данных о событиях </w:t>
      </w:r>
      <w:r w:rsidR="00C84C4B" w:rsidRPr="00093167">
        <w:rPr>
          <w:lang w:val="ru-RU"/>
        </w:rPr>
        <w:t xml:space="preserve">осуществляют </w:t>
      </w:r>
      <w:r w:rsidRPr="00093167">
        <w:rPr>
          <w:lang w:val="ru-RU"/>
        </w:rPr>
        <w:t>запис</w:t>
      </w:r>
      <w:r w:rsidR="00C84C4B" w:rsidRPr="00093167">
        <w:rPr>
          <w:lang w:val="ru-RU"/>
        </w:rPr>
        <w:t>ь</w:t>
      </w:r>
      <w:r w:rsidRPr="00093167">
        <w:rPr>
          <w:lang w:val="ru-RU"/>
        </w:rPr>
        <w:t xml:space="preserve"> </w:t>
      </w:r>
      <w:r w:rsidR="00C84C4B" w:rsidRPr="00093167">
        <w:rPr>
          <w:lang w:val="ru-RU"/>
        </w:rPr>
        <w:t xml:space="preserve">всех данных </w:t>
      </w:r>
      <w:r w:rsidRPr="00093167">
        <w:rPr>
          <w:lang w:val="ru-RU"/>
        </w:rPr>
        <w:t>и управл</w:t>
      </w:r>
      <w:r w:rsidR="00C84C4B" w:rsidRPr="00093167">
        <w:rPr>
          <w:lang w:val="ru-RU"/>
        </w:rPr>
        <w:t>ение ими</w:t>
      </w:r>
      <w:r w:rsidRPr="00093167">
        <w:rPr>
          <w:lang w:val="ru-RU"/>
        </w:rPr>
        <w:t xml:space="preserve"> локально, и таким образом данные могут оказаться под угрозой потери или уничтожения.</w:t>
      </w:r>
    </w:p>
    <w:p w14:paraId="0A17C8EB" w14:textId="411FB0EA" w:rsidR="00100969" w:rsidRPr="00093167" w:rsidRDefault="00C84C4B" w:rsidP="00100969">
      <w:pPr>
        <w:jc w:val="both"/>
        <w:rPr>
          <w:lang w:val="ru-RU"/>
        </w:rPr>
      </w:pPr>
      <w:r w:rsidRPr="00093167">
        <w:rPr>
          <w:lang w:val="ru-RU"/>
        </w:rPr>
        <w:lastRenderedPageBreak/>
        <w:t>Облачные вычисления рассматриваются как средство сетевого доступа к масштабируемому и гибкому пулу совместно используемых физических или виртуальных ресурсов с самостоятельн</w:t>
      </w:r>
      <w:r w:rsidR="00F825CC" w:rsidRPr="00093167">
        <w:rPr>
          <w:lang w:val="ru-RU"/>
        </w:rPr>
        <w:t>ой подготовкой</w:t>
      </w:r>
      <w:r w:rsidRPr="00093167">
        <w:rPr>
          <w:lang w:val="ru-RU"/>
        </w:rPr>
        <w:t xml:space="preserve"> и администрированием по требованию. </w:t>
      </w:r>
      <w:r w:rsidR="00E17EE7" w:rsidRPr="00093167">
        <w:rPr>
          <w:lang w:val="ru-RU"/>
        </w:rPr>
        <w:t>В</w:t>
      </w:r>
      <w:r w:rsidRPr="00093167">
        <w:rPr>
          <w:lang w:val="ru-RU"/>
        </w:rPr>
        <w:t xml:space="preserve"> авиационн</w:t>
      </w:r>
      <w:r w:rsidR="00E17EE7" w:rsidRPr="00093167">
        <w:rPr>
          <w:lang w:val="ru-RU"/>
        </w:rPr>
        <w:t>ой отрасли, например</w:t>
      </w:r>
      <w:r w:rsidRPr="00093167">
        <w:rPr>
          <w:lang w:val="ru-RU"/>
        </w:rPr>
        <w:t xml:space="preserve">, уже </w:t>
      </w:r>
      <w:r w:rsidR="00E17EE7" w:rsidRPr="00093167">
        <w:rPr>
          <w:lang w:val="ru-RU"/>
        </w:rPr>
        <w:t>предпринимаются попытки</w:t>
      </w:r>
      <w:r w:rsidRPr="00093167">
        <w:rPr>
          <w:lang w:val="ru-RU"/>
        </w:rPr>
        <w:t xml:space="preserve"> применять </w:t>
      </w:r>
      <w:r w:rsidR="00F825CC" w:rsidRPr="00093167">
        <w:rPr>
          <w:lang w:val="ru-RU"/>
        </w:rPr>
        <w:t xml:space="preserve">услуги </w:t>
      </w:r>
      <w:r w:rsidRPr="00093167">
        <w:rPr>
          <w:lang w:val="ru-RU"/>
        </w:rPr>
        <w:t>облачны</w:t>
      </w:r>
      <w:r w:rsidR="00F825CC" w:rsidRPr="00093167">
        <w:rPr>
          <w:lang w:val="ru-RU"/>
        </w:rPr>
        <w:t>х вычислений</w:t>
      </w:r>
      <w:r w:rsidRPr="00093167">
        <w:rPr>
          <w:lang w:val="ru-RU"/>
        </w:rPr>
        <w:t xml:space="preserve"> к системам записи данных о событиях для повышения безопасности в авиационной среде. В соответствии с текущей тенденцией </w:t>
      </w:r>
      <w:r w:rsidR="00E17EE7" w:rsidRPr="00093167">
        <w:rPr>
          <w:lang w:val="ru-RU"/>
        </w:rPr>
        <w:t>в области</w:t>
      </w:r>
      <w:r w:rsidRPr="00093167">
        <w:rPr>
          <w:lang w:val="ru-RU"/>
        </w:rPr>
        <w:t xml:space="preserve"> </w:t>
      </w:r>
      <w:r w:rsidR="00F825CC" w:rsidRPr="00093167">
        <w:rPr>
          <w:lang w:val="ru-RU"/>
        </w:rPr>
        <w:t>установлени</w:t>
      </w:r>
      <w:r w:rsidR="00E17EE7" w:rsidRPr="00093167">
        <w:rPr>
          <w:lang w:val="ru-RU"/>
        </w:rPr>
        <w:t>я</w:t>
      </w:r>
      <w:r w:rsidR="00F825CC" w:rsidRPr="00093167">
        <w:rPr>
          <w:lang w:val="ru-RU"/>
        </w:rPr>
        <w:t xml:space="preserve"> соединений между</w:t>
      </w:r>
      <w:r w:rsidRPr="00093167">
        <w:rPr>
          <w:lang w:val="ru-RU"/>
        </w:rPr>
        <w:t xml:space="preserve"> транспортны</w:t>
      </w:r>
      <w:r w:rsidR="00F825CC" w:rsidRPr="00093167">
        <w:rPr>
          <w:lang w:val="ru-RU"/>
        </w:rPr>
        <w:t>ми</w:t>
      </w:r>
      <w:r w:rsidRPr="00093167">
        <w:rPr>
          <w:lang w:val="ru-RU"/>
        </w:rPr>
        <w:t xml:space="preserve"> средств</w:t>
      </w:r>
      <w:r w:rsidR="00F825CC" w:rsidRPr="00093167">
        <w:rPr>
          <w:lang w:val="ru-RU"/>
        </w:rPr>
        <w:t>ами</w:t>
      </w:r>
      <w:r w:rsidRPr="00093167">
        <w:rPr>
          <w:lang w:val="ru-RU"/>
        </w:rPr>
        <w:t>, EDR и системы хранения данных для автомати</w:t>
      </w:r>
      <w:r w:rsidR="00F825CC" w:rsidRPr="00093167">
        <w:rPr>
          <w:lang w:val="ru-RU"/>
        </w:rPr>
        <w:t>зированного</w:t>
      </w:r>
      <w:r w:rsidRPr="00093167">
        <w:rPr>
          <w:lang w:val="ru-RU"/>
        </w:rPr>
        <w:t xml:space="preserve"> вождения будут внедр</w:t>
      </w:r>
      <w:r w:rsidR="00633053" w:rsidRPr="00093167">
        <w:rPr>
          <w:lang w:val="ru-RU"/>
        </w:rPr>
        <w:t>яться</w:t>
      </w:r>
      <w:r w:rsidRPr="00093167">
        <w:rPr>
          <w:lang w:val="ru-RU"/>
        </w:rPr>
        <w:t xml:space="preserve"> для повышения их общей безопасности. Однако </w:t>
      </w:r>
      <w:r w:rsidR="00F825CC" w:rsidRPr="00093167">
        <w:rPr>
          <w:lang w:val="ru-RU"/>
        </w:rPr>
        <w:t>им присущи</w:t>
      </w:r>
      <w:r w:rsidRPr="00093167">
        <w:rPr>
          <w:lang w:val="ru-RU"/>
        </w:rPr>
        <w:t xml:space="preserve"> различные уязвимости в процессе сбора, передачи, хранения, управления и использования записанных данных в соответствии с отличительными характеристиками автомобильной среды. </w:t>
      </w:r>
      <w:r w:rsidR="00F825CC" w:rsidRPr="00093167">
        <w:rPr>
          <w:lang w:val="ru-RU"/>
        </w:rPr>
        <w:t xml:space="preserve">Следовательно, </w:t>
      </w:r>
      <w:r w:rsidRPr="00093167">
        <w:rPr>
          <w:lang w:val="ru-RU"/>
        </w:rPr>
        <w:t xml:space="preserve">необходимо изучить эти уязвимости, требования безопасности и </w:t>
      </w:r>
      <w:r w:rsidR="00F825CC" w:rsidRPr="00093167">
        <w:rPr>
          <w:lang w:val="ru-RU"/>
        </w:rPr>
        <w:t>сценарии</w:t>
      </w:r>
      <w:r w:rsidRPr="00093167">
        <w:rPr>
          <w:lang w:val="ru-RU"/>
        </w:rPr>
        <w:t xml:space="preserve"> использования </w:t>
      </w:r>
      <w:r w:rsidR="00E17EE7" w:rsidRPr="00093167">
        <w:rPr>
          <w:lang w:val="ru-RU"/>
        </w:rPr>
        <w:t xml:space="preserve">облачных </w:t>
      </w:r>
      <w:r w:rsidRPr="00093167">
        <w:rPr>
          <w:lang w:val="ru-RU"/>
        </w:rPr>
        <w:t>регистраторов данных в автомобильной среде.</w:t>
      </w:r>
    </w:p>
    <w:p w14:paraId="2D74B9F2" w14:textId="40B21AF7" w:rsidR="008E5344" w:rsidRPr="00093167" w:rsidRDefault="00A06AC3" w:rsidP="00100969">
      <w:pPr>
        <w:jc w:val="both"/>
        <w:rPr>
          <w:lang w:val="ru-RU"/>
        </w:rPr>
      </w:pPr>
      <w:r w:rsidRPr="00093167">
        <w:rPr>
          <w:lang w:val="ru-RU"/>
        </w:rPr>
        <w:t xml:space="preserve">В настоящей Рекомендации представлены </w:t>
      </w:r>
      <w:r w:rsidR="00E17EE7" w:rsidRPr="00093167">
        <w:rPr>
          <w:lang w:val="ru-RU"/>
        </w:rPr>
        <w:t>руководящие указания</w:t>
      </w:r>
      <w:r w:rsidRPr="00093167">
        <w:rPr>
          <w:lang w:val="ru-RU"/>
        </w:rPr>
        <w:t xml:space="preserve"> по</w:t>
      </w:r>
      <w:r w:rsidR="00E17EE7" w:rsidRPr="00093167">
        <w:rPr>
          <w:lang w:val="ru-RU"/>
        </w:rPr>
        <w:t xml:space="preserve"> обеспечению</w:t>
      </w:r>
      <w:r w:rsidRPr="00093167">
        <w:rPr>
          <w:lang w:val="ru-RU"/>
        </w:rPr>
        <w:t xml:space="preserve"> безопасности </w:t>
      </w:r>
      <w:r w:rsidR="00633053" w:rsidRPr="00093167">
        <w:rPr>
          <w:lang w:val="ru-RU"/>
        </w:rPr>
        <w:t xml:space="preserve">облачных </w:t>
      </w:r>
      <w:r w:rsidRPr="00093167">
        <w:rPr>
          <w:lang w:val="ru-RU"/>
        </w:rPr>
        <w:t xml:space="preserve">регистраторов данных в автомобильной среде. </w:t>
      </w:r>
      <w:r w:rsidR="00E17EE7" w:rsidRPr="00093167">
        <w:rPr>
          <w:lang w:val="ru-RU"/>
        </w:rPr>
        <w:t>О</w:t>
      </w:r>
      <w:r w:rsidRPr="00093167">
        <w:rPr>
          <w:lang w:val="ru-RU"/>
        </w:rPr>
        <w:t xml:space="preserve">писаны угрозы, уязвимости, требования безопасности и </w:t>
      </w:r>
      <w:r w:rsidR="00E17EE7" w:rsidRPr="00093167">
        <w:rPr>
          <w:lang w:val="ru-RU"/>
        </w:rPr>
        <w:t>сценарии</w:t>
      </w:r>
      <w:r w:rsidRPr="00093167">
        <w:rPr>
          <w:lang w:val="ru-RU"/>
        </w:rPr>
        <w:t xml:space="preserve"> использования облачных регистраторов данных в автомобильной среде.</w:t>
      </w:r>
    </w:p>
    <w:p w14:paraId="720E4B08" w14:textId="6DC118BC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t>3</w:t>
      </w:r>
      <w:r w:rsidRPr="00093167">
        <w:rPr>
          <w:lang w:val="ru-RU"/>
        </w:rPr>
        <w:tab/>
      </w:r>
      <w:r w:rsidR="0012140C" w:rsidRPr="00093167">
        <w:rPr>
          <w:lang w:val="ru-RU"/>
        </w:rPr>
        <w:t xml:space="preserve">Проект новой Рекомендации МСЭ-T </w:t>
      </w:r>
      <w:r w:rsidR="00100969" w:rsidRPr="00093167">
        <w:rPr>
          <w:lang w:val="ru-RU"/>
        </w:rPr>
        <w:t>X.1381 (</w:t>
      </w:r>
      <w:proofErr w:type="spellStart"/>
      <w:r w:rsidR="00100969" w:rsidRPr="00093167">
        <w:rPr>
          <w:lang w:val="ru-RU"/>
        </w:rPr>
        <w:t>X.eivn-sec</w:t>
      </w:r>
      <w:proofErr w:type="spellEnd"/>
      <w:r w:rsidR="00100969" w:rsidRPr="00093167">
        <w:rPr>
          <w:lang w:val="ru-RU"/>
        </w:rPr>
        <w:t>) [</w:t>
      </w:r>
      <w:hyperlink r:id="rId15" w:history="1">
        <w:r w:rsidR="00100969" w:rsidRPr="00093167">
          <w:rPr>
            <w:rStyle w:val="Hyperlink"/>
            <w:lang w:val="ru-RU"/>
          </w:rPr>
          <w:t>R23</w:t>
        </w:r>
      </w:hyperlink>
      <w:r w:rsidR="00100969" w:rsidRPr="00093167">
        <w:rPr>
          <w:lang w:val="ru-RU"/>
        </w:rPr>
        <w:t>]</w:t>
      </w:r>
    </w:p>
    <w:p w14:paraId="2961751B" w14:textId="5F9D2C53" w:rsidR="008E5344" w:rsidRPr="00093167" w:rsidRDefault="00E17EE7" w:rsidP="008E5344">
      <w:pPr>
        <w:pStyle w:val="Headingb"/>
        <w:rPr>
          <w:lang w:val="ru-RU"/>
        </w:rPr>
      </w:pPr>
      <w:r w:rsidRPr="00093167">
        <w:rPr>
          <w:lang w:val="ru-RU"/>
        </w:rPr>
        <w:t>Руководящие указания по обеспечению безопасности бортовых автомобильных сетей на базе </w:t>
      </w:r>
      <w:r w:rsidR="00100969" w:rsidRPr="00093167">
        <w:rPr>
          <w:lang w:val="ru-RU"/>
        </w:rPr>
        <w:t>Ethernet</w:t>
      </w:r>
    </w:p>
    <w:p w14:paraId="58E7CEA0" w14:textId="77777777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3DB374F4" w14:textId="6EE809AA" w:rsidR="00100969" w:rsidRPr="00093167" w:rsidRDefault="00E17EE7" w:rsidP="00100969">
      <w:pPr>
        <w:jc w:val="both"/>
        <w:rPr>
          <w:lang w:val="ru-RU"/>
        </w:rPr>
      </w:pPr>
      <w:r w:rsidRPr="00093167">
        <w:rPr>
          <w:lang w:val="ru-RU"/>
        </w:rPr>
        <w:t xml:space="preserve">В настоящей Рекомендации представлены </w:t>
      </w:r>
      <w:r w:rsidR="00633053" w:rsidRPr="00093167">
        <w:rPr>
          <w:lang w:val="ru-RU"/>
        </w:rPr>
        <w:t>руководящий указания</w:t>
      </w:r>
      <w:r w:rsidRPr="00093167">
        <w:rPr>
          <w:lang w:val="ru-RU"/>
        </w:rPr>
        <w:t xml:space="preserve"> по </w:t>
      </w:r>
      <w:r w:rsidR="009331A9" w:rsidRPr="00093167">
        <w:rPr>
          <w:lang w:val="ru-RU"/>
        </w:rPr>
        <w:t xml:space="preserve">обеспечению </w:t>
      </w:r>
      <w:r w:rsidRPr="00093167">
        <w:rPr>
          <w:lang w:val="ru-RU"/>
        </w:rPr>
        <w:t xml:space="preserve">безопасности </w:t>
      </w:r>
      <w:r w:rsidR="009331A9" w:rsidRPr="00093167">
        <w:rPr>
          <w:lang w:val="ru-RU"/>
        </w:rPr>
        <w:t xml:space="preserve">бортовых </w:t>
      </w:r>
      <w:r w:rsidRPr="00093167">
        <w:rPr>
          <w:lang w:val="ru-RU"/>
        </w:rPr>
        <w:t>автомобильных сетей (IVN) на базе Ethernet. Текущая тенденция в</w:t>
      </w:r>
      <w:r w:rsidR="00633053" w:rsidRPr="00093167">
        <w:rPr>
          <w:lang w:val="ru-RU"/>
        </w:rPr>
        <w:t xml:space="preserve"> построении</w:t>
      </w:r>
      <w:r w:rsidRPr="00093167">
        <w:rPr>
          <w:lang w:val="ru-RU"/>
        </w:rPr>
        <w:t xml:space="preserve"> электрической и электронной (E/E) архитектур</w:t>
      </w:r>
      <w:r w:rsidR="00633053" w:rsidRPr="00093167">
        <w:rPr>
          <w:lang w:val="ru-RU"/>
        </w:rPr>
        <w:t>ы</w:t>
      </w:r>
      <w:r w:rsidRPr="00093167">
        <w:rPr>
          <w:lang w:val="ru-RU"/>
        </w:rPr>
        <w:t xml:space="preserve"> заключается в интеграции Ethernet с </w:t>
      </w:r>
      <w:r w:rsidR="009331A9" w:rsidRPr="00093167">
        <w:rPr>
          <w:lang w:val="ru-RU"/>
        </w:rPr>
        <w:t>унаследованными</w:t>
      </w:r>
      <w:r w:rsidRPr="00093167">
        <w:rPr>
          <w:lang w:val="ru-RU"/>
        </w:rPr>
        <w:t xml:space="preserve"> IVN, такими как </w:t>
      </w:r>
      <w:r w:rsidR="009331A9" w:rsidRPr="00093167">
        <w:rPr>
          <w:lang w:val="ru-RU"/>
        </w:rPr>
        <w:t xml:space="preserve">локальная </w:t>
      </w:r>
      <w:r w:rsidRPr="00093167">
        <w:rPr>
          <w:lang w:val="ru-RU"/>
        </w:rPr>
        <w:t xml:space="preserve">сеть контроллеров (CAN), локальная </w:t>
      </w:r>
      <w:r w:rsidR="009331A9" w:rsidRPr="00093167">
        <w:rPr>
          <w:lang w:val="ru-RU"/>
        </w:rPr>
        <w:t xml:space="preserve">соединительная </w:t>
      </w:r>
      <w:r w:rsidRPr="00093167">
        <w:rPr>
          <w:lang w:val="ru-RU"/>
        </w:rPr>
        <w:t xml:space="preserve">сеть (LIN), </w:t>
      </w:r>
      <w:r w:rsidR="00691FCF" w:rsidRPr="00093167">
        <w:rPr>
          <w:lang w:val="ru-RU"/>
        </w:rPr>
        <w:t>передача данных мультимедийных систем</w:t>
      </w:r>
      <w:r w:rsidRPr="00093167">
        <w:rPr>
          <w:lang w:val="ru-RU"/>
        </w:rPr>
        <w:t xml:space="preserve"> (MOST) и </w:t>
      </w:r>
      <w:proofErr w:type="spellStart"/>
      <w:r w:rsidRPr="00093167">
        <w:rPr>
          <w:lang w:val="ru-RU"/>
        </w:rPr>
        <w:t>FlexRay</w:t>
      </w:r>
      <w:proofErr w:type="spellEnd"/>
      <w:r w:rsidRPr="00093167">
        <w:rPr>
          <w:lang w:val="ru-RU"/>
        </w:rPr>
        <w:t xml:space="preserve">. В прошлом Ethernet рассматривался только как </w:t>
      </w:r>
      <w:r w:rsidR="00691FCF" w:rsidRPr="00093167">
        <w:rPr>
          <w:lang w:val="ru-RU"/>
        </w:rPr>
        <w:t>соединение</w:t>
      </w:r>
      <w:r w:rsidRPr="00093167">
        <w:rPr>
          <w:lang w:val="ru-RU"/>
        </w:rPr>
        <w:t xml:space="preserve"> транспортны</w:t>
      </w:r>
      <w:r w:rsidR="00691FCF" w:rsidRPr="00093167">
        <w:rPr>
          <w:lang w:val="ru-RU"/>
        </w:rPr>
        <w:t>х</w:t>
      </w:r>
      <w:r w:rsidRPr="00093167">
        <w:rPr>
          <w:lang w:val="ru-RU"/>
        </w:rPr>
        <w:t xml:space="preserve"> средств </w:t>
      </w:r>
      <w:r w:rsidR="00691FCF" w:rsidRPr="00093167">
        <w:rPr>
          <w:lang w:val="ru-RU"/>
        </w:rPr>
        <w:t>с</w:t>
      </w:r>
      <w:r w:rsidRPr="00093167">
        <w:rPr>
          <w:lang w:val="ru-RU"/>
        </w:rPr>
        <w:t xml:space="preserve"> внешней средой. Стандартные протоколы, обеспечивающие </w:t>
      </w:r>
      <w:r w:rsidR="00691FCF" w:rsidRPr="00093167">
        <w:rPr>
          <w:lang w:val="ru-RU"/>
        </w:rPr>
        <w:t>соединения</w:t>
      </w:r>
      <w:r w:rsidRPr="00093167">
        <w:rPr>
          <w:lang w:val="ru-RU"/>
        </w:rPr>
        <w:t xml:space="preserve"> на </w:t>
      </w:r>
      <w:r w:rsidR="00691FCF" w:rsidRPr="00093167">
        <w:rPr>
          <w:lang w:val="ru-RU"/>
        </w:rPr>
        <w:t>базе протокола И</w:t>
      </w:r>
      <w:r w:rsidRPr="00093167">
        <w:rPr>
          <w:lang w:val="ru-RU"/>
        </w:rPr>
        <w:t xml:space="preserve">нтернет через Ethernet (например, диагностическая связь по протоколу </w:t>
      </w:r>
      <w:r w:rsidR="00691FCF" w:rsidRPr="00093167">
        <w:rPr>
          <w:lang w:val="ru-RU"/>
        </w:rPr>
        <w:t xml:space="preserve">Интернет </w:t>
      </w:r>
      <w:r w:rsidRPr="00093167">
        <w:rPr>
          <w:lang w:val="ru-RU"/>
        </w:rPr>
        <w:t xml:space="preserve">или универсальный протокол измерений и калибровки), использовались для обеспечения </w:t>
      </w:r>
      <w:r w:rsidR="00691FCF" w:rsidRPr="00093167">
        <w:rPr>
          <w:lang w:val="ru-RU"/>
        </w:rPr>
        <w:t xml:space="preserve">возможности </w:t>
      </w:r>
      <w:r w:rsidRPr="00093167">
        <w:rPr>
          <w:lang w:val="ru-RU"/>
        </w:rPr>
        <w:t xml:space="preserve">связи между внешней средой и транспортными средствами. </w:t>
      </w:r>
      <w:r w:rsidR="000469A8" w:rsidRPr="00093167">
        <w:rPr>
          <w:lang w:val="ru-RU"/>
        </w:rPr>
        <w:t>В</w:t>
      </w:r>
      <w:r w:rsidR="00691FCF" w:rsidRPr="00093167">
        <w:rPr>
          <w:lang w:val="ru-RU"/>
        </w:rPr>
        <w:t xml:space="preserve"> э</w:t>
      </w:r>
      <w:r w:rsidRPr="00093167">
        <w:rPr>
          <w:lang w:val="ru-RU"/>
        </w:rPr>
        <w:t>ти</w:t>
      </w:r>
      <w:r w:rsidR="00691FCF" w:rsidRPr="00093167">
        <w:rPr>
          <w:lang w:val="ru-RU"/>
        </w:rPr>
        <w:t>х</w:t>
      </w:r>
      <w:r w:rsidRPr="00093167">
        <w:rPr>
          <w:lang w:val="ru-RU"/>
        </w:rPr>
        <w:t xml:space="preserve"> </w:t>
      </w:r>
      <w:r w:rsidR="00691FCF" w:rsidRPr="00093167">
        <w:rPr>
          <w:lang w:val="ru-RU"/>
        </w:rPr>
        <w:t>сценари</w:t>
      </w:r>
      <w:r w:rsidR="000469A8" w:rsidRPr="00093167">
        <w:rPr>
          <w:lang w:val="ru-RU"/>
        </w:rPr>
        <w:t>ях</w:t>
      </w:r>
      <w:r w:rsidRPr="00093167">
        <w:rPr>
          <w:lang w:val="ru-RU"/>
        </w:rPr>
        <w:t xml:space="preserve"> использования, как правило, не </w:t>
      </w:r>
      <w:r w:rsidR="00691FCF" w:rsidRPr="00093167">
        <w:rPr>
          <w:lang w:val="ru-RU"/>
        </w:rPr>
        <w:t>требуется</w:t>
      </w:r>
      <w:r w:rsidRPr="00093167">
        <w:rPr>
          <w:lang w:val="ru-RU"/>
        </w:rPr>
        <w:t xml:space="preserve"> соответств</w:t>
      </w:r>
      <w:r w:rsidR="00691FCF" w:rsidRPr="00093167">
        <w:rPr>
          <w:lang w:val="ru-RU"/>
        </w:rPr>
        <w:t>ие</w:t>
      </w:r>
      <w:r w:rsidRPr="00093167">
        <w:rPr>
          <w:lang w:val="ru-RU"/>
        </w:rPr>
        <w:t xml:space="preserve"> </w:t>
      </w:r>
      <w:r w:rsidR="00691FCF" w:rsidRPr="00093167">
        <w:rPr>
          <w:lang w:val="ru-RU"/>
        </w:rPr>
        <w:t>жестким</w:t>
      </w:r>
      <w:r w:rsidRPr="00093167">
        <w:rPr>
          <w:lang w:val="ru-RU"/>
        </w:rPr>
        <w:t xml:space="preserve"> ограничениям реально</w:t>
      </w:r>
      <w:r w:rsidR="00691FCF" w:rsidRPr="00093167">
        <w:rPr>
          <w:lang w:val="ru-RU"/>
        </w:rPr>
        <w:t>го</w:t>
      </w:r>
      <w:r w:rsidRPr="00093167">
        <w:rPr>
          <w:lang w:val="ru-RU"/>
        </w:rPr>
        <w:t xml:space="preserve"> времени. Однако </w:t>
      </w:r>
      <w:r w:rsidR="00691FCF" w:rsidRPr="00093167">
        <w:rPr>
          <w:lang w:val="ru-RU"/>
        </w:rPr>
        <w:t xml:space="preserve">для </w:t>
      </w:r>
      <w:r w:rsidRPr="00093167">
        <w:rPr>
          <w:lang w:val="ru-RU"/>
        </w:rPr>
        <w:t>автомобильны</w:t>
      </w:r>
      <w:r w:rsidR="00691FCF" w:rsidRPr="00093167">
        <w:rPr>
          <w:lang w:val="ru-RU"/>
        </w:rPr>
        <w:t>х</w:t>
      </w:r>
      <w:r w:rsidRPr="00093167">
        <w:rPr>
          <w:lang w:val="ru-RU"/>
        </w:rPr>
        <w:t xml:space="preserve"> приложени</w:t>
      </w:r>
      <w:r w:rsidR="00691FCF" w:rsidRPr="00093167">
        <w:rPr>
          <w:lang w:val="ru-RU"/>
        </w:rPr>
        <w:t>й</w:t>
      </w:r>
      <w:r w:rsidRPr="00093167">
        <w:rPr>
          <w:lang w:val="ru-RU"/>
        </w:rPr>
        <w:t>, использующи</w:t>
      </w:r>
      <w:r w:rsidR="00691FCF" w:rsidRPr="00093167">
        <w:rPr>
          <w:lang w:val="ru-RU"/>
        </w:rPr>
        <w:t>х</w:t>
      </w:r>
      <w:r w:rsidRPr="00093167">
        <w:rPr>
          <w:lang w:val="ru-RU"/>
        </w:rPr>
        <w:t xml:space="preserve"> связь</w:t>
      </w:r>
      <w:r w:rsidR="00691FCF" w:rsidRPr="00093167">
        <w:rPr>
          <w:lang w:val="ru-RU"/>
        </w:rPr>
        <w:t xml:space="preserve"> на базе</w:t>
      </w:r>
      <w:r w:rsidRPr="00093167">
        <w:rPr>
          <w:lang w:val="ru-RU"/>
        </w:rPr>
        <w:t xml:space="preserve"> Ethernet, требу</w:t>
      </w:r>
      <w:r w:rsidR="00691FCF" w:rsidRPr="00093167">
        <w:rPr>
          <w:lang w:val="ru-RU"/>
        </w:rPr>
        <w:t>ется обеспечение</w:t>
      </w:r>
      <w:r w:rsidRPr="00093167">
        <w:rPr>
          <w:lang w:val="ru-RU"/>
        </w:rPr>
        <w:t xml:space="preserve"> таких характеристик, как высокая временная чувствительность и надежность.</w:t>
      </w:r>
    </w:p>
    <w:p w14:paraId="289A8DE2" w14:textId="7F7606C7" w:rsidR="00100969" w:rsidRPr="00093167" w:rsidRDefault="00691FCF" w:rsidP="00100969">
      <w:pPr>
        <w:jc w:val="both"/>
        <w:rPr>
          <w:lang w:val="ru-RU"/>
        </w:rPr>
      </w:pPr>
      <w:r w:rsidRPr="00093167">
        <w:rPr>
          <w:lang w:val="ru-RU"/>
        </w:rPr>
        <w:t xml:space="preserve">Текущие разработки в области </w:t>
      </w:r>
      <w:r w:rsidR="00BA7966" w:rsidRPr="00093167">
        <w:rPr>
          <w:lang w:val="ru-RU"/>
        </w:rPr>
        <w:t xml:space="preserve">технологий бортовой </w:t>
      </w:r>
      <w:r w:rsidRPr="00093167">
        <w:rPr>
          <w:lang w:val="ru-RU"/>
        </w:rPr>
        <w:t>автомобильн</w:t>
      </w:r>
      <w:r w:rsidR="00BA7966" w:rsidRPr="00093167">
        <w:rPr>
          <w:lang w:val="ru-RU"/>
        </w:rPr>
        <w:t>ой связи</w:t>
      </w:r>
      <w:r w:rsidRPr="00093167">
        <w:rPr>
          <w:lang w:val="ru-RU"/>
        </w:rPr>
        <w:t xml:space="preserve"> требуют увеличения пропускной способности сети. По сравнению с Ethernet </w:t>
      </w:r>
      <w:r w:rsidR="00BA7966" w:rsidRPr="00093167">
        <w:rPr>
          <w:lang w:val="ru-RU"/>
        </w:rPr>
        <w:t>унаследованные</w:t>
      </w:r>
      <w:r w:rsidRPr="00093167">
        <w:rPr>
          <w:lang w:val="ru-RU"/>
        </w:rPr>
        <w:t xml:space="preserve"> IVN недостаточны для удовлетворения требований к пропускной способности </w:t>
      </w:r>
      <w:r w:rsidR="00BA7966" w:rsidRPr="00093167">
        <w:rPr>
          <w:lang w:val="ru-RU"/>
        </w:rPr>
        <w:t>современных</w:t>
      </w:r>
      <w:r w:rsidRPr="00093167">
        <w:rPr>
          <w:lang w:val="ru-RU"/>
        </w:rPr>
        <w:t xml:space="preserve"> </w:t>
      </w:r>
      <w:r w:rsidR="00BA7966" w:rsidRPr="00093167">
        <w:rPr>
          <w:lang w:val="ru-RU"/>
        </w:rPr>
        <w:t xml:space="preserve">бортовых </w:t>
      </w:r>
      <w:r w:rsidRPr="00093167">
        <w:rPr>
          <w:lang w:val="ru-RU"/>
        </w:rPr>
        <w:t>автомобильных приложений. Таким образом, сейчас и в будущем IVN на основе Ethernet являются основной частью архитектуры E/E.</w:t>
      </w:r>
    </w:p>
    <w:p w14:paraId="4C41D764" w14:textId="25B78C35" w:rsidR="00100969" w:rsidRPr="00093167" w:rsidRDefault="00BA7966" w:rsidP="00100969">
      <w:pPr>
        <w:jc w:val="both"/>
        <w:rPr>
          <w:lang w:val="ru-RU"/>
        </w:rPr>
      </w:pPr>
      <w:r w:rsidRPr="00093167">
        <w:rPr>
          <w:lang w:val="ru-RU"/>
        </w:rPr>
        <w:t xml:space="preserve">Однако контрмеры, известные из </w:t>
      </w:r>
      <w:r w:rsidR="00045A7C" w:rsidRPr="00093167">
        <w:rPr>
          <w:lang w:val="ru-RU"/>
        </w:rPr>
        <w:t xml:space="preserve">опыта работы </w:t>
      </w:r>
      <w:r w:rsidRPr="00093167">
        <w:rPr>
          <w:lang w:val="ru-RU"/>
        </w:rPr>
        <w:t xml:space="preserve">обычных компьютерных сетей, не могут быть </w:t>
      </w:r>
      <w:r w:rsidR="00045A7C" w:rsidRPr="00093167">
        <w:rPr>
          <w:lang w:val="ru-RU"/>
        </w:rPr>
        <w:t>пригодными</w:t>
      </w:r>
      <w:r w:rsidRPr="00093167">
        <w:rPr>
          <w:lang w:val="ru-RU"/>
        </w:rPr>
        <w:t xml:space="preserve"> для автомобильного применения, поскольку они разработаны </w:t>
      </w:r>
      <w:r w:rsidR="00045A7C" w:rsidRPr="00093167">
        <w:rPr>
          <w:lang w:val="ru-RU"/>
        </w:rPr>
        <w:t>без</w:t>
      </w:r>
      <w:r w:rsidRPr="00093167">
        <w:rPr>
          <w:lang w:val="ru-RU"/>
        </w:rPr>
        <w:t xml:space="preserve"> учет</w:t>
      </w:r>
      <w:r w:rsidR="00045A7C" w:rsidRPr="00093167">
        <w:rPr>
          <w:lang w:val="ru-RU"/>
        </w:rPr>
        <w:t>а</w:t>
      </w:r>
      <w:r w:rsidRPr="00093167">
        <w:rPr>
          <w:lang w:val="ru-RU"/>
        </w:rPr>
        <w:t xml:space="preserve"> автомобильных требований и возможностей.</w:t>
      </w:r>
    </w:p>
    <w:p w14:paraId="15814827" w14:textId="64BFB50C" w:rsidR="008E5344" w:rsidRPr="00093167" w:rsidRDefault="00045A7C" w:rsidP="00100969">
      <w:pPr>
        <w:jc w:val="both"/>
        <w:rPr>
          <w:lang w:val="ru-RU"/>
        </w:rPr>
      </w:pPr>
      <w:r w:rsidRPr="00093167">
        <w:rPr>
          <w:lang w:val="ru-RU"/>
        </w:rPr>
        <w:t>Для того чтобы удовлетворить этим требованиям, в настоящей Рекомендации представлены руководящие указания по обеспечению безопасности для автомобильной технологии Ethernet. В настоящую Рекомендацию включены эталонная модель автомобильного Ethernet и анализ угроз и уязвимостей IVN на базе Ethernet. Кроме того, в настоящей Рекомендации представлены требования безопасности и сценарии использования IVN на базе Ethernet.</w:t>
      </w:r>
    </w:p>
    <w:p w14:paraId="1BB9B286" w14:textId="7BD95B13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lastRenderedPageBreak/>
        <w:t>4</w:t>
      </w:r>
      <w:r w:rsidRPr="00093167">
        <w:rPr>
          <w:lang w:val="ru-RU"/>
        </w:rPr>
        <w:tab/>
      </w:r>
      <w:r w:rsidR="0012140C" w:rsidRPr="00093167">
        <w:rPr>
          <w:lang w:val="ru-RU"/>
        </w:rPr>
        <w:t xml:space="preserve">Проект новой Рекомендации МСЭ-T </w:t>
      </w:r>
      <w:r w:rsidR="00100969" w:rsidRPr="00093167">
        <w:rPr>
          <w:lang w:val="ru-RU"/>
        </w:rPr>
        <w:t>X.1382 (</w:t>
      </w:r>
      <w:proofErr w:type="spellStart"/>
      <w:r w:rsidR="00100969" w:rsidRPr="00093167">
        <w:rPr>
          <w:lang w:val="ru-RU"/>
        </w:rPr>
        <w:t>X.fstsicv</w:t>
      </w:r>
      <w:proofErr w:type="spellEnd"/>
      <w:r w:rsidR="00100969" w:rsidRPr="00093167">
        <w:rPr>
          <w:lang w:val="ru-RU"/>
        </w:rPr>
        <w:t>) [</w:t>
      </w:r>
      <w:hyperlink r:id="rId16" w:history="1">
        <w:r w:rsidR="00100969" w:rsidRPr="00093167">
          <w:rPr>
            <w:rStyle w:val="Hyperlink"/>
            <w:lang w:val="ru-RU"/>
          </w:rPr>
          <w:t>R24</w:t>
        </w:r>
      </w:hyperlink>
      <w:r w:rsidR="00100969" w:rsidRPr="00093167">
        <w:rPr>
          <w:lang w:val="ru-RU"/>
        </w:rPr>
        <w:t>]</w:t>
      </w:r>
    </w:p>
    <w:p w14:paraId="3E02748E" w14:textId="4F847A87" w:rsidR="008E5344" w:rsidRPr="00093167" w:rsidRDefault="00045A7C" w:rsidP="00093167">
      <w:pPr>
        <w:pStyle w:val="Headingb"/>
        <w:jc w:val="both"/>
        <w:rPr>
          <w:lang w:val="ru-RU"/>
        </w:rPr>
      </w:pPr>
      <w:r w:rsidRPr="00093167">
        <w:rPr>
          <w:lang w:val="ru-RU"/>
        </w:rPr>
        <w:t>Руководящие указания по обмену информацией об угрозах безопасности между соединенными транспортными средствами</w:t>
      </w:r>
    </w:p>
    <w:p w14:paraId="4FEEAF5C" w14:textId="77777777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50CC8EB0" w14:textId="3F298068" w:rsidR="00100969" w:rsidRPr="00093167" w:rsidRDefault="0009446E" w:rsidP="00100969">
      <w:pPr>
        <w:jc w:val="both"/>
        <w:rPr>
          <w:lang w:val="ru-RU"/>
        </w:rPr>
      </w:pPr>
      <w:r w:rsidRPr="00093167">
        <w:rPr>
          <w:lang w:val="ru-RU"/>
        </w:rPr>
        <w:t>По мере стремительного развития с</w:t>
      </w:r>
      <w:r w:rsidR="00491199" w:rsidRPr="00093167">
        <w:rPr>
          <w:lang w:val="ru-RU"/>
        </w:rPr>
        <w:t>оединенны</w:t>
      </w:r>
      <w:r w:rsidRPr="00093167">
        <w:rPr>
          <w:lang w:val="ru-RU"/>
        </w:rPr>
        <w:t>х</w:t>
      </w:r>
      <w:r w:rsidR="00491199" w:rsidRPr="00093167">
        <w:rPr>
          <w:lang w:val="ru-RU"/>
        </w:rPr>
        <w:t xml:space="preserve"> транспортны</w:t>
      </w:r>
      <w:r w:rsidRPr="00093167">
        <w:rPr>
          <w:lang w:val="ru-RU"/>
        </w:rPr>
        <w:t>х</w:t>
      </w:r>
      <w:r w:rsidR="00491199" w:rsidRPr="00093167">
        <w:rPr>
          <w:lang w:val="ru-RU"/>
        </w:rPr>
        <w:t xml:space="preserve"> средств </w:t>
      </w:r>
      <w:r w:rsidRPr="00093167">
        <w:rPr>
          <w:lang w:val="ru-RU"/>
        </w:rPr>
        <w:t>возникают</w:t>
      </w:r>
      <w:r w:rsidR="00491199" w:rsidRPr="00093167">
        <w:rPr>
          <w:lang w:val="ru-RU"/>
        </w:rPr>
        <w:t xml:space="preserve"> все более серьезны</w:t>
      </w:r>
      <w:r w:rsidRPr="00093167">
        <w:rPr>
          <w:lang w:val="ru-RU"/>
        </w:rPr>
        <w:t>е</w:t>
      </w:r>
      <w:r w:rsidR="00491199" w:rsidRPr="00093167">
        <w:rPr>
          <w:lang w:val="ru-RU"/>
        </w:rPr>
        <w:t xml:space="preserve"> проблем</w:t>
      </w:r>
      <w:r w:rsidRPr="00093167">
        <w:rPr>
          <w:lang w:val="ru-RU"/>
        </w:rPr>
        <w:t>ы</w:t>
      </w:r>
      <w:r w:rsidR="00491199" w:rsidRPr="00093167">
        <w:rPr>
          <w:lang w:val="ru-RU"/>
        </w:rPr>
        <w:t xml:space="preserve"> сетевой безопасности. Информация об угрозах безопасности соединенных транспортных средств, которая составляет неотъемлемую часть обеспечения безопасности соединенных транспортных средств, — это любая информация, которая может помочь организации в идентификации, оценке, мониторинге соединенного транспортного средства и реагировании на него. Организации, которые обмениваются информацией об угрозах для соединенных транспортных средств, могут улучшить свои собственные средства обеспечения безопасности и средства обеспечения безопасности других организаций.</w:t>
      </w:r>
    </w:p>
    <w:p w14:paraId="528AE1AF" w14:textId="36329BB7" w:rsidR="00100969" w:rsidRPr="00093167" w:rsidRDefault="00F2262B" w:rsidP="00100969">
      <w:pPr>
        <w:jc w:val="both"/>
        <w:rPr>
          <w:lang w:val="ru-RU"/>
        </w:rPr>
      </w:pPr>
      <w:r w:rsidRPr="00093167">
        <w:rPr>
          <w:lang w:val="ru-RU"/>
        </w:rPr>
        <w:t>В настоящей</w:t>
      </w:r>
      <w:r w:rsidR="00491199" w:rsidRPr="00093167">
        <w:rPr>
          <w:lang w:val="ru-RU"/>
        </w:rPr>
        <w:t xml:space="preserve"> Рекомендаци</w:t>
      </w:r>
      <w:r w:rsidRPr="00093167">
        <w:rPr>
          <w:lang w:val="ru-RU"/>
        </w:rPr>
        <w:t>и</w:t>
      </w:r>
      <w:r w:rsidR="00491199" w:rsidRPr="00093167">
        <w:rPr>
          <w:lang w:val="ru-RU"/>
        </w:rPr>
        <w:t xml:space="preserve"> </w:t>
      </w:r>
      <w:r w:rsidRPr="00093167">
        <w:rPr>
          <w:lang w:val="ru-RU"/>
        </w:rPr>
        <w:t>содержится руководство</w:t>
      </w:r>
      <w:r w:rsidR="00491199" w:rsidRPr="00093167">
        <w:rPr>
          <w:lang w:val="ru-RU"/>
        </w:rPr>
        <w:t xml:space="preserve"> по принципам, правилам, метод</w:t>
      </w:r>
      <w:r w:rsidRPr="00093167">
        <w:rPr>
          <w:lang w:val="ru-RU"/>
        </w:rPr>
        <w:t>ике</w:t>
      </w:r>
      <w:r w:rsidR="00491199" w:rsidRPr="00093167">
        <w:rPr>
          <w:lang w:val="ru-RU"/>
        </w:rPr>
        <w:t xml:space="preserve"> и процедурам обмена информацией о безопасности </w:t>
      </w:r>
      <w:r w:rsidRPr="00093167">
        <w:rPr>
          <w:lang w:val="ru-RU"/>
        </w:rPr>
        <w:t>соединенных</w:t>
      </w:r>
      <w:r w:rsidR="00491199" w:rsidRPr="00093167">
        <w:rPr>
          <w:lang w:val="ru-RU"/>
        </w:rPr>
        <w:t xml:space="preserve"> транспортных средств. </w:t>
      </w:r>
      <w:r w:rsidRPr="00093167">
        <w:rPr>
          <w:lang w:val="ru-RU"/>
        </w:rPr>
        <w:t>Приведено</w:t>
      </w:r>
      <w:r w:rsidR="00491199" w:rsidRPr="00093167">
        <w:rPr>
          <w:lang w:val="ru-RU"/>
        </w:rPr>
        <w:t xml:space="preserve"> также краткое описание раз</w:t>
      </w:r>
      <w:r w:rsidRPr="00093167">
        <w:rPr>
          <w:lang w:val="ru-RU"/>
        </w:rPr>
        <w:t>н</w:t>
      </w:r>
      <w:r w:rsidR="00491199" w:rsidRPr="00093167">
        <w:rPr>
          <w:lang w:val="ru-RU"/>
        </w:rPr>
        <w:t>ых областей, ролей и эффективности различных организаций, когда они участвуют в жизненном цикле обмена информацией об угрозах безопасности.</w:t>
      </w:r>
    </w:p>
    <w:p w14:paraId="3500D80F" w14:textId="14817BE0" w:rsidR="00100969" w:rsidRPr="00093167" w:rsidRDefault="00F2262B" w:rsidP="00100969">
      <w:pPr>
        <w:jc w:val="both"/>
        <w:rPr>
          <w:lang w:val="ru-RU"/>
        </w:rPr>
      </w:pPr>
      <w:r w:rsidRPr="00093167">
        <w:rPr>
          <w:lang w:val="ru-RU"/>
        </w:rPr>
        <w:t>Настоящая Рекомендация предназначена для того, чтобы помочь организациям оставаться на связи с сообществом, использующим общие соединенные транспортные средства, и предоставлять информацию об угрозах, которая будет поддерживать практику обеспечения безопасности соединенных транспортных средств. В целом, настоящая Рекомендация направлена на расширение обмена информацией об угрозах безопасности и смягчение потенциального воздействия кибератак на соединенные транспортные средства.</w:t>
      </w:r>
    </w:p>
    <w:p w14:paraId="55EABCF2" w14:textId="5235A07C" w:rsidR="008E5344" w:rsidRPr="00093167" w:rsidRDefault="005E357A" w:rsidP="00100969">
      <w:pPr>
        <w:jc w:val="both"/>
        <w:rPr>
          <w:lang w:val="ru-RU"/>
        </w:rPr>
      </w:pPr>
      <w:r w:rsidRPr="00093167">
        <w:rPr>
          <w:lang w:val="ru-RU"/>
        </w:rPr>
        <w:t xml:space="preserve">В этом проекте текста, по которому сделано заключение, перечислены нормативные ссылки, требующие обоснования согласно Рекомендации A.5 МСЭ-Т, которое представлено в </w:t>
      </w:r>
      <w:r w:rsidR="00100969" w:rsidRPr="00093167">
        <w:rPr>
          <w:lang w:val="ru-RU"/>
        </w:rPr>
        <w:t>SG17-</w:t>
      </w:r>
      <w:hyperlink r:id="rId17" w:history="1">
        <w:r w:rsidR="00100969" w:rsidRPr="00093167">
          <w:rPr>
            <w:rStyle w:val="Hyperlink"/>
            <w:lang w:val="ru-RU"/>
          </w:rPr>
          <w:t>TD510</w:t>
        </w:r>
      </w:hyperlink>
      <w:r w:rsidR="00100969" w:rsidRPr="00093167">
        <w:rPr>
          <w:lang w:val="ru-RU"/>
        </w:rPr>
        <w:t>.</w:t>
      </w:r>
    </w:p>
    <w:p w14:paraId="295F6509" w14:textId="1116D701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t>5</w:t>
      </w:r>
      <w:r w:rsidRPr="00093167">
        <w:rPr>
          <w:lang w:val="ru-RU"/>
        </w:rPr>
        <w:tab/>
        <w:t xml:space="preserve">Проект новой Рекомендации МСЭ-T </w:t>
      </w:r>
      <w:r w:rsidR="00200F79" w:rsidRPr="00093167">
        <w:rPr>
          <w:lang w:val="ru-RU"/>
        </w:rPr>
        <w:t>X.1383 (</w:t>
      </w:r>
      <w:proofErr w:type="spellStart"/>
      <w:r w:rsidR="00200F79" w:rsidRPr="00093167">
        <w:rPr>
          <w:lang w:val="ru-RU"/>
        </w:rPr>
        <w:t>X.srcd</w:t>
      </w:r>
      <w:proofErr w:type="spellEnd"/>
      <w:r w:rsidR="00200F79" w:rsidRPr="00093167">
        <w:rPr>
          <w:lang w:val="ru-RU"/>
        </w:rPr>
        <w:t>) [</w:t>
      </w:r>
      <w:hyperlink r:id="rId18" w:history="1">
        <w:r w:rsidR="00200F79" w:rsidRPr="00093167">
          <w:rPr>
            <w:rStyle w:val="Hyperlink"/>
            <w:lang w:val="ru-RU"/>
          </w:rPr>
          <w:t>R25</w:t>
        </w:r>
      </w:hyperlink>
      <w:r w:rsidR="00200F79" w:rsidRPr="00093167">
        <w:rPr>
          <w:lang w:val="ru-RU"/>
        </w:rPr>
        <w:t>]</w:t>
      </w:r>
    </w:p>
    <w:p w14:paraId="4BB3CAEF" w14:textId="6B33668A" w:rsidR="008E5344" w:rsidRPr="00093167" w:rsidRDefault="002459BB" w:rsidP="00350496">
      <w:pPr>
        <w:pStyle w:val="Headingb"/>
        <w:jc w:val="both"/>
        <w:rPr>
          <w:lang w:val="ru-RU"/>
        </w:rPr>
      </w:pPr>
      <w:r w:rsidRPr="00093167">
        <w:rPr>
          <w:lang w:val="ru-RU"/>
        </w:rPr>
        <w:t xml:space="preserve">Требования безопасности для </w:t>
      </w:r>
      <w:proofErr w:type="spellStart"/>
      <w:r w:rsidRPr="00093167">
        <w:rPr>
          <w:lang w:val="ru-RU"/>
        </w:rPr>
        <w:t>категоризованных</w:t>
      </w:r>
      <w:proofErr w:type="spellEnd"/>
      <w:r w:rsidRPr="00093167">
        <w:rPr>
          <w:lang w:val="ru-RU"/>
        </w:rPr>
        <w:t xml:space="preserve"> данных в процессе</w:t>
      </w:r>
      <w:r w:rsidR="00200F79" w:rsidRPr="00093167">
        <w:rPr>
          <w:lang w:val="ru-RU"/>
        </w:rPr>
        <w:t xml:space="preserve"> </w:t>
      </w:r>
      <w:r w:rsidRPr="00093167">
        <w:rPr>
          <w:lang w:val="ru-RU"/>
        </w:rPr>
        <w:t>связи транспортных средств с различными объектами</w:t>
      </w:r>
    </w:p>
    <w:p w14:paraId="12CA3118" w14:textId="77777777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348DC8E5" w14:textId="124944EF" w:rsidR="00200F79" w:rsidRPr="00093167" w:rsidRDefault="002459BB" w:rsidP="00200F79">
      <w:pPr>
        <w:jc w:val="both"/>
        <w:rPr>
          <w:lang w:val="ru-RU"/>
        </w:rPr>
      </w:pPr>
      <w:r w:rsidRPr="00093167">
        <w:rPr>
          <w:lang w:val="ru-RU"/>
        </w:rPr>
        <w:t xml:space="preserve">Безопасность данных является одним из наиболее важных </w:t>
      </w:r>
      <w:r w:rsidR="009565F5" w:rsidRPr="00093167">
        <w:rPr>
          <w:lang w:val="ru-RU"/>
        </w:rPr>
        <w:t>аспектов</w:t>
      </w:r>
      <w:r w:rsidRPr="00093167">
        <w:rPr>
          <w:lang w:val="ru-RU"/>
        </w:rPr>
        <w:t xml:space="preserve"> процесса связи транспортных средств с различными объектами (V2X). Однако в среде с ограниченными ресурсами, такой как бортовая автомобильная связь, защита данных потребляет большой объем ресурсов </w:t>
      </w:r>
      <w:r w:rsidR="009565F5" w:rsidRPr="00093167">
        <w:rPr>
          <w:lang w:val="ru-RU"/>
        </w:rPr>
        <w:t>в силу того, что</w:t>
      </w:r>
      <w:r w:rsidRPr="00093167">
        <w:rPr>
          <w:lang w:val="ru-RU"/>
        </w:rPr>
        <w:t xml:space="preserve"> требуются криптографические функции.</w:t>
      </w:r>
    </w:p>
    <w:p w14:paraId="4D5E2193" w14:textId="0A25E90B" w:rsidR="008E5344" w:rsidRPr="00093167" w:rsidRDefault="002459BB" w:rsidP="00200F79">
      <w:pPr>
        <w:jc w:val="both"/>
        <w:rPr>
          <w:lang w:val="ru-RU"/>
        </w:rPr>
      </w:pPr>
      <w:r w:rsidRPr="00093167">
        <w:rPr>
          <w:lang w:val="ru-RU"/>
        </w:rPr>
        <w:t xml:space="preserve">В настоящей Рекомендации данные, используемые в процессе связи V2X, распределены по категориям нескольких типов, таким как данные атрибутов объекта, данные о состоянии транспортного средства, данные о восприятии окружающей среды, данные управления транспортным средством, данные службы приложений и персональные данные пользователя, и типам </w:t>
      </w:r>
      <w:proofErr w:type="spellStart"/>
      <w:r w:rsidRPr="00093167">
        <w:rPr>
          <w:lang w:val="ru-RU"/>
        </w:rPr>
        <w:t>категоризованных</w:t>
      </w:r>
      <w:proofErr w:type="spellEnd"/>
      <w:r w:rsidRPr="00093167">
        <w:rPr>
          <w:lang w:val="ru-RU"/>
        </w:rPr>
        <w:t xml:space="preserve"> данных присвоены три уровня безопасности. На основе этих типов </w:t>
      </w:r>
      <w:proofErr w:type="spellStart"/>
      <w:r w:rsidRPr="00093167">
        <w:rPr>
          <w:lang w:val="ru-RU"/>
        </w:rPr>
        <w:t>категоризованных</w:t>
      </w:r>
      <w:proofErr w:type="spellEnd"/>
      <w:r w:rsidRPr="00093167">
        <w:rPr>
          <w:lang w:val="ru-RU"/>
        </w:rPr>
        <w:t xml:space="preserve"> данных и присвоенных уровней безопасности данных в настоящей Рекомендации представлены требования безопасности для </w:t>
      </w:r>
      <w:proofErr w:type="spellStart"/>
      <w:r w:rsidRPr="00093167">
        <w:rPr>
          <w:lang w:val="ru-RU"/>
        </w:rPr>
        <w:t>категоризованных</w:t>
      </w:r>
      <w:proofErr w:type="spellEnd"/>
      <w:r w:rsidRPr="00093167">
        <w:rPr>
          <w:lang w:val="ru-RU"/>
        </w:rPr>
        <w:t xml:space="preserve"> данных в процессе связи V2X.</w:t>
      </w:r>
    </w:p>
    <w:p w14:paraId="2F3AE25D" w14:textId="1ACA062B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lastRenderedPageBreak/>
        <w:t>6</w:t>
      </w:r>
      <w:r w:rsidRPr="00093167">
        <w:rPr>
          <w:lang w:val="ru-RU"/>
        </w:rPr>
        <w:tab/>
        <w:t xml:space="preserve">Проект новой Рекомендации МСЭ-T </w:t>
      </w:r>
      <w:r w:rsidR="00200F79" w:rsidRPr="00093167">
        <w:rPr>
          <w:lang w:val="ru-RU"/>
        </w:rPr>
        <w:t>X.1410 (X.sa-</w:t>
      </w:r>
      <w:proofErr w:type="spellStart"/>
      <w:r w:rsidR="00200F79" w:rsidRPr="00093167">
        <w:rPr>
          <w:lang w:val="ru-RU"/>
        </w:rPr>
        <w:t>dsm</w:t>
      </w:r>
      <w:proofErr w:type="spellEnd"/>
      <w:r w:rsidR="00200F79" w:rsidRPr="00093167">
        <w:rPr>
          <w:lang w:val="ru-RU"/>
        </w:rPr>
        <w:t>) [</w:t>
      </w:r>
      <w:hyperlink r:id="rId19" w:history="1">
        <w:r w:rsidR="00200F79" w:rsidRPr="00093167">
          <w:rPr>
            <w:rStyle w:val="Hyperlink"/>
            <w:lang w:val="ru-RU"/>
          </w:rPr>
          <w:t>R26</w:t>
        </w:r>
      </w:hyperlink>
      <w:r w:rsidR="00200F79" w:rsidRPr="00093167">
        <w:rPr>
          <w:lang w:val="ru-RU"/>
        </w:rPr>
        <w:t>]</w:t>
      </w:r>
    </w:p>
    <w:p w14:paraId="010ADB16" w14:textId="532329F5" w:rsidR="008E5344" w:rsidRPr="00093167" w:rsidRDefault="00C546E5" w:rsidP="00093167">
      <w:pPr>
        <w:pStyle w:val="Headingb"/>
        <w:jc w:val="both"/>
        <w:rPr>
          <w:lang w:val="ru-RU"/>
        </w:rPr>
      </w:pPr>
      <w:r w:rsidRPr="00093167">
        <w:rPr>
          <w:lang w:val="ru-RU"/>
        </w:rPr>
        <w:t xml:space="preserve">Архитектура безопасности для управления </w:t>
      </w:r>
      <w:r w:rsidR="00E66854" w:rsidRPr="00093167">
        <w:rPr>
          <w:lang w:val="ru-RU"/>
        </w:rPr>
        <w:t>обменом</w:t>
      </w:r>
      <w:r w:rsidRPr="00093167">
        <w:rPr>
          <w:lang w:val="ru-RU"/>
        </w:rPr>
        <w:t xml:space="preserve"> данны</w:t>
      </w:r>
      <w:r w:rsidR="00E66854" w:rsidRPr="00093167">
        <w:rPr>
          <w:lang w:val="ru-RU"/>
        </w:rPr>
        <w:t>ми</w:t>
      </w:r>
      <w:r w:rsidRPr="00093167">
        <w:rPr>
          <w:lang w:val="ru-RU"/>
        </w:rPr>
        <w:t xml:space="preserve"> на основе технологии распределенного реестра</w:t>
      </w:r>
    </w:p>
    <w:p w14:paraId="71CA22EF" w14:textId="77777777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45DA9634" w14:textId="4AF6F0D4" w:rsidR="00200F79" w:rsidRPr="00093167" w:rsidRDefault="0014405C" w:rsidP="00200F79">
      <w:pPr>
        <w:jc w:val="both"/>
        <w:rPr>
          <w:lang w:val="ru-RU"/>
        </w:rPr>
      </w:pPr>
      <w:r w:rsidRPr="00093167">
        <w:rPr>
          <w:lang w:val="ru-RU"/>
        </w:rPr>
        <w:t xml:space="preserve">Технологии распределенного реестра (DLT) предоставляют инновационные решения, которые трансформируют отрасли и </w:t>
      </w:r>
      <w:r w:rsidR="00A64345" w:rsidRPr="00093167">
        <w:rPr>
          <w:lang w:val="ru-RU"/>
        </w:rPr>
        <w:t>из</w:t>
      </w:r>
      <w:r w:rsidRPr="00093167">
        <w:rPr>
          <w:lang w:val="ru-RU"/>
        </w:rPr>
        <w:t xml:space="preserve">меняют методы работы правительств, учреждений и предприятий. Их функции децентрализации и защиты от несанкционированного доступа позволяют DLT </w:t>
      </w:r>
      <w:r w:rsidR="00A64345" w:rsidRPr="00093167">
        <w:rPr>
          <w:lang w:val="ru-RU"/>
        </w:rPr>
        <w:t>обеспечивать</w:t>
      </w:r>
      <w:r w:rsidRPr="00093167">
        <w:rPr>
          <w:lang w:val="ru-RU"/>
        </w:rPr>
        <w:t xml:space="preserve"> решение для безопасно</w:t>
      </w:r>
      <w:r w:rsidR="00A64345" w:rsidRPr="00093167">
        <w:rPr>
          <w:lang w:val="ru-RU"/>
        </w:rPr>
        <w:t>го тиражирования</w:t>
      </w:r>
      <w:r w:rsidRPr="00093167">
        <w:rPr>
          <w:lang w:val="ru-RU"/>
        </w:rPr>
        <w:t xml:space="preserve">, </w:t>
      </w:r>
      <w:r w:rsidR="00A64345" w:rsidRPr="00093167">
        <w:rPr>
          <w:lang w:val="ru-RU"/>
        </w:rPr>
        <w:t>совместного использования</w:t>
      </w:r>
      <w:r w:rsidRPr="00093167">
        <w:rPr>
          <w:lang w:val="ru-RU"/>
        </w:rPr>
        <w:t xml:space="preserve"> и синхронизации данных в распределенной компьютерной сети. Существующие подходы к </w:t>
      </w:r>
      <w:r w:rsidR="00E66854" w:rsidRPr="00093167">
        <w:rPr>
          <w:lang w:val="ru-RU"/>
        </w:rPr>
        <w:t>обмены</w:t>
      </w:r>
      <w:r w:rsidR="00A64345" w:rsidRPr="00093167">
        <w:rPr>
          <w:lang w:val="ru-RU"/>
        </w:rPr>
        <w:t xml:space="preserve"> коммерческой информаци</w:t>
      </w:r>
      <w:r w:rsidR="00E66854" w:rsidRPr="00093167">
        <w:rPr>
          <w:lang w:val="ru-RU"/>
        </w:rPr>
        <w:t>ей</w:t>
      </w:r>
      <w:r w:rsidRPr="00093167">
        <w:rPr>
          <w:lang w:val="ru-RU"/>
        </w:rPr>
        <w:t xml:space="preserve"> и </w:t>
      </w:r>
      <w:r w:rsidR="00A64345" w:rsidRPr="00093167">
        <w:rPr>
          <w:lang w:val="ru-RU"/>
        </w:rPr>
        <w:t>информаци</w:t>
      </w:r>
      <w:r w:rsidR="00E66854" w:rsidRPr="00093167">
        <w:rPr>
          <w:lang w:val="ru-RU"/>
        </w:rPr>
        <w:t>ей</w:t>
      </w:r>
      <w:r w:rsidRPr="00093167">
        <w:rPr>
          <w:lang w:val="ru-RU"/>
        </w:rPr>
        <w:t>, позволяющ</w:t>
      </w:r>
      <w:r w:rsidR="00A64345" w:rsidRPr="00093167">
        <w:rPr>
          <w:lang w:val="ru-RU"/>
        </w:rPr>
        <w:t>ей</w:t>
      </w:r>
      <w:r w:rsidRPr="00093167">
        <w:rPr>
          <w:lang w:val="ru-RU"/>
        </w:rPr>
        <w:t xml:space="preserve"> установить личность (PII), с компаниями и цифровыми платформами привели к </w:t>
      </w:r>
      <w:r w:rsidR="00A64345" w:rsidRPr="00093167">
        <w:rPr>
          <w:lang w:val="ru-RU"/>
        </w:rPr>
        <w:t xml:space="preserve">появлению </w:t>
      </w:r>
      <w:r w:rsidRPr="00093167">
        <w:rPr>
          <w:lang w:val="ru-RU"/>
        </w:rPr>
        <w:t>уязвимост</w:t>
      </w:r>
      <w:r w:rsidR="00A64345" w:rsidRPr="00093167">
        <w:rPr>
          <w:lang w:val="ru-RU"/>
        </w:rPr>
        <w:t>ей</w:t>
      </w:r>
      <w:r w:rsidRPr="00093167">
        <w:rPr>
          <w:lang w:val="ru-RU"/>
        </w:rPr>
        <w:t xml:space="preserve"> конфиденциальности </w:t>
      </w:r>
      <w:r w:rsidR="00A64345" w:rsidRPr="00093167">
        <w:rPr>
          <w:lang w:val="ru-RU"/>
        </w:rPr>
        <w:t>вследствие</w:t>
      </w:r>
      <w:r w:rsidRPr="00093167">
        <w:rPr>
          <w:lang w:val="ru-RU"/>
        </w:rPr>
        <w:t xml:space="preserve"> взлома или </w:t>
      </w:r>
      <w:r w:rsidR="00A64345" w:rsidRPr="00093167">
        <w:rPr>
          <w:lang w:val="ru-RU"/>
        </w:rPr>
        <w:t>неудовлетворительного</w:t>
      </w:r>
      <w:r w:rsidRPr="00093167">
        <w:rPr>
          <w:lang w:val="ru-RU"/>
        </w:rPr>
        <w:t xml:space="preserve"> управления данными. Внедрение DLT или </w:t>
      </w:r>
      <w:proofErr w:type="spellStart"/>
      <w:r w:rsidRPr="00093167">
        <w:rPr>
          <w:lang w:val="ru-RU"/>
        </w:rPr>
        <w:t>блокчейна</w:t>
      </w:r>
      <w:proofErr w:type="spellEnd"/>
      <w:r w:rsidRPr="00093167">
        <w:rPr>
          <w:lang w:val="ru-RU"/>
        </w:rPr>
        <w:t xml:space="preserve"> в управление </w:t>
      </w:r>
      <w:r w:rsidR="004779C3" w:rsidRPr="00093167">
        <w:rPr>
          <w:lang w:val="ru-RU"/>
        </w:rPr>
        <w:t>обменом</w:t>
      </w:r>
      <w:r w:rsidR="00A64345" w:rsidRPr="00093167">
        <w:rPr>
          <w:lang w:val="ru-RU"/>
        </w:rPr>
        <w:t xml:space="preserve"> данны</w:t>
      </w:r>
      <w:r w:rsidR="004779C3" w:rsidRPr="00093167">
        <w:rPr>
          <w:lang w:val="ru-RU"/>
        </w:rPr>
        <w:t>ми</w:t>
      </w:r>
      <w:r w:rsidRPr="00093167">
        <w:rPr>
          <w:lang w:val="ru-RU"/>
        </w:rPr>
        <w:t xml:space="preserve"> позволяет отдельным лицам или компаниям поддерживать </w:t>
      </w:r>
      <w:r w:rsidR="00A64345" w:rsidRPr="00093167">
        <w:rPr>
          <w:lang w:val="ru-RU"/>
        </w:rPr>
        <w:t>в большей степени непосредств</w:t>
      </w:r>
      <w:r w:rsidR="004779C3" w:rsidRPr="00093167">
        <w:rPr>
          <w:lang w:val="ru-RU"/>
        </w:rPr>
        <w:t>е</w:t>
      </w:r>
      <w:r w:rsidR="00A64345" w:rsidRPr="00093167">
        <w:rPr>
          <w:lang w:val="ru-RU"/>
        </w:rPr>
        <w:t>нный</w:t>
      </w:r>
      <w:r w:rsidRPr="00093167">
        <w:rPr>
          <w:lang w:val="ru-RU"/>
        </w:rPr>
        <w:t xml:space="preserve"> контроль над своей собственной конфиденциальной информацией. В решении на основе DLT </w:t>
      </w:r>
      <w:r w:rsidR="00A64345" w:rsidRPr="00093167">
        <w:rPr>
          <w:lang w:val="ru-RU"/>
        </w:rPr>
        <w:t xml:space="preserve">внутри сети хранятся </w:t>
      </w:r>
      <w:r w:rsidRPr="00093167">
        <w:rPr>
          <w:lang w:val="ru-RU"/>
        </w:rPr>
        <w:t>только данные, не относящиеся к PII, например хешированные значения данных, а данные PII</w:t>
      </w:r>
      <w:r w:rsidR="00A64345" w:rsidRPr="00093167">
        <w:rPr>
          <w:lang w:val="ru-RU"/>
        </w:rPr>
        <w:t>, относящиеся к</w:t>
      </w:r>
      <w:r w:rsidRPr="00093167">
        <w:rPr>
          <w:lang w:val="ru-RU"/>
        </w:rPr>
        <w:t xml:space="preserve"> владельц</w:t>
      </w:r>
      <w:r w:rsidR="00A64345" w:rsidRPr="00093167">
        <w:rPr>
          <w:lang w:val="ru-RU"/>
        </w:rPr>
        <w:t>у</w:t>
      </w:r>
      <w:r w:rsidRPr="00093167">
        <w:rPr>
          <w:lang w:val="ru-RU"/>
        </w:rPr>
        <w:t xml:space="preserve"> данных</w:t>
      </w:r>
      <w:r w:rsidR="00A64345" w:rsidRPr="00093167">
        <w:rPr>
          <w:lang w:val="ru-RU"/>
        </w:rPr>
        <w:t>,</w:t>
      </w:r>
      <w:r w:rsidRPr="00093167">
        <w:rPr>
          <w:lang w:val="ru-RU"/>
        </w:rPr>
        <w:t xml:space="preserve"> хранятся вне </w:t>
      </w:r>
      <w:r w:rsidR="00A64345" w:rsidRPr="00093167">
        <w:rPr>
          <w:lang w:val="ru-RU"/>
        </w:rPr>
        <w:t>сети</w:t>
      </w:r>
      <w:r w:rsidRPr="00093167">
        <w:rPr>
          <w:lang w:val="ru-RU"/>
        </w:rPr>
        <w:t xml:space="preserve">. Решение на основе </w:t>
      </w:r>
      <w:r w:rsidR="004677E7" w:rsidRPr="00093167">
        <w:rPr>
          <w:lang w:val="ru-RU"/>
        </w:rPr>
        <w:t>DLT</w:t>
      </w:r>
      <w:r w:rsidRPr="00093167">
        <w:rPr>
          <w:lang w:val="ru-RU"/>
        </w:rPr>
        <w:t xml:space="preserve"> позволяет улучшить </w:t>
      </w:r>
      <w:proofErr w:type="spellStart"/>
      <w:r w:rsidRPr="00093167">
        <w:rPr>
          <w:lang w:val="ru-RU"/>
        </w:rPr>
        <w:t>отслеживаемость</w:t>
      </w:r>
      <w:proofErr w:type="spellEnd"/>
      <w:r w:rsidRPr="00093167">
        <w:rPr>
          <w:lang w:val="ru-RU"/>
        </w:rPr>
        <w:t xml:space="preserve">, </w:t>
      </w:r>
      <w:proofErr w:type="spellStart"/>
      <w:r w:rsidRPr="00093167">
        <w:rPr>
          <w:lang w:val="ru-RU"/>
        </w:rPr>
        <w:t>проверяемость</w:t>
      </w:r>
      <w:proofErr w:type="spellEnd"/>
      <w:r w:rsidRPr="00093167">
        <w:rPr>
          <w:lang w:val="ru-RU"/>
        </w:rPr>
        <w:t xml:space="preserve"> и возможность изменения состояния данных.</w:t>
      </w:r>
    </w:p>
    <w:p w14:paraId="0A733DF8" w14:textId="552ECD7F" w:rsidR="008E5344" w:rsidRPr="00093167" w:rsidRDefault="004677E7" w:rsidP="00200F79">
      <w:pPr>
        <w:jc w:val="both"/>
        <w:rPr>
          <w:lang w:val="ru-RU"/>
        </w:rPr>
      </w:pPr>
      <w:r w:rsidRPr="00093167">
        <w:rPr>
          <w:lang w:val="ru-RU"/>
        </w:rPr>
        <w:t xml:space="preserve">В настоящей Рекомендации определена архитектура безопасности управления </w:t>
      </w:r>
      <w:r w:rsidR="004779C3" w:rsidRPr="00093167">
        <w:rPr>
          <w:lang w:val="ru-RU"/>
        </w:rPr>
        <w:t>обменом</w:t>
      </w:r>
      <w:r w:rsidRPr="00093167">
        <w:rPr>
          <w:lang w:val="ru-RU"/>
        </w:rPr>
        <w:t xml:space="preserve"> данны</w:t>
      </w:r>
      <w:r w:rsidR="004779C3" w:rsidRPr="00093167">
        <w:rPr>
          <w:lang w:val="ru-RU"/>
        </w:rPr>
        <w:t>ми</w:t>
      </w:r>
      <w:r w:rsidRPr="00093167">
        <w:rPr>
          <w:lang w:val="ru-RU"/>
        </w:rPr>
        <w:t xml:space="preserve"> на основе технологий распределенного реестра (DLT). На базе этой архитектуры в настоящей Рекомендации описаны интерфейсы между функциональными объектами и процедуры управления </w:t>
      </w:r>
      <w:r w:rsidR="004779C3" w:rsidRPr="00093167">
        <w:rPr>
          <w:lang w:val="ru-RU"/>
        </w:rPr>
        <w:t>обменом</w:t>
      </w:r>
      <w:r w:rsidRPr="00093167">
        <w:rPr>
          <w:lang w:val="ru-RU"/>
        </w:rPr>
        <w:t xml:space="preserve"> данны</w:t>
      </w:r>
      <w:r w:rsidR="004779C3" w:rsidRPr="00093167">
        <w:rPr>
          <w:lang w:val="ru-RU"/>
        </w:rPr>
        <w:t>ми</w:t>
      </w:r>
      <w:r w:rsidRPr="00093167">
        <w:rPr>
          <w:lang w:val="ru-RU"/>
        </w:rPr>
        <w:t xml:space="preserve"> на основе DLT.</w:t>
      </w:r>
    </w:p>
    <w:p w14:paraId="021D021E" w14:textId="4C6EFC26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t>7</w:t>
      </w:r>
      <w:r w:rsidRPr="00093167">
        <w:rPr>
          <w:lang w:val="ru-RU"/>
        </w:rPr>
        <w:tab/>
        <w:t xml:space="preserve">Проект новой Рекомендации МСЭ-T </w:t>
      </w:r>
      <w:r w:rsidR="007E689F" w:rsidRPr="00093167">
        <w:rPr>
          <w:lang w:val="ru-RU"/>
        </w:rPr>
        <w:t>X.1411 (</w:t>
      </w:r>
      <w:proofErr w:type="spellStart"/>
      <w:r w:rsidR="007E689F" w:rsidRPr="00093167">
        <w:rPr>
          <w:lang w:val="ru-RU"/>
        </w:rPr>
        <w:t>X.BaaS-sec</w:t>
      </w:r>
      <w:proofErr w:type="spellEnd"/>
      <w:r w:rsidR="007E689F" w:rsidRPr="00093167">
        <w:rPr>
          <w:lang w:val="ru-RU"/>
        </w:rPr>
        <w:t>) [</w:t>
      </w:r>
      <w:hyperlink r:id="rId20" w:history="1">
        <w:r w:rsidR="007E689F" w:rsidRPr="00093167">
          <w:rPr>
            <w:rStyle w:val="Hyperlink"/>
            <w:lang w:val="ru-RU"/>
          </w:rPr>
          <w:t>R20</w:t>
        </w:r>
      </w:hyperlink>
      <w:r w:rsidR="007E689F" w:rsidRPr="00093167">
        <w:rPr>
          <w:lang w:val="ru-RU"/>
        </w:rPr>
        <w:t>]</w:t>
      </w:r>
    </w:p>
    <w:p w14:paraId="2DE6D868" w14:textId="1F2FE169" w:rsidR="008E5344" w:rsidRPr="00093167" w:rsidRDefault="00090557" w:rsidP="00350496">
      <w:pPr>
        <w:pStyle w:val="Headingb"/>
        <w:jc w:val="both"/>
        <w:rPr>
          <w:lang w:val="ru-RU"/>
        </w:rPr>
      </w:pPr>
      <w:r w:rsidRPr="00093167">
        <w:rPr>
          <w:lang w:val="ru-RU"/>
        </w:rPr>
        <w:t xml:space="preserve">Руководящие указания по обеспечению безопасности </w:t>
      </w:r>
      <w:proofErr w:type="spellStart"/>
      <w:r w:rsidRPr="00093167">
        <w:rPr>
          <w:lang w:val="ru-RU"/>
        </w:rPr>
        <w:t>блокчейна</w:t>
      </w:r>
      <w:proofErr w:type="spellEnd"/>
      <w:r w:rsidRPr="00093167">
        <w:rPr>
          <w:lang w:val="ru-RU"/>
        </w:rPr>
        <w:t xml:space="preserve"> как услуги</w:t>
      </w:r>
      <w:r w:rsidR="007E689F" w:rsidRPr="00093167">
        <w:rPr>
          <w:lang w:val="ru-RU"/>
        </w:rPr>
        <w:t xml:space="preserve"> (</w:t>
      </w:r>
      <w:proofErr w:type="spellStart"/>
      <w:r w:rsidR="007E689F" w:rsidRPr="00093167">
        <w:rPr>
          <w:lang w:val="ru-RU"/>
        </w:rPr>
        <w:t>BaaS</w:t>
      </w:r>
      <w:proofErr w:type="spellEnd"/>
      <w:r w:rsidR="007E689F" w:rsidRPr="00093167">
        <w:rPr>
          <w:lang w:val="ru-RU"/>
        </w:rPr>
        <w:t>)</w:t>
      </w:r>
    </w:p>
    <w:p w14:paraId="72AB1405" w14:textId="77777777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035DA008" w14:textId="6C9FE785" w:rsidR="007E689F" w:rsidRPr="00093167" w:rsidRDefault="00090557" w:rsidP="007E689F">
      <w:pPr>
        <w:jc w:val="both"/>
        <w:rPr>
          <w:lang w:val="ru-RU"/>
        </w:rPr>
      </w:pPr>
      <w:proofErr w:type="spellStart"/>
      <w:r w:rsidRPr="00093167">
        <w:rPr>
          <w:lang w:val="ru-RU"/>
        </w:rPr>
        <w:t>Блокчейн</w:t>
      </w:r>
      <w:proofErr w:type="spellEnd"/>
      <w:r w:rsidRPr="00093167">
        <w:rPr>
          <w:lang w:val="ru-RU"/>
        </w:rPr>
        <w:t xml:space="preserve"> как услуга (</w:t>
      </w:r>
      <w:proofErr w:type="spellStart"/>
      <w:r w:rsidRPr="00093167">
        <w:rPr>
          <w:lang w:val="ru-RU"/>
        </w:rPr>
        <w:t>BaaS</w:t>
      </w:r>
      <w:proofErr w:type="spellEnd"/>
      <w:r w:rsidRPr="00093167">
        <w:rPr>
          <w:lang w:val="ru-RU"/>
        </w:rPr>
        <w:t xml:space="preserve">) стал основным направлением разработки </w:t>
      </w:r>
      <w:proofErr w:type="spellStart"/>
      <w:r w:rsidRPr="00093167">
        <w:rPr>
          <w:lang w:val="ru-RU"/>
        </w:rPr>
        <w:t>блокчейнов</w:t>
      </w:r>
      <w:proofErr w:type="spellEnd"/>
      <w:r w:rsidRPr="00093167">
        <w:rPr>
          <w:lang w:val="ru-RU"/>
        </w:rPr>
        <w:t xml:space="preserve"> благодаря своим перспективным возможностям и широкой поддержке, которую он получил со стороны отрасли, в особенности со стороны ведущих поставщиков облачных услуг. </w:t>
      </w:r>
      <w:proofErr w:type="spellStart"/>
      <w:r w:rsidRPr="00093167">
        <w:rPr>
          <w:lang w:val="ru-RU"/>
        </w:rPr>
        <w:t>BaaS</w:t>
      </w:r>
      <w:proofErr w:type="spellEnd"/>
      <w:r w:rsidRPr="00093167">
        <w:rPr>
          <w:lang w:val="ru-RU"/>
        </w:rPr>
        <w:t xml:space="preserve"> обеспечивает ключевые услуги и ресурсы для приложений </w:t>
      </w:r>
      <w:proofErr w:type="spellStart"/>
      <w:r w:rsidRPr="00093167">
        <w:rPr>
          <w:lang w:val="ru-RU"/>
        </w:rPr>
        <w:t>блокчейна</w:t>
      </w:r>
      <w:proofErr w:type="spellEnd"/>
      <w:r w:rsidRPr="00093167">
        <w:rPr>
          <w:lang w:val="ru-RU"/>
        </w:rPr>
        <w:t xml:space="preserve">, однако сталкивается с проблемами безопасности, связанными как с базовыми технологиями </w:t>
      </w:r>
      <w:proofErr w:type="spellStart"/>
      <w:r w:rsidRPr="00093167">
        <w:rPr>
          <w:lang w:val="ru-RU"/>
        </w:rPr>
        <w:t>блокчейна</w:t>
      </w:r>
      <w:proofErr w:type="spellEnd"/>
      <w:r w:rsidRPr="00093167">
        <w:rPr>
          <w:lang w:val="ru-RU"/>
        </w:rPr>
        <w:t xml:space="preserve">, так и с облачными платформами. Таким образом, руководство по обеспечению безопасности </w:t>
      </w:r>
      <w:proofErr w:type="spellStart"/>
      <w:r w:rsidRPr="00093167">
        <w:rPr>
          <w:lang w:val="ru-RU"/>
        </w:rPr>
        <w:t>BaaS</w:t>
      </w:r>
      <w:proofErr w:type="spellEnd"/>
      <w:r w:rsidRPr="00093167">
        <w:rPr>
          <w:lang w:val="ru-RU"/>
        </w:rPr>
        <w:t xml:space="preserve"> имеет первостепенное значение и является настоятельной необходимостью.</w:t>
      </w:r>
    </w:p>
    <w:p w14:paraId="4BFBD3BC" w14:textId="279D2FF9" w:rsidR="008E5344" w:rsidRPr="00093167" w:rsidRDefault="00D1799E" w:rsidP="007E689F">
      <w:pPr>
        <w:jc w:val="both"/>
        <w:rPr>
          <w:lang w:val="ru-RU"/>
        </w:rPr>
      </w:pPr>
      <w:r w:rsidRPr="00093167">
        <w:rPr>
          <w:lang w:val="ru-RU"/>
        </w:rPr>
        <w:t xml:space="preserve">В настоящей Рекомендации представлены общие руководящие указания по обеспечению безопасности </w:t>
      </w:r>
      <w:proofErr w:type="spellStart"/>
      <w:r w:rsidRPr="00093167">
        <w:rPr>
          <w:lang w:val="ru-RU"/>
        </w:rPr>
        <w:t>блокчейна</w:t>
      </w:r>
      <w:proofErr w:type="spellEnd"/>
      <w:r w:rsidRPr="00093167">
        <w:rPr>
          <w:lang w:val="ru-RU"/>
        </w:rPr>
        <w:t xml:space="preserve"> как услуги (</w:t>
      </w:r>
      <w:proofErr w:type="spellStart"/>
      <w:r w:rsidRPr="00093167">
        <w:rPr>
          <w:lang w:val="ru-RU"/>
        </w:rPr>
        <w:t>BaaS</w:t>
      </w:r>
      <w:proofErr w:type="spellEnd"/>
      <w:r w:rsidRPr="00093167">
        <w:rPr>
          <w:lang w:val="ru-RU"/>
        </w:rPr>
        <w:t>). Сначала пр</w:t>
      </w:r>
      <w:r w:rsidR="009561C8" w:rsidRPr="00093167">
        <w:rPr>
          <w:lang w:val="ru-RU"/>
        </w:rPr>
        <w:t>о</w:t>
      </w:r>
      <w:r w:rsidRPr="00093167">
        <w:rPr>
          <w:lang w:val="ru-RU"/>
        </w:rPr>
        <w:t xml:space="preserve">веден анализ угроз и уязвимостей безопасности </w:t>
      </w:r>
      <w:proofErr w:type="spellStart"/>
      <w:r w:rsidRPr="00093167">
        <w:rPr>
          <w:lang w:val="ru-RU"/>
        </w:rPr>
        <w:t>BaaS</w:t>
      </w:r>
      <w:proofErr w:type="spellEnd"/>
      <w:r w:rsidRPr="00093167">
        <w:rPr>
          <w:lang w:val="ru-RU"/>
        </w:rPr>
        <w:t xml:space="preserve">, а затем представлены меры обеспечения безопасности </w:t>
      </w:r>
      <w:proofErr w:type="spellStart"/>
      <w:r w:rsidRPr="00093167">
        <w:rPr>
          <w:lang w:val="ru-RU"/>
        </w:rPr>
        <w:t>BaaS</w:t>
      </w:r>
      <w:proofErr w:type="spellEnd"/>
      <w:r w:rsidRPr="00093167">
        <w:rPr>
          <w:lang w:val="ru-RU"/>
        </w:rPr>
        <w:t xml:space="preserve">. В Рекомендации также рассматриваются требования безопасности и содержатся руководящие указания, относящиеся ко всем действиям по созданию, эксплуатации и использованию </w:t>
      </w:r>
      <w:proofErr w:type="spellStart"/>
      <w:r w:rsidRPr="00093167">
        <w:rPr>
          <w:lang w:val="ru-RU"/>
        </w:rPr>
        <w:t>BaaS</w:t>
      </w:r>
      <w:proofErr w:type="spellEnd"/>
      <w:r w:rsidRPr="00093167">
        <w:rPr>
          <w:lang w:val="ru-RU"/>
        </w:rPr>
        <w:t>.</w:t>
      </w:r>
    </w:p>
    <w:p w14:paraId="16F6B1B6" w14:textId="7514C5CB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t>8</w:t>
      </w:r>
      <w:r w:rsidRPr="00093167">
        <w:rPr>
          <w:lang w:val="ru-RU"/>
        </w:rPr>
        <w:tab/>
        <w:t xml:space="preserve">Проект новой Рекомендации МСЭ-T </w:t>
      </w:r>
      <w:r w:rsidR="007E689F" w:rsidRPr="00093167">
        <w:rPr>
          <w:lang w:val="ru-RU"/>
        </w:rPr>
        <w:t>X.1454 (</w:t>
      </w:r>
      <w:proofErr w:type="spellStart"/>
      <w:r w:rsidR="007E689F" w:rsidRPr="00093167">
        <w:rPr>
          <w:lang w:val="ru-RU"/>
        </w:rPr>
        <w:t>X.sles</w:t>
      </w:r>
      <w:proofErr w:type="spellEnd"/>
      <w:r w:rsidR="007E689F" w:rsidRPr="00093167">
        <w:rPr>
          <w:lang w:val="ru-RU"/>
        </w:rPr>
        <w:t>) [</w:t>
      </w:r>
      <w:hyperlink r:id="rId21" w:history="1">
        <w:r w:rsidR="007E689F" w:rsidRPr="00093167">
          <w:rPr>
            <w:rStyle w:val="Hyperlink"/>
            <w:lang w:val="ru-RU"/>
          </w:rPr>
          <w:t>R19</w:t>
        </w:r>
      </w:hyperlink>
      <w:r w:rsidR="007E689F" w:rsidRPr="00093167">
        <w:rPr>
          <w:lang w:val="ru-RU"/>
        </w:rPr>
        <w:t>]</w:t>
      </w:r>
    </w:p>
    <w:p w14:paraId="110C4180" w14:textId="7BB4CF58" w:rsidR="008E5344" w:rsidRPr="00093167" w:rsidRDefault="001232E6" w:rsidP="008E5344">
      <w:pPr>
        <w:pStyle w:val="Headingb"/>
        <w:rPr>
          <w:lang w:val="ru-RU"/>
        </w:rPr>
      </w:pPr>
      <w:r w:rsidRPr="00093167">
        <w:rPr>
          <w:lang w:val="ru-RU"/>
        </w:rPr>
        <w:t xml:space="preserve">Меры безопасности для </w:t>
      </w:r>
      <w:r w:rsidR="00221E07" w:rsidRPr="00093167">
        <w:rPr>
          <w:lang w:val="ru-RU"/>
        </w:rPr>
        <w:t>услуг</w:t>
      </w:r>
      <w:r w:rsidRPr="00093167">
        <w:rPr>
          <w:lang w:val="ru-RU"/>
        </w:rPr>
        <w:t xml:space="preserve"> </w:t>
      </w:r>
      <w:r w:rsidRPr="00093167">
        <w:rPr>
          <w:b w:val="0"/>
          <w:bCs/>
          <w:lang w:val="ru-RU"/>
        </w:rPr>
        <w:t>"</w:t>
      </w:r>
      <w:r w:rsidRPr="00093167">
        <w:rPr>
          <w:lang w:val="ru-RU"/>
        </w:rPr>
        <w:t>умного</w:t>
      </w:r>
      <w:r w:rsidRPr="00093167">
        <w:rPr>
          <w:b w:val="0"/>
          <w:bCs/>
          <w:lang w:val="ru-RU"/>
        </w:rPr>
        <w:t>"</w:t>
      </w:r>
      <w:r w:rsidRPr="00093167">
        <w:rPr>
          <w:lang w:val="ru-RU"/>
        </w:rPr>
        <w:t xml:space="preserve"> офиса с поддержкой определения местоположения</w:t>
      </w:r>
    </w:p>
    <w:p w14:paraId="282C04EB" w14:textId="77777777" w:rsidR="008E5344" w:rsidRPr="00093167" w:rsidRDefault="008E5344" w:rsidP="008E5344">
      <w:pPr>
        <w:pStyle w:val="Headingb"/>
        <w:rPr>
          <w:lang w:val="ru-RU"/>
        </w:rPr>
      </w:pPr>
      <w:bookmarkStart w:id="0" w:name="_Hlk82698003"/>
      <w:r w:rsidRPr="00093167">
        <w:rPr>
          <w:lang w:val="ru-RU"/>
        </w:rPr>
        <w:t>Резюме</w:t>
      </w:r>
    </w:p>
    <w:bookmarkEnd w:id="0"/>
    <w:p w14:paraId="421BA297" w14:textId="590B6CE5" w:rsidR="007E689F" w:rsidRPr="00093167" w:rsidRDefault="00221E07" w:rsidP="007E689F">
      <w:pPr>
        <w:jc w:val="both"/>
        <w:rPr>
          <w:lang w:val="ru-RU"/>
        </w:rPr>
      </w:pPr>
      <w:r w:rsidRPr="00093167">
        <w:rPr>
          <w:lang w:val="ru-RU"/>
        </w:rPr>
        <w:t xml:space="preserve">Услуги "умного" офиса, объединяющие несколько "умных" приложений, направлены на повышение качества ведения </w:t>
      </w:r>
      <w:r w:rsidR="007B6CDC" w:rsidRPr="00093167">
        <w:rPr>
          <w:lang w:val="ru-RU"/>
        </w:rPr>
        <w:t>административной</w:t>
      </w:r>
      <w:r w:rsidR="006F4FF3" w:rsidRPr="00093167">
        <w:rPr>
          <w:lang w:val="ru-RU"/>
        </w:rPr>
        <w:t xml:space="preserve"> деятельности</w:t>
      </w:r>
      <w:r w:rsidRPr="00093167">
        <w:rPr>
          <w:lang w:val="ru-RU"/>
        </w:rPr>
        <w:t xml:space="preserve"> и повышение эффективности управления. </w:t>
      </w:r>
      <w:r w:rsidR="00696B22" w:rsidRPr="00093167">
        <w:rPr>
          <w:lang w:val="ru-RU"/>
        </w:rPr>
        <w:t>В силу того, что</w:t>
      </w:r>
      <w:r w:rsidRPr="00093167">
        <w:rPr>
          <w:lang w:val="ru-RU"/>
        </w:rPr>
        <w:t xml:space="preserve"> информационно-коммуникационные технологии (ИКТ) служат основой для технологий в </w:t>
      </w:r>
      <w:r w:rsidRPr="00093167">
        <w:rPr>
          <w:lang w:val="ru-RU"/>
        </w:rPr>
        <w:lastRenderedPageBreak/>
        <w:t xml:space="preserve">услугах </w:t>
      </w:r>
      <w:r w:rsidR="00696B22" w:rsidRPr="00093167">
        <w:rPr>
          <w:lang w:val="ru-RU"/>
        </w:rPr>
        <w:t>"</w:t>
      </w:r>
      <w:r w:rsidRPr="00093167">
        <w:rPr>
          <w:lang w:val="ru-RU"/>
        </w:rPr>
        <w:t>умного</w:t>
      </w:r>
      <w:r w:rsidR="00696B22" w:rsidRPr="00093167">
        <w:rPr>
          <w:lang w:val="ru-RU"/>
        </w:rPr>
        <w:t>"</w:t>
      </w:r>
      <w:r w:rsidRPr="00093167">
        <w:rPr>
          <w:lang w:val="ru-RU"/>
        </w:rPr>
        <w:t xml:space="preserve"> офиса, оператор электросвязи играет важную роль среди заинтересованных сторон в услугах </w:t>
      </w:r>
      <w:r w:rsidR="00696B22" w:rsidRPr="00093167">
        <w:rPr>
          <w:lang w:val="ru-RU"/>
        </w:rPr>
        <w:t>"</w:t>
      </w:r>
      <w:r w:rsidRPr="00093167">
        <w:rPr>
          <w:lang w:val="ru-RU"/>
        </w:rPr>
        <w:t>умного</w:t>
      </w:r>
      <w:r w:rsidR="00696B22" w:rsidRPr="00093167">
        <w:rPr>
          <w:lang w:val="ru-RU"/>
        </w:rPr>
        <w:t>"</w:t>
      </w:r>
      <w:r w:rsidRPr="00093167">
        <w:rPr>
          <w:lang w:val="ru-RU"/>
        </w:rPr>
        <w:t xml:space="preserve"> офиса.</w:t>
      </w:r>
    </w:p>
    <w:p w14:paraId="3939622F" w14:textId="1FCE10EF" w:rsidR="007E689F" w:rsidRPr="00093167" w:rsidRDefault="00696B22" w:rsidP="007E689F">
      <w:pPr>
        <w:jc w:val="both"/>
        <w:rPr>
          <w:lang w:val="ru-RU"/>
        </w:rPr>
      </w:pPr>
      <w:r w:rsidRPr="00093167">
        <w:rPr>
          <w:lang w:val="ru-RU"/>
        </w:rPr>
        <w:t>Типовые услуги "умного" офиса включают "умную" парковку, "умное" вождение, "умный" магазин розничной торговли, "умный" офис, "умное" управление залами заседаний, "умное" водоснабжение, "умное" управление энергопотреблением и т. д. Среди этих типовых услуг "умного" офиса данные о местоположении, предоставляемые оператором, составляют один из ключевых элементов в большинстве реализаций услуг "умного" офиса.</w:t>
      </w:r>
    </w:p>
    <w:p w14:paraId="69786B0E" w14:textId="53670820" w:rsidR="007E689F" w:rsidRPr="00093167" w:rsidRDefault="006F4FF3" w:rsidP="007E689F">
      <w:pPr>
        <w:jc w:val="both"/>
        <w:rPr>
          <w:lang w:val="ru-RU"/>
        </w:rPr>
      </w:pPr>
      <w:r w:rsidRPr="00093167">
        <w:rPr>
          <w:lang w:val="ru-RU"/>
        </w:rPr>
        <w:t>Для того чтобы обеспечить безопасность услуг "умного" офиса с поддержкой определения местоположения, необходимо проанализировать угрозы безопасности и соответствующие требования безопасности, характерные для услуг с поддержкой определения местоположения, и выработать общие меры безопасности.</w:t>
      </w:r>
    </w:p>
    <w:p w14:paraId="1807E3B4" w14:textId="36B48BE7" w:rsidR="008E5344" w:rsidRPr="00093167" w:rsidRDefault="006F4FF3" w:rsidP="007E689F">
      <w:pPr>
        <w:jc w:val="both"/>
        <w:rPr>
          <w:lang w:val="ru-RU"/>
        </w:rPr>
      </w:pPr>
      <w:r w:rsidRPr="00093167">
        <w:rPr>
          <w:lang w:val="ru-RU"/>
        </w:rPr>
        <w:t>В настоящей Рекомендации проводится анализ типовы</w:t>
      </w:r>
      <w:r w:rsidR="00952864" w:rsidRPr="00093167">
        <w:rPr>
          <w:lang w:val="ru-RU"/>
        </w:rPr>
        <w:t>х</w:t>
      </w:r>
      <w:r w:rsidRPr="00093167">
        <w:rPr>
          <w:lang w:val="ru-RU"/>
        </w:rPr>
        <w:t xml:space="preserve"> сценариев применения услуг "умного" офиса с поддержкой определения местоположения, определены связанны</w:t>
      </w:r>
      <w:r w:rsidR="00952864" w:rsidRPr="00093167">
        <w:rPr>
          <w:lang w:val="ru-RU"/>
        </w:rPr>
        <w:t>е</w:t>
      </w:r>
      <w:r w:rsidRPr="00093167">
        <w:rPr>
          <w:lang w:val="ru-RU"/>
        </w:rPr>
        <w:t xml:space="preserve"> с ними угрозы и требования безопасности, а также установлены меры безопасности для оператора и основных заинтересованных сторон "умного" офиса для защиты услуг с поддержкой определения местоположения.</w:t>
      </w:r>
    </w:p>
    <w:p w14:paraId="01B72A17" w14:textId="0F1FA843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t>9</w:t>
      </w:r>
      <w:r w:rsidRPr="00093167">
        <w:rPr>
          <w:lang w:val="ru-RU"/>
        </w:rPr>
        <w:tab/>
        <w:t xml:space="preserve">Проект новой Рекомендации МСЭ-T T </w:t>
      </w:r>
      <w:r w:rsidR="00303FBD" w:rsidRPr="00093167">
        <w:rPr>
          <w:lang w:val="ru-RU"/>
        </w:rPr>
        <w:t>X.1644 (</w:t>
      </w:r>
      <w:proofErr w:type="spellStart"/>
      <w:r w:rsidR="00303FBD" w:rsidRPr="00093167">
        <w:rPr>
          <w:lang w:val="ru-RU"/>
        </w:rPr>
        <w:t>X.sgdc</w:t>
      </w:r>
      <w:proofErr w:type="spellEnd"/>
      <w:r w:rsidR="00303FBD" w:rsidRPr="00093167">
        <w:rPr>
          <w:lang w:val="ru-RU"/>
        </w:rPr>
        <w:t>) [</w:t>
      </w:r>
      <w:hyperlink r:id="rId22" w:history="1">
        <w:r w:rsidR="00303FBD" w:rsidRPr="00093167">
          <w:rPr>
            <w:rStyle w:val="Hyperlink"/>
            <w:lang w:val="ru-RU"/>
          </w:rPr>
          <w:t>R21</w:t>
        </w:r>
      </w:hyperlink>
      <w:r w:rsidR="00303FBD" w:rsidRPr="00093167">
        <w:rPr>
          <w:lang w:val="ru-RU"/>
        </w:rPr>
        <w:t>]</w:t>
      </w:r>
    </w:p>
    <w:p w14:paraId="6AD66295" w14:textId="05A72CC9" w:rsidR="008E5344" w:rsidRPr="00093167" w:rsidRDefault="00D1799E" w:rsidP="008E5344">
      <w:pPr>
        <w:pStyle w:val="Headingb"/>
        <w:rPr>
          <w:lang w:val="ru-RU"/>
        </w:rPr>
      </w:pPr>
      <w:r w:rsidRPr="00093167">
        <w:rPr>
          <w:lang w:val="ru-RU"/>
        </w:rPr>
        <w:t>Руководящие указания по обеспечению безопасности распределенного облака</w:t>
      </w:r>
    </w:p>
    <w:p w14:paraId="3BC58403" w14:textId="77777777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7C7E76D7" w14:textId="12F0CD91" w:rsidR="008E5344" w:rsidRPr="00093167" w:rsidRDefault="00D1799E" w:rsidP="00350496">
      <w:pPr>
        <w:jc w:val="both"/>
        <w:rPr>
          <w:lang w:val="ru-RU"/>
        </w:rPr>
      </w:pPr>
      <w:r w:rsidRPr="00093167">
        <w:rPr>
          <w:lang w:val="ru-RU"/>
        </w:rPr>
        <w:t>В настоящей Рекомендации приведен анализ угроз и проблем безопасности в распределенном облаке и предлагаются руководящие указания по обеспечению безопасности в отношении угроз распределенному облаку, включая руководящие указания по обеспечению безопасности для основной части облака, региональной части облака и периферийной части облака.</w:t>
      </w:r>
    </w:p>
    <w:p w14:paraId="1AA214BD" w14:textId="00FCAB48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t>10</w:t>
      </w:r>
      <w:r w:rsidRPr="00093167">
        <w:rPr>
          <w:lang w:val="ru-RU"/>
        </w:rPr>
        <w:tab/>
        <w:t xml:space="preserve">Проект новой Рекомендации МСЭ-T </w:t>
      </w:r>
      <w:r w:rsidR="004734DF" w:rsidRPr="00093167">
        <w:rPr>
          <w:lang w:val="ru-RU"/>
        </w:rPr>
        <w:t>X.1815 (X.5Gsec-ecs) [</w:t>
      </w:r>
      <w:hyperlink r:id="rId23" w:history="1">
        <w:r w:rsidR="004734DF" w:rsidRPr="00093167">
          <w:rPr>
            <w:rStyle w:val="Hyperlink"/>
            <w:lang w:val="ru-RU"/>
          </w:rPr>
          <w:t>R16</w:t>
        </w:r>
      </w:hyperlink>
      <w:r w:rsidR="004734DF" w:rsidRPr="00093167">
        <w:rPr>
          <w:lang w:val="ru-RU"/>
        </w:rPr>
        <w:t>]</w:t>
      </w:r>
    </w:p>
    <w:p w14:paraId="5702493C" w14:textId="5E926C17" w:rsidR="008E5344" w:rsidRPr="00093167" w:rsidRDefault="006F4FF3" w:rsidP="008B2E37">
      <w:pPr>
        <w:pStyle w:val="Headingb"/>
        <w:jc w:val="both"/>
        <w:rPr>
          <w:lang w:val="ru-RU"/>
        </w:rPr>
      </w:pPr>
      <w:bookmarkStart w:id="1" w:name="_Hlk112937072"/>
      <w:r w:rsidRPr="00093167">
        <w:rPr>
          <w:lang w:val="ru-RU"/>
        </w:rPr>
        <w:t xml:space="preserve">Руководящие </w:t>
      </w:r>
      <w:r w:rsidR="000D2DCC" w:rsidRPr="00093167">
        <w:rPr>
          <w:lang w:val="ru-RU"/>
        </w:rPr>
        <w:t>указания</w:t>
      </w:r>
      <w:r w:rsidRPr="00093167">
        <w:rPr>
          <w:lang w:val="ru-RU"/>
        </w:rPr>
        <w:t xml:space="preserve"> по обеспечению безопасности и требования безопасности для услуг </w:t>
      </w:r>
      <w:r w:rsidR="00E91A75" w:rsidRPr="00093167">
        <w:rPr>
          <w:lang w:val="ru-RU"/>
        </w:rPr>
        <w:t>периферийных</w:t>
      </w:r>
      <w:r w:rsidRPr="00093167">
        <w:rPr>
          <w:lang w:val="ru-RU"/>
        </w:rPr>
        <w:t xml:space="preserve"> вычислений IMT-2020</w:t>
      </w:r>
      <w:bookmarkEnd w:id="1"/>
    </w:p>
    <w:p w14:paraId="23663C5C" w14:textId="77777777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0883F4FE" w14:textId="3BF7B844" w:rsidR="004734DF" w:rsidRPr="00093167" w:rsidRDefault="00E91A75" w:rsidP="004734DF">
      <w:pPr>
        <w:jc w:val="both"/>
        <w:rPr>
          <w:lang w:val="ru-RU"/>
        </w:rPr>
      </w:pPr>
      <w:r w:rsidRPr="00093167">
        <w:rPr>
          <w:lang w:val="ru-RU"/>
        </w:rPr>
        <w:t>Сеть IMT-2020 позволит предоставлять разнообразные услуги, включая услуги усовершенствованной подвижной широкополосной связи (</w:t>
      </w:r>
      <w:proofErr w:type="spellStart"/>
      <w:r w:rsidRPr="00093167">
        <w:rPr>
          <w:lang w:val="ru-RU"/>
        </w:rPr>
        <w:t>eMBB</w:t>
      </w:r>
      <w:proofErr w:type="spellEnd"/>
      <w:r w:rsidRPr="00093167">
        <w:rPr>
          <w:lang w:val="ru-RU"/>
        </w:rPr>
        <w:t>), услуги на базе интенсивного межмашинного обмена (</w:t>
      </w:r>
      <w:proofErr w:type="spellStart"/>
      <w:r w:rsidRPr="00093167">
        <w:rPr>
          <w:lang w:val="ru-RU"/>
        </w:rPr>
        <w:t>mMTC</w:t>
      </w:r>
      <w:proofErr w:type="spellEnd"/>
      <w:r w:rsidRPr="00093167">
        <w:rPr>
          <w:lang w:val="ru-RU"/>
        </w:rPr>
        <w:t>) и услуги на базе сверхнадежной связи с малой задержкой (</w:t>
      </w:r>
      <w:proofErr w:type="spellStart"/>
      <w:r w:rsidRPr="00093167">
        <w:rPr>
          <w:lang w:val="ru-RU"/>
        </w:rPr>
        <w:t>uRLLC</w:t>
      </w:r>
      <w:proofErr w:type="spellEnd"/>
      <w:r w:rsidRPr="00093167">
        <w:rPr>
          <w:lang w:val="ru-RU"/>
        </w:rPr>
        <w:t>), на базе инфраструктуры сети и вычислительных ресурсов. В соответствии с ключевыми характеристиками и требованиями, определенными для сети IMT-2020, она должна быть более эффективной, персонализированной, интеллектуальной, надежной и гибкой.</w:t>
      </w:r>
    </w:p>
    <w:p w14:paraId="495A7B74" w14:textId="30FB878F" w:rsidR="004734DF" w:rsidRPr="00093167" w:rsidRDefault="00E91A75" w:rsidP="004734DF">
      <w:pPr>
        <w:jc w:val="both"/>
        <w:rPr>
          <w:lang w:val="ru-RU"/>
        </w:rPr>
      </w:pPr>
      <w:r w:rsidRPr="00093167">
        <w:rPr>
          <w:lang w:val="ru-RU"/>
        </w:rPr>
        <w:t>Для поддержки тип</w:t>
      </w:r>
      <w:r w:rsidR="008D3FC8" w:rsidRPr="00093167">
        <w:rPr>
          <w:lang w:val="ru-RU"/>
        </w:rPr>
        <w:t>ов</w:t>
      </w:r>
      <w:r w:rsidRPr="00093167">
        <w:rPr>
          <w:lang w:val="ru-RU"/>
        </w:rPr>
        <w:t xml:space="preserve">ых услуг в сети IMT-2020, </w:t>
      </w:r>
      <w:r w:rsidR="008D3FC8" w:rsidRPr="00093167">
        <w:rPr>
          <w:lang w:val="ru-RU"/>
        </w:rPr>
        <w:t xml:space="preserve">в </w:t>
      </w:r>
      <w:r w:rsidRPr="00093167">
        <w:rPr>
          <w:lang w:val="ru-RU"/>
        </w:rPr>
        <w:t>особенно</w:t>
      </w:r>
      <w:r w:rsidR="008D3FC8" w:rsidRPr="00093167">
        <w:rPr>
          <w:lang w:val="ru-RU"/>
        </w:rPr>
        <w:t>сти</w:t>
      </w:r>
      <w:r w:rsidRPr="00093167">
        <w:rPr>
          <w:lang w:val="ru-RU"/>
        </w:rPr>
        <w:t xml:space="preserve"> услуг </w:t>
      </w:r>
      <w:proofErr w:type="spellStart"/>
      <w:r w:rsidRPr="00093167">
        <w:rPr>
          <w:lang w:val="ru-RU"/>
        </w:rPr>
        <w:t>eMBB</w:t>
      </w:r>
      <w:proofErr w:type="spellEnd"/>
      <w:r w:rsidRPr="00093167">
        <w:rPr>
          <w:lang w:val="ru-RU"/>
        </w:rPr>
        <w:t xml:space="preserve"> и услуг на </w:t>
      </w:r>
      <w:r w:rsidR="008D3FC8" w:rsidRPr="00093167">
        <w:rPr>
          <w:lang w:val="ru-RU"/>
        </w:rPr>
        <w:t>базе</w:t>
      </w:r>
      <w:r w:rsidRPr="00093167">
        <w:rPr>
          <w:lang w:val="ru-RU"/>
        </w:rPr>
        <w:t xml:space="preserve"> URLLC, </w:t>
      </w:r>
      <w:r w:rsidR="008D3FC8" w:rsidRPr="00093167">
        <w:rPr>
          <w:lang w:val="ru-RU"/>
        </w:rPr>
        <w:t>периферийные</w:t>
      </w:r>
      <w:r w:rsidRPr="00093167">
        <w:rPr>
          <w:lang w:val="ru-RU"/>
        </w:rPr>
        <w:t xml:space="preserve"> вычисления признаны одной из ключевых технологий для достижения требуемых ключевых показателей </w:t>
      </w:r>
      <w:r w:rsidR="008D3FC8" w:rsidRPr="00093167">
        <w:rPr>
          <w:lang w:val="ru-RU"/>
        </w:rPr>
        <w:t>функционирования</w:t>
      </w:r>
      <w:r w:rsidRPr="00093167">
        <w:rPr>
          <w:lang w:val="ru-RU"/>
        </w:rPr>
        <w:t xml:space="preserve"> (KPI) сети IMT-2020, </w:t>
      </w:r>
      <w:r w:rsidR="008D3FC8" w:rsidRPr="00093167">
        <w:rPr>
          <w:lang w:val="ru-RU"/>
        </w:rPr>
        <w:t xml:space="preserve">в </w:t>
      </w:r>
      <w:r w:rsidRPr="00093167">
        <w:rPr>
          <w:lang w:val="ru-RU"/>
        </w:rPr>
        <w:t>особенно</w:t>
      </w:r>
      <w:r w:rsidR="008D3FC8" w:rsidRPr="00093167">
        <w:rPr>
          <w:lang w:val="ru-RU"/>
        </w:rPr>
        <w:t>сти</w:t>
      </w:r>
      <w:r w:rsidRPr="00093167">
        <w:rPr>
          <w:lang w:val="ru-RU"/>
        </w:rPr>
        <w:t xml:space="preserve"> в </w:t>
      </w:r>
      <w:r w:rsidR="008D3FC8" w:rsidRPr="00093167">
        <w:rPr>
          <w:lang w:val="ru-RU"/>
        </w:rPr>
        <w:t>части</w:t>
      </w:r>
      <w:r w:rsidRPr="00093167">
        <w:rPr>
          <w:lang w:val="ru-RU"/>
        </w:rPr>
        <w:t xml:space="preserve"> </w:t>
      </w:r>
      <w:r w:rsidR="008D3FC8" w:rsidRPr="00093167">
        <w:rPr>
          <w:lang w:val="ru-RU"/>
        </w:rPr>
        <w:t>малой</w:t>
      </w:r>
      <w:r w:rsidRPr="00093167">
        <w:rPr>
          <w:lang w:val="ru-RU"/>
        </w:rPr>
        <w:t xml:space="preserve"> задержки и эффективности использования полосы пропускания.</w:t>
      </w:r>
    </w:p>
    <w:p w14:paraId="2B2CA2AB" w14:textId="36E6ABDB" w:rsidR="008E5344" w:rsidRPr="00093167" w:rsidRDefault="008D3FC8" w:rsidP="004734DF">
      <w:pPr>
        <w:jc w:val="both"/>
        <w:rPr>
          <w:lang w:val="ru-RU"/>
        </w:rPr>
      </w:pPr>
      <w:r w:rsidRPr="00093167">
        <w:rPr>
          <w:lang w:val="ru-RU"/>
        </w:rPr>
        <w:t>Периферийные вычисления позволяют оператору и стороннему поставщику услуг развертывать услуги рядом с точкой доступа пользователя, тем самым обеспечивая высокоэффективное предоставление услуг благодаря уменьшению сквозной задержки и нагрузки на транспортную сеть.</w:t>
      </w:r>
    </w:p>
    <w:p w14:paraId="651EC943" w14:textId="7B96030D" w:rsidR="004734DF" w:rsidRPr="00093167" w:rsidRDefault="008D3FC8" w:rsidP="004734DF">
      <w:pPr>
        <w:jc w:val="both"/>
        <w:rPr>
          <w:lang w:val="ru-RU"/>
        </w:rPr>
      </w:pPr>
      <w:r w:rsidRPr="00093167">
        <w:rPr>
          <w:lang w:val="ru-RU"/>
        </w:rPr>
        <w:t>Для того чтобы обеспечить безопасность развертывания и применения услуг периферийных вычислений, необходимо проанализировать угрозы безопасности и соответствующие требования безопасности, характерные для услуг периферийных вычислений, и установить общую структуру безопасности.</w:t>
      </w:r>
    </w:p>
    <w:p w14:paraId="691BFC35" w14:textId="2CBD8DCF" w:rsidR="004734DF" w:rsidRPr="00093167" w:rsidRDefault="008D3FC8" w:rsidP="004734DF">
      <w:pPr>
        <w:jc w:val="both"/>
        <w:rPr>
          <w:lang w:val="ru-RU"/>
        </w:rPr>
      </w:pPr>
      <w:r w:rsidRPr="00093167">
        <w:rPr>
          <w:lang w:val="ru-RU"/>
        </w:rPr>
        <w:lastRenderedPageBreak/>
        <w:t>В проекте настоящей Рекомендации проведен анализ схемы развертывания и типовы</w:t>
      </w:r>
      <w:r w:rsidR="000D2DCC" w:rsidRPr="00093167">
        <w:rPr>
          <w:lang w:val="ru-RU"/>
        </w:rPr>
        <w:t>х</w:t>
      </w:r>
      <w:r w:rsidRPr="00093167">
        <w:rPr>
          <w:lang w:val="ru-RU"/>
        </w:rPr>
        <w:t xml:space="preserve"> сценари</w:t>
      </w:r>
      <w:r w:rsidR="000D2DCC" w:rsidRPr="00093167">
        <w:rPr>
          <w:lang w:val="ru-RU"/>
        </w:rPr>
        <w:t>ев</w:t>
      </w:r>
      <w:r w:rsidRPr="00093167">
        <w:rPr>
          <w:lang w:val="ru-RU"/>
        </w:rPr>
        <w:t xml:space="preserve"> применения услуг периферийных вычислений, определены угрозы безопасности и требования безопасности, характерные для услуг периферийных вычислений в IMT-2020, и, таким образом, установлены возможности обеспечения безопасности для оператора </w:t>
      </w:r>
      <w:r w:rsidR="00ED5AB8" w:rsidRPr="00093167">
        <w:rPr>
          <w:lang w:val="ru-RU"/>
        </w:rPr>
        <w:t xml:space="preserve">по </w:t>
      </w:r>
      <w:r w:rsidRPr="00093167">
        <w:rPr>
          <w:lang w:val="ru-RU"/>
        </w:rPr>
        <w:t>защит</w:t>
      </w:r>
      <w:r w:rsidR="00ED5AB8" w:rsidRPr="00093167">
        <w:rPr>
          <w:lang w:val="ru-RU"/>
        </w:rPr>
        <w:t>е</w:t>
      </w:r>
      <w:r w:rsidRPr="00093167">
        <w:rPr>
          <w:lang w:val="ru-RU"/>
        </w:rPr>
        <w:t xml:space="preserve"> своих приложений.</w:t>
      </w:r>
    </w:p>
    <w:p w14:paraId="14CA4C65" w14:textId="40531EE2" w:rsidR="004734DF" w:rsidRPr="00093167" w:rsidRDefault="006443AC" w:rsidP="004734DF">
      <w:pPr>
        <w:jc w:val="both"/>
        <w:rPr>
          <w:lang w:val="ru-RU"/>
        </w:rPr>
      </w:pPr>
      <w:r w:rsidRPr="00093167">
        <w:rPr>
          <w:lang w:val="ru-RU"/>
        </w:rPr>
        <w:t>В этом проекте текста, по которому сделано заключение, перечислены нормативные ссылки, требующие обоснования согласно Рекомендации A.5 МСЭ-Т, которое представлено в</w:t>
      </w:r>
      <w:r w:rsidR="004734DF" w:rsidRPr="00093167">
        <w:rPr>
          <w:lang w:val="ru-RU"/>
        </w:rPr>
        <w:t xml:space="preserve"> SG17-</w:t>
      </w:r>
      <w:hyperlink r:id="rId24" w:history="1">
        <w:r w:rsidR="004734DF" w:rsidRPr="00093167">
          <w:rPr>
            <w:rStyle w:val="Hyperlink"/>
            <w:lang w:val="ru-RU"/>
          </w:rPr>
          <w:t>TD605</w:t>
        </w:r>
      </w:hyperlink>
      <w:r w:rsidR="004734DF" w:rsidRPr="00093167">
        <w:rPr>
          <w:lang w:val="ru-RU"/>
        </w:rPr>
        <w:t>.</w:t>
      </w:r>
    </w:p>
    <w:p w14:paraId="6A6943D9" w14:textId="5C8FF815" w:rsidR="008E5344" w:rsidRPr="00093167" w:rsidRDefault="008E5344" w:rsidP="008E5344">
      <w:pPr>
        <w:pStyle w:val="Heading1"/>
        <w:rPr>
          <w:lang w:val="ru-RU"/>
        </w:rPr>
      </w:pPr>
      <w:r w:rsidRPr="00093167">
        <w:rPr>
          <w:lang w:val="ru-RU"/>
        </w:rPr>
        <w:t>11</w:t>
      </w:r>
      <w:r w:rsidRPr="00093167">
        <w:rPr>
          <w:lang w:val="ru-RU"/>
        </w:rPr>
        <w:tab/>
        <w:t xml:space="preserve">Проект новой Рекомендации МСЭ-T </w:t>
      </w:r>
      <w:r w:rsidR="004734DF" w:rsidRPr="00093167">
        <w:rPr>
          <w:lang w:val="ru-RU"/>
        </w:rPr>
        <w:t>X.1816 (X.5Gsec-ssl) [</w:t>
      </w:r>
      <w:hyperlink r:id="rId25" w:history="1">
        <w:r w:rsidR="004734DF" w:rsidRPr="00093167">
          <w:rPr>
            <w:rStyle w:val="Hyperlink"/>
            <w:lang w:val="ru-RU"/>
          </w:rPr>
          <w:t>R17</w:t>
        </w:r>
      </w:hyperlink>
      <w:r w:rsidR="004734DF" w:rsidRPr="00093167">
        <w:rPr>
          <w:lang w:val="ru-RU"/>
        </w:rPr>
        <w:t>]</w:t>
      </w:r>
    </w:p>
    <w:p w14:paraId="635CD1D8" w14:textId="1FE6384D" w:rsidR="008E5344" w:rsidRPr="00093167" w:rsidRDefault="007A578D" w:rsidP="008E5344">
      <w:pPr>
        <w:pStyle w:val="Headingb"/>
        <w:rPr>
          <w:lang w:val="ru-RU"/>
        </w:rPr>
      </w:pPr>
      <w:r w:rsidRPr="00093167">
        <w:rPr>
          <w:lang w:val="ru-RU"/>
        </w:rPr>
        <w:t xml:space="preserve">Руководящие указания и требования для классификации возможностей обеспечения безопасности в отрезке сети </w:t>
      </w:r>
      <w:r w:rsidR="004734DF" w:rsidRPr="00093167">
        <w:rPr>
          <w:lang w:val="ru-RU"/>
        </w:rPr>
        <w:t>IMT-2020</w:t>
      </w:r>
    </w:p>
    <w:p w14:paraId="24266406" w14:textId="77777777" w:rsidR="008E5344" w:rsidRPr="00093167" w:rsidRDefault="008E5344" w:rsidP="008E5344">
      <w:pPr>
        <w:pStyle w:val="Headingb"/>
        <w:rPr>
          <w:lang w:val="ru-RU"/>
        </w:rPr>
      </w:pPr>
      <w:r w:rsidRPr="00093167">
        <w:rPr>
          <w:lang w:val="ru-RU"/>
        </w:rPr>
        <w:t>Резюме</w:t>
      </w:r>
    </w:p>
    <w:p w14:paraId="1751AF6C" w14:textId="19C8D017" w:rsidR="004734DF" w:rsidRPr="00093167" w:rsidRDefault="007A578D" w:rsidP="004734DF">
      <w:pPr>
        <w:jc w:val="both"/>
        <w:rPr>
          <w:lang w:val="ru-RU"/>
        </w:rPr>
      </w:pPr>
      <w:r w:rsidRPr="00093167">
        <w:rPr>
          <w:lang w:val="ru-RU"/>
        </w:rPr>
        <w:t>Определение основных функций и процессов технологии нарезки сети заложило прочную основу для первой волны развертывания IMT-2020 и коммерческого использования услуг нарезки сети. В качестве сквозной логической сети, которая настраивается по запросу, нарезка может обеспечить различные возможности обеспечения безопасности.</w:t>
      </w:r>
    </w:p>
    <w:p w14:paraId="33C3818D" w14:textId="610A7AE8" w:rsidR="004734DF" w:rsidRPr="00093167" w:rsidRDefault="007A56A8" w:rsidP="004734DF">
      <w:pPr>
        <w:jc w:val="both"/>
        <w:rPr>
          <w:lang w:val="ru-RU"/>
        </w:rPr>
      </w:pPr>
      <w:r w:rsidRPr="00093167">
        <w:rPr>
          <w:lang w:val="ru-RU"/>
        </w:rPr>
        <w:t>Во-первых, нарезка сети IMT-2020 обеспечивает вспомогательные меры безопасности для реализации дифференцированной сети. Во-вторых, сеть IMT-2020 поддерживает некоторые дополнительные меры безопасности на уровне отрезка. Некоторые меры безопасности также могут обеспечить несколько вариантов безопасности, и операторы могут владеть разными ресурсами безопасности, которые способны обеспечивать разную степень гарантии безопасности или эффективности функционирования, не связанной с безопасностью.</w:t>
      </w:r>
    </w:p>
    <w:p w14:paraId="6E4DC45A" w14:textId="1F86BF22" w:rsidR="004734DF" w:rsidRPr="00093167" w:rsidRDefault="00F15A1F" w:rsidP="004734DF">
      <w:pPr>
        <w:jc w:val="both"/>
        <w:rPr>
          <w:lang w:val="ru-RU"/>
        </w:rPr>
      </w:pPr>
      <w:r w:rsidRPr="00093167">
        <w:rPr>
          <w:lang w:val="ru-RU"/>
        </w:rPr>
        <w:t xml:space="preserve">Пользователи отрезков также предъявляют конкретные требования безопасности и могут запрашивать у операторов отрезков настраиваемые сетевые отрезки с различными уровнями обеспечения безопасности. Как для пользователей отрезков, так и для операторов отрезков существуют </w:t>
      </w:r>
      <w:r w:rsidR="00DD704F" w:rsidRPr="00093167">
        <w:rPr>
          <w:lang w:val="ru-RU"/>
        </w:rPr>
        <w:t>определенные</w:t>
      </w:r>
      <w:r w:rsidRPr="00093167">
        <w:rPr>
          <w:lang w:val="ru-RU"/>
        </w:rPr>
        <w:t xml:space="preserve"> проблемы при выборе возможностей </w:t>
      </w:r>
      <w:r w:rsidR="00DD704F" w:rsidRPr="00093167">
        <w:rPr>
          <w:lang w:val="ru-RU"/>
        </w:rPr>
        <w:t xml:space="preserve">обеспечения </w:t>
      </w:r>
      <w:r w:rsidRPr="00093167">
        <w:rPr>
          <w:lang w:val="ru-RU"/>
        </w:rPr>
        <w:t xml:space="preserve">безопасности своих </w:t>
      </w:r>
      <w:r w:rsidR="00DD704F" w:rsidRPr="00093167">
        <w:rPr>
          <w:lang w:val="ru-RU"/>
        </w:rPr>
        <w:t>отрезков</w:t>
      </w:r>
      <w:r w:rsidRPr="00093167">
        <w:rPr>
          <w:lang w:val="ru-RU"/>
        </w:rPr>
        <w:t>, такие как стоимость управления, несогласованность определений и т. д.</w:t>
      </w:r>
    </w:p>
    <w:p w14:paraId="3872B17F" w14:textId="6BEC22C3" w:rsidR="004734DF" w:rsidRPr="00093167" w:rsidRDefault="00DD704F" w:rsidP="004734DF">
      <w:pPr>
        <w:jc w:val="both"/>
        <w:rPr>
          <w:lang w:val="ru-RU"/>
        </w:rPr>
      </w:pPr>
      <w:r w:rsidRPr="00093167">
        <w:rPr>
          <w:lang w:val="ru-RU"/>
        </w:rPr>
        <w:t>В настоящей Рекомендации представлено описание возможностей обеспечения безопасности отрезков дифференцированной сети IMT-2020 и руководство по классификации этих возможностей обеспечения безопасности в помощь экосистеме IMT-2020 при выборе возможностей обеспечения безопасности отрезка сети.</w:t>
      </w:r>
    </w:p>
    <w:p w14:paraId="2A7EB3D0" w14:textId="0F281A78" w:rsidR="008E5344" w:rsidRPr="00093167" w:rsidRDefault="006443AC" w:rsidP="004734DF">
      <w:pPr>
        <w:jc w:val="both"/>
        <w:rPr>
          <w:lang w:val="ru-RU"/>
        </w:rPr>
      </w:pPr>
      <w:r w:rsidRPr="00093167">
        <w:rPr>
          <w:bCs/>
          <w:lang w:val="ru-RU"/>
        </w:rPr>
        <w:t>В этом проекте текста, по которому сделано заключение, перечислены нормативные ссылки, требующие обоснования согласно Рекомендации A.5 МСЭ-Т, которое представлено в</w:t>
      </w:r>
      <w:r w:rsidR="004734DF" w:rsidRPr="00093167">
        <w:rPr>
          <w:bCs/>
          <w:lang w:val="ru-RU"/>
        </w:rPr>
        <w:t xml:space="preserve"> SG17-</w:t>
      </w:r>
      <w:hyperlink r:id="rId26" w:history="1">
        <w:r w:rsidR="004734DF" w:rsidRPr="00093167">
          <w:rPr>
            <w:rStyle w:val="Hyperlink"/>
            <w:bCs/>
            <w:lang w:val="ru-RU"/>
          </w:rPr>
          <w:t>TD552</w:t>
        </w:r>
      </w:hyperlink>
      <w:r w:rsidR="004734DF" w:rsidRPr="00093167">
        <w:rPr>
          <w:bCs/>
          <w:lang w:val="ru-RU"/>
        </w:rPr>
        <w:t>.</w:t>
      </w:r>
    </w:p>
    <w:p w14:paraId="5AFB23F3" w14:textId="3AD3067B" w:rsidR="008E5344" w:rsidRPr="00093167" w:rsidRDefault="008E5344" w:rsidP="008E5344">
      <w:pPr>
        <w:pStyle w:val="AnnexNo"/>
        <w:rPr>
          <w:lang w:val="ru-RU"/>
        </w:rPr>
      </w:pPr>
      <w:r w:rsidRPr="00093167">
        <w:rPr>
          <w:highlight w:val="cyan"/>
          <w:lang w:val="ru-RU"/>
        </w:rPr>
        <w:br w:type="page"/>
      </w:r>
      <w:r w:rsidRPr="00093167">
        <w:rPr>
          <w:lang w:val="ru-RU"/>
        </w:rPr>
        <w:lastRenderedPageBreak/>
        <w:t>ПРИЛОЖЕНИЕ 2</w:t>
      </w:r>
    </w:p>
    <w:p w14:paraId="3ADF9F2A" w14:textId="5E0AB3A5" w:rsidR="00640160" w:rsidRPr="00093167" w:rsidRDefault="00640160" w:rsidP="00BC5DBF">
      <w:pPr>
        <w:pStyle w:val="Annextitle0"/>
        <w:spacing w:after="240"/>
        <w:rPr>
          <w:lang w:val="ru-RU"/>
        </w:rPr>
      </w:pPr>
      <w:r w:rsidRPr="00093167">
        <w:rPr>
          <w:lang w:val="ru-RU"/>
        </w:rPr>
        <w:t>Предмет: Ответ Государств</w:t>
      </w:r>
      <w:r w:rsidR="00712516" w:rsidRPr="00093167">
        <w:rPr>
          <w:lang w:val="ru-RU"/>
        </w:rPr>
        <w:t>а</w:t>
      </w:r>
      <w:r w:rsidRPr="00093167">
        <w:rPr>
          <w:lang w:val="ru-RU"/>
        </w:rPr>
        <w:t>-Член</w:t>
      </w:r>
      <w:r w:rsidR="00712516" w:rsidRPr="00093167">
        <w:rPr>
          <w:lang w:val="ru-RU"/>
        </w:rPr>
        <w:t>а</w:t>
      </w:r>
      <w:r w:rsidRPr="00093167">
        <w:rPr>
          <w:lang w:val="ru-RU"/>
        </w:rPr>
        <w:t xml:space="preserve"> на Циркуляр </w:t>
      </w:r>
      <w:r w:rsidR="00712516" w:rsidRPr="00093167">
        <w:rPr>
          <w:lang w:val="ru-RU"/>
        </w:rPr>
        <w:t>42</w:t>
      </w:r>
      <w:r w:rsidRPr="00093167">
        <w:rPr>
          <w:lang w:val="ru-RU"/>
        </w:rPr>
        <w:t xml:space="preserve"> БСЭ </w:t>
      </w:r>
      <w:r w:rsidRPr="00093167">
        <w:rPr>
          <w:lang w:val="ru-RU"/>
        </w:rPr>
        <w:br/>
        <w:t xml:space="preserve">Консультации по </w:t>
      </w:r>
      <w:r w:rsidR="00BC5DBF" w:rsidRPr="00093167">
        <w:rPr>
          <w:lang w:val="ru-RU"/>
        </w:rPr>
        <w:t xml:space="preserve">проектам новых Рекомендаций МСЭ-Т </w:t>
      </w:r>
      <w:r w:rsidR="004734DF" w:rsidRPr="00093167">
        <w:rPr>
          <w:lang w:val="ru-RU"/>
        </w:rPr>
        <w:t>X.1353 (</w:t>
      </w:r>
      <w:proofErr w:type="spellStart"/>
      <w:r w:rsidR="004734DF" w:rsidRPr="00093167">
        <w:rPr>
          <w:lang w:val="ru-RU"/>
        </w:rPr>
        <w:t>X.ztd-iot</w:t>
      </w:r>
      <w:proofErr w:type="spellEnd"/>
      <w:r w:rsidR="004734DF" w:rsidRPr="00093167">
        <w:rPr>
          <w:lang w:val="ru-RU"/>
        </w:rPr>
        <w:t>), X.1380 (</w:t>
      </w:r>
      <w:proofErr w:type="spellStart"/>
      <w:r w:rsidR="004734DF" w:rsidRPr="00093167">
        <w:rPr>
          <w:lang w:val="ru-RU"/>
        </w:rPr>
        <w:t>X.ed</w:t>
      </w:r>
      <w:r w:rsidR="00EE0F64" w:rsidRPr="00093167">
        <w:rPr>
          <w:lang w:val="ru-RU"/>
        </w:rPr>
        <w:t>r</w:t>
      </w:r>
      <w:r w:rsidR="004734DF" w:rsidRPr="00093167">
        <w:rPr>
          <w:lang w:val="ru-RU"/>
        </w:rPr>
        <w:t>-sec</w:t>
      </w:r>
      <w:proofErr w:type="spellEnd"/>
      <w:r w:rsidR="004734DF" w:rsidRPr="00093167">
        <w:rPr>
          <w:lang w:val="ru-RU"/>
        </w:rPr>
        <w:t xml:space="preserve">) </w:t>
      </w:r>
      <w:r w:rsidR="001776FF" w:rsidRPr="00093167">
        <w:rPr>
          <w:lang w:val="ru-RU"/>
        </w:rPr>
        <w:t>и</w:t>
      </w:r>
      <w:r w:rsidR="004734DF" w:rsidRPr="00093167">
        <w:rPr>
          <w:lang w:val="ru-RU"/>
        </w:rPr>
        <w:t xml:space="preserve"> X.1381 (</w:t>
      </w:r>
      <w:proofErr w:type="spellStart"/>
      <w:r w:rsidR="004734DF" w:rsidRPr="00093167">
        <w:rPr>
          <w:lang w:val="ru-RU"/>
        </w:rPr>
        <w:t>X.eivn-sec</w:t>
      </w:r>
      <w:proofErr w:type="spellEnd"/>
      <w:r w:rsidR="004734DF" w:rsidRPr="00093167">
        <w:rPr>
          <w:lang w:val="ru-RU"/>
        </w:rPr>
        <w:t>), X.1382 (</w:t>
      </w:r>
      <w:proofErr w:type="spellStart"/>
      <w:r w:rsidR="004734DF" w:rsidRPr="00093167">
        <w:rPr>
          <w:lang w:val="ru-RU"/>
        </w:rPr>
        <w:t>X.fstsicv</w:t>
      </w:r>
      <w:proofErr w:type="spellEnd"/>
      <w:r w:rsidR="004734DF" w:rsidRPr="00093167">
        <w:rPr>
          <w:lang w:val="ru-RU"/>
        </w:rPr>
        <w:t>), X1383 (</w:t>
      </w:r>
      <w:proofErr w:type="spellStart"/>
      <w:r w:rsidR="004734DF" w:rsidRPr="00093167">
        <w:rPr>
          <w:lang w:val="ru-RU"/>
        </w:rPr>
        <w:t>X.srcd</w:t>
      </w:r>
      <w:proofErr w:type="spellEnd"/>
      <w:r w:rsidR="004734DF" w:rsidRPr="00093167">
        <w:rPr>
          <w:lang w:val="ru-RU"/>
        </w:rPr>
        <w:t>), X.1410 (X.sa-</w:t>
      </w:r>
      <w:proofErr w:type="spellStart"/>
      <w:r w:rsidR="004734DF" w:rsidRPr="00093167">
        <w:rPr>
          <w:lang w:val="ru-RU"/>
        </w:rPr>
        <w:t>dsm</w:t>
      </w:r>
      <w:proofErr w:type="spellEnd"/>
      <w:r w:rsidR="004734DF" w:rsidRPr="00093167">
        <w:rPr>
          <w:lang w:val="ru-RU"/>
        </w:rPr>
        <w:t>), X.1411 (</w:t>
      </w:r>
      <w:proofErr w:type="spellStart"/>
      <w:r w:rsidR="004734DF" w:rsidRPr="00093167">
        <w:rPr>
          <w:lang w:val="ru-RU"/>
        </w:rPr>
        <w:t>X.BaaS-sec</w:t>
      </w:r>
      <w:proofErr w:type="spellEnd"/>
      <w:r w:rsidR="004734DF" w:rsidRPr="00093167">
        <w:rPr>
          <w:lang w:val="ru-RU"/>
        </w:rPr>
        <w:t>), X.1454 (</w:t>
      </w:r>
      <w:proofErr w:type="spellStart"/>
      <w:r w:rsidR="004734DF" w:rsidRPr="00093167">
        <w:rPr>
          <w:lang w:val="ru-RU"/>
        </w:rPr>
        <w:t>X.sles</w:t>
      </w:r>
      <w:proofErr w:type="spellEnd"/>
      <w:r w:rsidR="004734DF" w:rsidRPr="00093167">
        <w:rPr>
          <w:lang w:val="ru-RU"/>
        </w:rPr>
        <w:t>), X.1644 (</w:t>
      </w:r>
      <w:proofErr w:type="spellStart"/>
      <w:r w:rsidR="004734DF" w:rsidRPr="00093167">
        <w:rPr>
          <w:lang w:val="ru-RU"/>
        </w:rPr>
        <w:t>X.sgdc</w:t>
      </w:r>
      <w:proofErr w:type="spellEnd"/>
      <w:r w:rsidR="004734DF" w:rsidRPr="00093167">
        <w:rPr>
          <w:lang w:val="ru-RU"/>
        </w:rPr>
        <w:t>), X.1815 (X.5Gsec-ecs), X.1816 (X.5Gsec-ssl)</w:t>
      </w:r>
      <w:r w:rsidR="00BC5DBF" w:rsidRPr="00093167">
        <w:rPr>
          <w:lang w:val="ru-RU"/>
        </w:rPr>
        <w:t>, по 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640160" w:rsidRPr="004418BB" w14:paraId="7F20700A" w14:textId="77777777" w:rsidTr="001C2EA2">
        <w:tc>
          <w:tcPr>
            <w:tcW w:w="1064" w:type="dxa"/>
            <w:shd w:val="clear" w:color="auto" w:fill="auto"/>
          </w:tcPr>
          <w:p w14:paraId="2FE9E780" w14:textId="77777777" w:rsidR="00640160" w:rsidRPr="00093167" w:rsidRDefault="00640160" w:rsidP="001C2EA2">
            <w:pPr>
              <w:ind w:left="-113"/>
              <w:jc w:val="right"/>
              <w:rPr>
                <w:lang w:val="ru-RU"/>
              </w:rPr>
            </w:pPr>
            <w:r w:rsidRPr="00093167">
              <w:rPr>
                <w:b/>
                <w:bCs/>
                <w:lang w:val="ru-RU"/>
              </w:rPr>
              <w:t>Кому</w:t>
            </w:r>
            <w:r w:rsidRPr="00093167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3B62D9CA" w14:textId="77777777" w:rsidR="00640160" w:rsidRPr="00093167" w:rsidRDefault="00640160" w:rsidP="001C2EA2">
            <w:pPr>
              <w:rPr>
                <w:lang w:val="ru-RU"/>
              </w:rPr>
            </w:pPr>
            <w:r w:rsidRPr="00093167">
              <w:rPr>
                <w:lang w:val="ru-RU"/>
              </w:rPr>
              <w:t xml:space="preserve">Директору </w:t>
            </w:r>
            <w:r w:rsidRPr="00093167">
              <w:rPr>
                <w:lang w:val="ru-RU"/>
              </w:rPr>
              <w:br/>
              <w:t>Бюро стандартизации электросвязи</w:t>
            </w:r>
          </w:p>
          <w:p w14:paraId="5A49EE60" w14:textId="77777777" w:rsidR="00640160" w:rsidRPr="00093167" w:rsidRDefault="00640160" w:rsidP="001C2EA2">
            <w:pPr>
              <w:spacing w:before="0"/>
              <w:rPr>
                <w:lang w:val="ru-RU"/>
              </w:rPr>
            </w:pPr>
            <w:r w:rsidRPr="00093167">
              <w:rPr>
                <w:lang w:val="ru-RU"/>
              </w:rPr>
              <w:t>Международный союз электросвязи</w:t>
            </w:r>
          </w:p>
          <w:p w14:paraId="614ACA77" w14:textId="77777777" w:rsidR="00640160" w:rsidRPr="00093167" w:rsidRDefault="00640160" w:rsidP="001C2EA2">
            <w:pPr>
              <w:spacing w:before="0"/>
              <w:rPr>
                <w:lang w:val="ru-RU"/>
              </w:rPr>
            </w:pPr>
            <w:r w:rsidRPr="00093167">
              <w:rPr>
                <w:lang w:val="ru-RU"/>
              </w:rPr>
              <w:t>Place des Nations</w:t>
            </w:r>
          </w:p>
          <w:p w14:paraId="0D461F29" w14:textId="77777777" w:rsidR="00640160" w:rsidRPr="00093167" w:rsidRDefault="00640160" w:rsidP="001C2EA2">
            <w:pPr>
              <w:spacing w:before="0"/>
              <w:rPr>
                <w:lang w:val="ru-RU"/>
              </w:rPr>
            </w:pPr>
            <w:r w:rsidRPr="00093167">
              <w:rPr>
                <w:lang w:val="ru-RU"/>
              </w:rPr>
              <w:t>CH 1211 Geneva 20, Switzerland</w:t>
            </w:r>
          </w:p>
          <w:p w14:paraId="562618E6" w14:textId="77777777" w:rsidR="00640160" w:rsidRPr="00093167" w:rsidRDefault="00640160" w:rsidP="001C2EA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E960174" w14:textId="77777777" w:rsidR="00640160" w:rsidRPr="00093167" w:rsidRDefault="00640160" w:rsidP="001C2EA2">
            <w:pPr>
              <w:jc w:val="right"/>
              <w:rPr>
                <w:lang w:val="ru-RU"/>
              </w:rPr>
            </w:pPr>
            <w:r w:rsidRPr="00093167">
              <w:rPr>
                <w:b/>
                <w:bCs/>
                <w:lang w:val="ru-RU"/>
              </w:rPr>
              <w:t>От</w:t>
            </w:r>
            <w:r w:rsidRPr="0009316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BC28713" w14:textId="77777777" w:rsidR="00640160" w:rsidRPr="00093167" w:rsidRDefault="00640160" w:rsidP="001C2EA2">
            <w:pPr>
              <w:rPr>
                <w:highlight w:val="green"/>
                <w:lang w:val="ru-RU"/>
              </w:rPr>
            </w:pPr>
            <w:r w:rsidRPr="00093167">
              <w:rPr>
                <w:highlight w:val="green"/>
                <w:lang w:val="ru-RU"/>
              </w:rPr>
              <w:t>[Фамилия]</w:t>
            </w:r>
          </w:p>
          <w:p w14:paraId="60C4A5C3" w14:textId="77777777" w:rsidR="00640160" w:rsidRPr="00093167" w:rsidRDefault="00640160" w:rsidP="001C2EA2">
            <w:pPr>
              <w:spacing w:before="0"/>
              <w:rPr>
                <w:highlight w:val="green"/>
                <w:lang w:val="ru-RU"/>
              </w:rPr>
            </w:pPr>
            <w:r w:rsidRPr="00093167">
              <w:rPr>
                <w:highlight w:val="green"/>
                <w:lang w:val="ru-RU"/>
              </w:rPr>
              <w:t>[Официальная должность/титул]</w:t>
            </w:r>
          </w:p>
          <w:p w14:paraId="73181D14" w14:textId="77777777" w:rsidR="00640160" w:rsidRPr="00093167" w:rsidRDefault="00640160" w:rsidP="001C2EA2">
            <w:pPr>
              <w:spacing w:before="0"/>
              <w:rPr>
                <w:lang w:val="ru-RU"/>
              </w:rPr>
            </w:pPr>
            <w:r w:rsidRPr="00093167">
              <w:rPr>
                <w:highlight w:val="green"/>
                <w:lang w:val="ru-RU"/>
              </w:rPr>
              <w:t>[Адрес]</w:t>
            </w:r>
          </w:p>
        </w:tc>
      </w:tr>
      <w:tr w:rsidR="00640160" w:rsidRPr="00093167" w14:paraId="0E35A2E2" w14:textId="77777777" w:rsidTr="001C2EA2">
        <w:tc>
          <w:tcPr>
            <w:tcW w:w="1064" w:type="dxa"/>
            <w:shd w:val="clear" w:color="auto" w:fill="auto"/>
          </w:tcPr>
          <w:p w14:paraId="1A771F81" w14:textId="77777777" w:rsidR="00640160" w:rsidRPr="00093167" w:rsidRDefault="00640160" w:rsidP="001C2EA2">
            <w:pPr>
              <w:spacing w:before="0"/>
              <w:ind w:left="-113"/>
              <w:jc w:val="right"/>
              <w:rPr>
                <w:lang w:val="ru-RU"/>
              </w:rPr>
            </w:pPr>
            <w:r w:rsidRPr="00093167">
              <w:rPr>
                <w:b/>
                <w:bCs/>
                <w:lang w:val="ru-RU"/>
              </w:rPr>
              <w:t>Факс</w:t>
            </w:r>
            <w:r w:rsidRPr="00093167">
              <w:rPr>
                <w:lang w:val="ru-RU"/>
              </w:rPr>
              <w:t>:</w:t>
            </w:r>
          </w:p>
          <w:p w14:paraId="670052AE" w14:textId="77777777" w:rsidR="00640160" w:rsidRPr="00093167" w:rsidRDefault="00640160" w:rsidP="001C2EA2">
            <w:pPr>
              <w:spacing w:before="0"/>
              <w:ind w:left="-113"/>
              <w:jc w:val="right"/>
              <w:rPr>
                <w:lang w:val="ru-RU"/>
              </w:rPr>
            </w:pPr>
            <w:r w:rsidRPr="00093167">
              <w:rPr>
                <w:b/>
                <w:bCs/>
                <w:lang w:val="ru-RU"/>
              </w:rPr>
              <w:t>Эл. почта</w:t>
            </w:r>
            <w:r w:rsidRPr="00093167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1270CD9B" w14:textId="77777777" w:rsidR="00640160" w:rsidRPr="00093167" w:rsidRDefault="00640160" w:rsidP="001C2EA2">
            <w:pPr>
              <w:spacing w:before="0"/>
              <w:rPr>
                <w:lang w:val="ru-RU"/>
              </w:rPr>
            </w:pPr>
            <w:r w:rsidRPr="00093167">
              <w:rPr>
                <w:lang w:val="ru-RU"/>
              </w:rPr>
              <w:t>+41 22 730 5853</w:t>
            </w:r>
          </w:p>
          <w:p w14:paraId="0C8C7879" w14:textId="77777777" w:rsidR="00640160" w:rsidRPr="00093167" w:rsidRDefault="00352F27" w:rsidP="001C2EA2">
            <w:pPr>
              <w:spacing w:before="0"/>
              <w:rPr>
                <w:lang w:val="ru-RU"/>
              </w:rPr>
            </w:pPr>
            <w:hyperlink r:id="rId27" w:history="1">
              <w:r w:rsidR="00640160" w:rsidRPr="0009316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3F6602D" w14:textId="77777777" w:rsidR="00640160" w:rsidRPr="00093167" w:rsidRDefault="00640160" w:rsidP="001C2EA2">
            <w:pPr>
              <w:spacing w:before="0"/>
              <w:jc w:val="right"/>
              <w:rPr>
                <w:lang w:val="ru-RU"/>
              </w:rPr>
            </w:pPr>
            <w:r w:rsidRPr="00093167">
              <w:rPr>
                <w:b/>
                <w:bCs/>
                <w:lang w:val="ru-RU"/>
              </w:rPr>
              <w:t>Факс</w:t>
            </w:r>
            <w:r w:rsidRPr="00093167">
              <w:rPr>
                <w:lang w:val="ru-RU"/>
              </w:rPr>
              <w:t>:</w:t>
            </w:r>
          </w:p>
          <w:p w14:paraId="1DD443E4" w14:textId="77777777" w:rsidR="00640160" w:rsidRPr="00093167" w:rsidRDefault="00640160" w:rsidP="001C2EA2">
            <w:pPr>
              <w:spacing w:before="0"/>
              <w:jc w:val="right"/>
              <w:rPr>
                <w:lang w:val="ru-RU"/>
              </w:rPr>
            </w:pPr>
            <w:r w:rsidRPr="00093167">
              <w:rPr>
                <w:b/>
                <w:bCs/>
                <w:lang w:val="ru-RU"/>
              </w:rPr>
              <w:t>Эл. почта</w:t>
            </w:r>
            <w:r w:rsidRPr="0009316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33D3560" w14:textId="77777777" w:rsidR="00640160" w:rsidRPr="00093167" w:rsidRDefault="00640160" w:rsidP="001C2EA2">
            <w:pPr>
              <w:spacing w:before="0"/>
              <w:rPr>
                <w:lang w:val="ru-RU"/>
              </w:rPr>
            </w:pPr>
          </w:p>
        </w:tc>
      </w:tr>
      <w:tr w:rsidR="00640160" w:rsidRPr="00093167" w14:paraId="03584B78" w14:textId="77777777" w:rsidTr="001C2EA2">
        <w:tc>
          <w:tcPr>
            <w:tcW w:w="1064" w:type="dxa"/>
            <w:shd w:val="clear" w:color="auto" w:fill="auto"/>
          </w:tcPr>
          <w:p w14:paraId="3AB66715" w14:textId="77777777" w:rsidR="00640160" w:rsidRPr="00093167" w:rsidRDefault="00640160" w:rsidP="001C2EA2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29D6633" w14:textId="77777777" w:rsidR="00640160" w:rsidRPr="00093167" w:rsidRDefault="00640160" w:rsidP="001C2EA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B6676A3" w14:textId="77777777" w:rsidR="00640160" w:rsidRPr="00093167" w:rsidRDefault="00640160" w:rsidP="001C2EA2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093167">
              <w:rPr>
                <w:b/>
                <w:bCs/>
                <w:lang w:val="ru-RU"/>
              </w:rPr>
              <w:t>Дата</w:t>
            </w:r>
            <w:r w:rsidRPr="0009316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4E22954" w14:textId="77777777" w:rsidR="00640160" w:rsidRPr="00093167" w:rsidRDefault="00640160" w:rsidP="001C2EA2">
            <w:pPr>
              <w:spacing w:before="0"/>
              <w:rPr>
                <w:lang w:val="ru-RU"/>
              </w:rPr>
            </w:pPr>
            <w:r w:rsidRPr="00093167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6D53E6CD" w14:textId="77777777" w:rsidR="00640160" w:rsidRPr="00093167" w:rsidRDefault="00640160" w:rsidP="001546F1">
      <w:pPr>
        <w:spacing w:before="480"/>
        <w:rPr>
          <w:lang w:val="ru-RU"/>
        </w:rPr>
      </w:pPr>
      <w:r w:rsidRPr="00093167">
        <w:rPr>
          <w:lang w:val="ru-RU"/>
        </w:rPr>
        <w:t>Уважаемая госпожа,</w:t>
      </w:r>
      <w:r w:rsidRPr="00093167">
        <w:rPr>
          <w:lang w:val="ru-RU"/>
        </w:rPr>
        <w:br/>
        <w:t>уважаемый господин,</w:t>
      </w:r>
    </w:p>
    <w:p w14:paraId="46CA26C1" w14:textId="4318AD62" w:rsidR="00640160" w:rsidRPr="00093167" w:rsidRDefault="00640160" w:rsidP="001546F1">
      <w:pPr>
        <w:spacing w:before="240" w:after="120"/>
        <w:jc w:val="both"/>
        <w:rPr>
          <w:lang w:val="ru-RU"/>
        </w:rPr>
      </w:pPr>
      <w:r w:rsidRPr="00093167">
        <w:rPr>
          <w:spacing w:val="-2"/>
          <w:lang w:val="ru-RU"/>
        </w:rPr>
        <w:t xml:space="preserve">В рамках консультаций с Государствами-Членами </w:t>
      </w:r>
      <w:r w:rsidRPr="00093167">
        <w:rPr>
          <w:bCs/>
          <w:spacing w:val="-2"/>
          <w:lang w:val="ru-RU"/>
        </w:rPr>
        <w:t>по указанным в Циркуляре </w:t>
      </w:r>
      <w:r w:rsidR="001546F1" w:rsidRPr="00093167">
        <w:rPr>
          <w:bCs/>
          <w:spacing w:val="-2"/>
          <w:lang w:val="ru-RU"/>
        </w:rPr>
        <w:t>42</w:t>
      </w:r>
      <w:r w:rsidRPr="00093167">
        <w:rPr>
          <w:bCs/>
          <w:spacing w:val="-2"/>
          <w:lang w:val="ru-RU"/>
        </w:rPr>
        <w:t xml:space="preserve"> БСЭ проектам текстов, по которым сделано заключение, </w:t>
      </w:r>
      <w:r w:rsidRPr="00093167">
        <w:rPr>
          <w:spacing w:val="-2"/>
          <w:lang w:val="ru-RU"/>
        </w:rPr>
        <w:t>я хотел/хотела бы сообщить вам мнение администрации, изложенное в таблице, ниже</w:t>
      </w:r>
      <w:r w:rsidRPr="00093167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640160" w:rsidRPr="004418BB" w14:paraId="0D37B87F" w14:textId="77777777" w:rsidTr="001042ED">
        <w:trPr>
          <w:cantSplit/>
          <w:tblHeader/>
        </w:trPr>
        <w:tc>
          <w:tcPr>
            <w:tcW w:w="1980" w:type="dxa"/>
            <w:shd w:val="clear" w:color="auto" w:fill="auto"/>
            <w:vAlign w:val="center"/>
          </w:tcPr>
          <w:p w14:paraId="543DA3B0" w14:textId="77777777" w:rsidR="00640160" w:rsidRPr="00093167" w:rsidRDefault="00640160" w:rsidP="001546F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5BBD6E27" w14:textId="77777777" w:rsidR="00640160" w:rsidRPr="00093167" w:rsidRDefault="00640160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546F1" w:rsidRPr="004418BB" w14:paraId="7CE63804" w14:textId="77777777" w:rsidTr="001042ED">
        <w:trPr>
          <w:cantSplit/>
          <w:trHeight w:val="7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8D79C29" w14:textId="0D4A8F0A" w:rsidR="001546F1" w:rsidRPr="00093167" w:rsidRDefault="001546F1" w:rsidP="001B635C">
            <w:pPr>
              <w:keepNext/>
              <w:spacing w:before="40" w:after="4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1B635C" w:rsidRPr="00093167">
              <w:rPr>
                <w:b/>
                <w:bCs/>
                <w:lang w:val="ru-RU"/>
              </w:rPr>
              <w:t>X.1353 (</w:t>
            </w:r>
            <w:proofErr w:type="spellStart"/>
            <w:r w:rsidR="001B635C" w:rsidRPr="00093167">
              <w:rPr>
                <w:b/>
                <w:bCs/>
                <w:lang w:val="ru-RU"/>
              </w:rPr>
              <w:t>X.ztd-iot</w:t>
            </w:r>
            <w:proofErr w:type="spellEnd"/>
            <w:r w:rsidR="001B635C" w:rsidRPr="00093167">
              <w:rPr>
                <w:b/>
                <w:bCs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10BA" w14:textId="77777777" w:rsidR="001546F1" w:rsidRPr="00093167" w:rsidRDefault="001546F1" w:rsidP="0035049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063684B1" w14:textId="77777777" w:rsidR="001546F1" w:rsidRPr="00093167" w:rsidRDefault="001546F1" w:rsidP="0035049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47C8C97A" w14:textId="748D3AF6" w:rsidR="001546F1" w:rsidRPr="00093167" w:rsidRDefault="001546F1" w:rsidP="0035049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546F1" w:rsidRPr="004418BB" w14:paraId="2E2464E5" w14:textId="77777777" w:rsidTr="001042ED">
        <w:trPr>
          <w:cantSplit/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26FFE478" w14:textId="77777777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28A" w14:textId="6E5B3606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1546F1" w:rsidRPr="004418BB" w14:paraId="24CFB5E1" w14:textId="77777777" w:rsidTr="001042ED">
        <w:trPr>
          <w:cantSplit/>
          <w:trHeight w:val="7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7A16" w14:textId="16E34E38" w:rsidR="001546F1" w:rsidRPr="00093167" w:rsidRDefault="001546F1" w:rsidP="001B635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1B635C" w:rsidRPr="00093167">
              <w:rPr>
                <w:b/>
                <w:bCs/>
                <w:lang w:val="ru-RU"/>
              </w:rPr>
              <w:t>X.1380 (</w:t>
            </w:r>
            <w:proofErr w:type="spellStart"/>
            <w:r w:rsidR="001B635C" w:rsidRPr="00093167">
              <w:rPr>
                <w:b/>
                <w:bCs/>
                <w:lang w:val="ru-RU"/>
              </w:rPr>
              <w:t>X.edr-sec</w:t>
            </w:r>
            <w:proofErr w:type="spellEnd"/>
            <w:r w:rsidR="001B635C" w:rsidRPr="00093167">
              <w:rPr>
                <w:b/>
                <w:bCs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A20B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54114A40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05944961" w14:textId="365A5351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546F1" w:rsidRPr="004418BB" w14:paraId="124E7C24" w14:textId="77777777" w:rsidTr="001042ED">
        <w:trPr>
          <w:cantSplit/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2F96" w14:textId="77777777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65D6" w14:textId="6E14029A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1546F1" w:rsidRPr="004418BB" w14:paraId="32089E38" w14:textId="77777777" w:rsidTr="001042ED">
        <w:trPr>
          <w:cantSplit/>
          <w:trHeight w:val="74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322D" w14:textId="3581E727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1B635C" w:rsidRPr="00093167">
              <w:rPr>
                <w:b/>
                <w:bCs/>
                <w:lang w:val="ru-RU"/>
              </w:rPr>
              <w:t>X.1381 (</w:t>
            </w:r>
            <w:proofErr w:type="spellStart"/>
            <w:proofErr w:type="gramStart"/>
            <w:r w:rsidR="001B635C" w:rsidRPr="00093167">
              <w:rPr>
                <w:b/>
                <w:bCs/>
                <w:lang w:val="ru-RU"/>
              </w:rPr>
              <w:t>X.eivn</w:t>
            </w:r>
            <w:proofErr w:type="gramEnd"/>
            <w:r w:rsidR="001B635C" w:rsidRPr="00093167">
              <w:rPr>
                <w:b/>
                <w:bCs/>
                <w:lang w:val="ru-RU"/>
              </w:rPr>
              <w:t>-sec</w:t>
            </w:r>
            <w:proofErr w:type="spellEnd"/>
            <w:r w:rsidR="001B635C" w:rsidRPr="00093167">
              <w:rPr>
                <w:b/>
                <w:bCs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6EF3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4E3633AC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5FAAAF01" w14:textId="10692DB2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546F1" w:rsidRPr="004418BB" w14:paraId="4F76D764" w14:textId="77777777" w:rsidTr="001042ED">
        <w:trPr>
          <w:cantSplit/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C96D" w14:textId="77777777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1365" w14:textId="6DBADCBF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1546F1" w:rsidRPr="004418BB" w14:paraId="7D3B4661" w14:textId="77777777" w:rsidTr="001042ED">
        <w:trPr>
          <w:cantSplit/>
          <w:trHeight w:val="74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1303" w14:textId="34F45D07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lastRenderedPageBreak/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1B635C" w:rsidRPr="00093167">
              <w:rPr>
                <w:b/>
                <w:bCs/>
                <w:lang w:val="ru-RU"/>
              </w:rPr>
              <w:t>X.1382 (</w:t>
            </w:r>
            <w:proofErr w:type="spellStart"/>
            <w:proofErr w:type="gramStart"/>
            <w:r w:rsidR="001B635C" w:rsidRPr="00093167">
              <w:rPr>
                <w:b/>
                <w:bCs/>
                <w:lang w:val="ru-RU"/>
              </w:rPr>
              <w:t>X.fstsicv</w:t>
            </w:r>
            <w:proofErr w:type="spellEnd"/>
            <w:proofErr w:type="gramEnd"/>
            <w:r w:rsidR="001B635C" w:rsidRPr="00093167">
              <w:rPr>
                <w:b/>
                <w:bCs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ABCF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7B01F784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43610CF7" w14:textId="1581828F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546F1" w:rsidRPr="004418BB" w14:paraId="5E4E7A5F" w14:textId="77777777" w:rsidTr="001042ED">
        <w:trPr>
          <w:cantSplit/>
          <w:trHeight w:val="74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E00" w14:textId="77777777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52E2" w14:textId="0700A00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1546F1" w:rsidRPr="004418BB" w14:paraId="45EFB770" w14:textId="77777777" w:rsidTr="001042ED">
        <w:trPr>
          <w:cantSplit/>
          <w:trHeight w:val="74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68D5" w14:textId="00E5E8FB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1B635C" w:rsidRPr="00093167">
              <w:rPr>
                <w:b/>
                <w:bCs/>
                <w:lang w:val="ru-RU"/>
              </w:rPr>
              <w:t>X.1383 (</w:t>
            </w:r>
            <w:proofErr w:type="spellStart"/>
            <w:proofErr w:type="gramStart"/>
            <w:r w:rsidR="001B635C" w:rsidRPr="00093167">
              <w:rPr>
                <w:b/>
                <w:bCs/>
                <w:lang w:val="ru-RU"/>
              </w:rPr>
              <w:t>X.srcd</w:t>
            </w:r>
            <w:proofErr w:type="spellEnd"/>
            <w:proofErr w:type="gramEnd"/>
            <w:r w:rsidR="001B635C" w:rsidRPr="00093167">
              <w:rPr>
                <w:b/>
                <w:bCs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3EF0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530154DA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65DF6342" w14:textId="75211CF6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546F1" w:rsidRPr="004418BB" w14:paraId="0218FC39" w14:textId="77777777" w:rsidTr="001042ED">
        <w:trPr>
          <w:cantSplit/>
          <w:trHeight w:val="74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02C7" w14:textId="77777777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763E" w14:textId="305150DC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1546F1" w:rsidRPr="004418BB" w14:paraId="7224FF34" w14:textId="77777777" w:rsidTr="001042ED">
        <w:trPr>
          <w:cantSplit/>
          <w:trHeight w:val="74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55CB" w14:textId="3737D413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F67308" w:rsidRPr="00093167">
              <w:rPr>
                <w:b/>
                <w:bCs/>
                <w:lang w:val="ru-RU"/>
              </w:rPr>
              <w:t>X.1410 (X.sa-</w:t>
            </w:r>
            <w:proofErr w:type="spellStart"/>
            <w:r w:rsidR="00F67308" w:rsidRPr="00093167">
              <w:rPr>
                <w:b/>
                <w:bCs/>
                <w:lang w:val="ru-RU"/>
              </w:rPr>
              <w:t>dsm</w:t>
            </w:r>
            <w:proofErr w:type="spellEnd"/>
            <w:r w:rsidR="00F67308" w:rsidRPr="00093167">
              <w:rPr>
                <w:b/>
                <w:bCs/>
                <w:lang w:val="ru-RU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D150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6A228C87" w14:textId="77777777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7CC023A9" w14:textId="4A76062A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546F1" w:rsidRPr="004418BB" w14:paraId="57A28E71" w14:textId="77777777" w:rsidTr="001042ED">
        <w:trPr>
          <w:cantSplit/>
          <w:trHeight w:val="74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A387" w14:textId="77777777" w:rsidR="001546F1" w:rsidRPr="00093167" w:rsidRDefault="001546F1" w:rsidP="001546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5E9E" w14:textId="5B737990" w:rsidR="001546F1" w:rsidRPr="00093167" w:rsidRDefault="001546F1" w:rsidP="001546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1042ED" w:rsidRPr="004418BB" w14:paraId="77139DA5" w14:textId="77777777" w:rsidTr="001042ED">
        <w:trPr>
          <w:cantSplit/>
          <w:trHeight w:val="20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D7" w14:textId="20F50BA9" w:rsidR="001042ED" w:rsidRPr="00093167" w:rsidRDefault="001042ED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2" w:name="lt_pId215"/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F67308" w:rsidRPr="00093167">
              <w:rPr>
                <w:b/>
                <w:bCs/>
                <w:lang w:val="ru-RU"/>
              </w:rPr>
              <w:t>X.1411 (</w:t>
            </w:r>
            <w:proofErr w:type="spellStart"/>
            <w:r w:rsidR="00F67308" w:rsidRPr="00093167">
              <w:rPr>
                <w:b/>
                <w:bCs/>
                <w:lang w:val="ru-RU"/>
              </w:rPr>
              <w:t>X.BaaS-sec</w:t>
            </w:r>
            <w:proofErr w:type="spellEnd"/>
            <w:r w:rsidR="00F67308" w:rsidRPr="00093167">
              <w:rPr>
                <w:b/>
                <w:bCs/>
                <w:lang w:val="ru-RU"/>
              </w:rPr>
              <w:t>)</w:t>
            </w:r>
            <w:bookmarkEnd w:id="2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5997" w14:textId="77777777" w:rsidR="001042ED" w:rsidRPr="00093167" w:rsidRDefault="001042ED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066CD29F" w14:textId="77777777" w:rsidR="001042ED" w:rsidRPr="00093167" w:rsidRDefault="001042ED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7DE937EE" w14:textId="17D8CC4C" w:rsidR="001042ED" w:rsidRPr="00093167" w:rsidRDefault="001042ED" w:rsidP="003504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042ED" w:rsidRPr="004418BB" w14:paraId="38A6FD5A" w14:textId="77777777" w:rsidTr="001042ED">
        <w:trPr>
          <w:cantSplit/>
          <w:trHeight w:val="20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89FD" w14:textId="77777777" w:rsidR="001042ED" w:rsidRPr="00093167" w:rsidRDefault="001042ED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89F4" w14:textId="73222B5D" w:rsidR="001042ED" w:rsidRPr="00093167" w:rsidRDefault="001042ED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1042ED" w:rsidRPr="004418BB" w14:paraId="72C94DB3" w14:textId="77777777" w:rsidTr="001042ED">
        <w:trPr>
          <w:cantSplit/>
          <w:trHeight w:val="375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1820" w14:textId="77CC8C45" w:rsidR="001042ED" w:rsidRPr="00093167" w:rsidRDefault="001042ED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3" w:name="lt_pId222"/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093167">
              <w:rPr>
                <w:b/>
                <w:bCs/>
                <w:lang w:val="ru-RU"/>
              </w:rPr>
              <w:t xml:space="preserve"> </w:t>
            </w:r>
            <w:r w:rsidR="00F67308" w:rsidRPr="00093167">
              <w:rPr>
                <w:b/>
                <w:bCs/>
                <w:lang w:val="ru-RU"/>
              </w:rPr>
              <w:t>X.1454 (</w:t>
            </w:r>
            <w:proofErr w:type="spellStart"/>
            <w:proofErr w:type="gramStart"/>
            <w:r w:rsidR="00F67308" w:rsidRPr="00093167">
              <w:rPr>
                <w:b/>
                <w:bCs/>
                <w:lang w:val="ru-RU"/>
              </w:rPr>
              <w:t>X.sles</w:t>
            </w:r>
            <w:proofErr w:type="spellEnd"/>
            <w:proofErr w:type="gramEnd"/>
            <w:r w:rsidR="00F67308" w:rsidRPr="00093167">
              <w:rPr>
                <w:b/>
                <w:bCs/>
                <w:lang w:val="ru-RU"/>
              </w:rPr>
              <w:t>)</w:t>
            </w:r>
            <w:bookmarkEnd w:id="3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91FD" w14:textId="77777777" w:rsidR="001042ED" w:rsidRPr="00093167" w:rsidRDefault="001042ED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287B4C7C" w14:textId="77777777" w:rsidR="001042ED" w:rsidRPr="00093167" w:rsidRDefault="001042ED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03125EBE" w14:textId="1D320605" w:rsidR="001042ED" w:rsidRPr="00093167" w:rsidRDefault="001042ED" w:rsidP="003504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042ED" w:rsidRPr="004418BB" w14:paraId="10361AC9" w14:textId="77777777" w:rsidTr="001042ED">
        <w:trPr>
          <w:cantSplit/>
          <w:trHeight w:val="37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7BA1" w14:textId="77777777" w:rsidR="001042ED" w:rsidRPr="00093167" w:rsidRDefault="001042ED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7C5E" w14:textId="231DAC0C" w:rsidR="001042ED" w:rsidRPr="00093167" w:rsidRDefault="001042ED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1042ED" w:rsidRPr="004418BB" w14:paraId="0C4F849B" w14:textId="77777777" w:rsidTr="001042ED">
        <w:trPr>
          <w:cantSplit/>
          <w:trHeight w:val="221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A219" w14:textId="425A2EBC" w:rsidR="001042ED" w:rsidRPr="00093167" w:rsidRDefault="001042ED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4" w:name="lt_pId229"/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093167">
              <w:rPr>
                <w:b/>
                <w:bCs/>
                <w:lang w:val="ru-RU"/>
              </w:rPr>
              <w:t xml:space="preserve"> </w:t>
            </w:r>
            <w:r w:rsidR="00F67308" w:rsidRPr="00093167">
              <w:rPr>
                <w:b/>
                <w:bCs/>
                <w:lang w:val="ru-RU"/>
              </w:rPr>
              <w:t>X.1644 (</w:t>
            </w:r>
            <w:proofErr w:type="spellStart"/>
            <w:proofErr w:type="gramStart"/>
            <w:r w:rsidR="00F67308" w:rsidRPr="00093167">
              <w:rPr>
                <w:b/>
                <w:bCs/>
                <w:lang w:val="ru-RU"/>
              </w:rPr>
              <w:t>X.sgdc</w:t>
            </w:r>
            <w:proofErr w:type="spellEnd"/>
            <w:proofErr w:type="gramEnd"/>
            <w:r w:rsidR="00F67308" w:rsidRPr="00093167">
              <w:rPr>
                <w:b/>
                <w:bCs/>
                <w:lang w:val="ru-RU"/>
              </w:rPr>
              <w:t>)</w:t>
            </w:r>
            <w:bookmarkEnd w:id="4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095C" w14:textId="77777777" w:rsidR="001042ED" w:rsidRPr="00093167" w:rsidRDefault="001042ED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6699EB12" w14:textId="77777777" w:rsidR="001042ED" w:rsidRPr="00093167" w:rsidRDefault="001042ED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625259E5" w14:textId="39DBEF33" w:rsidR="001042ED" w:rsidRPr="00093167" w:rsidRDefault="001042ED" w:rsidP="003504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042ED" w:rsidRPr="004418BB" w14:paraId="17602719" w14:textId="77777777" w:rsidTr="001042ED">
        <w:trPr>
          <w:cantSplit/>
          <w:trHeight w:val="22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783C" w14:textId="77777777" w:rsidR="001042ED" w:rsidRPr="00093167" w:rsidRDefault="001042ED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6358" w14:textId="45745351" w:rsidR="001042ED" w:rsidRPr="00093167" w:rsidRDefault="001042ED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F67308" w:rsidRPr="004418BB" w14:paraId="60A66678" w14:textId="77777777" w:rsidTr="00F67308">
        <w:trPr>
          <w:cantSplit/>
          <w:trHeight w:val="221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6DBC" w14:textId="74D894AB" w:rsidR="00F67308" w:rsidRPr="00093167" w:rsidRDefault="00F67308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lastRenderedPageBreak/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093167">
              <w:rPr>
                <w:b/>
                <w:bCs/>
                <w:lang w:val="ru-RU"/>
              </w:rPr>
              <w:t xml:space="preserve"> X.1815 (X.5Gsec-ecs)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FFF7" w14:textId="77777777" w:rsidR="00F67308" w:rsidRPr="00093167" w:rsidRDefault="00F67308" w:rsidP="00F6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1E839327" w14:textId="77777777" w:rsidR="00F67308" w:rsidRPr="00093167" w:rsidRDefault="00F67308" w:rsidP="00F6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77F08189" w14:textId="38B112A4" w:rsidR="00F67308" w:rsidRPr="00093167" w:rsidRDefault="00F67308" w:rsidP="00F6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F67308" w:rsidRPr="004418BB" w14:paraId="45DCD8EA" w14:textId="77777777" w:rsidTr="001042ED">
        <w:trPr>
          <w:cantSplit/>
          <w:trHeight w:val="22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4494" w14:textId="77777777" w:rsidR="00F67308" w:rsidRPr="00093167" w:rsidRDefault="00F67308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F64" w14:textId="54CDE2EC" w:rsidR="00F67308" w:rsidRPr="00093167" w:rsidRDefault="00F67308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  <w:tr w:rsidR="00F67308" w:rsidRPr="004418BB" w14:paraId="6CD3009E" w14:textId="77777777" w:rsidTr="00F67308">
        <w:trPr>
          <w:cantSplit/>
          <w:trHeight w:val="221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87FD" w14:textId="03868E91" w:rsidR="00F67308" w:rsidRPr="00093167" w:rsidRDefault="00F67308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09316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093167">
              <w:rPr>
                <w:b/>
                <w:bCs/>
                <w:lang w:val="ru-RU"/>
              </w:rPr>
              <w:t xml:space="preserve"> X.1816 (X.5Gsec-ssl)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0C8B" w14:textId="77777777" w:rsidR="00F67308" w:rsidRPr="00093167" w:rsidRDefault="00F67308" w:rsidP="00F6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Предоставляет полномочия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(в этом случае выбрать один из двух вариантов </w:t>
            </w: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lang w:val="ru-RU"/>
              </w:rPr>
              <w:t>):</w:t>
            </w:r>
          </w:p>
          <w:p w14:paraId="3EC30444" w14:textId="77777777" w:rsidR="00F67308" w:rsidRPr="00093167" w:rsidRDefault="00F67308" w:rsidP="00F6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или предлагаемые изменения отсутствуют</w:t>
            </w:r>
          </w:p>
          <w:p w14:paraId="4186D62B" w14:textId="5A878163" w:rsidR="00F67308" w:rsidRPr="00093167" w:rsidRDefault="00F67308" w:rsidP="00F6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93167">
              <w:rPr>
                <w:sz w:val="20"/>
                <w:lang w:val="ru-RU"/>
              </w:rPr>
              <w:t>⃝</w:t>
            </w:r>
            <w:r w:rsidRPr="00093167">
              <w:rPr>
                <w:sz w:val="20"/>
                <w:lang w:val="ru-RU"/>
              </w:rPr>
              <w:tab/>
            </w:r>
            <w:r w:rsidRPr="0009316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F67308" w:rsidRPr="004418BB" w14:paraId="1701ED80" w14:textId="77777777" w:rsidTr="001042ED">
        <w:trPr>
          <w:cantSplit/>
          <w:trHeight w:val="22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37DD" w14:textId="77777777" w:rsidR="00F67308" w:rsidRPr="00093167" w:rsidRDefault="00F67308" w:rsidP="001042E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C8B8" w14:textId="4B11C142" w:rsidR="00F67308" w:rsidRPr="00093167" w:rsidRDefault="00F67308" w:rsidP="001042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09316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67">
              <w:rPr>
                <w:szCs w:val="22"/>
                <w:lang w:val="ru-RU"/>
              </w:rPr>
              <w:instrText xml:space="preserve"> FORMCHECKBOX </w:instrText>
            </w:r>
            <w:r w:rsidR="00352F27">
              <w:rPr>
                <w:szCs w:val="22"/>
                <w:lang w:val="ru-RU"/>
              </w:rPr>
            </w:r>
            <w:r w:rsidR="00352F27">
              <w:rPr>
                <w:szCs w:val="22"/>
                <w:lang w:val="ru-RU"/>
              </w:rPr>
              <w:fldChar w:fldCharType="separate"/>
            </w:r>
            <w:r w:rsidRPr="00093167">
              <w:rPr>
                <w:szCs w:val="22"/>
                <w:lang w:val="ru-RU"/>
              </w:rPr>
              <w:fldChar w:fldCharType="end"/>
            </w:r>
            <w:r w:rsidRPr="00093167">
              <w:rPr>
                <w:szCs w:val="22"/>
                <w:lang w:val="ru-RU"/>
              </w:rPr>
              <w:tab/>
            </w:r>
            <w:r w:rsidRPr="00093167">
              <w:rPr>
                <w:b/>
                <w:bCs/>
                <w:lang w:val="ru-RU"/>
              </w:rPr>
              <w:t>Не предоставляет полномочий</w:t>
            </w:r>
            <w:r w:rsidRPr="00093167">
              <w:rPr>
                <w:lang w:val="ru-RU"/>
              </w:rPr>
              <w:t xml:space="preserve"> ИК17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93167">
              <w:rPr>
                <w:szCs w:val="22"/>
                <w:lang w:val="ru-RU"/>
              </w:rPr>
              <w:t>)</w:t>
            </w:r>
          </w:p>
        </w:tc>
      </w:tr>
    </w:tbl>
    <w:p w14:paraId="67FD29CC" w14:textId="77777777" w:rsidR="00640160" w:rsidRPr="00093167" w:rsidRDefault="00640160" w:rsidP="001042ED">
      <w:pPr>
        <w:spacing w:before="360"/>
        <w:rPr>
          <w:lang w:val="ru-RU"/>
        </w:rPr>
      </w:pPr>
      <w:r w:rsidRPr="00093167">
        <w:rPr>
          <w:lang w:val="ru-RU"/>
        </w:rPr>
        <w:t>С уважением,</w:t>
      </w:r>
    </w:p>
    <w:p w14:paraId="76396434" w14:textId="77777777" w:rsidR="00640160" w:rsidRPr="00093167" w:rsidRDefault="00640160" w:rsidP="00712516">
      <w:pPr>
        <w:spacing w:before="240"/>
        <w:rPr>
          <w:lang w:val="ru-RU"/>
        </w:rPr>
      </w:pPr>
      <w:r w:rsidRPr="00093167">
        <w:rPr>
          <w:highlight w:val="green"/>
          <w:lang w:val="ru-RU"/>
        </w:rPr>
        <w:t>[Фамилия]</w:t>
      </w:r>
      <w:r w:rsidRPr="00093167">
        <w:rPr>
          <w:highlight w:val="green"/>
          <w:lang w:val="ru-RU"/>
        </w:rPr>
        <w:br/>
        <w:t>[Официальная должность/титул]</w:t>
      </w:r>
      <w:r w:rsidRPr="00093167">
        <w:rPr>
          <w:lang w:val="ru-RU"/>
        </w:rPr>
        <w:br/>
        <w:t xml:space="preserve">Администрация </w:t>
      </w:r>
      <w:r w:rsidRPr="00093167">
        <w:rPr>
          <w:highlight w:val="green"/>
          <w:lang w:val="ru-RU"/>
        </w:rPr>
        <w:t>[Государства-Члена]</w:t>
      </w:r>
    </w:p>
    <w:p w14:paraId="6FFD460A" w14:textId="62A7BFBF" w:rsidR="00532367" w:rsidRPr="00093167" w:rsidRDefault="00640160" w:rsidP="001042ED">
      <w:pPr>
        <w:spacing w:before="360"/>
        <w:jc w:val="center"/>
        <w:rPr>
          <w:lang w:val="ru-RU"/>
        </w:rPr>
      </w:pPr>
      <w:r w:rsidRPr="00093167">
        <w:rPr>
          <w:lang w:val="ru-RU"/>
        </w:rPr>
        <w:t>______________</w:t>
      </w:r>
    </w:p>
    <w:sectPr w:rsidR="00532367" w:rsidRPr="00093167" w:rsidSect="00E366CB">
      <w:headerReference w:type="default" r:id="rId28"/>
      <w:footerReference w:type="first" r:id="rId29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3B1B" w14:textId="77777777" w:rsidR="006443AC" w:rsidRDefault="006443AC">
      <w:r>
        <w:separator/>
      </w:r>
    </w:p>
  </w:endnote>
  <w:endnote w:type="continuationSeparator" w:id="0">
    <w:p w14:paraId="510C7B4B" w14:textId="77777777" w:rsidR="006443AC" w:rsidRDefault="0064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6443AC" w:rsidRPr="004A3E1B" w:rsidRDefault="006443AC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5E6E" w14:textId="77777777" w:rsidR="006443AC" w:rsidRDefault="006443AC">
      <w:r>
        <w:separator/>
      </w:r>
    </w:p>
  </w:footnote>
  <w:footnote w:type="continuationSeparator" w:id="0">
    <w:p w14:paraId="58CE19FE" w14:textId="77777777" w:rsidR="006443AC" w:rsidRDefault="0064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3C625348" w:rsidR="006443AC" w:rsidRPr="00604026" w:rsidRDefault="006443AC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6FF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t>42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F44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8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C5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F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42D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C0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88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2D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4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09673">
    <w:abstractNumId w:val="23"/>
  </w:num>
  <w:num w:numId="2" w16cid:durableId="1028457135">
    <w:abstractNumId w:val="16"/>
  </w:num>
  <w:num w:numId="3" w16cid:durableId="1302924786">
    <w:abstractNumId w:val="30"/>
  </w:num>
  <w:num w:numId="4" w16cid:durableId="814949576">
    <w:abstractNumId w:val="13"/>
  </w:num>
  <w:num w:numId="5" w16cid:durableId="1123383396">
    <w:abstractNumId w:val="24"/>
  </w:num>
  <w:num w:numId="6" w16cid:durableId="1707098144">
    <w:abstractNumId w:val="12"/>
  </w:num>
  <w:num w:numId="7" w16cid:durableId="182936779">
    <w:abstractNumId w:val="27"/>
  </w:num>
  <w:num w:numId="8" w16cid:durableId="954826117">
    <w:abstractNumId w:val="20"/>
  </w:num>
  <w:num w:numId="9" w16cid:durableId="1782452594">
    <w:abstractNumId w:val="22"/>
  </w:num>
  <w:num w:numId="10" w16cid:durableId="951521999">
    <w:abstractNumId w:val="15"/>
  </w:num>
  <w:num w:numId="11" w16cid:durableId="11996299">
    <w:abstractNumId w:val="25"/>
  </w:num>
  <w:num w:numId="12" w16cid:durableId="356002147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26236652">
    <w:abstractNumId w:val="18"/>
  </w:num>
  <w:num w:numId="14" w16cid:durableId="937175">
    <w:abstractNumId w:val="19"/>
  </w:num>
  <w:num w:numId="15" w16cid:durableId="47147062">
    <w:abstractNumId w:val="14"/>
  </w:num>
  <w:num w:numId="16" w16cid:durableId="1642535659">
    <w:abstractNumId w:val="29"/>
  </w:num>
  <w:num w:numId="17" w16cid:durableId="441925112">
    <w:abstractNumId w:val="28"/>
  </w:num>
  <w:num w:numId="18" w16cid:durableId="1461220600">
    <w:abstractNumId w:val="9"/>
  </w:num>
  <w:num w:numId="19" w16cid:durableId="357202787">
    <w:abstractNumId w:val="7"/>
  </w:num>
  <w:num w:numId="20" w16cid:durableId="449470614">
    <w:abstractNumId w:val="6"/>
  </w:num>
  <w:num w:numId="21" w16cid:durableId="760032393">
    <w:abstractNumId w:val="5"/>
  </w:num>
  <w:num w:numId="22" w16cid:durableId="2009477654">
    <w:abstractNumId w:val="4"/>
  </w:num>
  <w:num w:numId="23" w16cid:durableId="451676385">
    <w:abstractNumId w:val="8"/>
  </w:num>
  <w:num w:numId="24" w16cid:durableId="1856110982">
    <w:abstractNumId w:val="3"/>
  </w:num>
  <w:num w:numId="25" w16cid:durableId="257252765">
    <w:abstractNumId w:val="2"/>
  </w:num>
  <w:num w:numId="26" w16cid:durableId="854424586">
    <w:abstractNumId w:val="1"/>
  </w:num>
  <w:num w:numId="27" w16cid:durableId="87509213">
    <w:abstractNumId w:val="0"/>
  </w:num>
  <w:num w:numId="28" w16cid:durableId="216399911">
    <w:abstractNumId w:val="17"/>
  </w:num>
  <w:num w:numId="29" w16cid:durableId="387067825">
    <w:abstractNumId w:val="26"/>
  </w:num>
  <w:num w:numId="30" w16cid:durableId="1941402360">
    <w:abstractNumId w:val="21"/>
  </w:num>
  <w:num w:numId="31" w16cid:durableId="1421220042">
    <w:abstractNumId w:val="11"/>
  </w:num>
  <w:num w:numId="32" w16cid:durableId="6544544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BB6"/>
    <w:rsid w:val="00011DBE"/>
    <w:rsid w:val="00015D39"/>
    <w:rsid w:val="00020491"/>
    <w:rsid w:val="00022027"/>
    <w:rsid w:val="00024565"/>
    <w:rsid w:val="0003235D"/>
    <w:rsid w:val="000345A8"/>
    <w:rsid w:val="000422D3"/>
    <w:rsid w:val="00042A92"/>
    <w:rsid w:val="00044321"/>
    <w:rsid w:val="00045A7C"/>
    <w:rsid w:val="000469A8"/>
    <w:rsid w:val="0004755D"/>
    <w:rsid w:val="00062E38"/>
    <w:rsid w:val="000708F5"/>
    <w:rsid w:val="000720FA"/>
    <w:rsid w:val="00082B7B"/>
    <w:rsid w:val="00090557"/>
    <w:rsid w:val="00093167"/>
    <w:rsid w:val="0009446E"/>
    <w:rsid w:val="00095010"/>
    <w:rsid w:val="00095B50"/>
    <w:rsid w:val="00095EA0"/>
    <w:rsid w:val="000C084A"/>
    <w:rsid w:val="000C2147"/>
    <w:rsid w:val="000C2B57"/>
    <w:rsid w:val="000C4B98"/>
    <w:rsid w:val="000C5DC8"/>
    <w:rsid w:val="000C6D3D"/>
    <w:rsid w:val="000C7D98"/>
    <w:rsid w:val="000D2DCC"/>
    <w:rsid w:val="000D5C9C"/>
    <w:rsid w:val="000E2BEE"/>
    <w:rsid w:val="000E4F60"/>
    <w:rsid w:val="000E5FD7"/>
    <w:rsid w:val="00100969"/>
    <w:rsid w:val="001009A5"/>
    <w:rsid w:val="00103310"/>
    <w:rsid w:val="001042ED"/>
    <w:rsid w:val="00105B48"/>
    <w:rsid w:val="00112CD6"/>
    <w:rsid w:val="00115B49"/>
    <w:rsid w:val="001176E3"/>
    <w:rsid w:val="0012140C"/>
    <w:rsid w:val="001232E6"/>
    <w:rsid w:val="0012655D"/>
    <w:rsid w:val="00126A55"/>
    <w:rsid w:val="00127679"/>
    <w:rsid w:val="0014405C"/>
    <w:rsid w:val="00150755"/>
    <w:rsid w:val="001546F1"/>
    <w:rsid w:val="00157ADD"/>
    <w:rsid w:val="001629DC"/>
    <w:rsid w:val="001776FF"/>
    <w:rsid w:val="00180046"/>
    <w:rsid w:val="00183CC4"/>
    <w:rsid w:val="00184E6D"/>
    <w:rsid w:val="00185945"/>
    <w:rsid w:val="00185A56"/>
    <w:rsid w:val="0019030B"/>
    <w:rsid w:val="001B4A74"/>
    <w:rsid w:val="001B635C"/>
    <w:rsid w:val="001C2EA2"/>
    <w:rsid w:val="001C7E50"/>
    <w:rsid w:val="001D261C"/>
    <w:rsid w:val="001D6AA9"/>
    <w:rsid w:val="001F0165"/>
    <w:rsid w:val="001F1941"/>
    <w:rsid w:val="001F63B2"/>
    <w:rsid w:val="00200F79"/>
    <w:rsid w:val="00205108"/>
    <w:rsid w:val="00207341"/>
    <w:rsid w:val="00216D3E"/>
    <w:rsid w:val="00221E07"/>
    <w:rsid w:val="0022492E"/>
    <w:rsid w:val="00235199"/>
    <w:rsid w:val="00242803"/>
    <w:rsid w:val="002435B7"/>
    <w:rsid w:val="002459BB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80A3E"/>
    <w:rsid w:val="00297434"/>
    <w:rsid w:val="002A5E04"/>
    <w:rsid w:val="002B37F9"/>
    <w:rsid w:val="002B4A2E"/>
    <w:rsid w:val="002B68D8"/>
    <w:rsid w:val="002C16A1"/>
    <w:rsid w:val="002C339C"/>
    <w:rsid w:val="002C552E"/>
    <w:rsid w:val="002D06B7"/>
    <w:rsid w:val="002D26FD"/>
    <w:rsid w:val="002E1224"/>
    <w:rsid w:val="002E3F87"/>
    <w:rsid w:val="002E4C41"/>
    <w:rsid w:val="002F50C1"/>
    <w:rsid w:val="002F5BBE"/>
    <w:rsid w:val="00303FBD"/>
    <w:rsid w:val="0030521B"/>
    <w:rsid w:val="0030770D"/>
    <w:rsid w:val="003113A8"/>
    <w:rsid w:val="00314B2D"/>
    <w:rsid w:val="003179FE"/>
    <w:rsid w:val="00321F06"/>
    <w:rsid w:val="00323296"/>
    <w:rsid w:val="00323423"/>
    <w:rsid w:val="0033434F"/>
    <w:rsid w:val="00337770"/>
    <w:rsid w:val="00337F1C"/>
    <w:rsid w:val="00340304"/>
    <w:rsid w:val="003449AA"/>
    <w:rsid w:val="00350496"/>
    <w:rsid w:val="003506E7"/>
    <w:rsid w:val="00352F27"/>
    <w:rsid w:val="00354887"/>
    <w:rsid w:val="003555F3"/>
    <w:rsid w:val="00355DBF"/>
    <w:rsid w:val="00360D8C"/>
    <w:rsid w:val="00365FBA"/>
    <w:rsid w:val="003664DD"/>
    <w:rsid w:val="00367073"/>
    <w:rsid w:val="00371327"/>
    <w:rsid w:val="00373891"/>
    <w:rsid w:val="003759D0"/>
    <w:rsid w:val="00375F8B"/>
    <w:rsid w:val="003762AB"/>
    <w:rsid w:val="0038752B"/>
    <w:rsid w:val="003906BF"/>
    <w:rsid w:val="00392BAC"/>
    <w:rsid w:val="00393925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0175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18BB"/>
    <w:rsid w:val="00444B73"/>
    <w:rsid w:val="00445B66"/>
    <w:rsid w:val="00455EFA"/>
    <w:rsid w:val="00456EB8"/>
    <w:rsid w:val="0045726D"/>
    <w:rsid w:val="00457AC9"/>
    <w:rsid w:val="00461969"/>
    <w:rsid w:val="0046288F"/>
    <w:rsid w:val="004650C7"/>
    <w:rsid w:val="004677E7"/>
    <w:rsid w:val="004734DF"/>
    <w:rsid w:val="00475A27"/>
    <w:rsid w:val="004779C3"/>
    <w:rsid w:val="004805DE"/>
    <w:rsid w:val="00483800"/>
    <w:rsid w:val="00491199"/>
    <w:rsid w:val="0049439F"/>
    <w:rsid w:val="00495F13"/>
    <w:rsid w:val="004A0D07"/>
    <w:rsid w:val="004A3E1B"/>
    <w:rsid w:val="004B0105"/>
    <w:rsid w:val="004B1F5D"/>
    <w:rsid w:val="004B28F6"/>
    <w:rsid w:val="004B4B1A"/>
    <w:rsid w:val="004C019F"/>
    <w:rsid w:val="004C5268"/>
    <w:rsid w:val="004C75D0"/>
    <w:rsid w:val="004E01AE"/>
    <w:rsid w:val="004E1989"/>
    <w:rsid w:val="004E46B0"/>
    <w:rsid w:val="004E4DC3"/>
    <w:rsid w:val="004E58C8"/>
    <w:rsid w:val="004E722D"/>
    <w:rsid w:val="004F33DB"/>
    <w:rsid w:val="004F3651"/>
    <w:rsid w:val="004F48F0"/>
    <w:rsid w:val="00503EB6"/>
    <w:rsid w:val="00513D8C"/>
    <w:rsid w:val="00514426"/>
    <w:rsid w:val="00514CD5"/>
    <w:rsid w:val="00527794"/>
    <w:rsid w:val="00532367"/>
    <w:rsid w:val="00537F14"/>
    <w:rsid w:val="005462DC"/>
    <w:rsid w:val="00547C89"/>
    <w:rsid w:val="00553F5D"/>
    <w:rsid w:val="00557049"/>
    <w:rsid w:val="00566DD5"/>
    <w:rsid w:val="00573099"/>
    <w:rsid w:val="005769F6"/>
    <w:rsid w:val="005814CE"/>
    <w:rsid w:val="005928AA"/>
    <w:rsid w:val="00592D20"/>
    <w:rsid w:val="00596A87"/>
    <w:rsid w:val="005A0460"/>
    <w:rsid w:val="005A11F3"/>
    <w:rsid w:val="005A1FE2"/>
    <w:rsid w:val="005A3201"/>
    <w:rsid w:val="005B4A42"/>
    <w:rsid w:val="005B5216"/>
    <w:rsid w:val="005D044D"/>
    <w:rsid w:val="005D0CD4"/>
    <w:rsid w:val="005D59C3"/>
    <w:rsid w:val="005E0C6E"/>
    <w:rsid w:val="005E357A"/>
    <w:rsid w:val="005E3731"/>
    <w:rsid w:val="005E616E"/>
    <w:rsid w:val="005F237B"/>
    <w:rsid w:val="005F2867"/>
    <w:rsid w:val="005F761F"/>
    <w:rsid w:val="00604026"/>
    <w:rsid w:val="006139B2"/>
    <w:rsid w:val="00620F8E"/>
    <w:rsid w:val="00624739"/>
    <w:rsid w:val="00625BAF"/>
    <w:rsid w:val="00633053"/>
    <w:rsid w:val="00636D90"/>
    <w:rsid w:val="00640160"/>
    <w:rsid w:val="006443AC"/>
    <w:rsid w:val="0065331E"/>
    <w:rsid w:val="006555F5"/>
    <w:rsid w:val="006639C5"/>
    <w:rsid w:val="006738D1"/>
    <w:rsid w:val="006777D5"/>
    <w:rsid w:val="00687CD4"/>
    <w:rsid w:val="00690982"/>
    <w:rsid w:val="00690DB4"/>
    <w:rsid w:val="00691FCF"/>
    <w:rsid w:val="00694FF0"/>
    <w:rsid w:val="00696B22"/>
    <w:rsid w:val="006B0FB6"/>
    <w:rsid w:val="006B1E6B"/>
    <w:rsid w:val="006C1710"/>
    <w:rsid w:val="006C2947"/>
    <w:rsid w:val="006C444C"/>
    <w:rsid w:val="006C513D"/>
    <w:rsid w:val="006D34FD"/>
    <w:rsid w:val="006E116C"/>
    <w:rsid w:val="006F1352"/>
    <w:rsid w:val="006F1984"/>
    <w:rsid w:val="006F1DBB"/>
    <w:rsid w:val="006F4FF3"/>
    <w:rsid w:val="00701561"/>
    <w:rsid w:val="007021AC"/>
    <w:rsid w:val="00702AC4"/>
    <w:rsid w:val="00712516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474BA"/>
    <w:rsid w:val="00751BDC"/>
    <w:rsid w:val="00753F18"/>
    <w:rsid w:val="00763FF3"/>
    <w:rsid w:val="0077286C"/>
    <w:rsid w:val="007749F3"/>
    <w:rsid w:val="007752C4"/>
    <w:rsid w:val="00792780"/>
    <w:rsid w:val="00793112"/>
    <w:rsid w:val="0079397B"/>
    <w:rsid w:val="007A56A8"/>
    <w:rsid w:val="007A578D"/>
    <w:rsid w:val="007B0E86"/>
    <w:rsid w:val="007B3B30"/>
    <w:rsid w:val="007B434B"/>
    <w:rsid w:val="007B6CDC"/>
    <w:rsid w:val="007C2483"/>
    <w:rsid w:val="007C6B11"/>
    <w:rsid w:val="007D0BFA"/>
    <w:rsid w:val="007D1544"/>
    <w:rsid w:val="007D37B3"/>
    <w:rsid w:val="007D39E9"/>
    <w:rsid w:val="007D4F1A"/>
    <w:rsid w:val="007D6A7A"/>
    <w:rsid w:val="007E0352"/>
    <w:rsid w:val="007E689F"/>
    <w:rsid w:val="007E6BB5"/>
    <w:rsid w:val="007F0B23"/>
    <w:rsid w:val="007F1123"/>
    <w:rsid w:val="007F794D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3454"/>
    <w:rsid w:val="00866269"/>
    <w:rsid w:val="00867192"/>
    <w:rsid w:val="00870CDB"/>
    <w:rsid w:val="00871131"/>
    <w:rsid w:val="00875ABA"/>
    <w:rsid w:val="00891DCB"/>
    <w:rsid w:val="00894719"/>
    <w:rsid w:val="008A5B8B"/>
    <w:rsid w:val="008A70E5"/>
    <w:rsid w:val="008B0BD9"/>
    <w:rsid w:val="008B2E37"/>
    <w:rsid w:val="008B3E2F"/>
    <w:rsid w:val="008C5191"/>
    <w:rsid w:val="008C5C0E"/>
    <w:rsid w:val="008C630B"/>
    <w:rsid w:val="008C7044"/>
    <w:rsid w:val="008D09D6"/>
    <w:rsid w:val="008D0C80"/>
    <w:rsid w:val="008D3FC8"/>
    <w:rsid w:val="008D5051"/>
    <w:rsid w:val="008E0925"/>
    <w:rsid w:val="008E5344"/>
    <w:rsid w:val="008F5E27"/>
    <w:rsid w:val="008F5FAF"/>
    <w:rsid w:val="009166E1"/>
    <w:rsid w:val="009242DB"/>
    <w:rsid w:val="0092690A"/>
    <w:rsid w:val="00926EAA"/>
    <w:rsid w:val="00932022"/>
    <w:rsid w:val="009331A9"/>
    <w:rsid w:val="00933F00"/>
    <w:rsid w:val="009344BF"/>
    <w:rsid w:val="009359C2"/>
    <w:rsid w:val="00941471"/>
    <w:rsid w:val="009469D2"/>
    <w:rsid w:val="009505F3"/>
    <w:rsid w:val="0095157E"/>
    <w:rsid w:val="00951A6C"/>
    <w:rsid w:val="00952864"/>
    <w:rsid w:val="00953E5B"/>
    <w:rsid w:val="00954660"/>
    <w:rsid w:val="00954B9E"/>
    <w:rsid w:val="009561C8"/>
    <w:rsid w:val="009565F5"/>
    <w:rsid w:val="00966181"/>
    <w:rsid w:val="00974E5E"/>
    <w:rsid w:val="009908A0"/>
    <w:rsid w:val="009933FE"/>
    <w:rsid w:val="0099450D"/>
    <w:rsid w:val="009949A0"/>
    <w:rsid w:val="009974B4"/>
    <w:rsid w:val="009979B5"/>
    <w:rsid w:val="009A2C9B"/>
    <w:rsid w:val="009A4485"/>
    <w:rsid w:val="009B6144"/>
    <w:rsid w:val="009C0BD5"/>
    <w:rsid w:val="009D53E2"/>
    <w:rsid w:val="009D6CF7"/>
    <w:rsid w:val="009E48E6"/>
    <w:rsid w:val="009F0D62"/>
    <w:rsid w:val="009F1507"/>
    <w:rsid w:val="00A010DF"/>
    <w:rsid w:val="00A0386F"/>
    <w:rsid w:val="00A06AC3"/>
    <w:rsid w:val="00A16F08"/>
    <w:rsid w:val="00A17803"/>
    <w:rsid w:val="00A17C54"/>
    <w:rsid w:val="00A21DD2"/>
    <w:rsid w:val="00A32FD5"/>
    <w:rsid w:val="00A347C7"/>
    <w:rsid w:val="00A35E79"/>
    <w:rsid w:val="00A407C3"/>
    <w:rsid w:val="00A52797"/>
    <w:rsid w:val="00A532FC"/>
    <w:rsid w:val="00A56127"/>
    <w:rsid w:val="00A563C7"/>
    <w:rsid w:val="00A57977"/>
    <w:rsid w:val="00A64345"/>
    <w:rsid w:val="00A654CA"/>
    <w:rsid w:val="00A664AB"/>
    <w:rsid w:val="00A66C90"/>
    <w:rsid w:val="00A67927"/>
    <w:rsid w:val="00A70594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4605"/>
    <w:rsid w:val="00B77658"/>
    <w:rsid w:val="00B85FD0"/>
    <w:rsid w:val="00BA7966"/>
    <w:rsid w:val="00BC33B4"/>
    <w:rsid w:val="00BC5DBF"/>
    <w:rsid w:val="00BD46D6"/>
    <w:rsid w:val="00BD5076"/>
    <w:rsid w:val="00BE262A"/>
    <w:rsid w:val="00BF68F5"/>
    <w:rsid w:val="00C004DB"/>
    <w:rsid w:val="00C00B16"/>
    <w:rsid w:val="00C11B18"/>
    <w:rsid w:val="00C11D0C"/>
    <w:rsid w:val="00C12552"/>
    <w:rsid w:val="00C13A79"/>
    <w:rsid w:val="00C15FDF"/>
    <w:rsid w:val="00C208C0"/>
    <w:rsid w:val="00C20FE5"/>
    <w:rsid w:val="00C212D0"/>
    <w:rsid w:val="00C22D6C"/>
    <w:rsid w:val="00C304A5"/>
    <w:rsid w:val="00C33886"/>
    <w:rsid w:val="00C509F8"/>
    <w:rsid w:val="00C50C28"/>
    <w:rsid w:val="00C546E5"/>
    <w:rsid w:val="00C5792C"/>
    <w:rsid w:val="00C60E38"/>
    <w:rsid w:val="00C623F1"/>
    <w:rsid w:val="00C63528"/>
    <w:rsid w:val="00C654A6"/>
    <w:rsid w:val="00C73DFC"/>
    <w:rsid w:val="00C84C4B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CF4D91"/>
    <w:rsid w:val="00D05D96"/>
    <w:rsid w:val="00D12066"/>
    <w:rsid w:val="00D14EC9"/>
    <w:rsid w:val="00D16BED"/>
    <w:rsid w:val="00D171AA"/>
    <w:rsid w:val="00D1799E"/>
    <w:rsid w:val="00D209A2"/>
    <w:rsid w:val="00D22C75"/>
    <w:rsid w:val="00D407BA"/>
    <w:rsid w:val="00D4378F"/>
    <w:rsid w:val="00D47122"/>
    <w:rsid w:val="00D577B0"/>
    <w:rsid w:val="00D62554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31F3"/>
    <w:rsid w:val="00DB6ECD"/>
    <w:rsid w:val="00DC47ED"/>
    <w:rsid w:val="00DC5E7D"/>
    <w:rsid w:val="00DC6716"/>
    <w:rsid w:val="00DD2CE8"/>
    <w:rsid w:val="00DD3D2B"/>
    <w:rsid w:val="00DD704F"/>
    <w:rsid w:val="00DD7AE9"/>
    <w:rsid w:val="00DE0985"/>
    <w:rsid w:val="00DE5455"/>
    <w:rsid w:val="00DF012B"/>
    <w:rsid w:val="00DF109B"/>
    <w:rsid w:val="00E05B82"/>
    <w:rsid w:val="00E07386"/>
    <w:rsid w:val="00E14A1A"/>
    <w:rsid w:val="00E17EE7"/>
    <w:rsid w:val="00E17F1A"/>
    <w:rsid w:val="00E22DBE"/>
    <w:rsid w:val="00E366CB"/>
    <w:rsid w:val="00E45C46"/>
    <w:rsid w:val="00E473CE"/>
    <w:rsid w:val="00E60DBB"/>
    <w:rsid w:val="00E63A8F"/>
    <w:rsid w:val="00E645B4"/>
    <w:rsid w:val="00E65F4E"/>
    <w:rsid w:val="00E66854"/>
    <w:rsid w:val="00E67E1D"/>
    <w:rsid w:val="00E734D2"/>
    <w:rsid w:val="00E742A4"/>
    <w:rsid w:val="00E74C6C"/>
    <w:rsid w:val="00E76ABA"/>
    <w:rsid w:val="00E80D82"/>
    <w:rsid w:val="00E82757"/>
    <w:rsid w:val="00E82BAA"/>
    <w:rsid w:val="00E90FD9"/>
    <w:rsid w:val="00E91A75"/>
    <w:rsid w:val="00E97992"/>
    <w:rsid w:val="00EA0DA7"/>
    <w:rsid w:val="00EA1BEF"/>
    <w:rsid w:val="00EA2859"/>
    <w:rsid w:val="00EA438E"/>
    <w:rsid w:val="00EA542D"/>
    <w:rsid w:val="00EB24FD"/>
    <w:rsid w:val="00EB43C9"/>
    <w:rsid w:val="00EB44F4"/>
    <w:rsid w:val="00EC5E44"/>
    <w:rsid w:val="00ED5AB8"/>
    <w:rsid w:val="00ED6849"/>
    <w:rsid w:val="00ED78D7"/>
    <w:rsid w:val="00EE0F64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5A1F"/>
    <w:rsid w:val="00F16960"/>
    <w:rsid w:val="00F16BB4"/>
    <w:rsid w:val="00F205F5"/>
    <w:rsid w:val="00F2262B"/>
    <w:rsid w:val="00F265F4"/>
    <w:rsid w:val="00F27D21"/>
    <w:rsid w:val="00F30B37"/>
    <w:rsid w:val="00F342E5"/>
    <w:rsid w:val="00F35D9B"/>
    <w:rsid w:val="00F37E54"/>
    <w:rsid w:val="00F52977"/>
    <w:rsid w:val="00F62566"/>
    <w:rsid w:val="00F66010"/>
    <w:rsid w:val="00F67308"/>
    <w:rsid w:val="00F67CAC"/>
    <w:rsid w:val="00F746E0"/>
    <w:rsid w:val="00F825CC"/>
    <w:rsid w:val="00F830DA"/>
    <w:rsid w:val="00F83892"/>
    <w:rsid w:val="00F8473D"/>
    <w:rsid w:val="00F8789D"/>
    <w:rsid w:val="00F93AEE"/>
    <w:rsid w:val="00F97062"/>
    <w:rsid w:val="00FA01E2"/>
    <w:rsid w:val="00FA1DDD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meetingdoc.asp?lang=en&amp;parent=T22-SG17-R-0018" TargetMode="External"/><Relationship Id="rId18" Type="http://schemas.openxmlformats.org/officeDocument/2006/relationships/hyperlink" Target="https://www.itu.int/md/meetingdoc.asp?lang=en&amp;parent=T22-SG17-R-0025" TargetMode="External"/><Relationship Id="rId26" Type="http://schemas.openxmlformats.org/officeDocument/2006/relationships/hyperlink" Target="https://www.itu.int/md/meetingdoc.asp?lang=en&amp;parent=T22-SG17-220823-TD-PLEN-05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22-SG17-R-001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meetingdoc.asp?lang=en&amp;parent=T22-SG17-220823-TD-PLEN-0510" TargetMode="External"/><Relationship Id="rId25" Type="http://schemas.openxmlformats.org/officeDocument/2006/relationships/hyperlink" Target="https://www.itu.int/md/meetingdoc.asp?lang=en&amp;parent=T22-SG17-R-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22-SG17-R-0024" TargetMode="External"/><Relationship Id="rId20" Type="http://schemas.openxmlformats.org/officeDocument/2006/relationships/hyperlink" Target="https://www.itu.int/md/meetingdoc.asp?lang=en&amp;parent=T22-SG17-R-002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24" Type="http://schemas.openxmlformats.org/officeDocument/2006/relationships/hyperlink" Target="https://www.itu.int/md/meetingdoc.asp?lang=en&amp;parent=T22-SG17-220823-TD-PLEN-06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22-SG17-R-0023" TargetMode="External"/><Relationship Id="rId23" Type="http://schemas.openxmlformats.org/officeDocument/2006/relationships/hyperlink" Target="https://www.itu.int/md/meetingdoc.asp?lang=en&amp;parent=T22-SG17-R-001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T22-SG17-COL-0003/en" TargetMode="External"/><Relationship Id="rId19" Type="http://schemas.openxmlformats.org/officeDocument/2006/relationships/hyperlink" Target="https://www.itu.int/md/meetingdoc.asp?lang=en&amp;parent=T22-SG17-R-002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meetingdoc.asp?lang=en&amp;parent=T22-SG17-R-0022" TargetMode="External"/><Relationship Id="rId22" Type="http://schemas.openxmlformats.org/officeDocument/2006/relationships/hyperlink" Target="https://www.itu.int/md/meetingdoc.asp?lang=en&amp;parent=T22-SG17-R-0021" TargetMode="External"/><Relationship Id="rId27" Type="http://schemas.openxmlformats.org/officeDocument/2006/relationships/hyperlink" Target="mailto:tsbdir@itu.in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432A-EB6B-4463-833F-94EBDB7D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58</TotalTime>
  <Pages>11</Pages>
  <Words>4426</Words>
  <Characters>25232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29599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2022-10-17T11:48:00Z</cp:lastPrinted>
  <dcterms:created xsi:type="dcterms:W3CDTF">2022-10-04T10:27:00Z</dcterms:created>
  <dcterms:modified xsi:type="dcterms:W3CDTF">2022-10-17T11:48:00Z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